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C5" w:rsidRPr="00E24CB8" w:rsidRDefault="00947BC5" w:rsidP="00947BC5">
      <w:pPr>
        <w:pStyle w:val="Paragraph"/>
        <w:numPr>
          <w:ilvl w:val="0"/>
          <w:numId w:val="0"/>
        </w:numPr>
        <w:spacing w:after="0"/>
        <w:ind w:left="720"/>
        <w:jc w:val="center"/>
        <w:rPr>
          <w:rFonts w:ascii="Arial" w:hAnsi="Arial" w:cs="Arial"/>
          <w:b/>
          <w:spacing w:val="-6"/>
          <w:sz w:val="18"/>
          <w:szCs w:val="18"/>
        </w:rPr>
      </w:pPr>
      <w:bookmarkStart w:id="0" w:name="_GoBack"/>
      <w:r>
        <w:rPr>
          <w:rFonts w:ascii="Arial" w:hAnsi="Arial" w:cs="Arial"/>
          <w:b/>
          <w:spacing w:val="-6"/>
          <w:sz w:val="18"/>
          <w:szCs w:val="18"/>
          <w:lang w:val="es-ES_tradnl"/>
        </w:rPr>
        <w:t>Cuadro 1.</w:t>
      </w:r>
      <w:r w:rsidRPr="00E24CB8">
        <w:rPr>
          <w:rFonts w:ascii="Arial" w:hAnsi="Arial" w:cs="Arial"/>
          <w:b/>
          <w:spacing w:val="-6"/>
          <w:sz w:val="18"/>
          <w:szCs w:val="18"/>
          <w:lang w:val="es-ES_tradnl"/>
        </w:rPr>
        <w:t xml:space="preserve"> Logro de</w:t>
      </w:r>
      <w:r>
        <w:rPr>
          <w:rFonts w:ascii="Arial" w:hAnsi="Arial" w:cs="Arial"/>
          <w:b/>
          <w:spacing w:val="-6"/>
          <w:sz w:val="18"/>
          <w:szCs w:val="18"/>
          <w:lang w:val="es-ES_tradnl"/>
        </w:rPr>
        <w:t xml:space="preserve"> r</w:t>
      </w:r>
      <w:r w:rsidRPr="00E24CB8">
        <w:rPr>
          <w:rFonts w:ascii="Arial" w:hAnsi="Arial" w:cs="Arial"/>
          <w:b/>
          <w:spacing w:val="-6"/>
          <w:sz w:val="18"/>
          <w:szCs w:val="18"/>
          <w:lang w:val="es-ES_tradnl"/>
        </w:rPr>
        <w:t xml:space="preserve">esultados de la primera operación individual bajo la CCLIP </w:t>
      </w:r>
      <w:r>
        <w:rPr>
          <w:rFonts w:ascii="Arial" w:hAnsi="Arial" w:cs="Arial"/>
          <w:b/>
          <w:spacing w:val="-6"/>
          <w:sz w:val="18"/>
          <w:szCs w:val="18"/>
          <w:lang w:val="es-ES_tradnl"/>
        </w:rPr>
        <w:t>3007/OC-UR</w:t>
      </w:r>
      <w:bookmarkEnd w:id="0"/>
    </w:p>
    <w:tbl>
      <w:tblPr>
        <w:tblStyle w:val="TableGrid"/>
        <w:tblW w:w="0" w:type="auto"/>
        <w:tblInd w:w="918" w:type="dxa"/>
        <w:tblLook w:val="04A0" w:firstRow="1" w:lastRow="0" w:firstColumn="1" w:lastColumn="0" w:noHBand="0" w:noVBand="1"/>
      </w:tblPr>
      <w:tblGrid>
        <w:gridCol w:w="2148"/>
        <w:gridCol w:w="2799"/>
        <w:gridCol w:w="1373"/>
        <w:gridCol w:w="1392"/>
      </w:tblGrid>
      <w:tr w:rsidR="00947BC5" w:rsidRPr="00CF38DF" w:rsidTr="00E51A21">
        <w:tc>
          <w:tcPr>
            <w:tcW w:w="2148" w:type="dxa"/>
          </w:tcPr>
          <w:p w:rsidR="00947BC5" w:rsidRPr="00B126BD" w:rsidRDefault="00947BC5" w:rsidP="00E51A21">
            <w:pPr>
              <w:pStyle w:val="Paragraph"/>
              <w:numPr>
                <w:ilvl w:val="0"/>
                <w:numId w:val="0"/>
              </w:numPr>
              <w:spacing w:before="0" w:after="0"/>
              <w:jc w:val="center"/>
              <w:rPr>
                <w:rFonts w:ascii="Arial" w:hAnsi="Arial"/>
                <w:b/>
                <w:sz w:val="18"/>
              </w:rPr>
            </w:pPr>
            <w:r w:rsidRPr="00B126BD">
              <w:rPr>
                <w:rFonts w:ascii="Arial" w:hAnsi="Arial"/>
                <w:b/>
                <w:sz w:val="18"/>
              </w:rPr>
              <w:t>Resultado</w:t>
            </w:r>
          </w:p>
        </w:tc>
        <w:tc>
          <w:tcPr>
            <w:tcW w:w="2799" w:type="dxa"/>
          </w:tcPr>
          <w:p w:rsidR="00947BC5" w:rsidRPr="00B126BD" w:rsidRDefault="00947BC5" w:rsidP="00E51A21">
            <w:pPr>
              <w:pStyle w:val="Paragraph"/>
              <w:numPr>
                <w:ilvl w:val="0"/>
                <w:numId w:val="0"/>
              </w:numPr>
              <w:spacing w:before="0" w:after="0"/>
              <w:jc w:val="center"/>
              <w:rPr>
                <w:rFonts w:ascii="Arial" w:hAnsi="Arial"/>
                <w:b/>
                <w:sz w:val="18"/>
              </w:rPr>
            </w:pPr>
            <w:r w:rsidRPr="00B126BD">
              <w:rPr>
                <w:rFonts w:ascii="Arial" w:hAnsi="Arial"/>
                <w:b/>
                <w:sz w:val="18"/>
              </w:rPr>
              <w:t>Indicador</w:t>
            </w:r>
          </w:p>
        </w:tc>
        <w:tc>
          <w:tcPr>
            <w:tcW w:w="1373" w:type="dxa"/>
          </w:tcPr>
          <w:p w:rsidR="00947BC5" w:rsidRPr="00B126BD" w:rsidRDefault="00947BC5" w:rsidP="00E51A21">
            <w:pPr>
              <w:pStyle w:val="Paragraph"/>
              <w:numPr>
                <w:ilvl w:val="0"/>
                <w:numId w:val="0"/>
              </w:numPr>
              <w:spacing w:before="0" w:after="0"/>
              <w:jc w:val="center"/>
              <w:rPr>
                <w:rFonts w:ascii="Arial" w:hAnsi="Arial"/>
                <w:b/>
                <w:sz w:val="18"/>
              </w:rPr>
            </w:pPr>
            <w:r w:rsidRPr="00B126BD">
              <w:rPr>
                <w:rFonts w:ascii="Arial" w:hAnsi="Arial"/>
                <w:b/>
                <w:sz w:val="18"/>
              </w:rPr>
              <w:t>Valor previsto</w:t>
            </w:r>
          </w:p>
        </w:tc>
        <w:tc>
          <w:tcPr>
            <w:tcW w:w="1392" w:type="dxa"/>
          </w:tcPr>
          <w:p w:rsidR="00947BC5" w:rsidRPr="00B126BD" w:rsidRDefault="00947BC5" w:rsidP="00E51A21">
            <w:pPr>
              <w:pStyle w:val="Paragraph"/>
              <w:numPr>
                <w:ilvl w:val="0"/>
                <w:numId w:val="0"/>
              </w:numPr>
              <w:spacing w:before="0" w:after="0"/>
              <w:jc w:val="center"/>
              <w:rPr>
                <w:rFonts w:ascii="Arial" w:hAnsi="Arial"/>
                <w:b/>
                <w:sz w:val="18"/>
              </w:rPr>
            </w:pPr>
            <w:r w:rsidRPr="00B126BD">
              <w:rPr>
                <w:rFonts w:ascii="Arial" w:hAnsi="Arial"/>
                <w:b/>
                <w:sz w:val="18"/>
              </w:rPr>
              <w:t>Valor logrado 2016</w:t>
            </w:r>
            <w:r w:rsidRPr="00B126BD">
              <w:rPr>
                <w:rStyle w:val="FootnoteReference"/>
                <w:rFonts w:ascii="Arial" w:hAnsi="Arial"/>
                <w:b/>
                <w:sz w:val="18"/>
              </w:rPr>
              <w:footnoteReference w:id="1"/>
            </w:r>
          </w:p>
        </w:tc>
      </w:tr>
      <w:tr w:rsidR="00947BC5" w:rsidRPr="00CF38DF" w:rsidTr="00E51A21">
        <w:tc>
          <w:tcPr>
            <w:tcW w:w="2148" w:type="dxa"/>
            <w:vMerge w:val="restart"/>
          </w:tcPr>
          <w:p w:rsidR="00947BC5" w:rsidRPr="00B126BD" w:rsidRDefault="00947BC5" w:rsidP="00E51A21">
            <w:pPr>
              <w:pStyle w:val="Paragraph"/>
              <w:numPr>
                <w:ilvl w:val="0"/>
                <w:numId w:val="0"/>
              </w:numPr>
              <w:spacing w:before="0" w:after="0"/>
              <w:rPr>
                <w:rFonts w:ascii="Arial" w:hAnsi="Arial"/>
                <w:sz w:val="18"/>
              </w:rPr>
            </w:pPr>
            <w:r w:rsidRPr="00B126BD">
              <w:rPr>
                <w:rFonts w:ascii="Arial" w:hAnsi="Arial"/>
                <w:sz w:val="18"/>
              </w:rPr>
              <w:t>Los sistemas de información de los prestadores de salud y del ente rector mejorados</w:t>
            </w:r>
          </w:p>
        </w:tc>
        <w:tc>
          <w:tcPr>
            <w:tcW w:w="2799" w:type="dxa"/>
          </w:tcPr>
          <w:p w:rsidR="00947BC5" w:rsidRPr="00B126BD" w:rsidRDefault="00947BC5" w:rsidP="00E51A21">
            <w:pPr>
              <w:pStyle w:val="Paragraph"/>
              <w:numPr>
                <w:ilvl w:val="0"/>
                <w:numId w:val="0"/>
              </w:numPr>
              <w:spacing w:before="0" w:after="0"/>
              <w:rPr>
                <w:rFonts w:ascii="Arial" w:hAnsi="Arial"/>
                <w:sz w:val="18"/>
              </w:rPr>
            </w:pPr>
            <w:r w:rsidRPr="00B126BD">
              <w:rPr>
                <w:rFonts w:ascii="Arial" w:hAnsi="Arial"/>
                <w:sz w:val="18"/>
              </w:rPr>
              <w:t>Prestadores integrales que incorporan por lo menos uno de los estándares nacionales elaborados por el proyecto</w:t>
            </w:r>
          </w:p>
        </w:tc>
        <w:tc>
          <w:tcPr>
            <w:tcW w:w="1373" w:type="dxa"/>
            <w:vAlign w:val="center"/>
          </w:tcPr>
          <w:p w:rsidR="00947BC5" w:rsidRPr="00B126BD" w:rsidRDefault="00947BC5" w:rsidP="00E51A21">
            <w:pPr>
              <w:pStyle w:val="Paragraph"/>
              <w:numPr>
                <w:ilvl w:val="0"/>
                <w:numId w:val="0"/>
              </w:numPr>
              <w:spacing w:before="0" w:after="0"/>
              <w:jc w:val="center"/>
              <w:rPr>
                <w:rFonts w:ascii="Arial" w:hAnsi="Arial"/>
                <w:sz w:val="18"/>
              </w:rPr>
            </w:pPr>
            <w:r w:rsidRPr="00B126BD">
              <w:rPr>
                <w:rFonts w:ascii="Arial" w:hAnsi="Arial"/>
                <w:sz w:val="18"/>
              </w:rPr>
              <w:t>30</w:t>
            </w:r>
          </w:p>
        </w:tc>
        <w:tc>
          <w:tcPr>
            <w:tcW w:w="1392" w:type="dxa"/>
            <w:vAlign w:val="center"/>
          </w:tcPr>
          <w:p w:rsidR="00947BC5" w:rsidRPr="00B126BD" w:rsidRDefault="00947BC5" w:rsidP="00E51A21">
            <w:pPr>
              <w:pStyle w:val="Paragraph"/>
              <w:numPr>
                <w:ilvl w:val="0"/>
                <w:numId w:val="0"/>
              </w:numPr>
              <w:spacing w:before="0" w:after="0"/>
              <w:jc w:val="center"/>
              <w:rPr>
                <w:rFonts w:ascii="Arial" w:hAnsi="Arial"/>
                <w:sz w:val="18"/>
              </w:rPr>
            </w:pPr>
            <w:r w:rsidRPr="00B126BD">
              <w:rPr>
                <w:rFonts w:ascii="Arial" w:hAnsi="Arial"/>
                <w:sz w:val="18"/>
              </w:rPr>
              <w:t>24</w:t>
            </w:r>
          </w:p>
        </w:tc>
      </w:tr>
      <w:tr w:rsidR="00947BC5" w:rsidRPr="00CF38DF" w:rsidTr="00E51A21">
        <w:tc>
          <w:tcPr>
            <w:tcW w:w="2148" w:type="dxa"/>
            <w:vMerge/>
          </w:tcPr>
          <w:p w:rsidR="00947BC5" w:rsidRPr="00B126BD" w:rsidRDefault="00947BC5" w:rsidP="00E51A21">
            <w:pPr>
              <w:pStyle w:val="Paragraph"/>
              <w:numPr>
                <w:ilvl w:val="0"/>
                <w:numId w:val="0"/>
              </w:numPr>
              <w:spacing w:before="0" w:after="0"/>
              <w:rPr>
                <w:rFonts w:ascii="Arial" w:hAnsi="Arial"/>
                <w:sz w:val="18"/>
              </w:rPr>
            </w:pPr>
          </w:p>
        </w:tc>
        <w:tc>
          <w:tcPr>
            <w:tcW w:w="2799" w:type="dxa"/>
          </w:tcPr>
          <w:p w:rsidR="00947BC5" w:rsidRPr="00B126BD" w:rsidRDefault="00947BC5" w:rsidP="00E51A21">
            <w:pPr>
              <w:pStyle w:val="Paragraph"/>
              <w:numPr>
                <w:ilvl w:val="0"/>
                <w:numId w:val="0"/>
              </w:numPr>
              <w:spacing w:before="0" w:after="0"/>
              <w:rPr>
                <w:rFonts w:ascii="Arial" w:hAnsi="Arial"/>
                <w:sz w:val="18"/>
              </w:rPr>
            </w:pPr>
            <w:r w:rsidRPr="00B126BD">
              <w:rPr>
                <w:rFonts w:ascii="Arial" w:hAnsi="Arial"/>
                <w:sz w:val="18"/>
              </w:rPr>
              <w:t>Pacientes cuyas historias clínicas adoptan estándares nacionales elaborados por el proyecto</w:t>
            </w:r>
          </w:p>
        </w:tc>
        <w:tc>
          <w:tcPr>
            <w:tcW w:w="1373" w:type="dxa"/>
            <w:vAlign w:val="center"/>
          </w:tcPr>
          <w:p w:rsidR="00947BC5" w:rsidRPr="00B126BD" w:rsidRDefault="00947BC5" w:rsidP="00E51A21">
            <w:pPr>
              <w:pStyle w:val="Paragraph"/>
              <w:numPr>
                <w:ilvl w:val="0"/>
                <w:numId w:val="0"/>
              </w:numPr>
              <w:spacing w:before="0" w:after="0"/>
              <w:jc w:val="center"/>
              <w:rPr>
                <w:rFonts w:ascii="Arial" w:hAnsi="Arial"/>
                <w:sz w:val="18"/>
              </w:rPr>
            </w:pPr>
            <w:r w:rsidRPr="00B126BD">
              <w:rPr>
                <w:rFonts w:ascii="Arial" w:hAnsi="Arial"/>
                <w:sz w:val="18"/>
              </w:rPr>
              <w:t>150.000</w:t>
            </w:r>
          </w:p>
        </w:tc>
        <w:tc>
          <w:tcPr>
            <w:tcW w:w="1392" w:type="dxa"/>
            <w:vAlign w:val="center"/>
          </w:tcPr>
          <w:p w:rsidR="00947BC5" w:rsidRPr="00B126BD" w:rsidRDefault="00947BC5" w:rsidP="00E51A21">
            <w:pPr>
              <w:pStyle w:val="Paragraph"/>
              <w:numPr>
                <w:ilvl w:val="0"/>
                <w:numId w:val="0"/>
              </w:numPr>
              <w:spacing w:before="0" w:after="0"/>
              <w:jc w:val="center"/>
              <w:rPr>
                <w:rFonts w:ascii="Arial" w:hAnsi="Arial"/>
                <w:sz w:val="18"/>
              </w:rPr>
            </w:pPr>
            <w:r w:rsidRPr="00B126BD">
              <w:rPr>
                <w:rFonts w:ascii="Arial" w:hAnsi="Arial"/>
                <w:sz w:val="18"/>
              </w:rPr>
              <w:t>1.055.336</w:t>
            </w:r>
            <w:r w:rsidRPr="00B126BD">
              <w:rPr>
                <w:rStyle w:val="FootnoteReference"/>
                <w:rFonts w:ascii="Arial" w:hAnsi="Arial"/>
                <w:sz w:val="18"/>
              </w:rPr>
              <w:footnoteReference w:id="2"/>
            </w:r>
          </w:p>
        </w:tc>
      </w:tr>
      <w:tr w:rsidR="00947BC5" w:rsidRPr="00CF38DF" w:rsidTr="00E51A21">
        <w:tc>
          <w:tcPr>
            <w:tcW w:w="2148" w:type="dxa"/>
            <w:vMerge w:val="restart"/>
          </w:tcPr>
          <w:p w:rsidR="00947BC5" w:rsidRPr="00B126BD" w:rsidRDefault="00947BC5" w:rsidP="00E51A21">
            <w:pPr>
              <w:pStyle w:val="Paragraph"/>
              <w:numPr>
                <w:ilvl w:val="0"/>
                <w:numId w:val="0"/>
              </w:numPr>
              <w:spacing w:before="0" w:after="0"/>
              <w:rPr>
                <w:rFonts w:ascii="Arial" w:hAnsi="Arial"/>
                <w:sz w:val="18"/>
              </w:rPr>
            </w:pPr>
            <w:r w:rsidRPr="00B126BD">
              <w:rPr>
                <w:rFonts w:ascii="Arial" w:hAnsi="Arial"/>
                <w:sz w:val="18"/>
              </w:rPr>
              <w:t>Servicios de diagnóstico de salud en base a estudios imagenológicos expandidos</w:t>
            </w:r>
          </w:p>
        </w:tc>
        <w:tc>
          <w:tcPr>
            <w:tcW w:w="2799" w:type="dxa"/>
          </w:tcPr>
          <w:p w:rsidR="00947BC5" w:rsidRPr="00B126BD" w:rsidRDefault="00947BC5" w:rsidP="00E51A21">
            <w:pPr>
              <w:pStyle w:val="Paragraph"/>
              <w:numPr>
                <w:ilvl w:val="0"/>
                <w:numId w:val="0"/>
              </w:numPr>
              <w:spacing w:before="0" w:after="0"/>
              <w:rPr>
                <w:rFonts w:ascii="Arial" w:hAnsi="Arial"/>
                <w:sz w:val="18"/>
              </w:rPr>
            </w:pPr>
            <w:r w:rsidRPr="00B126BD">
              <w:rPr>
                <w:rFonts w:ascii="Arial" w:hAnsi="Arial"/>
                <w:sz w:val="18"/>
              </w:rPr>
              <w:t>Centros asistenciales que adoptan el uso del sistema</w:t>
            </w:r>
          </w:p>
        </w:tc>
        <w:tc>
          <w:tcPr>
            <w:tcW w:w="1373" w:type="dxa"/>
            <w:vAlign w:val="center"/>
          </w:tcPr>
          <w:p w:rsidR="00947BC5" w:rsidRPr="00B126BD" w:rsidRDefault="00947BC5" w:rsidP="00E51A21">
            <w:pPr>
              <w:pStyle w:val="Paragraph"/>
              <w:numPr>
                <w:ilvl w:val="0"/>
                <w:numId w:val="0"/>
              </w:numPr>
              <w:spacing w:before="0" w:after="0"/>
              <w:jc w:val="center"/>
              <w:rPr>
                <w:rFonts w:ascii="Arial" w:hAnsi="Arial"/>
                <w:sz w:val="18"/>
              </w:rPr>
            </w:pPr>
            <w:r w:rsidRPr="00B126BD">
              <w:rPr>
                <w:rFonts w:ascii="Arial" w:hAnsi="Arial"/>
                <w:sz w:val="18"/>
              </w:rPr>
              <w:t>10</w:t>
            </w:r>
          </w:p>
        </w:tc>
        <w:tc>
          <w:tcPr>
            <w:tcW w:w="1392" w:type="dxa"/>
            <w:vAlign w:val="center"/>
          </w:tcPr>
          <w:p w:rsidR="00947BC5" w:rsidRPr="00B126BD" w:rsidRDefault="00947BC5" w:rsidP="00E51A21">
            <w:pPr>
              <w:pStyle w:val="Paragraph"/>
              <w:numPr>
                <w:ilvl w:val="0"/>
                <w:numId w:val="0"/>
              </w:numPr>
              <w:spacing w:before="0" w:after="0"/>
              <w:jc w:val="center"/>
              <w:rPr>
                <w:rFonts w:ascii="Arial" w:hAnsi="Arial"/>
                <w:sz w:val="18"/>
              </w:rPr>
            </w:pPr>
            <w:r w:rsidRPr="00B126BD">
              <w:rPr>
                <w:rFonts w:ascii="Arial" w:hAnsi="Arial"/>
                <w:sz w:val="18"/>
              </w:rPr>
              <w:t>16</w:t>
            </w:r>
          </w:p>
        </w:tc>
      </w:tr>
      <w:tr w:rsidR="00947BC5" w:rsidRPr="00CF38DF" w:rsidTr="00E51A21">
        <w:tc>
          <w:tcPr>
            <w:tcW w:w="2148" w:type="dxa"/>
            <w:vMerge/>
          </w:tcPr>
          <w:p w:rsidR="00947BC5" w:rsidRPr="00B126BD" w:rsidRDefault="00947BC5" w:rsidP="00E51A21">
            <w:pPr>
              <w:pStyle w:val="Paragraph"/>
              <w:numPr>
                <w:ilvl w:val="0"/>
                <w:numId w:val="0"/>
              </w:numPr>
              <w:spacing w:before="0" w:after="0"/>
              <w:rPr>
                <w:rFonts w:ascii="Arial" w:hAnsi="Arial"/>
                <w:sz w:val="18"/>
              </w:rPr>
            </w:pPr>
          </w:p>
        </w:tc>
        <w:tc>
          <w:tcPr>
            <w:tcW w:w="2799" w:type="dxa"/>
          </w:tcPr>
          <w:p w:rsidR="00947BC5" w:rsidRPr="00B126BD" w:rsidRDefault="00947BC5" w:rsidP="00E51A21">
            <w:pPr>
              <w:pStyle w:val="Paragraph"/>
              <w:numPr>
                <w:ilvl w:val="0"/>
                <w:numId w:val="0"/>
              </w:numPr>
              <w:spacing w:before="0" w:after="0"/>
              <w:rPr>
                <w:rFonts w:ascii="Arial" w:hAnsi="Arial"/>
                <w:sz w:val="18"/>
              </w:rPr>
            </w:pPr>
            <w:r w:rsidRPr="00B126BD">
              <w:rPr>
                <w:rFonts w:ascii="Arial" w:hAnsi="Arial"/>
                <w:sz w:val="18"/>
              </w:rPr>
              <w:t xml:space="preserve">Estudios en la aplicación de </w:t>
            </w:r>
            <w:proofErr w:type="spellStart"/>
            <w:r w:rsidRPr="00B126BD">
              <w:rPr>
                <w:rFonts w:ascii="Arial" w:hAnsi="Arial"/>
                <w:sz w:val="18"/>
              </w:rPr>
              <w:t>teleimagenología</w:t>
            </w:r>
            <w:proofErr w:type="spellEnd"/>
            <w:r w:rsidRPr="00B126BD">
              <w:rPr>
                <w:rFonts w:ascii="Arial" w:hAnsi="Arial"/>
                <w:sz w:val="18"/>
              </w:rPr>
              <w:t xml:space="preserve"> almacenados</w:t>
            </w:r>
          </w:p>
        </w:tc>
        <w:tc>
          <w:tcPr>
            <w:tcW w:w="1373" w:type="dxa"/>
            <w:vAlign w:val="center"/>
          </w:tcPr>
          <w:p w:rsidR="00947BC5" w:rsidRPr="00B126BD" w:rsidRDefault="00947BC5" w:rsidP="00E51A21">
            <w:pPr>
              <w:pStyle w:val="Paragraph"/>
              <w:numPr>
                <w:ilvl w:val="0"/>
                <w:numId w:val="0"/>
              </w:numPr>
              <w:spacing w:before="0" w:after="0"/>
              <w:jc w:val="center"/>
              <w:rPr>
                <w:rFonts w:ascii="Arial" w:hAnsi="Arial"/>
                <w:sz w:val="18"/>
              </w:rPr>
            </w:pPr>
            <w:r w:rsidRPr="00B126BD">
              <w:rPr>
                <w:rFonts w:ascii="Arial" w:hAnsi="Arial"/>
                <w:sz w:val="18"/>
              </w:rPr>
              <w:t>5.000</w:t>
            </w:r>
          </w:p>
        </w:tc>
        <w:tc>
          <w:tcPr>
            <w:tcW w:w="1392" w:type="dxa"/>
            <w:vAlign w:val="center"/>
          </w:tcPr>
          <w:p w:rsidR="00947BC5" w:rsidRPr="00B126BD" w:rsidRDefault="00947BC5" w:rsidP="00E51A21">
            <w:pPr>
              <w:pStyle w:val="Paragraph"/>
              <w:numPr>
                <w:ilvl w:val="0"/>
                <w:numId w:val="0"/>
              </w:numPr>
              <w:spacing w:before="0" w:after="0"/>
              <w:jc w:val="center"/>
              <w:rPr>
                <w:rFonts w:ascii="Arial" w:hAnsi="Arial"/>
                <w:sz w:val="18"/>
              </w:rPr>
            </w:pPr>
            <w:r w:rsidRPr="00B126BD">
              <w:rPr>
                <w:rFonts w:ascii="Arial" w:hAnsi="Arial"/>
                <w:sz w:val="18"/>
              </w:rPr>
              <w:t>149.728</w:t>
            </w:r>
            <w:r w:rsidRPr="00B126BD">
              <w:rPr>
                <w:rStyle w:val="FootnoteReference"/>
                <w:rFonts w:ascii="Arial" w:hAnsi="Arial"/>
                <w:sz w:val="18"/>
              </w:rPr>
              <w:footnoteReference w:id="3"/>
            </w:r>
          </w:p>
        </w:tc>
      </w:tr>
      <w:tr w:rsidR="00947BC5" w:rsidRPr="00CF38DF" w:rsidTr="00E51A21">
        <w:tc>
          <w:tcPr>
            <w:tcW w:w="2148" w:type="dxa"/>
          </w:tcPr>
          <w:p w:rsidR="00947BC5" w:rsidRPr="00B126BD" w:rsidRDefault="00947BC5" w:rsidP="00E51A21">
            <w:pPr>
              <w:pStyle w:val="Paragraph"/>
              <w:numPr>
                <w:ilvl w:val="0"/>
                <w:numId w:val="0"/>
              </w:numPr>
              <w:spacing w:before="0" w:after="0"/>
              <w:rPr>
                <w:rFonts w:ascii="Arial" w:hAnsi="Arial"/>
                <w:sz w:val="18"/>
              </w:rPr>
            </w:pPr>
            <w:r w:rsidRPr="00B126BD">
              <w:rPr>
                <w:rFonts w:ascii="Arial" w:hAnsi="Arial"/>
                <w:sz w:val="18"/>
              </w:rPr>
              <w:t>Capacidad del MSP para gestionar las tablas maestras, catálogos y servicios terminológicos para la Historia Clínica Electrónica Nacional (HCEN)</w:t>
            </w:r>
            <w:r w:rsidRPr="00B126BD">
              <w:rPr>
                <w:rStyle w:val="FootnoteReference"/>
                <w:rFonts w:ascii="Arial" w:hAnsi="Arial"/>
                <w:sz w:val="18"/>
              </w:rPr>
              <w:footnoteReference w:id="4"/>
            </w:r>
            <w:r w:rsidRPr="00B126BD">
              <w:rPr>
                <w:rFonts w:ascii="Arial" w:hAnsi="Arial"/>
                <w:sz w:val="18"/>
              </w:rPr>
              <w:t xml:space="preserve"> fortalecida</w:t>
            </w:r>
          </w:p>
        </w:tc>
        <w:tc>
          <w:tcPr>
            <w:tcW w:w="2799" w:type="dxa"/>
          </w:tcPr>
          <w:p w:rsidR="00947BC5" w:rsidRPr="00B126BD" w:rsidRDefault="00947BC5" w:rsidP="00E51A21">
            <w:pPr>
              <w:pStyle w:val="Paragraph"/>
              <w:numPr>
                <w:ilvl w:val="0"/>
                <w:numId w:val="0"/>
              </w:numPr>
              <w:spacing w:before="0" w:after="0"/>
              <w:rPr>
                <w:rFonts w:ascii="Arial" w:hAnsi="Arial"/>
                <w:sz w:val="18"/>
              </w:rPr>
            </w:pPr>
            <w:r w:rsidRPr="00B126BD">
              <w:rPr>
                <w:rFonts w:ascii="Arial" w:hAnsi="Arial"/>
                <w:sz w:val="18"/>
              </w:rPr>
              <w:t>Catálogos mejorados por el programa que son adoptados y sostenidos por el MSP</w:t>
            </w:r>
            <w:r w:rsidRPr="00B126BD">
              <w:rPr>
                <w:rStyle w:val="FootnoteReference"/>
                <w:rFonts w:ascii="Arial" w:hAnsi="Arial"/>
                <w:sz w:val="18"/>
              </w:rPr>
              <w:footnoteReference w:id="5"/>
            </w:r>
          </w:p>
        </w:tc>
        <w:tc>
          <w:tcPr>
            <w:tcW w:w="1373" w:type="dxa"/>
            <w:vAlign w:val="center"/>
          </w:tcPr>
          <w:p w:rsidR="00947BC5" w:rsidRPr="00B126BD" w:rsidRDefault="00947BC5" w:rsidP="00E51A21">
            <w:pPr>
              <w:pStyle w:val="Paragraph"/>
              <w:numPr>
                <w:ilvl w:val="0"/>
                <w:numId w:val="0"/>
              </w:numPr>
              <w:spacing w:before="0" w:after="0"/>
              <w:jc w:val="center"/>
              <w:rPr>
                <w:rFonts w:ascii="Arial" w:hAnsi="Arial"/>
                <w:sz w:val="18"/>
              </w:rPr>
            </w:pPr>
            <w:r w:rsidRPr="00B126BD">
              <w:rPr>
                <w:rFonts w:ascii="Arial" w:hAnsi="Arial"/>
                <w:sz w:val="18"/>
              </w:rPr>
              <w:t>5</w:t>
            </w:r>
          </w:p>
        </w:tc>
        <w:tc>
          <w:tcPr>
            <w:tcW w:w="1392" w:type="dxa"/>
            <w:vAlign w:val="center"/>
          </w:tcPr>
          <w:p w:rsidR="00947BC5" w:rsidRPr="00B126BD" w:rsidRDefault="00947BC5" w:rsidP="00E51A21">
            <w:pPr>
              <w:pStyle w:val="Paragraph"/>
              <w:numPr>
                <w:ilvl w:val="0"/>
                <w:numId w:val="0"/>
              </w:numPr>
              <w:spacing w:before="0" w:after="0"/>
              <w:jc w:val="center"/>
              <w:rPr>
                <w:rFonts w:ascii="Arial" w:hAnsi="Arial"/>
                <w:sz w:val="18"/>
              </w:rPr>
            </w:pPr>
            <w:r w:rsidRPr="00B126BD">
              <w:rPr>
                <w:rFonts w:ascii="Arial" w:hAnsi="Arial"/>
                <w:sz w:val="18"/>
              </w:rPr>
              <w:t>6</w:t>
            </w:r>
          </w:p>
        </w:tc>
      </w:tr>
    </w:tbl>
    <w:p w:rsidR="00490B2C" w:rsidRDefault="00490B2C"/>
    <w:sectPr w:rsidR="00490B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896" w:rsidRDefault="00383896" w:rsidP="00947BC5">
      <w:r>
        <w:separator/>
      </w:r>
    </w:p>
  </w:endnote>
  <w:endnote w:type="continuationSeparator" w:id="0">
    <w:p w:rsidR="00383896" w:rsidRDefault="00383896" w:rsidP="0094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896" w:rsidRDefault="00383896" w:rsidP="00947BC5">
      <w:r>
        <w:separator/>
      </w:r>
    </w:p>
  </w:footnote>
  <w:footnote w:type="continuationSeparator" w:id="0">
    <w:p w:rsidR="00383896" w:rsidRDefault="00383896" w:rsidP="00947BC5">
      <w:r>
        <w:continuationSeparator/>
      </w:r>
    </w:p>
  </w:footnote>
  <w:footnote w:id="1">
    <w:p w:rsidR="00947BC5" w:rsidRPr="009214ED" w:rsidRDefault="00947BC5" w:rsidP="00947BC5">
      <w:pPr>
        <w:pStyle w:val="FootnoteText"/>
        <w:keepNext w:val="0"/>
        <w:keepLines w:val="0"/>
        <w:widowControl w:val="0"/>
        <w:spacing w:after="0"/>
        <w:rPr>
          <w:rFonts w:ascii="Arial" w:hAnsi="Arial" w:cs="Arial"/>
          <w:sz w:val="18"/>
          <w:szCs w:val="18"/>
          <w:lang w:val="es-UY"/>
        </w:rPr>
      </w:pPr>
      <w:r w:rsidRPr="009214ED">
        <w:rPr>
          <w:rStyle w:val="FootnoteReference"/>
          <w:rFonts w:ascii="Arial" w:hAnsi="Arial" w:cs="Arial"/>
          <w:sz w:val="18"/>
          <w:szCs w:val="18"/>
        </w:rPr>
        <w:footnoteRef/>
      </w:r>
      <w:r w:rsidRPr="009214ED">
        <w:rPr>
          <w:rFonts w:ascii="Arial" w:hAnsi="Arial" w:cs="Arial"/>
          <w:sz w:val="18"/>
          <w:szCs w:val="18"/>
        </w:rPr>
        <w:t xml:space="preserve"> </w:t>
      </w:r>
      <w:r w:rsidRPr="009214ED">
        <w:rPr>
          <w:rFonts w:ascii="Arial" w:hAnsi="Arial" w:cs="Arial"/>
          <w:sz w:val="18"/>
          <w:szCs w:val="18"/>
        </w:rPr>
        <w:tab/>
      </w:r>
      <w:r w:rsidRPr="009214ED">
        <w:rPr>
          <w:rFonts w:ascii="Arial" w:hAnsi="Arial" w:cs="Arial"/>
          <w:sz w:val="18"/>
          <w:szCs w:val="18"/>
          <w:lang w:val="es-UY"/>
        </w:rPr>
        <w:t>Este valor corresponde a diciembre de 2016 y no representa el valor final logrado por el proyecto, cuya culminación está pautada para noviembre 2017.</w:t>
      </w:r>
    </w:p>
  </w:footnote>
  <w:footnote w:id="2">
    <w:p w:rsidR="00947BC5" w:rsidRPr="009214ED" w:rsidRDefault="00947BC5" w:rsidP="00947BC5">
      <w:pPr>
        <w:pStyle w:val="FootnoteText"/>
        <w:keepNext w:val="0"/>
        <w:keepLines w:val="0"/>
        <w:widowControl w:val="0"/>
        <w:spacing w:after="0"/>
        <w:rPr>
          <w:rFonts w:ascii="Arial" w:hAnsi="Arial" w:cs="Arial"/>
          <w:sz w:val="18"/>
          <w:szCs w:val="18"/>
          <w:lang w:val="es-UY"/>
        </w:rPr>
      </w:pPr>
      <w:r w:rsidRPr="009214ED">
        <w:rPr>
          <w:rStyle w:val="FootnoteReference"/>
          <w:rFonts w:ascii="Arial" w:hAnsi="Arial" w:cs="Arial"/>
          <w:sz w:val="18"/>
          <w:szCs w:val="18"/>
        </w:rPr>
        <w:footnoteRef/>
      </w:r>
      <w:r w:rsidRPr="009214ED">
        <w:rPr>
          <w:rFonts w:ascii="Arial" w:hAnsi="Arial" w:cs="Arial"/>
          <w:sz w:val="18"/>
          <w:szCs w:val="18"/>
        </w:rPr>
        <w:t xml:space="preserve"> </w:t>
      </w:r>
      <w:r w:rsidRPr="009214ED">
        <w:rPr>
          <w:rFonts w:ascii="Arial" w:hAnsi="Arial" w:cs="Arial"/>
          <w:sz w:val="18"/>
          <w:szCs w:val="18"/>
        </w:rPr>
        <w:tab/>
      </w:r>
      <w:r w:rsidRPr="009214ED">
        <w:rPr>
          <w:rFonts w:ascii="Arial" w:hAnsi="Arial" w:cs="Arial"/>
          <w:sz w:val="18"/>
          <w:szCs w:val="18"/>
          <w:lang w:val="es-UY"/>
        </w:rPr>
        <w:t>Este sobrecumplimiento se explica por dos factores: (i) los prestadores de salud se han mostrado muy receptivos adherir</w:t>
      </w:r>
      <w:r>
        <w:rPr>
          <w:rFonts w:ascii="Arial" w:hAnsi="Arial" w:cs="Arial"/>
          <w:sz w:val="18"/>
          <w:szCs w:val="18"/>
          <w:lang w:val="es-UY"/>
        </w:rPr>
        <w:t>se</w:t>
      </w:r>
      <w:r w:rsidRPr="009214ED">
        <w:rPr>
          <w:rFonts w:ascii="Arial" w:hAnsi="Arial" w:cs="Arial"/>
          <w:sz w:val="18"/>
          <w:szCs w:val="18"/>
          <w:lang w:val="es-UY"/>
        </w:rPr>
        <w:t xml:space="preserve"> voluntariamente a la utilización de los estándares nacionales desarrollados por el proyecto; y (ii) no existiendo antecedentes en cuanto a la velocidad de adopción de este tipo de estándares, las metas del proyecto fueron definidas dentro de un marco muy conservador.</w:t>
      </w:r>
    </w:p>
  </w:footnote>
  <w:footnote w:id="3">
    <w:p w:rsidR="00947BC5" w:rsidRPr="009214ED" w:rsidRDefault="00947BC5" w:rsidP="00947BC5">
      <w:pPr>
        <w:pStyle w:val="FootnoteText"/>
        <w:keepNext w:val="0"/>
        <w:keepLines w:val="0"/>
        <w:widowControl w:val="0"/>
        <w:spacing w:after="0"/>
        <w:rPr>
          <w:rFonts w:ascii="Arial" w:hAnsi="Arial" w:cs="Arial"/>
          <w:sz w:val="18"/>
          <w:szCs w:val="18"/>
        </w:rPr>
      </w:pPr>
      <w:r w:rsidRPr="009214ED">
        <w:rPr>
          <w:rStyle w:val="FootnoteReference"/>
          <w:rFonts w:ascii="Arial" w:hAnsi="Arial" w:cs="Arial"/>
          <w:sz w:val="18"/>
          <w:szCs w:val="18"/>
        </w:rPr>
        <w:footnoteRef/>
      </w:r>
      <w:r w:rsidRPr="009214ED">
        <w:rPr>
          <w:rFonts w:ascii="Arial" w:hAnsi="Arial" w:cs="Arial"/>
          <w:sz w:val="18"/>
          <w:szCs w:val="18"/>
        </w:rPr>
        <w:t xml:space="preserve"> </w:t>
      </w:r>
      <w:r w:rsidRPr="009214ED">
        <w:rPr>
          <w:rFonts w:ascii="Arial" w:hAnsi="Arial" w:cs="Arial"/>
          <w:sz w:val="18"/>
          <w:szCs w:val="18"/>
        </w:rPr>
        <w:tab/>
        <w:t xml:space="preserve">Este sobre cumplimiento se sustenta en que el prestador público de servicios de salud (Administración de Servicios de Salud del Estado - ASSE) solicitó acelerar el cronograma de implantación del sistema de </w:t>
      </w:r>
      <w:proofErr w:type="spellStart"/>
      <w:r w:rsidRPr="009214ED">
        <w:rPr>
          <w:rFonts w:ascii="Arial" w:hAnsi="Arial" w:cs="Arial"/>
          <w:sz w:val="18"/>
          <w:szCs w:val="18"/>
        </w:rPr>
        <w:t>teleimagenología</w:t>
      </w:r>
      <w:proofErr w:type="spellEnd"/>
      <w:r w:rsidRPr="009214ED">
        <w:rPr>
          <w:rFonts w:ascii="Arial" w:hAnsi="Arial" w:cs="Arial"/>
          <w:sz w:val="18"/>
          <w:szCs w:val="18"/>
        </w:rPr>
        <w:t xml:space="preserve"> en sus hospitales.</w:t>
      </w:r>
    </w:p>
  </w:footnote>
  <w:footnote w:id="4">
    <w:p w:rsidR="00947BC5" w:rsidRPr="009214ED" w:rsidRDefault="00947BC5" w:rsidP="00947BC5">
      <w:pPr>
        <w:pStyle w:val="FootnoteText"/>
        <w:keepNext w:val="0"/>
        <w:keepLines w:val="0"/>
        <w:widowControl w:val="0"/>
        <w:spacing w:after="0"/>
        <w:rPr>
          <w:rFonts w:ascii="Arial" w:hAnsi="Arial" w:cs="Arial"/>
          <w:sz w:val="18"/>
          <w:szCs w:val="18"/>
        </w:rPr>
      </w:pPr>
      <w:r w:rsidRPr="009214ED">
        <w:rPr>
          <w:rStyle w:val="FootnoteReference"/>
          <w:rFonts w:ascii="Arial" w:hAnsi="Arial" w:cs="Arial"/>
          <w:sz w:val="18"/>
          <w:szCs w:val="18"/>
        </w:rPr>
        <w:footnoteRef/>
      </w:r>
      <w:r w:rsidRPr="009214ED">
        <w:rPr>
          <w:rFonts w:ascii="Arial" w:hAnsi="Arial" w:cs="Arial"/>
          <w:sz w:val="18"/>
          <w:szCs w:val="18"/>
        </w:rPr>
        <w:t xml:space="preserve"> </w:t>
      </w:r>
      <w:r w:rsidRPr="009214ED">
        <w:rPr>
          <w:rFonts w:ascii="Arial" w:hAnsi="Arial" w:cs="Arial"/>
          <w:sz w:val="18"/>
          <w:szCs w:val="18"/>
        </w:rPr>
        <w:tab/>
        <w:t>La Historia Clínica Electrónica (HCE) es una herramienta para almacenamiento, transferencia y consulta de información sobre la prestación de servicios de salud y datos clínicos de las personas. A nivel de cada prestador de servicios de salud, un sistema de HCE permite: (i) mejorar la calidad de la atención; (ii) superar la fragmentación de la información; (iii) acceder en forma rápida y segura a la información; (iv) mejorar la comunicación entre profesionales sanitarios; y (v) ahorrar tiempo y costos. Por otra parte, la Historia Clínica Electrónica Nacional (HCEN) es una plataforma para el intercambio de datos entre los sistemas de HCE de los distintos prestadores de salud. Por ello, la HCEN posibilita a los profesionales de salud y pacientes a acceder a la información clínica en forma oportuna, segura y en línea, independientemente del lugar geográfico y del prestador específico de salud donde se presente el usuario. En definitiva, supone la interoperabilidad entre los sistemas de los distintos prestadores de salud a través de una plataforma central.</w:t>
      </w:r>
    </w:p>
  </w:footnote>
  <w:footnote w:id="5">
    <w:p w:rsidR="00947BC5" w:rsidRPr="009214ED" w:rsidRDefault="00947BC5" w:rsidP="00947BC5">
      <w:pPr>
        <w:pStyle w:val="FootnoteText"/>
        <w:keepNext w:val="0"/>
        <w:keepLines w:val="0"/>
        <w:widowControl w:val="0"/>
        <w:spacing w:after="0"/>
        <w:rPr>
          <w:rFonts w:ascii="Arial" w:hAnsi="Arial" w:cs="Arial"/>
          <w:sz w:val="18"/>
          <w:szCs w:val="18"/>
          <w:lang w:val="es-UY"/>
        </w:rPr>
      </w:pPr>
      <w:r w:rsidRPr="009214ED">
        <w:rPr>
          <w:rStyle w:val="FootnoteReference"/>
          <w:rFonts w:ascii="Arial" w:hAnsi="Arial" w:cs="Arial"/>
          <w:sz w:val="18"/>
          <w:szCs w:val="18"/>
        </w:rPr>
        <w:footnoteRef/>
      </w:r>
      <w:r w:rsidRPr="009214ED">
        <w:rPr>
          <w:rFonts w:ascii="Arial" w:hAnsi="Arial" w:cs="Arial"/>
          <w:sz w:val="18"/>
          <w:szCs w:val="18"/>
        </w:rPr>
        <w:t xml:space="preserve"> </w:t>
      </w:r>
      <w:r w:rsidRPr="009214ED">
        <w:rPr>
          <w:rFonts w:ascii="Arial" w:hAnsi="Arial" w:cs="Arial"/>
          <w:sz w:val="18"/>
          <w:szCs w:val="18"/>
          <w:lang w:val="es-UY"/>
        </w:rPr>
        <w:t xml:space="preserve"> Estos catálogos </w:t>
      </w:r>
      <w:r>
        <w:rPr>
          <w:rFonts w:ascii="Arial" w:hAnsi="Arial" w:cs="Arial"/>
          <w:sz w:val="18"/>
          <w:szCs w:val="18"/>
          <w:lang w:val="es-UY"/>
        </w:rPr>
        <w:t>abarcan: usuarios,</w:t>
      </w:r>
      <w:r w:rsidRPr="009214ED">
        <w:rPr>
          <w:rFonts w:ascii="Arial" w:hAnsi="Arial" w:cs="Arial"/>
          <w:sz w:val="18"/>
          <w:szCs w:val="18"/>
          <w:lang w:val="es-UY"/>
        </w:rPr>
        <w:t xml:space="preserve"> prestadores, medicamentos, profesionales de la salud, especialidades médicas y documentos clínicos.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C5" w:rsidRDefault="00947BC5">
    <w:pPr>
      <w:pStyle w:val="Header"/>
      <w:jc w:val="right"/>
      <w:rPr>
        <w:rFonts w:ascii="Arial" w:hAnsi="Arial" w:cs="Arial"/>
        <w:sz w:val="18"/>
        <w:szCs w:val="18"/>
      </w:rPr>
    </w:pPr>
    <w:r>
      <w:rPr>
        <w:rFonts w:ascii="Arial" w:hAnsi="Arial" w:cs="Arial"/>
        <w:sz w:val="18"/>
        <w:szCs w:val="18"/>
      </w:rPr>
      <w:t>UR-L1143</w:t>
    </w:r>
  </w:p>
  <w:p w:rsidR="00947BC5" w:rsidRPr="00947BC5" w:rsidRDefault="00947BC5">
    <w:pPr>
      <w:pStyle w:val="Header"/>
      <w:jc w:val="right"/>
      <w:rPr>
        <w:rFonts w:ascii="Arial" w:hAnsi="Arial" w:cs="Arial"/>
        <w:sz w:val="18"/>
        <w:szCs w:val="18"/>
      </w:rPr>
    </w:pPr>
    <w:sdt>
      <w:sdtPr>
        <w:rPr>
          <w:rFonts w:ascii="Arial" w:hAnsi="Arial" w:cs="Arial"/>
          <w:sz w:val="18"/>
          <w:szCs w:val="18"/>
        </w:rPr>
        <w:id w:val="-1318336367"/>
        <w:docPartObj>
          <w:docPartGallery w:val="Page Numbers (Top of Page)"/>
          <w:docPartUnique/>
        </w:docPartObj>
      </w:sdtPr>
      <w:sdtContent>
        <w:r>
          <w:rPr>
            <w:rFonts w:ascii="Arial" w:hAnsi="Arial" w:cs="Arial"/>
            <w:sz w:val="18"/>
            <w:szCs w:val="18"/>
          </w:rPr>
          <w:t>Página</w:t>
        </w:r>
        <w:r w:rsidRPr="00947BC5">
          <w:rPr>
            <w:rFonts w:ascii="Arial" w:hAnsi="Arial" w:cs="Arial"/>
            <w:sz w:val="18"/>
            <w:szCs w:val="18"/>
          </w:rPr>
          <w:t xml:space="preserve"> </w:t>
        </w:r>
        <w:r w:rsidRPr="00947BC5">
          <w:rPr>
            <w:rFonts w:ascii="Arial" w:hAnsi="Arial" w:cs="Arial"/>
            <w:b/>
            <w:bCs/>
            <w:sz w:val="18"/>
            <w:szCs w:val="18"/>
          </w:rPr>
          <w:fldChar w:fldCharType="begin"/>
        </w:r>
        <w:r w:rsidRPr="00947BC5">
          <w:rPr>
            <w:rFonts w:ascii="Arial" w:hAnsi="Arial" w:cs="Arial"/>
            <w:b/>
            <w:bCs/>
            <w:sz w:val="18"/>
            <w:szCs w:val="18"/>
          </w:rPr>
          <w:instrText xml:space="preserve"> PAGE </w:instrText>
        </w:r>
        <w:r w:rsidRPr="00947BC5">
          <w:rPr>
            <w:rFonts w:ascii="Arial" w:hAnsi="Arial" w:cs="Arial"/>
            <w:b/>
            <w:bCs/>
            <w:sz w:val="18"/>
            <w:szCs w:val="18"/>
          </w:rPr>
          <w:fldChar w:fldCharType="separate"/>
        </w:r>
        <w:r>
          <w:rPr>
            <w:rFonts w:ascii="Arial" w:hAnsi="Arial" w:cs="Arial"/>
            <w:b/>
            <w:bCs/>
            <w:noProof/>
            <w:sz w:val="18"/>
            <w:szCs w:val="18"/>
          </w:rPr>
          <w:t>1</w:t>
        </w:r>
        <w:r w:rsidRPr="00947BC5">
          <w:rPr>
            <w:rFonts w:ascii="Arial" w:hAnsi="Arial" w:cs="Arial"/>
            <w:b/>
            <w:bCs/>
            <w:sz w:val="18"/>
            <w:szCs w:val="18"/>
          </w:rPr>
          <w:fldChar w:fldCharType="end"/>
        </w:r>
        <w:r>
          <w:rPr>
            <w:rFonts w:ascii="Arial" w:hAnsi="Arial" w:cs="Arial"/>
            <w:sz w:val="18"/>
            <w:szCs w:val="18"/>
          </w:rPr>
          <w:t xml:space="preserve"> de</w:t>
        </w:r>
        <w:r w:rsidRPr="00947BC5">
          <w:rPr>
            <w:rFonts w:ascii="Arial" w:hAnsi="Arial" w:cs="Arial"/>
            <w:sz w:val="18"/>
            <w:szCs w:val="18"/>
          </w:rPr>
          <w:t xml:space="preserve"> </w:t>
        </w:r>
        <w:r w:rsidRPr="00947BC5">
          <w:rPr>
            <w:rFonts w:ascii="Arial" w:hAnsi="Arial" w:cs="Arial"/>
            <w:b/>
            <w:bCs/>
            <w:sz w:val="18"/>
            <w:szCs w:val="18"/>
          </w:rPr>
          <w:fldChar w:fldCharType="begin"/>
        </w:r>
        <w:r w:rsidRPr="00947BC5">
          <w:rPr>
            <w:rFonts w:ascii="Arial" w:hAnsi="Arial" w:cs="Arial"/>
            <w:b/>
            <w:bCs/>
            <w:sz w:val="18"/>
            <w:szCs w:val="18"/>
          </w:rPr>
          <w:instrText xml:space="preserve"> NUMPAGES  </w:instrText>
        </w:r>
        <w:r w:rsidRPr="00947BC5">
          <w:rPr>
            <w:rFonts w:ascii="Arial" w:hAnsi="Arial" w:cs="Arial"/>
            <w:b/>
            <w:bCs/>
            <w:sz w:val="18"/>
            <w:szCs w:val="18"/>
          </w:rPr>
          <w:fldChar w:fldCharType="separate"/>
        </w:r>
        <w:r>
          <w:rPr>
            <w:rFonts w:ascii="Arial" w:hAnsi="Arial" w:cs="Arial"/>
            <w:b/>
            <w:bCs/>
            <w:noProof/>
            <w:sz w:val="18"/>
            <w:szCs w:val="18"/>
          </w:rPr>
          <w:t>1</w:t>
        </w:r>
        <w:r w:rsidRPr="00947BC5">
          <w:rPr>
            <w:rFonts w:ascii="Arial" w:hAnsi="Arial" w:cs="Arial"/>
            <w:b/>
            <w:bCs/>
            <w:sz w:val="18"/>
            <w:szCs w:val="18"/>
          </w:rPr>
          <w:fldChar w:fldCharType="end"/>
        </w:r>
      </w:sdtContent>
    </w:sdt>
  </w:p>
  <w:p w:rsidR="00947BC5" w:rsidRDefault="0094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B4991"/>
    <w:multiLevelType w:val="multilevel"/>
    <w:tmpl w:val="A4F4C8E6"/>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C5"/>
    <w:rsid w:val="001B2AD2"/>
    <w:rsid w:val="00383896"/>
    <w:rsid w:val="00490B2C"/>
    <w:rsid w:val="00947BC5"/>
    <w:rsid w:val="00E6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B887"/>
  <w15:chartTrackingRefBased/>
  <w15:docId w15:val="{06CD1FDD-A8B5-4A05-8188-C5AC6434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BC5"/>
    <w:pPr>
      <w:spacing w:after="0" w:line="240" w:lineRule="auto"/>
    </w:pPr>
    <w:rPr>
      <w:rFonts w:ascii="Times New Roman" w:eastAsia="Times New Roman" w:hAnsi="Times New Roman"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947BC5"/>
    <w:pPr>
      <w:keepNext/>
      <w:numPr>
        <w:numId w:val="1"/>
      </w:numPr>
      <w:tabs>
        <w:tab w:val="clear" w:pos="1800"/>
        <w:tab w:val="num" w:pos="648"/>
        <w:tab w:val="left" w:pos="1440"/>
      </w:tabs>
      <w:spacing w:before="240" w:after="240"/>
      <w:ind w:left="0"/>
      <w:jc w:val="center"/>
    </w:pPr>
    <w:rPr>
      <w:b/>
      <w:smallCaps/>
      <w:lang w:val="es-ES"/>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Texto"/>
    <w:basedOn w:val="Normal"/>
    <w:link w:val="FootnoteTextChar"/>
    <w:uiPriority w:val="99"/>
    <w:rsid w:val="00947BC5"/>
    <w:pPr>
      <w:keepNext/>
      <w:keepLines/>
      <w:spacing w:after="120"/>
      <w:ind w:left="288" w:hanging="288"/>
      <w:jc w:val="both"/>
    </w:pPr>
    <w:rPr>
      <w:spacing w:val="-3"/>
      <w:sz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947BC5"/>
    <w:rPr>
      <w:rFonts w:ascii="Times New Roman" w:eastAsia="Times New Roman" w:hAnsi="Times New Roman" w:cs="Times New Roman"/>
      <w:spacing w:val="-3"/>
      <w:sz w:val="20"/>
      <w:szCs w:val="20"/>
      <w:lang w:val="es-ES_tradnl"/>
    </w:rPr>
  </w:style>
  <w:style w:type="paragraph" w:customStyle="1" w:styleId="Paragraph">
    <w:name w:val="Paragraph"/>
    <w:aliases w:val="paragraph,p,PARAGRAPH,PG,pa,at"/>
    <w:basedOn w:val="BodyTextIndent"/>
    <w:link w:val="ParagraphChar"/>
    <w:qFormat/>
    <w:rsid w:val="00947BC5"/>
    <w:pPr>
      <w:numPr>
        <w:ilvl w:val="1"/>
        <w:numId w:val="1"/>
      </w:numPr>
      <w:tabs>
        <w:tab w:val="clear" w:pos="2448"/>
        <w:tab w:val="num" w:pos="720"/>
      </w:tabs>
      <w:spacing w:before="120"/>
      <w:ind w:left="720" w:hanging="720"/>
      <w:jc w:val="both"/>
      <w:outlineLvl w:val="1"/>
    </w:pPr>
    <w:rPr>
      <w:lang w:val="es-ES"/>
    </w:rPr>
  </w:style>
  <w:style w:type="paragraph" w:customStyle="1" w:styleId="subpar">
    <w:name w:val="subpar"/>
    <w:basedOn w:val="BodyTextIndent3"/>
    <w:rsid w:val="00947BC5"/>
    <w:pPr>
      <w:numPr>
        <w:ilvl w:val="2"/>
        <w:numId w:val="1"/>
      </w:numPr>
      <w:tabs>
        <w:tab w:val="clear" w:pos="2304"/>
        <w:tab w:val="num" w:pos="360"/>
        <w:tab w:val="num" w:pos="1152"/>
      </w:tabs>
      <w:spacing w:before="120"/>
      <w:ind w:left="1152" w:firstLine="0"/>
      <w:jc w:val="both"/>
      <w:outlineLvl w:val="2"/>
    </w:pPr>
    <w:rPr>
      <w:sz w:val="24"/>
      <w:szCs w:val="20"/>
    </w:rPr>
  </w:style>
  <w:style w:type="paragraph" w:customStyle="1" w:styleId="SubSubPar">
    <w:name w:val="SubSubPar"/>
    <w:basedOn w:val="subpar"/>
    <w:rsid w:val="00947BC5"/>
    <w:pPr>
      <w:numPr>
        <w:ilvl w:val="3"/>
      </w:numPr>
      <w:tabs>
        <w:tab w:val="clear" w:pos="2736"/>
        <w:tab w:val="left" w:pos="0"/>
        <w:tab w:val="num" w:pos="360"/>
        <w:tab w:val="num" w:pos="1296"/>
      </w:tabs>
      <w:ind w:left="1296"/>
    </w:pPr>
  </w:style>
  <w:style w:type="character" w:styleId="FootnoteReference">
    <w:name w:val="footnote reference"/>
    <w:aliases w:val="titulo 2,Style 24,pie pddes,referencia nota al pie,Fußnotenzeichen DISS,16 Point,Superscript 6 Point,ftref,FC,Ref,de nota al pie,Footnote Reference.SES,Footnote Referencefra,BVI fnr,Знак сноски 1,Ref. de nota al pie.,fr,SUPERS,Style "/>
    <w:basedOn w:val="DefaultParagraphFont"/>
    <w:uiPriority w:val="99"/>
    <w:qFormat/>
    <w:rsid w:val="00947BC5"/>
    <w:rPr>
      <w:vertAlign w:val="superscript"/>
    </w:rPr>
  </w:style>
  <w:style w:type="table" w:styleId="TableGrid">
    <w:name w:val="Table Grid"/>
    <w:basedOn w:val="TableNormal"/>
    <w:uiPriority w:val="59"/>
    <w:rsid w:val="0094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link w:val="Paragraph"/>
    <w:locked/>
    <w:rsid w:val="00947BC5"/>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947BC5"/>
    <w:pPr>
      <w:spacing w:after="120"/>
      <w:ind w:left="360"/>
    </w:pPr>
  </w:style>
  <w:style w:type="character" w:customStyle="1" w:styleId="BodyTextIndentChar">
    <w:name w:val="Body Text Indent Char"/>
    <w:basedOn w:val="DefaultParagraphFont"/>
    <w:link w:val="BodyTextIndent"/>
    <w:uiPriority w:val="99"/>
    <w:semiHidden/>
    <w:rsid w:val="00947BC5"/>
    <w:rPr>
      <w:rFonts w:ascii="Times New Roman" w:eastAsia="Times New Roman" w:hAnsi="Times New Roman" w:cs="Times New Roman"/>
      <w:sz w:val="24"/>
      <w:szCs w:val="20"/>
      <w:lang w:val="es-ES_tradnl"/>
    </w:rPr>
  </w:style>
  <w:style w:type="paragraph" w:styleId="BodyTextIndent3">
    <w:name w:val="Body Text Indent 3"/>
    <w:basedOn w:val="Normal"/>
    <w:link w:val="BodyTextIndent3Char"/>
    <w:uiPriority w:val="99"/>
    <w:semiHidden/>
    <w:unhideWhenUsed/>
    <w:rsid w:val="00947B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47BC5"/>
    <w:rPr>
      <w:rFonts w:ascii="Times New Roman" w:eastAsia="Times New Roman" w:hAnsi="Times New Roman" w:cs="Times New Roman"/>
      <w:sz w:val="16"/>
      <w:szCs w:val="16"/>
      <w:lang w:val="es-ES_tradnl"/>
    </w:rPr>
  </w:style>
  <w:style w:type="paragraph" w:styleId="Header">
    <w:name w:val="header"/>
    <w:basedOn w:val="Normal"/>
    <w:link w:val="HeaderChar"/>
    <w:uiPriority w:val="99"/>
    <w:unhideWhenUsed/>
    <w:rsid w:val="00947BC5"/>
    <w:pPr>
      <w:tabs>
        <w:tab w:val="center" w:pos="4680"/>
        <w:tab w:val="right" w:pos="9360"/>
      </w:tabs>
    </w:pPr>
  </w:style>
  <w:style w:type="character" w:customStyle="1" w:styleId="HeaderChar">
    <w:name w:val="Header Char"/>
    <w:basedOn w:val="DefaultParagraphFont"/>
    <w:link w:val="Header"/>
    <w:uiPriority w:val="99"/>
    <w:rsid w:val="00947BC5"/>
    <w:rPr>
      <w:rFonts w:ascii="Times New Roman" w:eastAsia="Times New Roman" w:hAnsi="Times New Roman" w:cs="Times New Roman"/>
      <w:sz w:val="24"/>
      <w:szCs w:val="20"/>
      <w:lang w:val="es-ES_tradnl"/>
    </w:rPr>
  </w:style>
  <w:style w:type="paragraph" w:styleId="Footer">
    <w:name w:val="footer"/>
    <w:basedOn w:val="Normal"/>
    <w:link w:val="FooterChar"/>
    <w:uiPriority w:val="99"/>
    <w:unhideWhenUsed/>
    <w:rsid w:val="00947BC5"/>
    <w:pPr>
      <w:tabs>
        <w:tab w:val="center" w:pos="4680"/>
        <w:tab w:val="right" w:pos="9360"/>
      </w:tabs>
    </w:pPr>
  </w:style>
  <w:style w:type="character" w:customStyle="1" w:styleId="FooterChar">
    <w:name w:val="Footer Char"/>
    <w:basedOn w:val="DefaultParagraphFont"/>
    <w:link w:val="Footer"/>
    <w:uiPriority w:val="99"/>
    <w:rsid w:val="00947BC5"/>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785AB60407186243895F6A726C2E306A" ma:contentTypeVersion="22" ma:contentTypeDescription="A content type to manage public (operations) IDB documents" ma:contentTypeScope="" ma:versionID="0bde1456fe3ab91dfb38c0a6f990eeb4">
  <xsd:schema xmlns:xsd="http://www.w3.org/2001/XMLSchema" xmlns:xs="http://www.w3.org/2001/XMLSchema" xmlns:p="http://schemas.microsoft.com/office/2006/metadata/properties" xmlns:ns2="cdc7663a-08f0-4737-9e8c-148ce897a09c" targetNamespace="http://schemas.microsoft.com/office/2006/metadata/properties" ma:root="true" ma:fieldsID="bcea056ba81274f896f5e7327bdd1ee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Uruguay</TermName>
          <TermId xmlns="http://schemas.microsoft.com/office/infopath/2007/PartnerControls">5d9b6fdd-d595-4446-a0eb-c14b465f6d0e</TermId>
        </TermInfo>
      </Terms>
    </ic46d7e087fd4a108fb86518ca413cc6>
    <IDBDocs_x0020_Number xmlns="cdc7663a-08f0-4737-9e8c-148ce897a09c" xsi:nil="true"/>
    <Division_x0020_or_x0020_Unit xmlns="cdc7663a-08f0-4737-9e8c-148ce897a09c">IFD/ICS</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Gonzalez, Melissa Maria Laura</Other_x0020_Author>
    <Migration_x0020_Info xmlns="cdc7663a-08f0-4737-9e8c-148ce897a09c" xsi:nil="true"/>
    <Approval_x0020_Number xmlns="cdc7663a-08f0-4737-9e8c-148ce897a09c" xsi:nil="true"/>
    <Phase xmlns="cdc7663a-08f0-4737-9e8c-148ce897a09c" xsi:nil="true"/>
    <Document_x0020_Author xmlns="cdc7663a-08f0-4737-9e8c-148ce897a09c">Fernandez, Roberto</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E-GOVERNMENT</TermName>
          <TermId xmlns="http://schemas.microsoft.com/office/infopath/2007/PartnerControls">281505e9-fdf9-47b0-b36a-d5df63f0fdea</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41</Value>
      <Value>40</Value>
      <Value>32</Value>
      <Value>30</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UR-L1143</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R0001217637</Record_x0020_Number>
    <_dlc_DocId xmlns="cdc7663a-08f0-4737-9e8c-148ce897a09c">EZSHARE-775961652-41</_dlc_DocId>
    <_dlc_DocIdUrl xmlns="cdc7663a-08f0-4737-9e8c-148ce897a09c">
      <Url>https://idbg.sharepoint.com/teams/EZ-UR-LON/UR-L1143/_layouts/15/DocIdRedir.aspx?ID=EZSHARE-775961652-41</Url>
      <Description>EZSHARE-775961652-41</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80D96F64-73B8-4761-8B73-20020C40225D}"/>
</file>

<file path=customXml/itemProps2.xml><?xml version="1.0" encoding="utf-8"?>
<ds:datastoreItem xmlns:ds="http://schemas.openxmlformats.org/officeDocument/2006/customXml" ds:itemID="{D17DD021-4B72-4802-B167-CCFDE6979CFD}"/>
</file>

<file path=customXml/itemProps3.xml><?xml version="1.0" encoding="utf-8"?>
<ds:datastoreItem xmlns:ds="http://schemas.openxmlformats.org/officeDocument/2006/customXml" ds:itemID="{661AA3E6-9A01-493A-8328-E899B139CF9D}"/>
</file>

<file path=customXml/itemProps4.xml><?xml version="1.0" encoding="utf-8"?>
<ds:datastoreItem xmlns:ds="http://schemas.openxmlformats.org/officeDocument/2006/customXml" ds:itemID="{4B64D20D-9BE0-41C0-B565-D95A58805B4F}"/>
</file>

<file path=customXml/itemProps5.xml><?xml version="1.0" encoding="utf-8"?>
<ds:datastoreItem xmlns:ds="http://schemas.openxmlformats.org/officeDocument/2006/customXml" ds:itemID="{CC2FF4D4-A65A-46F8-A11D-F5D5D74FA793}"/>
</file>

<file path=customXml/itemProps6.xml><?xml version="1.0" encoding="utf-8"?>
<ds:datastoreItem xmlns:ds="http://schemas.openxmlformats.org/officeDocument/2006/customXml" ds:itemID="{976BB852-BA5D-427F-B6EA-ACE3E4FEF2F3}"/>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Melissa Maria Laura</dc:creator>
  <cp:keywords/>
  <dc:description/>
  <cp:lastModifiedBy>Gonzalez, Melissa Maria Laura</cp:lastModifiedBy>
  <cp:revision>1</cp:revision>
  <dcterms:created xsi:type="dcterms:W3CDTF">2017-08-21T17:37:00Z</dcterms:created>
  <dcterms:modified xsi:type="dcterms:W3CDTF">2017-08-21T17:39:00Z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41;#E-GOVERNMENT|281505e9-fdf9-47b0-b36a-d5df63f0fdea</vt:lpwstr>
  </property>
  <property fmtid="{D5CDD505-2E9C-101B-9397-08002B2CF9AE}" pid="7" name="Fund IDB">
    <vt:lpwstr>30;#ORC|c028a4b2-ad8b-4cf4-9cac-a2ae6a778e23</vt:lpwstr>
  </property>
  <property fmtid="{D5CDD505-2E9C-101B-9397-08002B2CF9AE}" pid="8" name="Country">
    <vt:lpwstr>32;#Uruguay|5d9b6fdd-d595-4446-a0eb-c14b465f6d0e</vt:lpwstr>
  </property>
  <property fmtid="{D5CDD505-2E9C-101B-9397-08002B2CF9AE}" pid="9" name="Sector IDB">
    <vt:lpwstr>40;#REFORM / MODERNIZATION OF THE STATE|c8fda4a7-691a-4c65-b227-9825197b5cd2</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03aa7312-2820-4158-8cdb-25db8dbf9d5d</vt:lpwstr>
  </property>
  <property fmtid="{D5CDD505-2E9C-101B-9397-08002B2CF9AE}" pid="12" name="ContentTypeId">
    <vt:lpwstr>0x0101001A458A224826124E8B45B1D613300CFC00785AB60407186243895F6A726C2E306A</vt:lpwstr>
  </property>
</Properties>
</file>