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89" w:rsidRPr="008F15C9" w:rsidRDefault="00406D89" w:rsidP="00406D89">
      <w:pPr>
        <w:spacing w:after="0"/>
        <w:jc w:val="center"/>
        <w:rPr>
          <w:b/>
          <w:sz w:val="24"/>
          <w:szCs w:val="24"/>
          <w:lang w:val="es-ES"/>
        </w:rPr>
      </w:pPr>
      <w:r w:rsidRPr="008F15C9">
        <w:rPr>
          <w:b/>
          <w:sz w:val="24"/>
          <w:szCs w:val="24"/>
          <w:lang w:val="es-ES"/>
        </w:rPr>
        <w:t>Apoyo al Avance del Cambio de la Matriz Energética del Ecuador</w:t>
      </w:r>
    </w:p>
    <w:p w:rsidR="00931135" w:rsidRPr="00323A56" w:rsidRDefault="00406D89" w:rsidP="00406D89">
      <w:pPr>
        <w:spacing w:after="0"/>
        <w:jc w:val="center"/>
        <w:rPr>
          <w:b/>
          <w:sz w:val="24"/>
          <w:lang w:val="pt-BR"/>
        </w:rPr>
      </w:pPr>
      <w:r w:rsidRPr="00323A56">
        <w:rPr>
          <w:b/>
          <w:sz w:val="24"/>
          <w:lang w:val="pt-BR"/>
        </w:rPr>
        <w:t>(EC-L1223)</w:t>
      </w:r>
    </w:p>
    <w:p w:rsidR="00406D89" w:rsidRPr="00323A56" w:rsidRDefault="00406D89" w:rsidP="00406D89">
      <w:pPr>
        <w:spacing w:after="0"/>
        <w:jc w:val="center"/>
        <w:rPr>
          <w:b/>
          <w:lang w:val="pt-BR"/>
        </w:rPr>
      </w:pPr>
      <w:r w:rsidRPr="00323A56">
        <w:rPr>
          <w:b/>
          <w:sz w:val="24"/>
          <w:lang w:val="pt-BR"/>
        </w:rPr>
        <w:t>Anexo de Género</w:t>
      </w:r>
    </w:p>
    <w:p w:rsidR="009C6838" w:rsidRDefault="009C6838" w:rsidP="006A2B43">
      <w:pPr>
        <w:jc w:val="both"/>
        <w:rPr>
          <w:u w:val="single"/>
          <w:lang w:val="pt-BR"/>
        </w:rPr>
      </w:pPr>
    </w:p>
    <w:p w:rsidR="009A5BE4" w:rsidRPr="00406D89" w:rsidRDefault="003D27DD" w:rsidP="006A2B43">
      <w:pPr>
        <w:jc w:val="both"/>
        <w:rPr>
          <w:u w:val="single"/>
          <w:lang w:val="pt-BR"/>
        </w:rPr>
      </w:pPr>
      <w:r w:rsidRPr="00406D89">
        <w:rPr>
          <w:u w:val="single"/>
          <w:lang w:val="pt-BR"/>
        </w:rPr>
        <w:t>Contexto de género</w:t>
      </w:r>
    </w:p>
    <w:p w:rsidR="00B54308" w:rsidRDefault="00AE16F7" w:rsidP="00426AAA">
      <w:pPr>
        <w:jc w:val="both"/>
        <w:rPr>
          <w:lang w:val="es-ES"/>
        </w:rPr>
      </w:pPr>
      <w:bookmarkStart w:id="0" w:name="_Hlk486256749"/>
      <w:r>
        <w:rPr>
          <w:lang w:val="es-ES"/>
        </w:rPr>
        <w:t xml:space="preserve">Desde hace algunos años, </w:t>
      </w:r>
      <w:r w:rsidR="000056DF">
        <w:rPr>
          <w:lang w:val="es-ES"/>
        </w:rPr>
        <w:t>Ecuador</w:t>
      </w:r>
      <w:r w:rsidR="00F70BF5">
        <w:rPr>
          <w:lang w:val="es-ES"/>
        </w:rPr>
        <w:t xml:space="preserve"> ha tenido progresos</w:t>
      </w:r>
      <w:r w:rsidR="000056DF">
        <w:rPr>
          <w:lang w:val="es-ES"/>
        </w:rPr>
        <w:t xml:space="preserve"> en materia de igual</w:t>
      </w:r>
      <w:r w:rsidR="00A51EE8">
        <w:rPr>
          <w:lang w:val="es-ES"/>
        </w:rPr>
        <w:t>dad</w:t>
      </w:r>
      <w:r w:rsidR="000056DF">
        <w:rPr>
          <w:lang w:val="es-ES"/>
        </w:rPr>
        <w:t xml:space="preserve"> de </w:t>
      </w:r>
      <w:r>
        <w:rPr>
          <w:lang w:val="es-ES"/>
        </w:rPr>
        <w:t>género. Por ejemplo, la brecha de género en términos de alfabetización, así como de matriculación en educación primaria y secundaria es prácticamente inexistente</w:t>
      </w:r>
      <w:r w:rsidR="000C6014">
        <w:rPr>
          <w:rStyle w:val="FootnoteReference"/>
          <w:lang w:val="es-ES"/>
        </w:rPr>
        <w:footnoteReference w:id="2"/>
      </w:r>
      <w:r>
        <w:rPr>
          <w:lang w:val="es-ES"/>
        </w:rPr>
        <w:t xml:space="preserve">. </w:t>
      </w:r>
      <w:r w:rsidR="000C6014">
        <w:rPr>
          <w:lang w:val="es-ES"/>
        </w:rPr>
        <w:t xml:space="preserve">Sin embargo, todavía persisten </w:t>
      </w:r>
      <w:r w:rsidR="006A2B43">
        <w:rPr>
          <w:lang w:val="es-ES"/>
        </w:rPr>
        <w:t xml:space="preserve">algunas </w:t>
      </w:r>
      <w:r w:rsidR="000C6014">
        <w:rPr>
          <w:lang w:val="es-ES"/>
        </w:rPr>
        <w:t xml:space="preserve">brechas de género </w:t>
      </w:r>
      <w:r w:rsidR="006A2B43">
        <w:rPr>
          <w:lang w:val="es-ES"/>
        </w:rPr>
        <w:t xml:space="preserve">importantes, particularmente en relación a la </w:t>
      </w:r>
      <w:r w:rsidR="00277867">
        <w:rPr>
          <w:lang w:val="es-ES"/>
        </w:rPr>
        <w:t>re</w:t>
      </w:r>
      <w:r w:rsidR="006A2B43">
        <w:rPr>
          <w:lang w:val="es-ES"/>
        </w:rPr>
        <w:t>partición</w:t>
      </w:r>
      <w:r w:rsidR="00B54308">
        <w:rPr>
          <w:lang w:val="es-ES"/>
        </w:rPr>
        <w:t xml:space="preserve"> de labores</w:t>
      </w:r>
      <w:r w:rsidR="006A2B43">
        <w:rPr>
          <w:lang w:val="es-ES"/>
        </w:rPr>
        <w:t xml:space="preserve"> y oportunidades económicas para las mujeres. Por ejemplo, la tasa de participación femenina es de 52% comparada con un 82% de la de los hombres</w:t>
      </w:r>
      <w:r w:rsidR="00B54308">
        <w:rPr>
          <w:lang w:val="es-ES"/>
        </w:rPr>
        <w:t>. Al mismo tiempo,</w:t>
      </w:r>
      <w:r w:rsidR="006A2B43">
        <w:rPr>
          <w:lang w:val="es-ES"/>
        </w:rPr>
        <w:t xml:space="preserve"> las mujeres ganan, en promedio, 59</w:t>
      </w:r>
      <w:r w:rsidR="006A2B43" w:rsidRPr="006A2B43">
        <w:rPr>
          <w:lang w:val="es-ES"/>
        </w:rPr>
        <w:t>% del salario de los hombres</w:t>
      </w:r>
      <w:r w:rsidR="006A2B43">
        <w:rPr>
          <w:lang w:val="es-ES"/>
        </w:rPr>
        <w:t xml:space="preserve"> y solo </w:t>
      </w:r>
      <w:r w:rsidR="00B54308">
        <w:rPr>
          <w:lang w:val="es-ES"/>
        </w:rPr>
        <w:t xml:space="preserve">ocupan el </w:t>
      </w:r>
      <w:r w:rsidR="006A2B43">
        <w:rPr>
          <w:lang w:val="es-ES"/>
        </w:rPr>
        <w:t xml:space="preserve">31% </w:t>
      </w:r>
      <w:r w:rsidR="006A2B43" w:rsidRPr="006A2B43">
        <w:rPr>
          <w:lang w:val="es-ES"/>
        </w:rPr>
        <w:t xml:space="preserve">de los </w:t>
      </w:r>
      <w:r w:rsidR="00B54308">
        <w:rPr>
          <w:lang w:val="es-ES"/>
        </w:rPr>
        <w:t xml:space="preserve">cargos de </w:t>
      </w:r>
      <w:r w:rsidR="006A2B43" w:rsidRPr="006A2B43">
        <w:rPr>
          <w:lang w:val="es-ES"/>
        </w:rPr>
        <w:t>altos funcionarios y geren</w:t>
      </w:r>
      <w:r w:rsidR="00B54308">
        <w:rPr>
          <w:lang w:val="es-ES"/>
        </w:rPr>
        <w:t>cias</w:t>
      </w:r>
      <w:r w:rsidR="006A2B43" w:rsidRPr="006A2B43">
        <w:rPr>
          <w:vertAlign w:val="superscript"/>
          <w:lang w:val="es-ES"/>
        </w:rPr>
        <w:footnoteReference w:id="3"/>
      </w:r>
      <w:r w:rsidR="006A2B43" w:rsidRPr="006A2B43">
        <w:rPr>
          <w:lang w:val="es-ES"/>
        </w:rPr>
        <w:t>.</w:t>
      </w:r>
      <w:r w:rsidR="006A2B43">
        <w:rPr>
          <w:lang w:val="es-ES"/>
        </w:rPr>
        <w:t xml:space="preserve"> </w:t>
      </w:r>
    </w:p>
    <w:p w:rsidR="00D965ED" w:rsidRDefault="005372F8" w:rsidP="00426AAA">
      <w:pPr>
        <w:jc w:val="both"/>
        <w:rPr>
          <w:lang w:val="es-ES"/>
        </w:rPr>
      </w:pPr>
      <w:r>
        <w:rPr>
          <w:lang w:val="es-ES"/>
        </w:rPr>
        <w:t>Las mujeres le dedican un 40.4% de su tiempo a trabajo no remunerado, comparado con solo un 13.9% de los hombres</w:t>
      </w:r>
      <w:r>
        <w:rPr>
          <w:rStyle w:val="FootnoteReference"/>
          <w:lang w:val="es-ES"/>
        </w:rPr>
        <w:footnoteReference w:id="4"/>
      </w:r>
      <w:r>
        <w:rPr>
          <w:lang w:val="es-ES"/>
        </w:rPr>
        <w:t xml:space="preserve">. </w:t>
      </w:r>
      <w:r w:rsidR="00D210DD">
        <w:rPr>
          <w:lang w:val="es-ES"/>
        </w:rPr>
        <w:t xml:space="preserve">Adicionalmente, un 52.6% de las mujeres </w:t>
      </w:r>
      <w:r w:rsidR="00B54308">
        <w:rPr>
          <w:lang w:val="es-ES"/>
        </w:rPr>
        <w:t>están</w:t>
      </w:r>
      <w:r w:rsidR="00D210DD">
        <w:rPr>
          <w:lang w:val="es-ES"/>
        </w:rPr>
        <w:t xml:space="preserve"> subemple</w:t>
      </w:r>
      <w:r w:rsidR="00B54308">
        <w:rPr>
          <w:lang w:val="es-ES"/>
        </w:rPr>
        <w:t>adas</w:t>
      </w:r>
      <w:r w:rsidR="00D210DD">
        <w:rPr>
          <w:lang w:val="es-ES"/>
        </w:rPr>
        <w:t xml:space="preserve"> comparado con un 40.8% de los hombres</w:t>
      </w:r>
      <w:r w:rsidR="00D210DD">
        <w:rPr>
          <w:rStyle w:val="FootnoteReference"/>
          <w:lang w:val="es-ES"/>
        </w:rPr>
        <w:footnoteReference w:id="5"/>
      </w:r>
      <w:r w:rsidR="00D210DD">
        <w:rPr>
          <w:lang w:val="es-ES"/>
        </w:rPr>
        <w:t>. A esto se suma que</w:t>
      </w:r>
      <w:r w:rsidR="006A2B43">
        <w:rPr>
          <w:lang w:val="es-ES"/>
        </w:rPr>
        <w:t xml:space="preserve"> las mujeres </w:t>
      </w:r>
      <w:r w:rsidR="00B54308">
        <w:rPr>
          <w:lang w:val="es-ES"/>
        </w:rPr>
        <w:t xml:space="preserve">trabajan principalmente </w:t>
      </w:r>
      <w:r w:rsidR="006A2B43">
        <w:rPr>
          <w:lang w:val="es-ES"/>
        </w:rPr>
        <w:t xml:space="preserve">en sectores económicos </w:t>
      </w:r>
      <w:r w:rsidR="002353EB">
        <w:rPr>
          <w:lang w:val="es-ES"/>
        </w:rPr>
        <w:t>de baja productividad</w:t>
      </w:r>
      <w:r w:rsidR="00F70BF5">
        <w:rPr>
          <w:lang w:val="es-ES"/>
        </w:rPr>
        <w:t xml:space="preserve"> </w:t>
      </w:r>
      <w:r w:rsidR="006A2B43">
        <w:rPr>
          <w:lang w:val="es-ES"/>
        </w:rPr>
        <w:t>tal como</w:t>
      </w:r>
      <w:r w:rsidR="00B54308">
        <w:rPr>
          <w:lang w:val="es-ES"/>
        </w:rPr>
        <w:t xml:space="preserve"> el</w:t>
      </w:r>
      <w:r w:rsidR="006A2B43">
        <w:rPr>
          <w:lang w:val="es-ES"/>
        </w:rPr>
        <w:t xml:space="preserve"> co</w:t>
      </w:r>
      <w:r w:rsidR="002353EB">
        <w:rPr>
          <w:lang w:val="es-ES"/>
        </w:rPr>
        <w:t>mercio, servicios y agricultura</w:t>
      </w:r>
      <w:r w:rsidR="00B54308">
        <w:rPr>
          <w:lang w:val="es-ES"/>
        </w:rPr>
        <w:t xml:space="preserve">, </w:t>
      </w:r>
      <w:r w:rsidR="00F70BF5">
        <w:rPr>
          <w:lang w:val="es-ES"/>
        </w:rPr>
        <w:t>81% de la población femenina está ocupada en estos sectores versus 53% de hombres</w:t>
      </w:r>
      <w:r w:rsidR="00B54308">
        <w:rPr>
          <w:lang w:val="es-ES"/>
        </w:rPr>
        <w:t>,</w:t>
      </w:r>
      <w:r w:rsidR="006A2B43">
        <w:rPr>
          <w:lang w:val="es-ES"/>
        </w:rPr>
        <w:t xml:space="preserve"> y están prácticamente ausentes de los sectores de alta productividad </w:t>
      </w:r>
      <w:r w:rsidR="002353EB">
        <w:rPr>
          <w:lang w:val="es-ES"/>
        </w:rPr>
        <w:t>tal como electricidad, gas y minería</w:t>
      </w:r>
      <w:r w:rsidR="00F70BF5">
        <w:rPr>
          <w:lang w:val="es-ES"/>
        </w:rPr>
        <w:t xml:space="preserve"> (5.8% versus 8%)</w:t>
      </w:r>
      <w:r w:rsidR="00A67ABE">
        <w:rPr>
          <w:rStyle w:val="FootnoteReference"/>
          <w:lang w:val="es-ES"/>
        </w:rPr>
        <w:footnoteReference w:id="6"/>
      </w:r>
      <w:r w:rsidR="002353EB">
        <w:rPr>
          <w:lang w:val="es-ES"/>
        </w:rPr>
        <w:t xml:space="preserve">. </w:t>
      </w:r>
    </w:p>
    <w:p w:rsidR="006642D0" w:rsidRDefault="00B54308" w:rsidP="00426AAA">
      <w:pPr>
        <w:jc w:val="both"/>
        <w:rPr>
          <w:lang w:val="es-ES_tradnl"/>
        </w:rPr>
      </w:pPr>
      <w:r>
        <w:rPr>
          <w:lang w:val="es-ES"/>
        </w:rPr>
        <w:t>S</w:t>
      </w:r>
      <w:r w:rsidR="00C35CA5" w:rsidRPr="00D965ED">
        <w:rPr>
          <w:lang w:val="es-ES"/>
        </w:rPr>
        <w:t>egún</w:t>
      </w:r>
      <w:r w:rsidR="00D965ED" w:rsidRPr="00D965ED">
        <w:rPr>
          <w:lang w:val="es-ES"/>
        </w:rPr>
        <w:t xml:space="preserve"> </w:t>
      </w:r>
      <w:r w:rsidR="00A61F7F">
        <w:rPr>
          <w:lang w:val="es-ES"/>
        </w:rPr>
        <w:t>el</w:t>
      </w:r>
      <w:r w:rsidR="00D965ED" w:rsidRPr="00D965ED">
        <w:rPr>
          <w:lang w:val="es-ES"/>
        </w:rPr>
        <w:t xml:space="preserve"> </w:t>
      </w:r>
      <w:r w:rsidR="00D965ED">
        <w:rPr>
          <w:lang w:val="es-ES"/>
        </w:rPr>
        <w:t>e</w:t>
      </w:r>
      <w:r w:rsidR="00D965ED" w:rsidRPr="00D965ED">
        <w:rPr>
          <w:lang w:val="es-ES"/>
        </w:rPr>
        <w:t>studio de Ernst and Young</w:t>
      </w:r>
      <w:r w:rsidR="00A61F7F">
        <w:rPr>
          <w:lang w:val="es-ES"/>
        </w:rPr>
        <w:t xml:space="preserve"> sobre las mujeres en el sector energético y empresas </w:t>
      </w:r>
      <w:r w:rsidR="00323A56">
        <w:rPr>
          <w:lang w:val="es-ES"/>
        </w:rPr>
        <w:t>eléctricas</w:t>
      </w:r>
      <w:r w:rsidR="00D965ED" w:rsidRPr="00D965ED">
        <w:rPr>
          <w:lang w:val="es-ES"/>
        </w:rPr>
        <w:t>,</w:t>
      </w:r>
      <w:r w:rsidR="00C35CA5">
        <w:rPr>
          <w:lang w:val="es-ES"/>
        </w:rPr>
        <w:t xml:space="preserve"> en </w:t>
      </w:r>
      <w:r w:rsidR="00A61F7F">
        <w:rPr>
          <w:lang w:val="es-ES"/>
        </w:rPr>
        <w:t xml:space="preserve">el año </w:t>
      </w:r>
      <w:r w:rsidR="00C35CA5">
        <w:rPr>
          <w:lang w:val="es-ES"/>
        </w:rPr>
        <w:t xml:space="preserve">2016 </w:t>
      </w:r>
      <w:r w:rsidR="00D965ED" w:rsidRPr="00D965ED">
        <w:rPr>
          <w:lang w:val="es-ES"/>
        </w:rPr>
        <w:t>las mujeres representa</w:t>
      </w:r>
      <w:r w:rsidR="00A61F7F">
        <w:rPr>
          <w:lang w:val="es-ES"/>
        </w:rPr>
        <w:t>ban el</w:t>
      </w:r>
      <w:r w:rsidR="00D965ED" w:rsidRPr="00D965ED">
        <w:rPr>
          <w:lang w:val="es-ES"/>
        </w:rPr>
        <w:t xml:space="preserve"> 5% de los miembros de directores ejecutivos, 19% de los miembros </w:t>
      </w:r>
      <w:r w:rsidR="00D965ED">
        <w:rPr>
          <w:lang w:val="es-ES"/>
        </w:rPr>
        <w:t xml:space="preserve">directores no ejecutivos y </w:t>
      </w:r>
      <w:r w:rsidR="00D965ED" w:rsidRPr="00D965ED">
        <w:rPr>
          <w:lang w:val="es-ES"/>
        </w:rPr>
        <w:t xml:space="preserve">14% </w:t>
      </w:r>
      <w:r w:rsidR="00C35CA5">
        <w:rPr>
          <w:lang w:val="es-ES"/>
        </w:rPr>
        <w:t xml:space="preserve">de los gerentes de las </w:t>
      </w:r>
      <w:r w:rsidR="005E2CD1">
        <w:rPr>
          <w:lang w:val="es-ES"/>
        </w:rPr>
        <w:t>pri</w:t>
      </w:r>
      <w:r w:rsidR="00A61F7F">
        <w:rPr>
          <w:lang w:val="es-ES"/>
        </w:rPr>
        <w:t xml:space="preserve">ncipales </w:t>
      </w:r>
      <w:r w:rsidR="00D965ED">
        <w:rPr>
          <w:lang w:val="es-ES"/>
        </w:rPr>
        <w:t>200</w:t>
      </w:r>
      <w:r w:rsidR="00C35CA5">
        <w:rPr>
          <w:lang w:val="es-ES"/>
        </w:rPr>
        <w:t xml:space="preserve"> compañías de </w:t>
      </w:r>
      <w:r w:rsidR="00812BA9">
        <w:rPr>
          <w:lang w:val="es-ES"/>
        </w:rPr>
        <w:t>electricidad</w:t>
      </w:r>
      <w:r w:rsidR="00C35CA5">
        <w:rPr>
          <w:lang w:val="es-ES"/>
        </w:rPr>
        <w:t xml:space="preserve"> y servicios básicos del mundo</w:t>
      </w:r>
      <w:r w:rsidR="00D965ED" w:rsidRPr="00D965ED">
        <w:rPr>
          <w:vertAlign w:val="superscript"/>
        </w:rPr>
        <w:footnoteReference w:id="7"/>
      </w:r>
      <w:r w:rsidR="00D965ED" w:rsidRPr="00D965ED">
        <w:rPr>
          <w:lang w:val="es-ES"/>
        </w:rPr>
        <w:t xml:space="preserve">. </w:t>
      </w:r>
      <w:r w:rsidR="00C35CA5" w:rsidRPr="00C35CA5">
        <w:rPr>
          <w:lang w:val="es-ES"/>
        </w:rPr>
        <w:t xml:space="preserve">Cuando se realiza este análisis para América Latina y el Caribe (ALC), se </w:t>
      </w:r>
      <w:r w:rsidR="00A61F7F">
        <w:rPr>
          <w:lang w:val="es-ES"/>
        </w:rPr>
        <w:t xml:space="preserve">observa que </w:t>
      </w:r>
      <w:r w:rsidR="00C35CA5" w:rsidRPr="00C35CA5">
        <w:rPr>
          <w:lang w:val="es-ES"/>
        </w:rPr>
        <w:t>la región tiene el porcentaje más alto de directoras ejecutivas</w:t>
      </w:r>
      <w:r w:rsidR="00C35CA5">
        <w:rPr>
          <w:lang w:val="es-ES"/>
        </w:rPr>
        <w:t xml:space="preserve">, pero </w:t>
      </w:r>
      <w:r w:rsidR="00277867">
        <w:rPr>
          <w:lang w:val="es-ES"/>
        </w:rPr>
        <w:t>aun</w:t>
      </w:r>
      <w:r w:rsidR="00C35CA5">
        <w:rPr>
          <w:lang w:val="es-ES"/>
        </w:rPr>
        <w:t xml:space="preserve"> así solo representan 9% del total de los directores. </w:t>
      </w:r>
      <w:r w:rsidR="00C35CA5" w:rsidRPr="00C35CA5">
        <w:rPr>
          <w:lang w:val="es-ES_tradnl"/>
        </w:rPr>
        <w:t>Además, en ALC</w:t>
      </w:r>
      <w:r w:rsidR="00A61F7F">
        <w:rPr>
          <w:lang w:val="es-ES_tradnl"/>
        </w:rPr>
        <w:t xml:space="preserve"> el</w:t>
      </w:r>
      <w:r w:rsidR="00D965ED" w:rsidRPr="00C35CA5">
        <w:rPr>
          <w:lang w:val="es-ES_tradnl"/>
        </w:rPr>
        <w:t xml:space="preserve"> 7% </w:t>
      </w:r>
      <w:r w:rsidR="00C35CA5" w:rsidRPr="00C35CA5">
        <w:rPr>
          <w:lang w:val="es-ES_tradnl"/>
        </w:rPr>
        <w:t xml:space="preserve">de los directores no ejecutivos y 17 de los gerentes son mujeres </w:t>
      </w:r>
      <w:r w:rsidR="00C35CA5">
        <w:rPr>
          <w:lang w:val="es-ES_tradnl"/>
        </w:rPr>
        <w:t>(ver gráfico</w:t>
      </w:r>
      <w:r w:rsidR="00D965ED" w:rsidRPr="00C35CA5">
        <w:rPr>
          <w:lang w:val="es-ES_tradnl"/>
        </w:rPr>
        <w:t xml:space="preserve"> 1). </w:t>
      </w:r>
      <w:r w:rsidR="00C35CA5">
        <w:rPr>
          <w:lang w:val="es-ES_tradnl"/>
        </w:rPr>
        <w:t>En total, las mujeres de la región representan únicamente 19.7% del total de los empleados del sector de “electricidad, gas y agua”</w:t>
      </w:r>
      <w:r w:rsidR="00D965ED" w:rsidRPr="00D965ED">
        <w:rPr>
          <w:vertAlign w:val="superscript"/>
        </w:rPr>
        <w:footnoteReference w:id="8"/>
      </w:r>
      <w:r w:rsidR="00C35CA5" w:rsidRPr="00C35CA5">
        <w:rPr>
          <w:lang w:val="es-ES_tradnl"/>
        </w:rPr>
        <w:t>.</w:t>
      </w:r>
      <w:r w:rsidR="00C35CA5">
        <w:rPr>
          <w:lang w:val="es-ES_tradnl"/>
        </w:rPr>
        <w:t xml:space="preserve"> </w:t>
      </w:r>
    </w:p>
    <w:p w:rsidR="009A5BE4" w:rsidRDefault="00C35CA5" w:rsidP="00426AAA">
      <w:pPr>
        <w:jc w:val="both"/>
        <w:rPr>
          <w:lang w:val="es-ES_tradnl"/>
        </w:rPr>
      </w:pPr>
      <w:r>
        <w:rPr>
          <w:lang w:val="es-ES_tradnl"/>
        </w:rPr>
        <w:t>En Ecuador</w:t>
      </w:r>
      <w:r>
        <w:rPr>
          <w:lang w:val="es-ES"/>
        </w:rPr>
        <w:t xml:space="preserve"> las mujeres representan</w:t>
      </w:r>
      <w:r w:rsidR="00D210DD">
        <w:rPr>
          <w:lang w:val="es-ES"/>
        </w:rPr>
        <w:t xml:space="preserve"> 28% del total de los empleados del sector de “electricidad, gas y agua”</w:t>
      </w:r>
      <w:r w:rsidR="00D210DD">
        <w:rPr>
          <w:rStyle w:val="FootnoteReference"/>
          <w:lang w:val="es-ES"/>
        </w:rPr>
        <w:footnoteReference w:id="9"/>
      </w:r>
      <w:r>
        <w:rPr>
          <w:lang w:val="es-ES"/>
        </w:rPr>
        <w:t>, las mujeres aún son una minoría del sector</w:t>
      </w:r>
      <w:r w:rsidR="00812BA9" w:rsidRPr="00406D89">
        <w:rPr>
          <w:vertAlign w:val="superscript"/>
          <w:lang w:val="es-ES_tradnl"/>
        </w:rPr>
        <w:footnoteReference w:id="10"/>
      </w:r>
      <w:r>
        <w:rPr>
          <w:lang w:val="es-ES"/>
        </w:rPr>
        <w:t>.</w:t>
      </w:r>
      <w:r w:rsidR="00812BA9">
        <w:rPr>
          <w:lang w:val="es-ES"/>
        </w:rPr>
        <w:t xml:space="preserve"> Según datos del M</w:t>
      </w:r>
      <w:r w:rsidR="006642D0">
        <w:rPr>
          <w:lang w:val="es-ES"/>
        </w:rPr>
        <w:t xml:space="preserve">inisterio de </w:t>
      </w:r>
      <w:r w:rsidR="00812BA9">
        <w:rPr>
          <w:lang w:val="es-ES"/>
        </w:rPr>
        <w:t>E</w:t>
      </w:r>
      <w:r w:rsidR="006642D0">
        <w:rPr>
          <w:lang w:val="es-ES"/>
        </w:rPr>
        <w:t xml:space="preserve">lectricidad y Energía </w:t>
      </w:r>
      <w:r w:rsidR="00812BA9">
        <w:rPr>
          <w:lang w:val="es-ES"/>
        </w:rPr>
        <w:t>R</w:t>
      </w:r>
      <w:r w:rsidR="006642D0">
        <w:rPr>
          <w:lang w:val="es-ES"/>
        </w:rPr>
        <w:t>enovable (MEER)</w:t>
      </w:r>
      <w:r w:rsidR="00812BA9">
        <w:rPr>
          <w:lang w:val="es-ES"/>
        </w:rPr>
        <w:t>, las mujeres representan</w:t>
      </w:r>
      <w:r w:rsidR="00406D89">
        <w:rPr>
          <w:lang w:val="es-ES"/>
        </w:rPr>
        <w:t xml:space="preserve"> </w:t>
      </w:r>
      <w:r w:rsidR="00406D89" w:rsidRPr="00406D89">
        <w:rPr>
          <w:lang w:val="es-ES_tradnl"/>
        </w:rPr>
        <w:t>el 29% de los empleados del MEER</w:t>
      </w:r>
      <w:r w:rsidR="00812BA9">
        <w:rPr>
          <w:lang w:val="es-ES_tradnl"/>
        </w:rPr>
        <w:t xml:space="preserve"> y de las 21 compañías de distribución eléctricas públicas</w:t>
      </w:r>
      <w:r w:rsidR="009C6838">
        <w:rPr>
          <w:lang w:val="es-ES_tradnl"/>
        </w:rPr>
        <w:t xml:space="preserve"> (ver tabla 1)</w:t>
      </w:r>
      <w:r w:rsidR="00406D89" w:rsidRPr="00406D89">
        <w:rPr>
          <w:lang w:val="es-ES_tradnl"/>
        </w:rPr>
        <w:t>.</w:t>
      </w:r>
    </w:p>
    <w:p w:rsidR="00812BA9" w:rsidRDefault="00812BA9" w:rsidP="00C35CA5">
      <w:pPr>
        <w:jc w:val="center"/>
        <w:rPr>
          <w:u w:val="single"/>
          <w:lang w:val="es-ES_tradnl"/>
        </w:rPr>
      </w:pPr>
    </w:p>
    <w:p w:rsidR="007C57FC" w:rsidRDefault="007C57FC" w:rsidP="00C35CA5">
      <w:pPr>
        <w:jc w:val="center"/>
        <w:rPr>
          <w:u w:val="single"/>
          <w:lang w:val="es-ES_tradnl"/>
        </w:rPr>
      </w:pPr>
    </w:p>
    <w:p w:rsidR="00C35CA5" w:rsidRPr="00C35CA5" w:rsidRDefault="00C35CA5" w:rsidP="00C35CA5">
      <w:pPr>
        <w:jc w:val="center"/>
        <w:rPr>
          <w:u w:val="single"/>
          <w:lang w:val="es-ES_tradnl"/>
        </w:rPr>
      </w:pPr>
      <w:r w:rsidRPr="00C35CA5">
        <w:rPr>
          <w:u w:val="single"/>
          <w:lang w:val="es-ES_tradnl"/>
        </w:rPr>
        <w:t xml:space="preserve">Grafico 1: Repartición geográfica de mujeres en puestos estratégicos en las </w:t>
      </w:r>
      <w:r w:rsidR="006642D0">
        <w:rPr>
          <w:u w:val="single"/>
          <w:lang w:val="es-ES_tradnl"/>
        </w:rPr>
        <w:t xml:space="preserve">mejores </w:t>
      </w:r>
      <w:r w:rsidRPr="00C35CA5">
        <w:rPr>
          <w:u w:val="single"/>
          <w:lang w:val="es-ES_tradnl"/>
        </w:rPr>
        <w:t>200 compañías</w:t>
      </w:r>
      <w:r w:rsidR="00812BA9">
        <w:rPr>
          <w:u w:val="single"/>
          <w:lang w:val="es-ES_tradnl"/>
        </w:rPr>
        <w:t xml:space="preserve"> de electricidad y servicios básicos</w:t>
      </w:r>
    </w:p>
    <w:bookmarkEnd w:id="0"/>
    <w:p w:rsidR="00342912" w:rsidRDefault="00C35CA5" w:rsidP="009C6838">
      <w:pPr>
        <w:jc w:val="center"/>
        <w:rPr>
          <w:u w:val="single"/>
          <w:lang w:val="es-ES"/>
        </w:rPr>
      </w:pPr>
      <w:r>
        <w:rPr>
          <w:rFonts w:ascii="Arial" w:hAnsi="Arial" w:cs="Arial"/>
          <w:noProof/>
        </w:rPr>
        <w:drawing>
          <wp:inline distT="0" distB="0" distL="0" distR="0" wp14:anchorId="5881CAAB" wp14:editId="0648E04F">
            <wp:extent cx="3610506" cy="225584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5796" cy="2271649"/>
                    </a:xfrm>
                    <a:prstGeom prst="rect">
                      <a:avLst/>
                    </a:prstGeom>
                    <a:noFill/>
                    <a:ln>
                      <a:noFill/>
                    </a:ln>
                  </pic:spPr>
                </pic:pic>
              </a:graphicData>
            </a:graphic>
          </wp:inline>
        </w:drawing>
      </w:r>
    </w:p>
    <w:p w:rsidR="009C6838" w:rsidRPr="005E2CD1" w:rsidRDefault="009C6838" w:rsidP="009C6838">
      <w:pPr>
        <w:jc w:val="center"/>
        <w:rPr>
          <w:rFonts w:ascii="Arial" w:hAnsi="Arial" w:cs="Arial"/>
          <w:u w:val="single"/>
          <w:lang w:val="es-ES_tradnl"/>
        </w:rPr>
      </w:pPr>
      <w:r w:rsidRPr="005E2CD1">
        <w:rPr>
          <w:rFonts w:ascii="Arial" w:hAnsi="Arial" w:cs="Arial"/>
          <w:u w:val="single"/>
          <w:lang w:val="es-ES_tradnl"/>
        </w:rPr>
        <w:t>Tabl</w:t>
      </w:r>
      <w:r w:rsidR="005E2CD1" w:rsidRPr="005E2CD1">
        <w:rPr>
          <w:rFonts w:ascii="Arial" w:hAnsi="Arial" w:cs="Arial"/>
          <w:u w:val="single"/>
          <w:lang w:val="es-ES_tradnl"/>
        </w:rPr>
        <w:t>a</w:t>
      </w:r>
      <w:r w:rsidRPr="005E2CD1">
        <w:rPr>
          <w:rFonts w:ascii="Arial" w:hAnsi="Arial" w:cs="Arial"/>
          <w:u w:val="single"/>
          <w:lang w:val="es-ES_tradnl"/>
        </w:rPr>
        <w:t xml:space="preserve"> 1 </w:t>
      </w:r>
      <w:r w:rsidR="005E2CD1" w:rsidRPr="005E2CD1">
        <w:rPr>
          <w:rFonts w:ascii="Arial" w:hAnsi="Arial" w:cs="Arial"/>
          <w:u w:val="single"/>
          <w:lang w:val="es-ES_tradnl"/>
        </w:rPr>
        <w:t>–</w:t>
      </w:r>
      <w:r w:rsidRPr="005E2CD1">
        <w:rPr>
          <w:rFonts w:ascii="Arial" w:hAnsi="Arial" w:cs="Arial"/>
          <w:u w:val="single"/>
          <w:lang w:val="es-ES_tradnl"/>
        </w:rPr>
        <w:t xml:space="preserve"> </w:t>
      </w:r>
      <w:r w:rsidR="005E2CD1" w:rsidRPr="005E2CD1">
        <w:rPr>
          <w:rFonts w:ascii="Arial" w:hAnsi="Arial" w:cs="Arial"/>
          <w:bCs/>
          <w:u w:val="single"/>
          <w:lang w:val="es-ES_tradnl"/>
        </w:rPr>
        <w:t>MEER, incluyendo Empresas El</w:t>
      </w:r>
      <w:r w:rsidR="005E2CD1">
        <w:rPr>
          <w:rFonts w:ascii="Arial" w:hAnsi="Arial" w:cs="Arial"/>
          <w:bCs/>
          <w:u w:val="single"/>
          <w:lang w:val="es-ES_tradnl"/>
        </w:rPr>
        <w:t>éctricas de Distribución: Empelados por género</w:t>
      </w:r>
    </w:p>
    <w:tbl>
      <w:tblPr>
        <w:tblStyle w:val="MediumList2-Accent1"/>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1800"/>
        <w:gridCol w:w="1900"/>
      </w:tblGrid>
      <w:tr w:rsidR="000216CD" w:rsidRPr="00E45792" w:rsidTr="00E5187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2625" w:type="dxa"/>
            <w:tcBorders>
              <w:top w:val="none" w:sz="0" w:space="0" w:color="auto"/>
              <w:left w:val="none" w:sz="0" w:space="0" w:color="auto"/>
              <w:bottom w:val="none" w:sz="0" w:space="0" w:color="auto"/>
              <w:right w:val="none" w:sz="0" w:space="0" w:color="auto"/>
            </w:tcBorders>
            <w:hideMark/>
          </w:tcPr>
          <w:p w:rsidR="009C6838" w:rsidRPr="00E45792" w:rsidRDefault="00323A56" w:rsidP="00931135">
            <w:pPr>
              <w:rPr>
                <w:rFonts w:ascii="Arial" w:eastAsia="Times New Roman" w:hAnsi="Arial" w:cs="Arial"/>
                <w:b/>
                <w:bCs/>
                <w:sz w:val="16"/>
                <w:szCs w:val="16"/>
                <w:lang w:val="en-US"/>
              </w:rPr>
            </w:pPr>
            <w:r>
              <w:rPr>
                <w:rFonts w:ascii="Arial" w:eastAsia="Times New Roman" w:hAnsi="Arial" w:cs="Arial"/>
                <w:b/>
                <w:bCs/>
                <w:sz w:val="16"/>
                <w:szCs w:val="16"/>
                <w:lang w:val="en-US"/>
              </w:rPr>
              <w:t>Institution</w:t>
            </w:r>
          </w:p>
        </w:tc>
        <w:tc>
          <w:tcPr>
            <w:tcW w:w="1800" w:type="dxa"/>
            <w:tcBorders>
              <w:top w:val="none" w:sz="0" w:space="0" w:color="auto"/>
              <w:left w:val="none" w:sz="0" w:space="0" w:color="auto"/>
              <w:bottom w:val="none" w:sz="0" w:space="0" w:color="auto"/>
              <w:right w:val="none" w:sz="0" w:space="0" w:color="auto"/>
            </w:tcBorders>
            <w:noWrap/>
            <w:hideMark/>
          </w:tcPr>
          <w:p w:rsidR="009C6838" w:rsidRPr="00E45792" w:rsidRDefault="005E2CD1" w:rsidP="0093113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en-US"/>
              </w:rPr>
            </w:pPr>
            <w:r>
              <w:rPr>
                <w:rFonts w:ascii="Arial" w:eastAsia="Times New Roman" w:hAnsi="Arial" w:cs="Arial"/>
                <w:b/>
                <w:bCs/>
                <w:sz w:val="16"/>
                <w:szCs w:val="16"/>
                <w:lang w:val="en-US"/>
              </w:rPr>
              <w:t>Hombres</w:t>
            </w:r>
          </w:p>
        </w:tc>
        <w:tc>
          <w:tcPr>
            <w:tcW w:w="1900" w:type="dxa"/>
            <w:tcBorders>
              <w:top w:val="none" w:sz="0" w:space="0" w:color="auto"/>
              <w:left w:val="none" w:sz="0" w:space="0" w:color="auto"/>
              <w:bottom w:val="none" w:sz="0" w:space="0" w:color="auto"/>
              <w:right w:val="none" w:sz="0" w:space="0" w:color="auto"/>
            </w:tcBorders>
            <w:noWrap/>
            <w:hideMark/>
          </w:tcPr>
          <w:p w:rsidR="009C6838" w:rsidRPr="00E45792" w:rsidRDefault="005E2CD1" w:rsidP="0093113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6"/>
                <w:szCs w:val="16"/>
                <w:lang w:val="en-US"/>
              </w:rPr>
            </w:pPr>
            <w:r>
              <w:rPr>
                <w:rFonts w:ascii="Arial" w:eastAsia="Times New Roman" w:hAnsi="Arial" w:cs="Arial"/>
                <w:b/>
                <w:bCs/>
                <w:sz w:val="16"/>
                <w:szCs w:val="16"/>
                <w:lang w:val="en-US"/>
              </w:rPr>
              <w:t>Mujeres</w:t>
            </w:r>
          </w:p>
        </w:tc>
      </w:tr>
      <w:tr w:rsidR="000216CD" w:rsidRPr="00E45792" w:rsidTr="00E51872">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MEER</w:t>
            </w:r>
          </w:p>
        </w:tc>
        <w:tc>
          <w:tcPr>
            <w:tcW w:w="1800" w:type="dxa"/>
            <w:tcBorders>
              <w:top w:val="none" w:sz="0" w:space="0" w:color="auto"/>
              <w:left w:val="none" w:sz="0" w:space="0" w:color="auto"/>
              <w:bottom w:val="none" w:sz="0" w:space="0" w:color="auto"/>
              <w:right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193</w:t>
            </w:r>
          </w:p>
        </w:tc>
        <w:tc>
          <w:tcPr>
            <w:tcW w:w="1900" w:type="dxa"/>
            <w:tcBorders>
              <w:top w:val="none" w:sz="0" w:space="0" w:color="auto"/>
              <w:left w:val="none" w:sz="0" w:space="0" w:color="auto"/>
              <w:bottom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143</w:t>
            </w:r>
          </w:p>
        </w:tc>
      </w:tr>
      <w:tr w:rsidR="009C6838" w:rsidRPr="00E45792" w:rsidTr="00E51872">
        <w:trPr>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CNEL UN BOL</w:t>
            </w:r>
            <w:r w:rsidR="005E2CD1">
              <w:rPr>
                <w:rFonts w:ascii="Arial" w:eastAsia="Times New Roman" w:hAnsi="Arial" w:cs="Arial"/>
                <w:sz w:val="16"/>
                <w:szCs w:val="16"/>
              </w:rPr>
              <w:t>IVAR</w:t>
            </w:r>
          </w:p>
        </w:tc>
        <w:tc>
          <w:tcPr>
            <w:tcW w:w="0" w:type="dxa"/>
            <w:noWrap/>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151</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23</w:t>
            </w:r>
          </w:p>
        </w:tc>
      </w:tr>
      <w:tr w:rsidR="000216CD" w:rsidRPr="00E45792" w:rsidTr="00E518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CNEL UN E</w:t>
            </w:r>
            <w:r w:rsidR="005E2CD1">
              <w:rPr>
                <w:rFonts w:ascii="Arial" w:eastAsia="Times New Roman" w:hAnsi="Arial" w:cs="Arial"/>
                <w:sz w:val="16"/>
                <w:szCs w:val="16"/>
              </w:rPr>
              <w:t>L ORO</w:t>
            </w:r>
          </w:p>
        </w:tc>
        <w:tc>
          <w:tcPr>
            <w:tcW w:w="1800"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480</w:t>
            </w:r>
          </w:p>
        </w:tc>
        <w:tc>
          <w:tcPr>
            <w:tcW w:w="1900" w:type="dxa"/>
            <w:tcBorders>
              <w:top w:val="none" w:sz="0" w:space="0" w:color="auto"/>
              <w:left w:val="none" w:sz="0" w:space="0" w:color="auto"/>
              <w:bottom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132</w:t>
            </w:r>
          </w:p>
        </w:tc>
      </w:tr>
      <w:tr w:rsidR="009C6838" w:rsidRPr="00E45792" w:rsidTr="00E51872">
        <w:trPr>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CNEL UN ESM</w:t>
            </w:r>
            <w:r w:rsidR="005E2CD1">
              <w:rPr>
                <w:rFonts w:ascii="Arial" w:eastAsia="Times New Roman" w:hAnsi="Arial" w:cs="Arial"/>
                <w:sz w:val="16"/>
                <w:szCs w:val="16"/>
              </w:rPr>
              <w:t>ERALDA</w:t>
            </w:r>
          </w:p>
        </w:tc>
        <w:tc>
          <w:tcPr>
            <w:tcW w:w="0" w:type="dxa"/>
            <w:noWrap/>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273</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94</w:t>
            </w:r>
          </w:p>
        </w:tc>
      </w:tr>
      <w:tr w:rsidR="000216CD" w:rsidRPr="00E45792" w:rsidTr="00E518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CNEL UN G</w:t>
            </w:r>
            <w:r w:rsidR="005E2CD1">
              <w:rPr>
                <w:rFonts w:ascii="Arial" w:eastAsia="Times New Roman" w:hAnsi="Arial" w:cs="Arial"/>
                <w:sz w:val="16"/>
                <w:szCs w:val="16"/>
              </w:rPr>
              <w:t>UAYAQUIL</w:t>
            </w:r>
          </w:p>
        </w:tc>
        <w:tc>
          <w:tcPr>
            <w:tcW w:w="1800"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1.394</w:t>
            </w:r>
          </w:p>
        </w:tc>
        <w:tc>
          <w:tcPr>
            <w:tcW w:w="1900" w:type="dxa"/>
            <w:tcBorders>
              <w:top w:val="none" w:sz="0" w:space="0" w:color="auto"/>
              <w:left w:val="none" w:sz="0" w:space="0" w:color="auto"/>
              <w:bottom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363</w:t>
            </w:r>
          </w:p>
        </w:tc>
      </w:tr>
      <w:tr w:rsidR="009C6838" w:rsidRPr="00E45792" w:rsidTr="00E51872">
        <w:trPr>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5E2CD1" w:rsidP="00931135">
            <w:pPr>
              <w:rPr>
                <w:rFonts w:ascii="Arial" w:eastAsia="Times New Roman" w:hAnsi="Arial" w:cs="Arial"/>
                <w:sz w:val="16"/>
                <w:szCs w:val="16"/>
              </w:rPr>
            </w:pPr>
            <w:r>
              <w:rPr>
                <w:rFonts w:ascii="Arial" w:eastAsia="Times New Roman" w:hAnsi="Arial" w:cs="Arial"/>
                <w:sz w:val="16"/>
                <w:szCs w:val="16"/>
              </w:rPr>
              <w:t>CNEL UN GUAYAS LOS RIOS</w:t>
            </w:r>
          </w:p>
        </w:tc>
        <w:tc>
          <w:tcPr>
            <w:tcW w:w="0" w:type="dxa"/>
            <w:noWrap/>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537</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245</w:t>
            </w:r>
          </w:p>
        </w:tc>
      </w:tr>
      <w:tr w:rsidR="000216CD" w:rsidRPr="00E45792" w:rsidTr="00E518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CNEL UN L</w:t>
            </w:r>
            <w:r w:rsidR="005E2CD1">
              <w:rPr>
                <w:rFonts w:ascii="Arial" w:eastAsia="Times New Roman" w:hAnsi="Arial" w:cs="Arial"/>
                <w:sz w:val="16"/>
                <w:szCs w:val="16"/>
              </w:rPr>
              <w:t>OS RIOS</w:t>
            </w:r>
          </w:p>
        </w:tc>
        <w:tc>
          <w:tcPr>
            <w:tcW w:w="1800"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233</w:t>
            </w:r>
          </w:p>
        </w:tc>
        <w:tc>
          <w:tcPr>
            <w:tcW w:w="1900" w:type="dxa"/>
            <w:tcBorders>
              <w:top w:val="none" w:sz="0" w:space="0" w:color="auto"/>
              <w:left w:val="none" w:sz="0" w:space="0" w:color="auto"/>
              <w:bottom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68</w:t>
            </w:r>
          </w:p>
        </w:tc>
      </w:tr>
      <w:tr w:rsidR="009C6838" w:rsidRPr="00E45792" w:rsidTr="00E51872">
        <w:trPr>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CNEL UN MAN</w:t>
            </w:r>
            <w:r w:rsidR="005E2CD1">
              <w:rPr>
                <w:rFonts w:ascii="Arial" w:eastAsia="Times New Roman" w:hAnsi="Arial" w:cs="Arial"/>
                <w:sz w:val="16"/>
                <w:szCs w:val="16"/>
              </w:rPr>
              <w:t>ABI</w:t>
            </w:r>
          </w:p>
        </w:tc>
        <w:tc>
          <w:tcPr>
            <w:tcW w:w="0" w:type="dxa"/>
            <w:noWrap/>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563</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180</w:t>
            </w:r>
          </w:p>
        </w:tc>
      </w:tr>
      <w:tr w:rsidR="000216CD" w:rsidRPr="00E45792" w:rsidTr="00E518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CNEL UN MLG</w:t>
            </w:r>
          </w:p>
        </w:tc>
        <w:tc>
          <w:tcPr>
            <w:tcW w:w="1800"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206</w:t>
            </w:r>
          </w:p>
        </w:tc>
        <w:tc>
          <w:tcPr>
            <w:tcW w:w="1900" w:type="dxa"/>
            <w:tcBorders>
              <w:top w:val="none" w:sz="0" w:space="0" w:color="auto"/>
              <w:left w:val="none" w:sz="0" w:space="0" w:color="auto"/>
              <w:bottom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88</w:t>
            </w:r>
          </w:p>
        </w:tc>
      </w:tr>
      <w:tr w:rsidR="009C6838" w:rsidRPr="00E45792" w:rsidTr="00E51872">
        <w:trPr>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5E2CD1" w:rsidP="00931135">
            <w:pPr>
              <w:rPr>
                <w:rFonts w:ascii="Arial" w:eastAsia="Times New Roman" w:hAnsi="Arial" w:cs="Arial"/>
                <w:sz w:val="16"/>
                <w:szCs w:val="16"/>
              </w:rPr>
            </w:pPr>
            <w:r>
              <w:rPr>
                <w:rFonts w:ascii="Arial" w:eastAsia="Times New Roman" w:hAnsi="Arial" w:cs="Arial"/>
                <w:sz w:val="16"/>
                <w:szCs w:val="16"/>
              </w:rPr>
              <w:t>CNEL UN SANTO DOMINGO</w:t>
            </w:r>
          </w:p>
        </w:tc>
        <w:tc>
          <w:tcPr>
            <w:tcW w:w="0" w:type="dxa"/>
            <w:noWrap/>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301</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123</w:t>
            </w:r>
          </w:p>
        </w:tc>
      </w:tr>
      <w:tr w:rsidR="000216CD" w:rsidRPr="00E45792" w:rsidTr="00E518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5E2CD1" w:rsidP="00931135">
            <w:pPr>
              <w:rPr>
                <w:rFonts w:ascii="Arial" w:eastAsia="Times New Roman" w:hAnsi="Arial" w:cs="Arial"/>
                <w:sz w:val="16"/>
                <w:szCs w:val="16"/>
              </w:rPr>
            </w:pPr>
            <w:r>
              <w:rPr>
                <w:rFonts w:ascii="Arial" w:eastAsia="Times New Roman" w:hAnsi="Arial" w:cs="Arial"/>
                <w:sz w:val="16"/>
                <w:szCs w:val="16"/>
              </w:rPr>
              <w:t>CNEL UN SANTA ELENA</w:t>
            </w:r>
          </w:p>
        </w:tc>
        <w:tc>
          <w:tcPr>
            <w:tcW w:w="1800"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336</w:t>
            </w:r>
          </w:p>
        </w:tc>
        <w:tc>
          <w:tcPr>
            <w:tcW w:w="1900" w:type="dxa"/>
            <w:tcBorders>
              <w:top w:val="none" w:sz="0" w:space="0" w:color="auto"/>
              <w:left w:val="none" w:sz="0" w:space="0" w:color="auto"/>
              <w:bottom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88</w:t>
            </w:r>
          </w:p>
        </w:tc>
      </w:tr>
      <w:tr w:rsidR="009C6838" w:rsidRPr="00E45792" w:rsidTr="00E51872">
        <w:trPr>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CNEL UN SUC</w:t>
            </w:r>
            <w:r w:rsidR="005E2CD1">
              <w:rPr>
                <w:rFonts w:ascii="Arial" w:eastAsia="Times New Roman" w:hAnsi="Arial" w:cs="Arial"/>
                <w:sz w:val="16"/>
                <w:szCs w:val="16"/>
              </w:rPr>
              <w:t>UMBIOS</w:t>
            </w:r>
          </w:p>
        </w:tc>
        <w:tc>
          <w:tcPr>
            <w:tcW w:w="0" w:type="dxa"/>
            <w:noWrap/>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231</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85</w:t>
            </w:r>
          </w:p>
        </w:tc>
      </w:tr>
      <w:tr w:rsidR="000216CD" w:rsidRPr="00E45792" w:rsidTr="00E518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CNEL  MATRÍZ</w:t>
            </w:r>
          </w:p>
        </w:tc>
        <w:tc>
          <w:tcPr>
            <w:tcW w:w="1800"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170</w:t>
            </w:r>
          </w:p>
        </w:tc>
        <w:tc>
          <w:tcPr>
            <w:tcW w:w="1900" w:type="dxa"/>
            <w:tcBorders>
              <w:top w:val="none" w:sz="0" w:space="0" w:color="auto"/>
              <w:left w:val="none" w:sz="0" w:space="0" w:color="auto"/>
              <w:bottom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126</w:t>
            </w:r>
          </w:p>
        </w:tc>
      </w:tr>
      <w:tr w:rsidR="009C6838" w:rsidRPr="00E45792" w:rsidTr="00E51872">
        <w:trPr>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E.E. AMBATO</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273</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84</w:t>
            </w:r>
          </w:p>
        </w:tc>
      </w:tr>
      <w:tr w:rsidR="000216CD" w:rsidRPr="00E45792" w:rsidTr="00E518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E.E. AZOGUES</w:t>
            </w:r>
          </w:p>
        </w:tc>
        <w:tc>
          <w:tcPr>
            <w:tcW w:w="1800" w:type="dxa"/>
            <w:tcBorders>
              <w:top w:val="none" w:sz="0" w:space="0" w:color="auto"/>
              <w:left w:val="none" w:sz="0" w:space="0" w:color="auto"/>
              <w:bottom w:val="none" w:sz="0" w:space="0" w:color="auto"/>
              <w:right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121</w:t>
            </w:r>
          </w:p>
        </w:tc>
        <w:tc>
          <w:tcPr>
            <w:tcW w:w="1900" w:type="dxa"/>
            <w:tcBorders>
              <w:top w:val="none" w:sz="0" w:space="0" w:color="auto"/>
              <w:left w:val="none" w:sz="0" w:space="0" w:color="auto"/>
              <w:bottom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22</w:t>
            </w:r>
          </w:p>
        </w:tc>
      </w:tr>
      <w:tr w:rsidR="009C6838" w:rsidRPr="00E45792" w:rsidTr="00E51872">
        <w:trPr>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E.E. CENTRO SUR</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475</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93</w:t>
            </w:r>
          </w:p>
        </w:tc>
      </w:tr>
      <w:tr w:rsidR="000216CD" w:rsidRPr="00E45792" w:rsidTr="00E518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E.E. COTOPAXI</w:t>
            </w:r>
          </w:p>
        </w:tc>
        <w:tc>
          <w:tcPr>
            <w:tcW w:w="1800" w:type="dxa"/>
            <w:tcBorders>
              <w:top w:val="none" w:sz="0" w:space="0" w:color="auto"/>
              <w:left w:val="none" w:sz="0" w:space="0" w:color="auto"/>
              <w:bottom w:val="none" w:sz="0" w:space="0" w:color="auto"/>
              <w:right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335</w:t>
            </w:r>
          </w:p>
        </w:tc>
        <w:tc>
          <w:tcPr>
            <w:tcW w:w="1900" w:type="dxa"/>
            <w:tcBorders>
              <w:top w:val="none" w:sz="0" w:space="0" w:color="auto"/>
              <w:left w:val="none" w:sz="0" w:space="0" w:color="auto"/>
              <w:bottom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71</w:t>
            </w:r>
          </w:p>
        </w:tc>
      </w:tr>
      <w:tr w:rsidR="009C6838" w:rsidRPr="00E45792" w:rsidTr="00E51872">
        <w:trPr>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E.E. GALÁPAGOS</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102</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31</w:t>
            </w:r>
          </w:p>
        </w:tc>
      </w:tr>
      <w:tr w:rsidR="000216CD" w:rsidRPr="00E45792" w:rsidTr="00E518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E.E. NORTE</w:t>
            </w:r>
          </w:p>
        </w:tc>
        <w:tc>
          <w:tcPr>
            <w:tcW w:w="1800" w:type="dxa"/>
            <w:tcBorders>
              <w:top w:val="none" w:sz="0" w:space="0" w:color="auto"/>
              <w:left w:val="none" w:sz="0" w:space="0" w:color="auto"/>
              <w:bottom w:val="none" w:sz="0" w:space="0" w:color="auto"/>
              <w:right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490</w:t>
            </w:r>
          </w:p>
        </w:tc>
        <w:tc>
          <w:tcPr>
            <w:tcW w:w="1900" w:type="dxa"/>
            <w:tcBorders>
              <w:top w:val="none" w:sz="0" w:space="0" w:color="auto"/>
              <w:left w:val="none" w:sz="0" w:space="0" w:color="auto"/>
              <w:bottom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107</w:t>
            </w:r>
          </w:p>
        </w:tc>
      </w:tr>
      <w:tr w:rsidR="009C6838" w:rsidRPr="00E45792" w:rsidTr="00E51872">
        <w:trPr>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E.E. QUITO</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1.214</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290</w:t>
            </w:r>
          </w:p>
        </w:tc>
      </w:tr>
      <w:tr w:rsidR="000216CD" w:rsidRPr="00E45792" w:rsidTr="00E518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E.E. RIOBAMBA</w:t>
            </w:r>
          </w:p>
        </w:tc>
        <w:tc>
          <w:tcPr>
            <w:tcW w:w="1800" w:type="dxa"/>
            <w:tcBorders>
              <w:top w:val="none" w:sz="0" w:space="0" w:color="auto"/>
              <w:left w:val="none" w:sz="0" w:space="0" w:color="auto"/>
              <w:bottom w:val="none" w:sz="0" w:space="0" w:color="auto"/>
              <w:right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391</w:t>
            </w:r>
          </w:p>
        </w:tc>
        <w:tc>
          <w:tcPr>
            <w:tcW w:w="1900" w:type="dxa"/>
            <w:tcBorders>
              <w:top w:val="none" w:sz="0" w:space="0" w:color="auto"/>
              <w:left w:val="none" w:sz="0" w:space="0" w:color="auto"/>
              <w:bottom w:val="none" w:sz="0" w:space="0" w:color="auto"/>
            </w:tcBorders>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78</w:t>
            </w:r>
          </w:p>
        </w:tc>
      </w:tr>
      <w:tr w:rsidR="009C6838" w:rsidRPr="00E45792" w:rsidTr="00E51872">
        <w:trPr>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sz w:val="16"/>
                <w:szCs w:val="16"/>
              </w:rPr>
            </w:pPr>
            <w:r w:rsidRPr="00E45792">
              <w:rPr>
                <w:rFonts w:ascii="Arial" w:eastAsia="Times New Roman" w:hAnsi="Arial" w:cs="Arial"/>
                <w:sz w:val="16"/>
                <w:szCs w:val="16"/>
              </w:rPr>
              <w:t>E.E. SUR</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386</w:t>
            </w:r>
          </w:p>
        </w:tc>
        <w:tc>
          <w:tcPr>
            <w:tcW w:w="0" w:type="dxa"/>
            <w:hideMark/>
          </w:tcPr>
          <w:p w:rsidR="009C6838" w:rsidRPr="00E45792" w:rsidRDefault="009C6838" w:rsidP="009311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E45792">
              <w:rPr>
                <w:rFonts w:ascii="Arial" w:eastAsia="Times New Roman" w:hAnsi="Arial" w:cs="Arial"/>
                <w:sz w:val="16"/>
                <w:szCs w:val="16"/>
              </w:rPr>
              <w:t>71</w:t>
            </w:r>
          </w:p>
        </w:tc>
      </w:tr>
      <w:tr w:rsidR="000216CD" w:rsidRPr="00E45792" w:rsidTr="00E518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25"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rPr>
                <w:rFonts w:ascii="Arial" w:eastAsia="Times New Roman" w:hAnsi="Arial" w:cs="Arial"/>
                <w:b/>
                <w:bCs/>
                <w:sz w:val="16"/>
                <w:szCs w:val="16"/>
              </w:rPr>
            </w:pPr>
            <w:r w:rsidRPr="00E45792">
              <w:rPr>
                <w:rFonts w:ascii="Arial" w:eastAsia="Times New Roman" w:hAnsi="Arial" w:cs="Arial"/>
                <w:b/>
                <w:bCs/>
                <w:sz w:val="16"/>
                <w:szCs w:val="16"/>
              </w:rPr>
              <w:t>TOTAL</w:t>
            </w:r>
          </w:p>
        </w:tc>
        <w:tc>
          <w:tcPr>
            <w:tcW w:w="1800" w:type="dxa"/>
            <w:tcBorders>
              <w:top w:val="none" w:sz="0" w:space="0" w:color="auto"/>
              <w:left w:val="none" w:sz="0" w:space="0" w:color="auto"/>
              <w:bottom w:val="none" w:sz="0" w:space="0" w:color="auto"/>
              <w:right w:val="none" w:sz="0" w:space="0" w:color="auto"/>
            </w:tcBorders>
            <w:noWrap/>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sidRPr="00E45792">
              <w:rPr>
                <w:rFonts w:ascii="Arial" w:eastAsia="Times New Roman" w:hAnsi="Arial" w:cs="Arial"/>
                <w:b/>
                <w:bCs/>
                <w:sz w:val="16"/>
                <w:szCs w:val="16"/>
              </w:rPr>
              <w:t>8.855</w:t>
            </w:r>
          </w:p>
        </w:tc>
        <w:tc>
          <w:tcPr>
            <w:tcW w:w="1900" w:type="dxa"/>
            <w:tcBorders>
              <w:top w:val="none" w:sz="0" w:space="0" w:color="auto"/>
              <w:left w:val="none" w:sz="0" w:space="0" w:color="auto"/>
              <w:bottom w:val="none" w:sz="0" w:space="0" w:color="auto"/>
            </w:tcBorders>
            <w:noWrap/>
            <w:hideMark/>
          </w:tcPr>
          <w:p w:rsidR="009C6838" w:rsidRPr="00E45792" w:rsidRDefault="009C6838" w:rsidP="009311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sidRPr="00E45792">
              <w:rPr>
                <w:rFonts w:ascii="Arial" w:eastAsia="Times New Roman" w:hAnsi="Arial" w:cs="Arial"/>
                <w:b/>
                <w:bCs/>
                <w:sz w:val="16"/>
                <w:szCs w:val="16"/>
              </w:rPr>
              <w:t>2.605</w:t>
            </w:r>
          </w:p>
        </w:tc>
      </w:tr>
    </w:tbl>
    <w:p w:rsidR="009C6838" w:rsidRDefault="009C6838" w:rsidP="00426AAA">
      <w:pPr>
        <w:jc w:val="both"/>
        <w:rPr>
          <w:rFonts w:ascii="Arial" w:hAnsi="Arial" w:cs="Arial"/>
        </w:rPr>
      </w:pPr>
    </w:p>
    <w:p w:rsidR="00426AAA" w:rsidRPr="0042610D" w:rsidRDefault="00406D89" w:rsidP="00426AAA">
      <w:pPr>
        <w:jc w:val="both"/>
        <w:rPr>
          <w:u w:val="single"/>
          <w:lang w:val="es-ES"/>
        </w:rPr>
      </w:pPr>
      <w:r>
        <w:rPr>
          <w:u w:val="single"/>
          <w:lang w:val="es-ES"/>
        </w:rPr>
        <w:t>Problemática de género</w:t>
      </w:r>
    </w:p>
    <w:p w:rsidR="007C57FC" w:rsidRDefault="00426AAA" w:rsidP="00426AAA">
      <w:pPr>
        <w:jc w:val="both"/>
        <w:rPr>
          <w:lang w:val="es-ES"/>
        </w:rPr>
      </w:pPr>
      <w:bookmarkStart w:id="1" w:name="_Hlk486257184"/>
      <w:r>
        <w:rPr>
          <w:lang w:val="es-ES"/>
        </w:rPr>
        <w:t xml:space="preserve">Como en muchos países en desarrollo, los tomadores de decisiones del sector energético de </w:t>
      </w:r>
      <w:r w:rsidR="00342912">
        <w:rPr>
          <w:lang w:val="es-ES"/>
        </w:rPr>
        <w:t>ALC</w:t>
      </w:r>
      <w:r>
        <w:rPr>
          <w:lang w:val="es-ES"/>
        </w:rPr>
        <w:t xml:space="preserve">, incluyendo Ecuador, </w:t>
      </w:r>
      <w:r w:rsidR="00D210DD">
        <w:rPr>
          <w:lang w:val="es-ES"/>
        </w:rPr>
        <w:t>generalmente asumen que el increme</w:t>
      </w:r>
      <w:r w:rsidR="00BD3E94">
        <w:rPr>
          <w:lang w:val="es-ES"/>
        </w:rPr>
        <w:t>nto</w:t>
      </w:r>
      <w:r w:rsidR="00D210DD">
        <w:rPr>
          <w:lang w:val="es-ES"/>
        </w:rPr>
        <w:t xml:space="preserve"> en el consumo energético mejora </w:t>
      </w:r>
      <w:r w:rsidR="00692C6E">
        <w:rPr>
          <w:lang w:val="es-ES"/>
        </w:rPr>
        <w:t xml:space="preserve">automáticamente </w:t>
      </w:r>
      <w:r w:rsidR="00D210DD">
        <w:rPr>
          <w:lang w:val="es-ES"/>
        </w:rPr>
        <w:t>la calidad de vida de todos y, por ende, enfo</w:t>
      </w:r>
      <w:r w:rsidR="0002532F">
        <w:rPr>
          <w:lang w:val="es-ES"/>
        </w:rPr>
        <w:t>can las</w:t>
      </w:r>
      <w:r w:rsidR="00754DFA">
        <w:rPr>
          <w:lang w:val="es-ES"/>
        </w:rPr>
        <w:t xml:space="preserve"> políticas e</w:t>
      </w:r>
      <w:r w:rsidR="0002532F">
        <w:rPr>
          <w:lang w:val="es-ES"/>
        </w:rPr>
        <w:t xml:space="preserve"> inversiones de</w:t>
      </w:r>
      <w:r w:rsidR="00D210DD">
        <w:rPr>
          <w:lang w:val="es-ES"/>
        </w:rPr>
        <w:t xml:space="preserve"> energía </w:t>
      </w:r>
      <w:r w:rsidR="00692C6E">
        <w:rPr>
          <w:lang w:val="es-ES"/>
        </w:rPr>
        <w:t xml:space="preserve">en proyectos de gran escala. Esto sin tomar en cuenta las necesidades energéticas de las poblaciones más pobres o los roles y responsabilidades </w:t>
      </w:r>
      <w:r w:rsidR="008F403E">
        <w:rPr>
          <w:lang w:val="es-ES"/>
        </w:rPr>
        <w:t xml:space="preserve">diferenciados </w:t>
      </w:r>
      <w:r w:rsidR="00692C6E">
        <w:rPr>
          <w:lang w:val="es-ES"/>
        </w:rPr>
        <w:t>de mujeres y hombres</w:t>
      </w:r>
      <w:r w:rsidR="008F403E">
        <w:rPr>
          <w:lang w:val="es-ES"/>
        </w:rPr>
        <w:t xml:space="preserve"> y </w:t>
      </w:r>
      <w:r w:rsidR="00BC0598">
        <w:rPr>
          <w:lang w:val="es-ES"/>
        </w:rPr>
        <w:t>como cada genero hace distinto uso de l</w:t>
      </w:r>
      <w:r w:rsidR="008F403E">
        <w:rPr>
          <w:lang w:val="es-ES"/>
        </w:rPr>
        <w:t>a energía</w:t>
      </w:r>
      <w:r w:rsidR="00692C6E">
        <w:rPr>
          <w:lang w:val="es-ES"/>
        </w:rPr>
        <w:t>.</w:t>
      </w:r>
      <w:r w:rsidR="00BC0598">
        <w:rPr>
          <w:lang w:val="es-ES"/>
        </w:rPr>
        <w:t xml:space="preserve"> L</w:t>
      </w:r>
      <w:r w:rsidR="005372F8">
        <w:rPr>
          <w:lang w:val="es-ES"/>
        </w:rPr>
        <w:t xml:space="preserve">a </w:t>
      </w:r>
      <w:r w:rsidR="00887C5B">
        <w:rPr>
          <w:lang w:val="es-ES"/>
        </w:rPr>
        <w:t xml:space="preserve">pobreza energética afecta </w:t>
      </w:r>
      <w:r w:rsidR="00E51872">
        <w:rPr>
          <w:lang w:val="es-ES"/>
        </w:rPr>
        <w:t xml:space="preserve">más </w:t>
      </w:r>
      <w:r w:rsidR="00887C5B">
        <w:rPr>
          <w:lang w:val="es-ES"/>
        </w:rPr>
        <w:t xml:space="preserve">a mujeres </w:t>
      </w:r>
      <w:r w:rsidR="005372F8">
        <w:rPr>
          <w:lang w:val="es-ES"/>
        </w:rPr>
        <w:t>que</w:t>
      </w:r>
      <w:r w:rsidR="00887C5B">
        <w:rPr>
          <w:lang w:val="es-ES"/>
        </w:rPr>
        <w:t xml:space="preserve"> hombres puesto que </w:t>
      </w:r>
      <w:r w:rsidR="00BC0598">
        <w:rPr>
          <w:lang w:val="es-ES"/>
        </w:rPr>
        <w:t>las mujeres, en Ecuador,</w:t>
      </w:r>
      <w:r w:rsidR="00887C5B">
        <w:rPr>
          <w:lang w:val="es-ES"/>
        </w:rPr>
        <w:t xml:space="preserve"> son las principales responsables</w:t>
      </w:r>
      <w:r w:rsidR="003723FA">
        <w:rPr>
          <w:lang w:val="es-ES"/>
        </w:rPr>
        <w:t xml:space="preserve"> de los quehaceres del hogar, así como</w:t>
      </w:r>
      <w:r w:rsidR="00887C5B">
        <w:rPr>
          <w:lang w:val="es-ES"/>
        </w:rPr>
        <w:t xml:space="preserve"> de la provisión y gestión de los servicios básicos, incluyendo la electricidad.</w:t>
      </w:r>
      <w:r w:rsidR="00F12A56">
        <w:rPr>
          <w:lang w:val="es-ES"/>
        </w:rPr>
        <w:t xml:space="preserve"> </w:t>
      </w:r>
      <w:r w:rsidR="00754DFA">
        <w:rPr>
          <w:lang w:val="es-ES"/>
        </w:rPr>
        <w:t>Adicionalmente, a pesar de que las mujeres juegan este rol fundamental den</w:t>
      </w:r>
      <w:r w:rsidR="008F403E">
        <w:rPr>
          <w:lang w:val="es-ES"/>
        </w:rPr>
        <w:t>tro del hogar, están ausentes de</w:t>
      </w:r>
      <w:r w:rsidR="00754DFA">
        <w:rPr>
          <w:lang w:val="es-ES"/>
        </w:rPr>
        <w:t xml:space="preserve"> todos los niveles de los procesos de decisión lig</w:t>
      </w:r>
      <w:r w:rsidR="008F403E">
        <w:rPr>
          <w:lang w:val="es-ES"/>
        </w:rPr>
        <w:t>ados a las políticas e inversiones</w:t>
      </w:r>
      <w:r w:rsidR="005E2CD1">
        <w:rPr>
          <w:lang w:val="es-ES"/>
        </w:rPr>
        <w:t xml:space="preserve"> de energía.</w:t>
      </w:r>
    </w:p>
    <w:p w:rsidR="00E45792" w:rsidRDefault="007630B9" w:rsidP="00426AAA">
      <w:pPr>
        <w:jc w:val="both"/>
        <w:rPr>
          <w:lang w:val="es-ES"/>
        </w:rPr>
      </w:pPr>
      <w:r>
        <w:rPr>
          <w:lang w:val="es-ES"/>
        </w:rPr>
        <w:t xml:space="preserve">No obstante, </w:t>
      </w:r>
      <w:r w:rsidR="003C39BC">
        <w:rPr>
          <w:lang w:val="es-ES"/>
        </w:rPr>
        <w:t>estudios demuestran que</w:t>
      </w:r>
      <w:r>
        <w:rPr>
          <w:lang w:val="es-ES"/>
        </w:rPr>
        <w:t xml:space="preserve"> la inclusión de una perspectiva de género en proyectos de energía</w:t>
      </w:r>
      <w:r w:rsidR="00CA1E81">
        <w:rPr>
          <w:lang w:val="es-ES"/>
        </w:rPr>
        <w:t xml:space="preserve"> </w:t>
      </w:r>
      <w:r>
        <w:rPr>
          <w:lang w:val="es-ES"/>
        </w:rPr>
        <w:t>ayuda</w:t>
      </w:r>
      <w:r w:rsidR="00CA1E81">
        <w:rPr>
          <w:lang w:val="es-ES"/>
        </w:rPr>
        <w:t xml:space="preserve"> no solo a promover </w:t>
      </w:r>
      <w:r w:rsidR="007C57FC">
        <w:rPr>
          <w:lang w:val="es-ES"/>
        </w:rPr>
        <w:t xml:space="preserve">el empoderamiento económico y social de las mujeres y </w:t>
      </w:r>
      <w:r w:rsidR="00CA1E81">
        <w:rPr>
          <w:lang w:val="es-ES"/>
        </w:rPr>
        <w:t>una mayor igualdad de género, sino también a mejorar la sostenibilidad de los proyectos</w:t>
      </w:r>
      <w:r w:rsidR="008F403E">
        <w:rPr>
          <w:lang w:val="es-ES"/>
        </w:rPr>
        <w:t xml:space="preserve"> de energía</w:t>
      </w:r>
      <w:r w:rsidR="00CA1E81">
        <w:rPr>
          <w:lang w:val="es-ES"/>
        </w:rPr>
        <w:t xml:space="preserve"> y el desempeño d</w:t>
      </w:r>
      <w:r w:rsidR="008F403E">
        <w:rPr>
          <w:lang w:val="es-ES"/>
        </w:rPr>
        <w:t>e las agencias sectoriales</w:t>
      </w:r>
      <w:r>
        <w:rPr>
          <w:rStyle w:val="FootnoteReference"/>
          <w:lang w:val="es-ES"/>
        </w:rPr>
        <w:footnoteReference w:id="11"/>
      </w:r>
      <w:r>
        <w:rPr>
          <w:lang w:val="es-ES"/>
        </w:rPr>
        <w:t>.</w:t>
      </w:r>
      <w:r w:rsidR="00406D89">
        <w:rPr>
          <w:lang w:val="es-ES"/>
        </w:rPr>
        <w:t xml:space="preserve"> </w:t>
      </w:r>
      <w:bookmarkStart w:id="2" w:name="_Hlk486324473"/>
      <w:r w:rsidR="007C57FC">
        <w:rPr>
          <w:lang w:val="es-ES"/>
        </w:rPr>
        <w:t xml:space="preserve">Por ejemplo, un estudio realizado en </w:t>
      </w:r>
      <w:r w:rsidR="00BC0598">
        <w:rPr>
          <w:lang w:val="es-ES"/>
        </w:rPr>
        <w:t>Sudáfrica</w:t>
      </w:r>
      <w:r w:rsidR="007C57FC">
        <w:rPr>
          <w:lang w:val="es-ES"/>
        </w:rPr>
        <w:t xml:space="preserve"> encontr</w:t>
      </w:r>
      <w:r w:rsidR="005E2CD1">
        <w:rPr>
          <w:lang w:val="es-ES"/>
        </w:rPr>
        <w:t>ó</w:t>
      </w:r>
      <w:r w:rsidR="007C57FC">
        <w:rPr>
          <w:lang w:val="es-ES"/>
        </w:rPr>
        <w:t xml:space="preserve"> </w:t>
      </w:r>
      <w:r w:rsidR="003208DD">
        <w:rPr>
          <w:lang w:val="es-ES"/>
        </w:rPr>
        <w:t>que el acceso a electricidad conllev</w:t>
      </w:r>
      <w:r w:rsidR="005E2CD1">
        <w:rPr>
          <w:lang w:val="es-ES"/>
        </w:rPr>
        <w:t>ó</w:t>
      </w:r>
      <w:r w:rsidR="003208DD">
        <w:rPr>
          <w:lang w:val="es-ES"/>
        </w:rPr>
        <w:t xml:space="preserve"> a que muchos hogares invirtieran en cocinas eléctricas y que gracias al tiempo que las mujeres ahorraban en recolectar leña, increment</w:t>
      </w:r>
      <w:r w:rsidR="005E2CD1">
        <w:rPr>
          <w:lang w:val="es-ES"/>
        </w:rPr>
        <w:t>ó</w:t>
      </w:r>
      <w:r w:rsidR="003208DD">
        <w:rPr>
          <w:lang w:val="es-ES"/>
        </w:rPr>
        <w:t xml:space="preserve"> la tasa de empleo femenino en un 13.5%</w:t>
      </w:r>
      <w:r w:rsidR="003208DD">
        <w:rPr>
          <w:rStyle w:val="FootnoteReference"/>
          <w:lang w:val="es-ES"/>
        </w:rPr>
        <w:footnoteReference w:id="12"/>
      </w:r>
      <w:r w:rsidR="003208DD">
        <w:rPr>
          <w:lang w:val="es-ES"/>
        </w:rPr>
        <w:t xml:space="preserve">. </w:t>
      </w:r>
      <w:r w:rsidR="00E45792">
        <w:rPr>
          <w:lang w:val="es-ES"/>
        </w:rPr>
        <w:t xml:space="preserve">Asimismo, un estudio de USAID, encontró que </w:t>
      </w:r>
      <w:r w:rsidR="00E45792" w:rsidRPr="00E45792">
        <w:rPr>
          <w:lang w:val="es-ES_tradnl"/>
        </w:rPr>
        <w:t>las mujeres suelen tener estilos de gestión distintos a los hombres ya que se enfocan más en</w:t>
      </w:r>
      <w:r w:rsidR="005E2CD1">
        <w:rPr>
          <w:lang w:val="es-ES_tradnl"/>
        </w:rPr>
        <w:t>:</w:t>
      </w:r>
      <w:r w:rsidR="00E45792" w:rsidRPr="00E45792">
        <w:rPr>
          <w:lang w:val="es-ES_tradnl"/>
        </w:rPr>
        <w:t xml:space="preserve"> (i) desarrollar las capacidades de sus empleados</w:t>
      </w:r>
      <w:r w:rsidR="005E2CD1">
        <w:rPr>
          <w:lang w:val="es-ES_tradnl"/>
        </w:rPr>
        <w:t>;</w:t>
      </w:r>
      <w:r w:rsidR="00E45792" w:rsidRPr="00E45792">
        <w:rPr>
          <w:lang w:val="es-ES_tradnl"/>
        </w:rPr>
        <w:t xml:space="preserve"> (ii) alcanzar formas de comunicación eficientes</w:t>
      </w:r>
      <w:r w:rsidR="005E2CD1">
        <w:rPr>
          <w:lang w:val="es-ES_tradnl"/>
        </w:rPr>
        <w:t>;</w:t>
      </w:r>
      <w:r w:rsidR="00E45792" w:rsidRPr="00E45792">
        <w:rPr>
          <w:lang w:val="es-ES_tradnl"/>
        </w:rPr>
        <w:t xml:space="preserve"> y (iii) promover procesos de toma de decisión más participativos, entre otros. Esta evidencia “surgiere que mitigar las disparidades de género y mejorar la participación de las mujeres en el mercado labora</w:t>
      </w:r>
      <w:r w:rsidR="00C3608B">
        <w:rPr>
          <w:lang w:val="es-ES_tradnl"/>
        </w:rPr>
        <w:t>l</w:t>
      </w:r>
      <w:r w:rsidR="00E45792" w:rsidRPr="00E45792">
        <w:rPr>
          <w:lang w:val="es-ES_tradnl"/>
        </w:rPr>
        <w:t xml:space="preserve"> pueden incrementar las eficiencias operacionales que, finalmente, traerá más valor para las compañías de servicios básicos”</w:t>
      </w:r>
      <w:r w:rsidR="00E45792" w:rsidRPr="00E45792">
        <w:rPr>
          <w:vertAlign w:val="superscript"/>
          <w:lang w:val="es-ES_tradnl"/>
        </w:rPr>
        <w:footnoteReference w:id="13"/>
      </w:r>
      <w:r w:rsidR="00E45792" w:rsidRPr="00E45792">
        <w:rPr>
          <w:lang w:val="es-ES_tradnl"/>
        </w:rPr>
        <w:t>.</w:t>
      </w:r>
    </w:p>
    <w:p w:rsidR="00E45792" w:rsidRDefault="004D778D" w:rsidP="00426AAA">
      <w:pPr>
        <w:jc w:val="both"/>
        <w:rPr>
          <w:lang w:val="es-ES"/>
        </w:rPr>
      </w:pPr>
      <w:r>
        <w:rPr>
          <w:lang w:val="es-ES"/>
        </w:rPr>
        <w:t xml:space="preserve">Por </w:t>
      </w:r>
      <w:r w:rsidR="00406D89">
        <w:rPr>
          <w:lang w:val="es-ES"/>
        </w:rPr>
        <w:t>estas razones,</w:t>
      </w:r>
      <w:r w:rsidR="000D10A2">
        <w:rPr>
          <w:lang w:val="es-ES"/>
        </w:rPr>
        <w:t xml:space="preserve"> el sector </w:t>
      </w:r>
      <w:r w:rsidR="00C3608B">
        <w:rPr>
          <w:lang w:val="es-ES"/>
        </w:rPr>
        <w:t>energético se beneficiaría si</w:t>
      </w:r>
      <w:r w:rsidR="000D10A2">
        <w:rPr>
          <w:lang w:val="es-ES"/>
        </w:rPr>
        <w:t xml:space="preserve"> </w:t>
      </w:r>
      <w:r w:rsidR="00406D89">
        <w:rPr>
          <w:lang w:val="es-ES"/>
        </w:rPr>
        <w:t>desarrollar</w:t>
      </w:r>
      <w:r w:rsidR="00C3608B">
        <w:rPr>
          <w:lang w:val="es-ES"/>
        </w:rPr>
        <w:t>a</w:t>
      </w:r>
      <w:r w:rsidR="00406D89">
        <w:rPr>
          <w:lang w:val="es-ES"/>
        </w:rPr>
        <w:t xml:space="preserve"> una estrategia </w:t>
      </w:r>
      <w:r w:rsidR="000D10A2">
        <w:rPr>
          <w:lang w:val="es-ES"/>
        </w:rPr>
        <w:t xml:space="preserve">de género específica </w:t>
      </w:r>
      <w:r>
        <w:rPr>
          <w:lang w:val="es-ES"/>
        </w:rPr>
        <w:t xml:space="preserve">que </w:t>
      </w:r>
      <w:r w:rsidR="00406D89">
        <w:rPr>
          <w:lang w:val="es-ES"/>
        </w:rPr>
        <w:t xml:space="preserve">permita entender las problemáticas de </w:t>
      </w:r>
      <w:r w:rsidR="000D10A2">
        <w:rPr>
          <w:lang w:val="es-ES"/>
        </w:rPr>
        <w:t xml:space="preserve">género y energía </w:t>
      </w:r>
      <w:r w:rsidR="00406D89">
        <w:rPr>
          <w:lang w:val="es-ES"/>
        </w:rPr>
        <w:t>y responda</w:t>
      </w:r>
      <w:r>
        <w:rPr>
          <w:lang w:val="es-ES"/>
        </w:rPr>
        <w:t xml:space="preserve"> a las necesidades</w:t>
      </w:r>
      <w:r w:rsidR="002901D3">
        <w:rPr>
          <w:lang w:val="es-ES"/>
        </w:rPr>
        <w:t xml:space="preserve"> energéticas diferenciadas de hombres y mujeres.</w:t>
      </w:r>
      <w:r w:rsidR="00EA7939">
        <w:rPr>
          <w:lang w:val="es-ES"/>
        </w:rPr>
        <w:t xml:space="preserve"> Si bien promover</w:t>
      </w:r>
      <w:bookmarkEnd w:id="2"/>
      <w:r w:rsidR="00EA7939">
        <w:rPr>
          <w:lang w:val="es-ES"/>
        </w:rPr>
        <w:t xml:space="preserve"> una mayor participación laboral femenina en el sector es clave para que </w:t>
      </w:r>
      <w:r w:rsidR="005E2CD1">
        <w:rPr>
          <w:lang w:val="es-ES"/>
        </w:rPr>
        <w:t>las necesidades de las mujeres estén mejor</w:t>
      </w:r>
      <w:r w:rsidR="00EA7939">
        <w:rPr>
          <w:lang w:val="es-ES"/>
        </w:rPr>
        <w:t xml:space="preserve"> representadas</w:t>
      </w:r>
      <w:r w:rsidR="00C3608B">
        <w:rPr>
          <w:lang w:val="es-ES"/>
        </w:rPr>
        <w:t>, u</w:t>
      </w:r>
      <w:r w:rsidR="00EA7939">
        <w:rPr>
          <w:lang w:val="es-ES"/>
        </w:rPr>
        <w:t xml:space="preserve">na estrategia de genero no puede enfocarse únicamente en este aspecto. </w:t>
      </w:r>
      <w:r w:rsidR="00C3608B">
        <w:rPr>
          <w:lang w:val="es-ES"/>
        </w:rPr>
        <w:t>La estrategia d</w:t>
      </w:r>
      <w:r w:rsidR="00EA7939">
        <w:rPr>
          <w:lang w:val="es-ES"/>
        </w:rPr>
        <w:t>ebe, además, identificar y proponer instrumentos, conceptos, metodologías y análisis que permitan asegurar que los proyectos energéticos incluyan un enfoque de género y busquen mejorar la calidad de vida tanto de hombres como mujeres. La inclusión de ambos aspectos permitirá que la estrategia promueva una mayor igualdad de género en el sector energético</w:t>
      </w:r>
      <w:r w:rsidR="00E45792">
        <w:rPr>
          <w:lang w:val="es-ES"/>
        </w:rPr>
        <w:t>.</w:t>
      </w:r>
    </w:p>
    <w:p w:rsidR="00E45792" w:rsidRDefault="00E45792" w:rsidP="00426AAA">
      <w:pPr>
        <w:jc w:val="both"/>
        <w:rPr>
          <w:lang w:val="es-ES"/>
        </w:rPr>
      </w:pPr>
    </w:p>
    <w:p w:rsidR="00277867" w:rsidRDefault="00277867" w:rsidP="00426AAA">
      <w:pPr>
        <w:jc w:val="both"/>
        <w:rPr>
          <w:lang w:val="es-ES"/>
        </w:rPr>
      </w:pPr>
    </w:p>
    <w:p w:rsidR="00E45792" w:rsidRDefault="00E45792" w:rsidP="00426AAA">
      <w:pPr>
        <w:jc w:val="both"/>
        <w:rPr>
          <w:lang w:val="es-ES"/>
        </w:rPr>
      </w:pPr>
    </w:p>
    <w:p w:rsidR="00D965ED" w:rsidRPr="009C6838" w:rsidRDefault="009C6838" w:rsidP="00426AAA">
      <w:pPr>
        <w:jc w:val="both"/>
        <w:rPr>
          <w:u w:val="single"/>
          <w:lang w:val="es-ES"/>
        </w:rPr>
      </w:pPr>
      <w:r w:rsidRPr="009C6838">
        <w:rPr>
          <w:u w:val="single"/>
          <w:lang w:val="es-ES"/>
        </w:rPr>
        <w:t>Intervención</w:t>
      </w:r>
      <w:r w:rsidR="00D965ED" w:rsidRPr="009C6838">
        <w:rPr>
          <w:u w:val="single"/>
          <w:lang w:val="es-ES"/>
        </w:rPr>
        <w:t xml:space="preserve"> de </w:t>
      </w:r>
      <w:r>
        <w:rPr>
          <w:u w:val="single"/>
          <w:lang w:val="es-ES"/>
        </w:rPr>
        <w:t>G</w:t>
      </w:r>
      <w:r w:rsidRPr="009C6838">
        <w:rPr>
          <w:u w:val="single"/>
          <w:lang w:val="es-ES"/>
        </w:rPr>
        <w:t>énero</w:t>
      </w:r>
      <w:r>
        <w:rPr>
          <w:u w:val="single"/>
          <w:lang w:val="es-ES"/>
        </w:rPr>
        <w:t>: Desarrollo de una “</w:t>
      </w:r>
      <w:r w:rsidR="00D965ED" w:rsidRPr="009C6838">
        <w:rPr>
          <w:u w:val="single"/>
          <w:lang w:val="es-ES"/>
        </w:rPr>
        <w:t>Estrategia</w:t>
      </w:r>
      <w:r>
        <w:rPr>
          <w:u w:val="single"/>
          <w:lang w:val="es-ES"/>
        </w:rPr>
        <w:t xml:space="preserve"> para Promover la Igualdad de </w:t>
      </w:r>
      <w:r w:rsidR="008F4B36">
        <w:rPr>
          <w:u w:val="single"/>
          <w:lang w:val="es-ES"/>
        </w:rPr>
        <w:t>Género</w:t>
      </w:r>
      <w:r>
        <w:rPr>
          <w:u w:val="single"/>
          <w:lang w:val="es-ES"/>
        </w:rPr>
        <w:t xml:space="preserve"> en el Sector </w:t>
      </w:r>
      <w:r w:rsidR="008F4B36">
        <w:rPr>
          <w:u w:val="single"/>
          <w:lang w:val="es-ES"/>
        </w:rPr>
        <w:t>Eléctrico</w:t>
      </w:r>
      <w:r>
        <w:rPr>
          <w:u w:val="single"/>
          <w:lang w:val="es-ES"/>
        </w:rPr>
        <w:t>”</w:t>
      </w:r>
      <w:r w:rsidR="00D965ED" w:rsidRPr="009C6838">
        <w:rPr>
          <w:u w:val="single"/>
          <w:lang w:val="es-ES"/>
        </w:rPr>
        <w:t xml:space="preserve"> </w:t>
      </w:r>
    </w:p>
    <w:bookmarkEnd w:id="1"/>
    <w:p w:rsidR="00B81067" w:rsidRDefault="00EA7939" w:rsidP="00426AAA">
      <w:pPr>
        <w:jc w:val="both"/>
        <w:rPr>
          <w:lang w:val="es-ES"/>
        </w:rPr>
      </w:pPr>
      <w:r>
        <w:rPr>
          <w:lang w:val="es-ES"/>
        </w:rPr>
        <w:t xml:space="preserve">Las instituciones </w:t>
      </w:r>
      <w:r w:rsidR="00881A29">
        <w:rPr>
          <w:lang w:val="es-ES"/>
        </w:rPr>
        <w:t>públicas</w:t>
      </w:r>
      <w:r>
        <w:rPr>
          <w:lang w:val="es-ES"/>
        </w:rPr>
        <w:t xml:space="preserve"> </w:t>
      </w:r>
      <w:r w:rsidR="008728CD">
        <w:rPr>
          <w:lang w:val="es-ES"/>
        </w:rPr>
        <w:t>vinculadas al sector energético</w:t>
      </w:r>
      <w:r w:rsidR="00B81067">
        <w:rPr>
          <w:lang w:val="es-ES"/>
        </w:rPr>
        <w:t>- que en el caso de Ecuador incluye al MEER y a las compañías de generación, transmisión y distribución de electricidad-</w:t>
      </w:r>
      <w:r w:rsidR="008728CD">
        <w:rPr>
          <w:lang w:val="es-ES"/>
        </w:rPr>
        <w:t xml:space="preserve"> pueden jugar un rol esencial en la promoción de la igualdad de </w:t>
      </w:r>
      <w:r w:rsidR="00881A29">
        <w:rPr>
          <w:lang w:val="es-ES"/>
        </w:rPr>
        <w:t>género</w:t>
      </w:r>
      <w:r w:rsidR="00E45A70">
        <w:rPr>
          <w:lang w:val="es-ES"/>
        </w:rPr>
        <w:t>,</w:t>
      </w:r>
      <w:r w:rsidR="001C0AC7">
        <w:rPr>
          <w:lang w:val="es-ES"/>
        </w:rPr>
        <w:t xml:space="preserve"> no solo por su importancia liderando políticas y proyectos del sector, sino </w:t>
      </w:r>
      <w:r w:rsidR="00B81067">
        <w:rPr>
          <w:lang w:val="es-ES"/>
        </w:rPr>
        <w:t>también</w:t>
      </w:r>
      <w:r w:rsidR="001C0AC7">
        <w:rPr>
          <w:lang w:val="es-ES"/>
        </w:rPr>
        <w:t xml:space="preserve"> por </w:t>
      </w:r>
      <w:r w:rsidR="00B81067">
        <w:rPr>
          <w:lang w:val="es-ES"/>
        </w:rPr>
        <w:t xml:space="preserve">tener, entre sus objetivos, la mejora de la calidad de vida de los y las ecuatorianas a través de la provisión de energía eléctrica. </w:t>
      </w:r>
      <w:r w:rsidR="00E8755D">
        <w:rPr>
          <w:lang w:val="es-ES"/>
        </w:rPr>
        <w:t xml:space="preserve">El MEER </w:t>
      </w:r>
      <w:r w:rsidR="00E8755D" w:rsidRPr="00323A56">
        <w:rPr>
          <w:lang w:val="es-ES"/>
        </w:rPr>
        <w:t>tiene bajo su administración a</w:t>
      </w:r>
      <w:r w:rsidR="003E7291">
        <w:rPr>
          <w:rStyle w:val="FootnoteReference"/>
          <w:lang w:val="es-ES"/>
        </w:rPr>
        <w:footnoteReference w:id="14"/>
      </w:r>
      <w:r w:rsidR="00E8755D" w:rsidRPr="00323A56">
        <w:rPr>
          <w:lang w:val="es-ES"/>
        </w:rPr>
        <w:t>: (i) la Corporación Eléctrica del Ecuador (CELEC-EP), compuesta por Transelectric, Unidad de Negocio (UN) responsable de la infraestructura de transmisión, y 12 UN encargadas de generación eléctrica; y (ii) diez Empresas Eléctricas de Distribución (EED) encargadas de la distribución y comercialización del servicio con áreas de concesión delimitadas</w:t>
      </w:r>
      <w:r w:rsidR="003E7291">
        <w:rPr>
          <w:rStyle w:val="FootnoteReference"/>
          <w:lang w:val="es-ES"/>
        </w:rPr>
        <w:footnoteReference w:id="15"/>
      </w:r>
      <w:r w:rsidR="003E7291">
        <w:rPr>
          <w:lang w:val="es-ES"/>
        </w:rPr>
        <w:t xml:space="preserve">. </w:t>
      </w:r>
      <w:r w:rsidR="00B81067">
        <w:rPr>
          <w:lang w:val="es-ES"/>
        </w:rPr>
        <w:t xml:space="preserve">Sin embargo, si estas instituciones no buscan incluir de manera activa un enfoque de género dentro de las mismas instituciones y en sus políticas y proyectos, </w:t>
      </w:r>
      <w:r w:rsidR="00E45A70">
        <w:rPr>
          <w:lang w:val="es-ES"/>
        </w:rPr>
        <w:t>podrían</w:t>
      </w:r>
      <w:r w:rsidR="00B81067">
        <w:rPr>
          <w:lang w:val="es-ES"/>
        </w:rPr>
        <w:t xml:space="preserve">: </w:t>
      </w:r>
      <w:r w:rsidR="00E45A70">
        <w:rPr>
          <w:lang w:val="es-ES"/>
        </w:rPr>
        <w:t>(i</w:t>
      </w:r>
      <w:r w:rsidR="00B81067">
        <w:rPr>
          <w:lang w:val="es-ES"/>
        </w:rPr>
        <w:t xml:space="preserve">) reproducir los roles tradicionales de género que caracterizan a nuestras culturas latinoamericanas; y </w:t>
      </w:r>
      <w:r w:rsidR="00E45A70">
        <w:rPr>
          <w:lang w:val="es-ES"/>
        </w:rPr>
        <w:t>(ii</w:t>
      </w:r>
      <w:r w:rsidR="00B81067">
        <w:rPr>
          <w:lang w:val="es-ES"/>
        </w:rPr>
        <w:t>) mantener y contribuir a las brechas de género y las desigualdades.</w:t>
      </w:r>
      <w:r w:rsidR="00B52242">
        <w:rPr>
          <w:lang w:val="es-ES"/>
        </w:rPr>
        <w:t xml:space="preserve"> </w:t>
      </w:r>
      <w:r w:rsidR="00B81067">
        <w:rPr>
          <w:lang w:val="es-ES"/>
        </w:rPr>
        <w:t>Incluir una perspectiva de género</w:t>
      </w:r>
      <w:r w:rsidR="00B52242">
        <w:rPr>
          <w:lang w:val="es-ES"/>
        </w:rPr>
        <w:t xml:space="preserve"> dentro de dichas</w:t>
      </w:r>
      <w:r w:rsidR="00B81067">
        <w:rPr>
          <w:lang w:val="es-ES"/>
        </w:rPr>
        <w:t xml:space="preserve"> instituciones </w:t>
      </w:r>
      <w:r w:rsidR="00B52242">
        <w:rPr>
          <w:lang w:val="es-ES"/>
        </w:rPr>
        <w:t>posibilitaría la creación de un marco de referencia para promover la igualdad de género no solo en el sector, pero también e</w:t>
      </w:r>
      <w:r w:rsidR="00E45A70">
        <w:rPr>
          <w:lang w:val="es-ES"/>
        </w:rPr>
        <w:t>n otras instituciones públicas.</w:t>
      </w:r>
    </w:p>
    <w:p w:rsidR="00B52242" w:rsidRDefault="00B52242" w:rsidP="00426AAA">
      <w:pPr>
        <w:jc w:val="both"/>
        <w:rPr>
          <w:lang w:val="es-ES"/>
        </w:rPr>
      </w:pPr>
      <w:r>
        <w:rPr>
          <w:lang w:val="es-ES"/>
        </w:rPr>
        <w:t>D</w:t>
      </w:r>
      <w:r w:rsidR="00DF5D8A">
        <w:rPr>
          <w:lang w:val="es-ES"/>
        </w:rPr>
        <w:t>e esa cuenta</w:t>
      </w:r>
      <w:r>
        <w:rPr>
          <w:lang w:val="es-ES"/>
        </w:rPr>
        <w:t>, el préstamo EC-L1223 financiará entre sus actividad</w:t>
      </w:r>
      <w:r w:rsidRPr="00B52242">
        <w:rPr>
          <w:lang w:val="es-ES"/>
        </w:rPr>
        <w:t xml:space="preserve">es, el desarrollo de una </w:t>
      </w:r>
      <w:r>
        <w:rPr>
          <w:lang w:val="es-ES"/>
        </w:rPr>
        <w:t>“</w:t>
      </w:r>
      <w:r w:rsidRPr="00B52242">
        <w:rPr>
          <w:lang w:val="es-ES"/>
        </w:rPr>
        <w:t>Estrategia para Promover la Igualdad de Género en el Sector Eléctrico</w:t>
      </w:r>
      <w:r>
        <w:rPr>
          <w:lang w:val="es-ES"/>
        </w:rPr>
        <w:t>”</w:t>
      </w:r>
      <w:r w:rsidR="00DF5D8A">
        <w:rPr>
          <w:lang w:val="es-ES"/>
        </w:rPr>
        <w:t>, la cual</w:t>
      </w:r>
      <w:r>
        <w:rPr>
          <w:lang w:val="es-ES"/>
        </w:rPr>
        <w:t xml:space="preserve"> tendrá como objetivo </w:t>
      </w:r>
      <w:r w:rsidR="00E45A70">
        <w:rPr>
          <w:lang w:val="es-ES"/>
        </w:rPr>
        <w:t>contribu</w:t>
      </w:r>
      <w:r w:rsidR="00DF5D8A">
        <w:rPr>
          <w:lang w:val="es-ES"/>
        </w:rPr>
        <w:t>ir</w:t>
      </w:r>
      <w:r w:rsidR="00E45A70">
        <w:rPr>
          <w:lang w:val="es-ES"/>
        </w:rPr>
        <w:t xml:space="preserve"> con</w:t>
      </w:r>
      <w:r>
        <w:rPr>
          <w:lang w:val="es-ES"/>
        </w:rPr>
        <w:t xml:space="preserve">: </w:t>
      </w:r>
      <w:r w:rsidR="00E45A70">
        <w:rPr>
          <w:lang w:val="es-ES"/>
        </w:rPr>
        <w:t>(i</w:t>
      </w:r>
      <w:r>
        <w:rPr>
          <w:lang w:val="es-ES"/>
        </w:rPr>
        <w:t>) reducir la desigualdad entre hombres y mujeres, buscan</w:t>
      </w:r>
      <w:r w:rsidR="00E45A70">
        <w:rPr>
          <w:lang w:val="es-ES"/>
        </w:rPr>
        <w:t>do</w:t>
      </w:r>
      <w:r>
        <w:rPr>
          <w:lang w:val="es-ES"/>
        </w:rPr>
        <w:t xml:space="preserve"> maximizar el impacto de las políticas y proyectos de energía sobre las mujeres y niñas; y </w:t>
      </w:r>
      <w:r w:rsidR="00E45A70">
        <w:rPr>
          <w:lang w:val="es-ES"/>
        </w:rPr>
        <w:t>(ii</w:t>
      </w:r>
      <w:r>
        <w:rPr>
          <w:lang w:val="es-ES"/>
        </w:rPr>
        <w:t>) contribuir a la incorporación de un mayor número de mujeres en la fuerza laboral del sector energético. Para alcanzar este objetivo,</w:t>
      </w:r>
      <w:r w:rsidR="00DF5D8A">
        <w:rPr>
          <w:lang w:val="es-ES"/>
        </w:rPr>
        <w:t xml:space="preserve"> el desarrollo de</w:t>
      </w:r>
      <w:r>
        <w:rPr>
          <w:lang w:val="es-ES"/>
        </w:rPr>
        <w:t xml:space="preserve"> la estrategia </w:t>
      </w:r>
      <w:r w:rsidR="00E45A70">
        <w:rPr>
          <w:lang w:val="es-ES"/>
        </w:rPr>
        <w:t xml:space="preserve">deberá </w:t>
      </w:r>
      <w:r>
        <w:rPr>
          <w:lang w:val="es-ES"/>
        </w:rPr>
        <w:t>incluir las siguientes actividades:</w:t>
      </w:r>
    </w:p>
    <w:p w:rsidR="00B52242" w:rsidRDefault="00B52242" w:rsidP="00B52242">
      <w:pPr>
        <w:pStyle w:val="ListParagraph"/>
        <w:numPr>
          <w:ilvl w:val="0"/>
          <w:numId w:val="1"/>
        </w:numPr>
        <w:jc w:val="both"/>
        <w:rPr>
          <w:lang w:val="es-ES"/>
        </w:rPr>
      </w:pPr>
      <w:r w:rsidRPr="002862BF">
        <w:rPr>
          <w:u w:val="single"/>
          <w:lang w:val="es-ES"/>
        </w:rPr>
        <w:t xml:space="preserve">Diagnóstico de </w:t>
      </w:r>
      <w:r w:rsidR="00E55B0C" w:rsidRPr="002862BF">
        <w:rPr>
          <w:u w:val="single"/>
          <w:lang w:val="es-ES"/>
        </w:rPr>
        <w:t>género</w:t>
      </w:r>
      <w:r w:rsidR="002862BF" w:rsidRPr="002862BF">
        <w:rPr>
          <w:u w:val="single"/>
          <w:lang w:val="es-ES"/>
        </w:rPr>
        <w:t xml:space="preserve"> del MEER y </w:t>
      </w:r>
      <w:r w:rsidR="00DF5D8A">
        <w:rPr>
          <w:u w:val="single"/>
          <w:lang w:val="es-ES"/>
        </w:rPr>
        <w:t xml:space="preserve">sus entidades adscritas, incluyendo las unidades de negocio </w:t>
      </w:r>
      <w:r w:rsidR="002862BF" w:rsidRPr="002862BF">
        <w:rPr>
          <w:u w:val="single"/>
          <w:lang w:val="es-ES"/>
        </w:rPr>
        <w:t>de generación, transmisión y distribución</w:t>
      </w:r>
      <w:r w:rsidR="002862BF">
        <w:rPr>
          <w:lang w:val="es-ES"/>
        </w:rPr>
        <w:t xml:space="preserve">: Este proceso busca realizar un análisis de la situación de las instituciones en términos de participación laboral femenina para definir el nivel de participación en el sector, principalmente en puestos técnicos y de liderazgo. Asimismo, este diagnóstico recolecta información primaria y secundaria para entender la oferta y demanda del mercado laboral del sector </w:t>
      </w:r>
      <w:r w:rsidR="00D45888">
        <w:rPr>
          <w:lang w:val="es-ES"/>
        </w:rPr>
        <w:t>y cuáles son las barreras que enfrentan las mujeres para ingresar al sector.</w:t>
      </w:r>
      <w:r w:rsidR="002862BF">
        <w:rPr>
          <w:lang w:val="es-ES"/>
        </w:rPr>
        <w:t xml:space="preserve"> </w:t>
      </w:r>
      <w:r w:rsidR="00C772C9">
        <w:rPr>
          <w:lang w:val="es-ES"/>
        </w:rPr>
        <w:t xml:space="preserve">Adicionalmente, brindara información sobre el grado de institucionalización del enfoque de género (estructuras, practicas, políticas, personal, </w:t>
      </w:r>
      <w:r w:rsidR="00DF5D8A">
        <w:rPr>
          <w:lang w:val="es-ES"/>
        </w:rPr>
        <w:t>entre otros</w:t>
      </w:r>
      <w:r w:rsidR="00C772C9">
        <w:rPr>
          <w:lang w:val="es-ES"/>
        </w:rPr>
        <w:t xml:space="preserve">) que permitan definir las brechas de género que existen en las instituciones. </w:t>
      </w:r>
      <w:r w:rsidR="00A44A33">
        <w:rPr>
          <w:lang w:val="es-ES"/>
        </w:rPr>
        <w:t>Este proceso permitirá recolectar información sobre qué actividades deben realizarse dentro de las instituciones para promover una mayor igualdad de género.</w:t>
      </w:r>
    </w:p>
    <w:p w:rsidR="00DF5D8A" w:rsidRDefault="00DF5D8A" w:rsidP="00DF5D8A">
      <w:pPr>
        <w:pStyle w:val="ListParagraph"/>
        <w:jc w:val="both"/>
        <w:rPr>
          <w:lang w:val="es-ES"/>
        </w:rPr>
      </w:pPr>
    </w:p>
    <w:p w:rsidR="00D8594E" w:rsidRDefault="00D45888" w:rsidP="00B52242">
      <w:pPr>
        <w:pStyle w:val="ListParagraph"/>
        <w:numPr>
          <w:ilvl w:val="0"/>
          <w:numId w:val="1"/>
        </w:numPr>
        <w:jc w:val="both"/>
        <w:rPr>
          <w:lang w:val="es-ES"/>
        </w:rPr>
      </w:pPr>
      <w:r w:rsidRPr="009D4F92">
        <w:rPr>
          <w:u w:val="single"/>
          <w:lang w:val="es-ES"/>
        </w:rPr>
        <w:t xml:space="preserve">Análisis de una muestra de proyectos del MEER y de las </w:t>
      </w:r>
      <w:r w:rsidR="00DF5D8A">
        <w:rPr>
          <w:u w:val="single"/>
          <w:lang w:val="es-ES"/>
        </w:rPr>
        <w:t xml:space="preserve">unidades de negocio </w:t>
      </w:r>
      <w:r w:rsidRPr="009D4F92">
        <w:rPr>
          <w:u w:val="single"/>
          <w:lang w:val="es-ES"/>
        </w:rPr>
        <w:t>de generación, transmisión y distribución:</w:t>
      </w:r>
      <w:r>
        <w:rPr>
          <w:lang w:val="es-ES"/>
        </w:rPr>
        <w:t xml:space="preserve"> </w:t>
      </w:r>
      <w:r w:rsidR="009D4F92">
        <w:rPr>
          <w:lang w:val="es-ES"/>
        </w:rPr>
        <w:t>Este proceso</w:t>
      </w:r>
      <w:r w:rsidR="007C027D">
        <w:rPr>
          <w:lang w:val="es-ES"/>
        </w:rPr>
        <w:t xml:space="preserve"> busca analizar una muestra de proyectos financiados por el MEER para identificar </w:t>
      </w:r>
      <w:r w:rsidR="00DF5D8A">
        <w:rPr>
          <w:lang w:val="es-ES"/>
        </w:rPr>
        <w:t xml:space="preserve">cómo se </w:t>
      </w:r>
      <w:r w:rsidR="007C027D">
        <w:rPr>
          <w:lang w:val="es-ES"/>
        </w:rPr>
        <w:t xml:space="preserve">ha incluido una perspectiva de género y/o están </w:t>
      </w:r>
      <w:r w:rsidR="00DF5D8A">
        <w:rPr>
          <w:lang w:val="es-ES"/>
        </w:rPr>
        <w:t xml:space="preserve">presentando </w:t>
      </w:r>
      <w:r w:rsidR="007C027D">
        <w:rPr>
          <w:lang w:val="es-ES"/>
        </w:rPr>
        <w:t>impactos pos</w:t>
      </w:r>
      <w:r w:rsidR="009D4F92">
        <w:rPr>
          <w:lang w:val="es-ES"/>
        </w:rPr>
        <w:t>itiv</w:t>
      </w:r>
      <w:r w:rsidR="007C027D">
        <w:rPr>
          <w:lang w:val="es-ES"/>
        </w:rPr>
        <w:t xml:space="preserve">os sobre la vida de hombres y mujeres de forma indirecta. </w:t>
      </w:r>
      <w:r w:rsidR="00DF5D8A">
        <w:rPr>
          <w:lang w:val="es-ES"/>
        </w:rPr>
        <w:t>E</w:t>
      </w:r>
      <w:r w:rsidR="007C027D">
        <w:rPr>
          <w:lang w:val="es-ES"/>
        </w:rPr>
        <w:t xml:space="preserve">ste análisis </w:t>
      </w:r>
      <w:r w:rsidR="00DF5D8A">
        <w:rPr>
          <w:lang w:val="es-ES"/>
        </w:rPr>
        <w:t xml:space="preserve">permitirá </w:t>
      </w:r>
      <w:r w:rsidR="007C027D">
        <w:rPr>
          <w:lang w:val="es-ES"/>
        </w:rPr>
        <w:t xml:space="preserve">identificar </w:t>
      </w:r>
      <w:r w:rsidR="00570458">
        <w:rPr>
          <w:lang w:val="es-ES"/>
        </w:rPr>
        <w:t>como funcionaron los procesos de diseño, implementación, monitoreo y evaluación de los proyectos</w:t>
      </w:r>
      <w:r w:rsidR="00D8594E">
        <w:rPr>
          <w:lang w:val="es-ES"/>
        </w:rPr>
        <w:t xml:space="preserve"> y si estos consideran el enfoque de género. Con base a esa información se podrá </w:t>
      </w:r>
      <w:r w:rsidR="00DF5D8A">
        <w:rPr>
          <w:lang w:val="es-ES"/>
        </w:rPr>
        <w:t xml:space="preserve">determinar las </w:t>
      </w:r>
      <w:r w:rsidR="007C027D">
        <w:rPr>
          <w:lang w:val="es-ES"/>
        </w:rPr>
        <w:t xml:space="preserve">actividades </w:t>
      </w:r>
      <w:r w:rsidR="00DF5D8A">
        <w:rPr>
          <w:lang w:val="es-ES"/>
        </w:rPr>
        <w:t xml:space="preserve">que </w:t>
      </w:r>
      <w:r w:rsidR="007C027D">
        <w:rPr>
          <w:lang w:val="es-ES"/>
        </w:rPr>
        <w:t xml:space="preserve">se necesitan desarrollar dentro de las instituciones </w:t>
      </w:r>
      <w:r w:rsidR="00A44A33">
        <w:rPr>
          <w:lang w:val="es-ES"/>
        </w:rPr>
        <w:t>públicas</w:t>
      </w:r>
      <w:r w:rsidR="009D4F92">
        <w:rPr>
          <w:lang w:val="es-ES"/>
        </w:rPr>
        <w:t xml:space="preserve"> vinculadas al sector para</w:t>
      </w:r>
      <w:r w:rsidR="00D8594E">
        <w:rPr>
          <w:lang w:val="es-ES"/>
        </w:rPr>
        <w:t xml:space="preserve"> promover una mayor igualdad de género</w:t>
      </w:r>
      <w:r w:rsidR="00DF5D8A">
        <w:rPr>
          <w:lang w:val="es-ES"/>
        </w:rPr>
        <w:t xml:space="preserve"> en los proyectos de provisión del servicio eléctrico</w:t>
      </w:r>
      <w:r w:rsidR="00D8594E">
        <w:rPr>
          <w:lang w:val="es-ES"/>
        </w:rPr>
        <w:t>.</w:t>
      </w:r>
    </w:p>
    <w:p w:rsidR="00DF5D8A" w:rsidRPr="00DF5D8A" w:rsidRDefault="00DF5D8A" w:rsidP="00DF5D8A">
      <w:pPr>
        <w:pStyle w:val="ListParagraph"/>
        <w:jc w:val="both"/>
        <w:rPr>
          <w:lang w:val="es-ES"/>
        </w:rPr>
      </w:pPr>
    </w:p>
    <w:p w:rsidR="00FA07C6" w:rsidRDefault="00D8594E" w:rsidP="00E45792">
      <w:pPr>
        <w:pStyle w:val="ListParagraph"/>
        <w:numPr>
          <w:ilvl w:val="0"/>
          <w:numId w:val="1"/>
        </w:numPr>
        <w:jc w:val="both"/>
        <w:rPr>
          <w:lang w:val="es-ES"/>
        </w:rPr>
      </w:pPr>
      <w:r w:rsidRPr="00D8594E">
        <w:rPr>
          <w:u w:val="single"/>
          <w:lang w:val="es-ES"/>
        </w:rPr>
        <w:t>Plan de Acción de G</w:t>
      </w:r>
      <w:r>
        <w:rPr>
          <w:u w:val="single"/>
          <w:lang w:val="es-ES"/>
        </w:rPr>
        <w:t>é</w:t>
      </w:r>
      <w:r w:rsidRPr="00D8594E">
        <w:rPr>
          <w:u w:val="single"/>
          <w:lang w:val="es-ES"/>
        </w:rPr>
        <w:t>nero:</w:t>
      </w:r>
      <w:r>
        <w:rPr>
          <w:lang w:val="es-ES"/>
        </w:rPr>
        <w:t xml:space="preserve"> </w:t>
      </w:r>
      <w:r w:rsidR="009D4F92">
        <w:rPr>
          <w:lang w:val="es-ES"/>
        </w:rPr>
        <w:t xml:space="preserve"> </w:t>
      </w:r>
      <w:r>
        <w:rPr>
          <w:lang w:val="es-ES"/>
        </w:rPr>
        <w:t xml:space="preserve">Con base a la información recolectada y analizada en las actividades 1 y 2, </w:t>
      </w:r>
      <w:r w:rsidR="009D493B">
        <w:rPr>
          <w:lang w:val="es-ES"/>
        </w:rPr>
        <w:t xml:space="preserve">se determinará el estado deseado del sector eléctrico en términos de género al año 2030 y </w:t>
      </w:r>
      <w:r>
        <w:rPr>
          <w:lang w:val="es-ES"/>
        </w:rPr>
        <w:t xml:space="preserve">se elaborará un Plan de Acción de Género (PAG) para el </w:t>
      </w:r>
      <w:r w:rsidR="009D493B">
        <w:rPr>
          <w:lang w:val="es-ES"/>
        </w:rPr>
        <w:t xml:space="preserve">sector eléctrico, el cual </w:t>
      </w:r>
      <w:r w:rsidR="00BE7821">
        <w:rPr>
          <w:lang w:val="es-ES"/>
        </w:rPr>
        <w:t>identificará acciones concretas con sus respectivos responsables, cronogramas</w:t>
      </w:r>
      <w:r w:rsidR="00532017">
        <w:rPr>
          <w:lang w:val="es-ES"/>
        </w:rPr>
        <w:t xml:space="preserve"> y presupuestos, así</w:t>
      </w:r>
      <w:r w:rsidR="003A0735">
        <w:rPr>
          <w:lang w:val="es-ES"/>
        </w:rPr>
        <w:t xml:space="preserve"> como indicadores y metas</w:t>
      </w:r>
      <w:r w:rsidR="00532017">
        <w:rPr>
          <w:lang w:val="es-ES"/>
        </w:rPr>
        <w:t xml:space="preserve"> </w:t>
      </w:r>
      <w:r w:rsidR="003A0735">
        <w:rPr>
          <w:lang w:val="es-ES"/>
        </w:rPr>
        <w:t xml:space="preserve">que permitan monitorear los avances de dichas acciones </w:t>
      </w:r>
      <w:r w:rsidR="00532017">
        <w:rPr>
          <w:lang w:val="es-ES"/>
        </w:rPr>
        <w:t>a fin de</w:t>
      </w:r>
      <w:r w:rsidR="00BE7F50">
        <w:rPr>
          <w:lang w:val="es-ES"/>
        </w:rPr>
        <w:t xml:space="preserve"> promover la inclusión de un enfoque de </w:t>
      </w:r>
      <w:r w:rsidR="00532017">
        <w:rPr>
          <w:lang w:val="es-ES"/>
        </w:rPr>
        <w:t>género</w:t>
      </w:r>
      <w:r w:rsidR="00BE7F50">
        <w:rPr>
          <w:lang w:val="es-ES"/>
        </w:rPr>
        <w:t xml:space="preserve"> en </w:t>
      </w:r>
      <w:r w:rsidR="009D493B">
        <w:rPr>
          <w:lang w:val="es-ES"/>
        </w:rPr>
        <w:t>el sector eléctrico</w:t>
      </w:r>
      <w:r w:rsidR="00532017">
        <w:rPr>
          <w:lang w:val="es-ES"/>
        </w:rPr>
        <w:t xml:space="preserve">. </w:t>
      </w:r>
    </w:p>
    <w:p w:rsidR="00FA07C6" w:rsidRPr="00FA07C6" w:rsidRDefault="00FA07C6" w:rsidP="00323A56">
      <w:pPr>
        <w:pStyle w:val="ListParagraph"/>
        <w:rPr>
          <w:lang w:val="es-ES"/>
        </w:rPr>
      </w:pPr>
    </w:p>
    <w:p w:rsidR="00E45792" w:rsidRPr="00E45792" w:rsidRDefault="00532017" w:rsidP="00E45792">
      <w:pPr>
        <w:pStyle w:val="ListParagraph"/>
        <w:numPr>
          <w:ilvl w:val="0"/>
          <w:numId w:val="1"/>
        </w:numPr>
        <w:jc w:val="both"/>
        <w:rPr>
          <w:lang w:val="es-ES"/>
        </w:rPr>
      </w:pPr>
      <w:r>
        <w:rPr>
          <w:lang w:val="es-ES"/>
        </w:rPr>
        <w:t>Algunos ejemplos de</w:t>
      </w:r>
      <w:r w:rsidR="003A0735">
        <w:rPr>
          <w:lang w:val="es-ES"/>
        </w:rPr>
        <w:t>l tipo</w:t>
      </w:r>
      <w:r>
        <w:rPr>
          <w:lang w:val="es-ES"/>
        </w:rPr>
        <w:t xml:space="preserve"> de </w:t>
      </w:r>
      <w:r w:rsidRPr="00FA453E">
        <w:rPr>
          <w:b/>
          <w:lang w:val="es-ES"/>
        </w:rPr>
        <w:t xml:space="preserve">acciones </w:t>
      </w:r>
      <w:r w:rsidR="003A0735" w:rsidRPr="00FA453E">
        <w:rPr>
          <w:b/>
          <w:lang w:val="es-ES"/>
        </w:rPr>
        <w:t>que este PAG</w:t>
      </w:r>
      <w:r w:rsidR="003A0735">
        <w:rPr>
          <w:lang w:val="es-ES"/>
        </w:rPr>
        <w:t xml:space="preserve"> podría incluir son: </w:t>
      </w:r>
      <w:r w:rsidR="009D493B">
        <w:rPr>
          <w:lang w:val="es-ES"/>
        </w:rPr>
        <w:t>(i</w:t>
      </w:r>
      <w:r w:rsidR="003A0735">
        <w:rPr>
          <w:lang w:val="es-ES"/>
        </w:rPr>
        <w:t xml:space="preserve">) </w:t>
      </w:r>
      <w:r>
        <w:rPr>
          <w:lang w:val="es-ES"/>
        </w:rPr>
        <w:t>talleres de capacitaciones a empleados de las instituciones para transversalizar género</w:t>
      </w:r>
      <w:r w:rsidR="003A0735">
        <w:rPr>
          <w:lang w:val="es-ES"/>
        </w:rPr>
        <w:t xml:space="preserve"> en sus proyectos; </w:t>
      </w:r>
      <w:r w:rsidR="00FA07C6">
        <w:rPr>
          <w:lang w:val="es-ES"/>
        </w:rPr>
        <w:br/>
      </w:r>
      <w:r w:rsidR="009D493B">
        <w:rPr>
          <w:lang w:val="es-ES"/>
        </w:rPr>
        <w:t>(ii</w:t>
      </w:r>
      <w:r w:rsidR="003A0735">
        <w:rPr>
          <w:lang w:val="es-ES"/>
        </w:rPr>
        <w:t xml:space="preserve">) </w:t>
      </w:r>
      <w:r w:rsidR="009D493B" w:rsidRPr="009D493B">
        <w:rPr>
          <w:lang w:val="es-ES_tradnl"/>
        </w:rPr>
        <w:t>actividades</w:t>
      </w:r>
      <w:r w:rsidR="009D493B" w:rsidRPr="00FA453E">
        <w:rPr>
          <w:lang w:val="es-ES_tradnl"/>
        </w:rPr>
        <w:t xml:space="preserve"> </w:t>
      </w:r>
      <w:r>
        <w:rPr>
          <w:lang w:val="es-ES"/>
        </w:rPr>
        <w:t xml:space="preserve">que </w:t>
      </w:r>
      <w:r w:rsidR="009D493B">
        <w:rPr>
          <w:lang w:val="es-ES"/>
        </w:rPr>
        <w:t xml:space="preserve">permitan </w:t>
      </w:r>
      <w:r>
        <w:rPr>
          <w:lang w:val="es-ES"/>
        </w:rPr>
        <w:t xml:space="preserve">fomentar una mayor participación femenina en puestos técnicos y de </w:t>
      </w:r>
      <w:r w:rsidR="003A0735">
        <w:rPr>
          <w:lang w:val="es-ES"/>
        </w:rPr>
        <w:t>liderazgo de las instituciones</w:t>
      </w:r>
      <w:r w:rsidR="00FA453E">
        <w:rPr>
          <w:rStyle w:val="FootnoteReference"/>
          <w:lang w:val="es-ES"/>
        </w:rPr>
        <w:footnoteReference w:id="16"/>
      </w:r>
      <w:r w:rsidR="003A0735">
        <w:rPr>
          <w:lang w:val="es-ES"/>
        </w:rPr>
        <w:t xml:space="preserve">; </w:t>
      </w:r>
      <w:r w:rsidR="009D493B">
        <w:rPr>
          <w:lang w:val="es-ES"/>
        </w:rPr>
        <w:t>y (iii</w:t>
      </w:r>
      <w:r w:rsidR="003A0735">
        <w:rPr>
          <w:lang w:val="es-ES"/>
        </w:rPr>
        <w:t>)</w:t>
      </w:r>
      <w:r>
        <w:rPr>
          <w:lang w:val="es-ES"/>
        </w:rPr>
        <w:t xml:space="preserve"> programa de pasantías para mujeres estudiantes en carreras científicas, ingenieriles o técnicas afines al sector energético.  Se espera </w:t>
      </w:r>
      <w:r w:rsidR="003A0735">
        <w:rPr>
          <w:lang w:val="es-ES"/>
        </w:rPr>
        <w:t>que,</w:t>
      </w:r>
      <w:r>
        <w:rPr>
          <w:lang w:val="es-ES"/>
        </w:rPr>
        <w:t xml:space="preserve"> a través de este PAG, el MEER </w:t>
      </w:r>
      <w:r w:rsidR="003A0735">
        <w:rPr>
          <w:lang w:val="es-ES"/>
        </w:rPr>
        <w:t xml:space="preserve">pueda contar con una estrategia completa que les permita </w:t>
      </w:r>
      <w:r w:rsidR="00931135">
        <w:rPr>
          <w:lang w:val="es-ES"/>
        </w:rPr>
        <w:t>definir y alcanzar objetivos claros en términos</w:t>
      </w:r>
      <w:r w:rsidR="00E45792">
        <w:rPr>
          <w:lang w:val="es-ES"/>
        </w:rPr>
        <w:t xml:space="preserve"> de género.</w:t>
      </w:r>
    </w:p>
    <w:p w:rsidR="00E45792" w:rsidRPr="00E45792" w:rsidRDefault="00E45792" w:rsidP="00E45792">
      <w:pPr>
        <w:jc w:val="both"/>
        <w:rPr>
          <w:u w:val="single"/>
          <w:lang w:val="pt-BR"/>
        </w:rPr>
      </w:pPr>
      <w:r w:rsidRPr="00E45792">
        <w:rPr>
          <w:u w:val="single"/>
          <w:lang w:val="pt-BR"/>
        </w:rPr>
        <w:t>Indicador e hitos de género</w:t>
      </w:r>
    </w:p>
    <w:tbl>
      <w:tblPr>
        <w:tblStyle w:val="TableGrid"/>
        <w:tblW w:w="9720" w:type="dxa"/>
        <w:tblInd w:w="-275" w:type="dxa"/>
        <w:tblLayout w:type="fixed"/>
        <w:tblLook w:val="04A0" w:firstRow="1" w:lastRow="0" w:firstColumn="1" w:lastColumn="0" w:noHBand="0" w:noVBand="1"/>
      </w:tblPr>
      <w:tblGrid>
        <w:gridCol w:w="1890"/>
        <w:gridCol w:w="1080"/>
        <w:gridCol w:w="1170"/>
        <w:gridCol w:w="810"/>
        <w:gridCol w:w="630"/>
        <w:gridCol w:w="630"/>
        <w:gridCol w:w="630"/>
        <w:gridCol w:w="630"/>
        <w:gridCol w:w="630"/>
        <w:gridCol w:w="1620"/>
      </w:tblGrid>
      <w:tr w:rsidR="00E45792" w:rsidRPr="00C57859" w:rsidTr="00E51872">
        <w:tc>
          <w:tcPr>
            <w:tcW w:w="1890" w:type="dxa"/>
            <w:vMerge w:val="restart"/>
            <w:shd w:val="clear" w:color="auto" w:fill="44546A" w:themeFill="text2"/>
          </w:tcPr>
          <w:p w:rsidR="00E45792" w:rsidRPr="00E51872" w:rsidRDefault="00E45792" w:rsidP="00E8755D">
            <w:pPr>
              <w:jc w:val="center"/>
              <w:rPr>
                <w:b/>
                <w:color w:val="FFFFFF" w:themeColor="background1"/>
                <w:sz w:val="18"/>
                <w:szCs w:val="18"/>
                <w:lang w:val="es-ES"/>
              </w:rPr>
            </w:pPr>
            <w:r w:rsidRPr="00E51872">
              <w:rPr>
                <w:b/>
                <w:color w:val="FFFFFF" w:themeColor="background1"/>
                <w:sz w:val="18"/>
                <w:szCs w:val="18"/>
                <w:lang w:val="es-ES"/>
              </w:rPr>
              <w:t>Producto/ hitos</w:t>
            </w:r>
          </w:p>
        </w:tc>
        <w:tc>
          <w:tcPr>
            <w:tcW w:w="1080" w:type="dxa"/>
            <w:vMerge w:val="restart"/>
            <w:shd w:val="clear" w:color="auto" w:fill="44546A" w:themeFill="text2"/>
          </w:tcPr>
          <w:p w:rsidR="00E45792" w:rsidRPr="00E51872" w:rsidRDefault="00E45792" w:rsidP="00E8755D">
            <w:pPr>
              <w:jc w:val="center"/>
              <w:rPr>
                <w:b/>
                <w:color w:val="FFFFFF" w:themeColor="background1"/>
                <w:sz w:val="18"/>
                <w:szCs w:val="18"/>
                <w:lang w:val="es-ES"/>
              </w:rPr>
            </w:pPr>
            <w:r w:rsidRPr="00E51872">
              <w:rPr>
                <w:b/>
                <w:color w:val="FFFFFF" w:themeColor="background1"/>
                <w:sz w:val="18"/>
                <w:szCs w:val="18"/>
                <w:lang w:val="es-ES"/>
              </w:rPr>
              <w:t>Costo estimado (US$)</w:t>
            </w:r>
          </w:p>
        </w:tc>
        <w:tc>
          <w:tcPr>
            <w:tcW w:w="1170" w:type="dxa"/>
            <w:vMerge w:val="restart"/>
            <w:shd w:val="clear" w:color="auto" w:fill="44546A" w:themeFill="text2"/>
          </w:tcPr>
          <w:p w:rsidR="00E45792" w:rsidRPr="00E51872" w:rsidRDefault="00E45792" w:rsidP="00E8755D">
            <w:pPr>
              <w:jc w:val="center"/>
              <w:rPr>
                <w:b/>
                <w:color w:val="FFFFFF" w:themeColor="background1"/>
                <w:sz w:val="18"/>
                <w:szCs w:val="18"/>
                <w:lang w:val="es-ES"/>
              </w:rPr>
            </w:pPr>
            <w:r w:rsidRPr="00E51872">
              <w:rPr>
                <w:b/>
                <w:color w:val="FFFFFF" w:themeColor="background1"/>
                <w:sz w:val="18"/>
                <w:szCs w:val="18"/>
                <w:lang w:val="es-ES"/>
              </w:rPr>
              <w:t>Unidad de Medida</w:t>
            </w:r>
          </w:p>
        </w:tc>
        <w:tc>
          <w:tcPr>
            <w:tcW w:w="810" w:type="dxa"/>
            <w:vMerge w:val="restart"/>
            <w:shd w:val="clear" w:color="auto" w:fill="44546A" w:themeFill="text2"/>
          </w:tcPr>
          <w:p w:rsidR="00E45792" w:rsidRPr="00E51872" w:rsidRDefault="00E45792" w:rsidP="00E8755D">
            <w:pPr>
              <w:jc w:val="center"/>
              <w:rPr>
                <w:b/>
                <w:color w:val="FFFFFF" w:themeColor="background1"/>
                <w:sz w:val="18"/>
                <w:szCs w:val="18"/>
                <w:lang w:val="es-ES"/>
              </w:rPr>
            </w:pPr>
            <w:r w:rsidRPr="00E51872">
              <w:rPr>
                <w:b/>
                <w:color w:val="FFFFFF" w:themeColor="background1"/>
                <w:sz w:val="18"/>
                <w:szCs w:val="18"/>
                <w:lang w:val="es-ES"/>
              </w:rPr>
              <w:t>Línea de Base 2017</w:t>
            </w:r>
          </w:p>
        </w:tc>
        <w:tc>
          <w:tcPr>
            <w:tcW w:w="3150" w:type="dxa"/>
            <w:gridSpan w:val="5"/>
            <w:shd w:val="clear" w:color="auto" w:fill="44546A" w:themeFill="text2"/>
          </w:tcPr>
          <w:p w:rsidR="00E45792" w:rsidRPr="00E51872" w:rsidRDefault="00E45792" w:rsidP="00E8755D">
            <w:pPr>
              <w:jc w:val="center"/>
              <w:rPr>
                <w:b/>
                <w:color w:val="FFFFFF" w:themeColor="background1"/>
                <w:sz w:val="18"/>
                <w:szCs w:val="18"/>
                <w:lang w:val="es-ES"/>
              </w:rPr>
            </w:pPr>
            <w:r w:rsidRPr="00E51872">
              <w:rPr>
                <w:b/>
                <w:color w:val="FFFFFF" w:themeColor="background1"/>
                <w:sz w:val="18"/>
                <w:szCs w:val="18"/>
                <w:lang w:val="es-ES"/>
              </w:rPr>
              <w:t xml:space="preserve">Año </w:t>
            </w:r>
          </w:p>
        </w:tc>
        <w:tc>
          <w:tcPr>
            <w:tcW w:w="1620" w:type="dxa"/>
            <w:vMerge w:val="restart"/>
            <w:shd w:val="clear" w:color="auto" w:fill="44546A" w:themeFill="text2"/>
          </w:tcPr>
          <w:p w:rsidR="00E45792" w:rsidRPr="00E51872" w:rsidRDefault="00E45792" w:rsidP="00E8755D">
            <w:pPr>
              <w:jc w:val="center"/>
              <w:rPr>
                <w:b/>
                <w:color w:val="FFFFFF" w:themeColor="background1"/>
                <w:sz w:val="18"/>
                <w:szCs w:val="18"/>
                <w:lang w:val="es-ES"/>
              </w:rPr>
            </w:pPr>
            <w:r w:rsidRPr="00E51872">
              <w:rPr>
                <w:b/>
                <w:color w:val="FFFFFF" w:themeColor="background1"/>
                <w:sz w:val="18"/>
                <w:szCs w:val="18"/>
                <w:lang w:val="es-ES"/>
              </w:rPr>
              <w:t>Medio de Verificación</w:t>
            </w:r>
          </w:p>
        </w:tc>
      </w:tr>
      <w:tr w:rsidR="00E45792" w:rsidRPr="00C57859" w:rsidTr="00E51872">
        <w:tc>
          <w:tcPr>
            <w:tcW w:w="1890" w:type="dxa"/>
            <w:vMerge/>
          </w:tcPr>
          <w:p w:rsidR="00E45792" w:rsidRPr="00C57859" w:rsidRDefault="00E45792" w:rsidP="00E8755D">
            <w:pPr>
              <w:jc w:val="center"/>
              <w:rPr>
                <w:b/>
                <w:sz w:val="18"/>
                <w:szCs w:val="18"/>
                <w:lang w:val="es-ES"/>
              </w:rPr>
            </w:pPr>
          </w:p>
        </w:tc>
        <w:tc>
          <w:tcPr>
            <w:tcW w:w="1080" w:type="dxa"/>
            <w:vMerge/>
          </w:tcPr>
          <w:p w:rsidR="00E45792" w:rsidRPr="00C57859" w:rsidRDefault="00E45792" w:rsidP="00E8755D">
            <w:pPr>
              <w:jc w:val="center"/>
              <w:rPr>
                <w:b/>
                <w:sz w:val="18"/>
                <w:szCs w:val="18"/>
                <w:lang w:val="es-ES"/>
              </w:rPr>
            </w:pPr>
          </w:p>
        </w:tc>
        <w:tc>
          <w:tcPr>
            <w:tcW w:w="1170" w:type="dxa"/>
            <w:vMerge/>
          </w:tcPr>
          <w:p w:rsidR="00E45792" w:rsidRPr="00C57859" w:rsidRDefault="00E45792" w:rsidP="00E8755D">
            <w:pPr>
              <w:jc w:val="center"/>
              <w:rPr>
                <w:b/>
                <w:sz w:val="18"/>
                <w:szCs w:val="18"/>
                <w:lang w:val="es-ES"/>
              </w:rPr>
            </w:pPr>
          </w:p>
        </w:tc>
        <w:tc>
          <w:tcPr>
            <w:tcW w:w="810" w:type="dxa"/>
            <w:vMerge/>
          </w:tcPr>
          <w:p w:rsidR="00E45792" w:rsidRPr="00C57859" w:rsidRDefault="00E45792" w:rsidP="00E8755D">
            <w:pPr>
              <w:jc w:val="center"/>
              <w:rPr>
                <w:b/>
                <w:sz w:val="18"/>
                <w:szCs w:val="18"/>
                <w:lang w:val="es-ES"/>
              </w:rPr>
            </w:pPr>
          </w:p>
        </w:tc>
        <w:tc>
          <w:tcPr>
            <w:tcW w:w="630" w:type="dxa"/>
            <w:shd w:val="clear" w:color="auto" w:fill="44546A" w:themeFill="text2"/>
          </w:tcPr>
          <w:p w:rsidR="00E45792" w:rsidRPr="00E51872" w:rsidRDefault="00E45792" w:rsidP="00E8755D">
            <w:pPr>
              <w:jc w:val="center"/>
              <w:rPr>
                <w:b/>
                <w:color w:val="FFFFFF" w:themeColor="background1"/>
                <w:sz w:val="18"/>
                <w:szCs w:val="18"/>
                <w:lang w:val="es-ES"/>
              </w:rPr>
            </w:pPr>
            <w:r w:rsidRPr="00E51872">
              <w:rPr>
                <w:b/>
                <w:color w:val="FFFFFF" w:themeColor="background1"/>
                <w:sz w:val="18"/>
                <w:szCs w:val="18"/>
                <w:lang w:val="es-ES"/>
              </w:rPr>
              <w:t>2018</w:t>
            </w:r>
          </w:p>
        </w:tc>
        <w:tc>
          <w:tcPr>
            <w:tcW w:w="630" w:type="dxa"/>
            <w:shd w:val="clear" w:color="auto" w:fill="44546A" w:themeFill="text2"/>
          </w:tcPr>
          <w:p w:rsidR="00E45792" w:rsidRPr="00E51872" w:rsidRDefault="00E45792" w:rsidP="00E8755D">
            <w:pPr>
              <w:jc w:val="center"/>
              <w:rPr>
                <w:b/>
                <w:color w:val="FFFFFF" w:themeColor="background1"/>
                <w:sz w:val="18"/>
                <w:szCs w:val="18"/>
                <w:lang w:val="es-ES"/>
              </w:rPr>
            </w:pPr>
            <w:r w:rsidRPr="00E51872">
              <w:rPr>
                <w:b/>
                <w:color w:val="FFFFFF" w:themeColor="background1"/>
                <w:sz w:val="18"/>
                <w:szCs w:val="18"/>
                <w:lang w:val="es-ES"/>
              </w:rPr>
              <w:t>2019</w:t>
            </w:r>
          </w:p>
        </w:tc>
        <w:tc>
          <w:tcPr>
            <w:tcW w:w="630" w:type="dxa"/>
            <w:shd w:val="clear" w:color="auto" w:fill="44546A" w:themeFill="text2"/>
          </w:tcPr>
          <w:p w:rsidR="00E45792" w:rsidRPr="00E51872" w:rsidRDefault="00E45792" w:rsidP="00E8755D">
            <w:pPr>
              <w:jc w:val="center"/>
              <w:rPr>
                <w:b/>
                <w:color w:val="FFFFFF" w:themeColor="background1"/>
                <w:sz w:val="18"/>
                <w:szCs w:val="18"/>
                <w:lang w:val="es-ES"/>
              </w:rPr>
            </w:pPr>
            <w:r w:rsidRPr="00E51872">
              <w:rPr>
                <w:b/>
                <w:color w:val="FFFFFF" w:themeColor="background1"/>
                <w:sz w:val="18"/>
                <w:szCs w:val="18"/>
                <w:lang w:val="es-ES"/>
              </w:rPr>
              <w:t>2020</w:t>
            </w:r>
          </w:p>
        </w:tc>
        <w:tc>
          <w:tcPr>
            <w:tcW w:w="630" w:type="dxa"/>
            <w:shd w:val="clear" w:color="auto" w:fill="44546A" w:themeFill="text2"/>
          </w:tcPr>
          <w:p w:rsidR="00E45792" w:rsidRPr="00E51872" w:rsidRDefault="00E45792" w:rsidP="00E8755D">
            <w:pPr>
              <w:jc w:val="center"/>
              <w:rPr>
                <w:b/>
                <w:color w:val="FFFFFF" w:themeColor="background1"/>
                <w:sz w:val="18"/>
                <w:szCs w:val="18"/>
                <w:lang w:val="es-ES"/>
              </w:rPr>
            </w:pPr>
            <w:r w:rsidRPr="00E51872">
              <w:rPr>
                <w:b/>
                <w:color w:val="FFFFFF" w:themeColor="background1"/>
                <w:sz w:val="18"/>
                <w:szCs w:val="18"/>
                <w:lang w:val="es-ES"/>
              </w:rPr>
              <w:t>2021</w:t>
            </w:r>
          </w:p>
        </w:tc>
        <w:tc>
          <w:tcPr>
            <w:tcW w:w="630" w:type="dxa"/>
            <w:shd w:val="clear" w:color="auto" w:fill="44546A" w:themeFill="text2"/>
          </w:tcPr>
          <w:p w:rsidR="00E45792" w:rsidRPr="00E51872" w:rsidRDefault="00E45792" w:rsidP="00E8755D">
            <w:pPr>
              <w:jc w:val="center"/>
              <w:rPr>
                <w:b/>
                <w:color w:val="FFFFFF" w:themeColor="background1"/>
                <w:sz w:val="18"/>
                <w:szCs w:val="18"/>
                <w:lang w:val="es-ES"/>
              </w:rPr>
            </w:pPr>
            <w:r w:rsidRPr="00E51872">
              <w:rPr>
                <w:b/>
                <w:color w:val="FFFFFF" w:themeColor="background1"/>
                <w:sz w:val="18"/>
                <w:szCs w:val="18"/>
                <w:lang w:val="es-ES"/>
              </w:rPr>
              <w:t>2022</w:t>
            </w:r>
          </w:p>
        </w:tc>
        <w:tc>
          <w:tcPr>
            <w:tcW w:w="1620" w:type="dxa"/>
            <w:vMerge/>
          </w:tcPr>
          <w:p w:rsidR="00E45792" w:rsidRPr="00C57859" w:rsidRDefault="00E45792" w:rsidP="00E8755D">
            <w:pPr>
              <w:jc w:val="center"/>
              <w:rPr>
                <w:b/>
                <w:sz w:val="18"/>
                <w:szCs w:val="18"/>
                <w:lang w:val="es-ES"/>
              </w:rPr>
            </w:pPr>
          </w:p>
        </w:tc>
      </w:tr>
      <w:tr w:rsidR="00E45792" w:rsidRPr="00277867" w:rsidTr="00E51872">
        <w:tc>
          <w:tcPr>
            <w:tcW w:w="1890" w:type="dxa"/>
            <w:shd w:val="clear" w:color="auto" w:fill="B4C6E7" w:themeFill="accent1" w:themeFillTint="66"/>
          </w:tcPr>
          <w:p w:rsidR="00E45792" w:rsidRPr="00C57859" w:rsidRDefault="00E45792" w:rsidP="00E8755D">
            <w:pPr>
              <w:jc w:val="both"/>
              <w:rPr>
                <w:sz w:val="18"/>
                <w:szCs w:val="18"/>
                <w:lang w:val="es-ES"/>
              </w:rPr>
            </w:pPr>
            <w:r w:rsidRPr="00C57859">
              <w:rPr>
                <w:sz w:val="18"/>
                <w:szCs w:val="18"/>
                <w:lang w:val="es-ES"/>
              </w:rPr>
              <w:t>Estrategia para promover la igualdad de género en el sector eléctrico, aprobada</w:t>
            </w:r>
          </w:p>
        </w:tc>
        <w:tc>
          <w:tcPr>
            <w:tcW w:w="1080" w:type="dxa"/>
            <w:shd w:val="clear" w:color="auto" w:fill="B4C6E7" w:themeFill="accent1" w:themeFillTint="66"/>
          </w:tcPr>
          <w:p w:rsidR="00E45792" w:rsidRPr="00C57859" w:rsidRDefault="00E45792" w:rsidP="00E8755D">
            <w:pPr>
              <w:jc w:val="center"/>
              <w:rPr>
                <w:sz w:val="18"/>
                <w:szCs w:val="18"/>
                <w:lang w:val="es-ES"/>
              </w:rPr>
            </w:pPr>
            <w:r w:rsidRPr="00C57859">
              <w:rPr>
                <w:sz w:val="18"/>
                <w:szCs w:val="18"/>
                <w:lang w:val="es-ES"/>
              </w:rPr>
              <w:t>600</w:t>
            </w:r>
            <w:r w:rsidR="00C3608B">
              <w:rPr>
                <w:sz w:val="18"/>
                <w:szCs w:val="18"/>
                <w:lang w:val="es-ES"/>
              </w:rPr>
              <w:t>.</w:t>
            </w:r>
            <w:r w:rsidRPr="00C57859">
              <w:rPr>
                <w:sz w:val="18"/>
                <w:szCs w:val="18"/>
                <w:lang w:val="es-ES"/>
              </w:rPr>
              <w:t>000</w:t>
            </w:r>
          </w:p>
        </w:tc>
        <w:tc>
          <w:tcPr>
            <w:tcW w:w="1170" w:type="dxa"/>
            <w:shd w:val="clear" w:color="auto" w:fill="B4C6E7" w:themeFill="accent1" w:themeFillTint="66"/>
          </w:tcPr>
          <w:p w:rsidR="00E45792" w:rsidRPr="00C57859" w:rsidRDefault="00E45792" w:rsidP="00E8755D">
            <w:pPr>
              <w:jc w:val="center"/>
              <w:rPr>
                <w:sz w:val="18"/>
                <w:szCs w:val="18"/>
                <w:lang w:val="es-ES"/>
              </w:rPr>
            </w:pPr>
            <w:r w:rsidRPr="00C57859">
              <w:rPr>
                <w:sz w:val="18"/>
                <w:szCs w:val="18"/>
                <w:lang w:val="es-ES"/>
              </w:rPr>
              <w:t>Estrategia desarrollada y aprobada por el MEER</w:t>
            </w:r>
          </w:p>
        </w:tc>
        <w:tc>
          <w:tcPr>
            <w:tcW w:w="810" w:type="dxa"/>
            <w:shd w:val="clear" w:color="auto" w:fill="B4C6E7" w:themeFill="accent1" w:themeFillTint="66"/>
          </w:tcPr>
          <w:p w:rsidR="00E45792" w:rsidRPr="00C57859" w:rsidRDefault="00E45792" w:rsidP="00E8755D">
            <w:pPr>
              <w:jc w:val="center"/>
              <w:rPr>
                <w:sz w:val="18"/>
                <w:szCs w:val="18"/>
                <w:lang w:val="es-ES"/>
              </w:rPr>
            </w:pPr>
            <w:r w:rsidRPr="00C57859">
              <w:rPr>
                <w:sz w:val="18"/>
                <w:szCs w:val="18"/>
                <w:lang w:val="es-ES"/>
              </w:rPr>
              <w:t>0</w:t>
            </w:r>
          </w:p>
        </w:tc>
        <w:tc>
          <w:tcPr>
            <w:tcW w:w="630" w:type="dxa"/>
            <w:shd w:val="clear" w:color="auto" w:fill="B4C6E7" w:themeFill="accent1" w:themeFillTint="66"/>
          </w:tcPr>
          <w:p w:rsidR="00E45792" w:rsidRPr="00C57859" w:rsidRDefault="00E45792" w:rsidP="00E8755D">
            <w:pPr>
              <w:jc w:val="center"/>
              <w:rPr>
                <w:sz w:val="18"/>
                <w:szCs w:val="18"/>
                <w:lang w:val="es-ES"/>
              </w:rPr>
            </w:pPr>
            <w:r w:rsidRPr="00C57859">
              <w:rPr>
                <w:sz w:val="18"/>
                <w:szCs w:val="18"/>
                <w:lang w:val="es-ES"/>
              </w:rPr>
              <w:t>0</w:t>
            </w:r>
          </w:p>
        </w:tc>
        <w:tc>
          <w:tcPr>
            <w:tcW w:w="630" w:type="dxa"/>
            <w:shd w:val="clear" w:color="auto" w:fill="B4C6E7" w:themeFill="accent1" w:themeFillTint="66"/>
          </w:tcPr>
          <w:p w:rsidR="00E45792" w:rsidRPr="00C57859" w:rsidRDefault="00A3505C" w:rsidP="00E8755D">
            <w:pPr>
              <w:jc w:val="center"/>
              <w:rPr>
                <w:sz w:val="18"/>
                <w:szCs w:val="18"/>
                <w:lang w:val="es-ES"/>
              </w:rPr>
            </w:pPr>
            <w:r>
              <w:rPr>
                <w:sz w:val="18"/>
                <w:szCs w:val="18"/>
                <w:lang w:val="es-ES"/>
              </w:rPr>
              <w:t>1</w:t>
            </w:r>
          </w:p>
        </w:tc>
        <w:tc>
          <w:tcPr>
            <w:tcW w:w="630" w:type="dxa"/>
            <w:shd w:val="clear" w:color="auto" w:fill="B4C6E7" w:themeFill="accent1" w:themeFillTint="66"/>
          </w:tcPr>
          <w:p w:rsidR="00E45792" w:rsidRPr="00C57859" w:rsidRDefault="00A3505C" w:rsidP="00E8755D">
            <w:pPr>
              <w:jc w:val="center"/>
              <w:rPr>
                <w:sz w:val="18"/>
                <w:szCs w:val="18"/>
                <w:lang w:val="es-ES"/>
              </w:rPr>
            </w:pPr>
            <w:r>
              <w:rPr>
                <w:sz w:val="18"/>
                <w:szCs w:val="18"/>
                <w:lang w:val="es-ES"/>
              </w:rPr>
              <w:t>0</w:t>
            </w:r>
          </w:p>
        </w:tc>
        <w:tc>
          <w:tcPr>
            <w:tcW w:w="630" w:type="dxa"/>
            <w:shd w:val="clear" w:color="auto" w:fill="B4C6E7" w:themeFill="accent1" w:themeFillTint="66"/>
          </w:tcPr>
          <w:p w:rsidR="00E45792" w:rsidRPr="00C57859" w:rsidRDefault="00E45792" w:rsidP="00E8755D">
            <w:pPr>
              <w:jc w:val="center"/>
              <w:rPr>
                <w:sz w:val="18"/>
                <w:szCs w:val="18"/>
                <w:lang w:val="es-ES"/>
              </w:rPr>
            </w:pPr>
            <w:r w:rsidRPr="00C57859">
              <w:rPr>
                <w:sz w:val="18"/>
                <w:szCs w:val="18"/>
                <w:lang w:val="es-ES"/>
              </w:rPr>
              <w:t>0</w:t>
            </w:r>
          </w:p>
        </w:tc>
        <w:tc>
          <w:tcPr>
            <w:tcW w:w="630" w:type="dxa"/>
            <w:shd w:val="clear" w:color="auto" w:fill="B4C6E7" w:themeFill="accent1" w:themeFillTint="66"/>
          </w:tcPr>
          <w:p w:rsidR="00E45792" w:rsidRPr="00C57859" w:rsidRDefault="00E45792" w:rsidP="00E8755D">
            <w:pPr>
              <w:jc w:val="center"/>
              <w:rPr>
                <w:sz w:val="18"/>
                <w:szCs w:val="18"/>
                <w:lang w:val="es-ES"/>
              </w:rPr>
            </w:pPr>
            <w:r w:rsidRPr="00C57859">
              <w:rPr>
                <w:sz w:val="18"/>
                <w:szCs w:val="18"/>
                <w:lang w:val="es-ES"/>
              </w:rPr>
              <w:t>0</w:t>
            </w:r>
          </w:p>
        </w:tc>
        <w:tc>
          <w:tcPr>
            <w:tcW w:w="1620" w:type="dxa"/>
            <w:shd w:val="clear" w:color="auto" w:fill="B4C6E7" w:themeFill="accent1" w:themeFillTint="66"/>
          </w:tcPr>
          <w:p w:rsidR="00E45792" w:rsidRPr="00C57859" w:rsidRDefault="00E45792" w:rsidP="00E8755D">
            <w:pPr>
              <w:jc w:val="both"/>
              <w:rPr>
                <w:sz w:val="18"/>
                <w:szCs w:val="18"/>
                <w:lang w:val="es-ES"/>
              </w:rPr>
            </w:pPr>
            <w:r w:rsidRPr="00C57859">
              <w:rPr>
                <w:sz w:val="18"/>
                <w:szCs w:val="18"/>
                <w:lang w:val="es-ES"/>
              </w:rPr>
              <w:t>Reporte de avance del proyecto</w:t>
            </w:r>
          </w:p>
        </w:tc>
      </w:tr>
      <w:tr w:rsidR="00E45792" w:rsidRPr="00277867" w:rsidTr="00E45792">
        <w:tc>
          <w:tcPr>
            <w:tcW w:w="1890" w:type="dxa"/>
          </w:tcPr>
          <w:p w:rsidR="00E45792" w:rsidRPr="00C57859" w:rsidRDefault="00E45792" w:rsidP="00E8755D">
            <w:pPr>
              <w:ind w:left="245"/>
              <w:rPr>
                <w:sz w:val="18"/>
                <w:szCs w:val="18"/>
                <w:lang w:val="es-ES"/>
              </w:rPr>
            </w:pPr>
            <w:r w:rsidRPr="00C57859">
              <w:rPr>
                <w:sz w:val="18"/>
                <w:szCs w:val="18"/>
                <w:lang w:val="es-ES"/>
              </w:rPr>
              <w:t>Diagnóstico de género realizado</w:t>
            </w:r>
          </w:p>
        </w:tc>
        <w:tc>
          <w:tcPr>
            <w:tcW w:w="1080" w:type="dxa"/>
          </w:tcPr>
          <w:p w:rsidR="00E45792" w:rsidRPr="00C57859" w:rsidRDefault="009D493B" w:rsidP="00E8755D">
            <w:pPr>
              <w:jc w:val="center"/>
              <w:rPr>
                <w:sz w:val="18"/>
                <w:szCs w:val="18"/>
                <w:lang w:val="es-ES"/>
              </w:rPr>
            </w:pPr>
            <w:r>
              <w:rPr>
                <w:sz w:val="18"/>
                <w:szCs w:val="18"/>
                <w:lang w:val="es-ES"/>
              </w:rPr>
              <w:t>350</w:t>
            </w:r>
            <w:r w:rsidR="00C3608B">
              <w:rPr>
                <w:sz w:val="18"/>
                <w:szCs w:val="18"/>
                <w:lang w:val="es-ES"/>
              </w:rPr>
              <w:t>.</w:t>
            </w:r>
            <w:r w:rsidR="00E45792" w:rsidRPr="00C57859">
              <w:rPr>
                <w:sz w:val="18"/>
                <w:szCs w:val="18"/>
                <w:lang w:val="es-ES"/>
              </w:rPr>
              <w:t>000</w:t>
            </w:r>
          </w:p>
        </w:tc>
        <w:tc>
          <w:tcPr>
            <w:tcW w:w="1170" w:type="dxa"/>
          </w:tcPr>
          <w:p w:rsidR="00E45792" w:rsidRPr="00C57859" w:rsidRDefault="00E45792" w:rsidP="00E8755D">
            <w:pPr>
              <w:jc w:val="center"/>
              <w:rPr>
                <w:sz w:val="18"/>
                <w:szCs w:val="18"/>
                <w:lang w:val="es-ES"/>
              </w:rPr>
            </w:pPr>
            <w:r w:rsidRPr="00C57859">
              <w:rPr>
                <w:sz w:val="18"/>
                <w:szCs w:val="18"/>
                <w:lang w:val="es-ES"/>
              </w:rPr>
              <w:t>Diagnóstico</w:t>
            </w:r>
          </w:p>
        </w:tc>
        <w:tc>
          <w:tcPr>
            <w:tcW w:w="810" w:type="dxa"/>
          </w:tcPr>
          <w:p w:rsidR="00E45792" w:rsidRPr="00C57859" w:rsidRDefault="00E45792" w:rsidP="00E8755D">
            <w:pPr>
              <w:jc w:val="center"/>
              <w:rPr>
                <w:sz w:val="18"/>
                <w:szCs w:val="18"/>
                <w:lang w:val="es-ES"/>
              </w:rPr>
            </w:pPr>
            <w:r w:rsidRPr="00C57859">
              <w:rPr>
                <w:sz w:val="18"/>
                <w:szCs w:val="18"/>
                <w:lang w:val="es-ES"/>
              </w:rPr>
              <w:t>0</w:t>
            </w:r>
          </w:p>
        </w:tc>
        <w:tc>
          <w:tcPr>
            <w:tcW w:w="630" w:type="dxa"/>
          </w:tcPr>
          <w:p w:rsidR="00E45792" w:rsidRPr="00C57859" w:rsidRDefault="00A3505C" w:rsidP="00E8755D">
            <w:pPr>
              <w:jc w:val="center"/>
              <w:rPr>
                <w:sz w:val="18"/>
                <w:szCs w:val="18"/>
                <w:lang w:val="es-ES"/>
              </w:rPr>
            </w:pPr>
            <w:r>
              <w:rPr>
                <w:sz w:val="18"/>
                <w:szCs w:val="18"/>
                <w:lang w:val="es-ES"/>
              </w:rPr>
              <w:t>1</w:t>
            </w:r>
          </w:p>
        </w:tc>
        <w:tc>
          <w:tcPr>
            <w:tcW w:w="630" w:type="dxa"/>
          </w:tcPr>
          <w:p w:rsidR="00E45792" w:rsidRPr="00C57859" w:rsidRDefault="00A3505C" w:rsidP="00E8755D">
            <w:pPr>
              <w:jc w:val="center"/>
              <w:rPr>
                <w:sz w:val="18"/>
                <w:szCs w:val="18"/>
                <w:lang w:val="es-ES"/>
              </w:rPr>
            </w:pPr>
            <w:r>
              <w:rPr>
                <w:sz w:val="18"/>
                <w:szCs w:val="18"/>
                <w:lang w:val="es-ES"/>
              </w:rPr>
              <w:t>0</w:t>
            </w:r>
          </w:p>
        </w:tc>
        <w:tc>
          <w:tcPr>
            <w:tcW w:w="630" w:type="dxa"/>
          </w:tcPr>
          <w:p w:rsidR="00E45792" w:rsidRPr="00C57859" w:rsidRDefault="00E45792" w:rsidP="00E8755D">
            <w:pPr>
              <w:jc w:val="center"/>
              <w:rPr>
                <w:sz w:val="18"/>
                <w:szCs w:val="18"/>
                <w:lang w:val="es-ES"/>
              </w:rPr>
            </w:pPr>
            <w:r w:rsidRPr="00C57859">
              <w:rPr>
                <w:sz w:val="18"/>
                <w:szCs w:val="18"/>
                <w:lang w:val="es-ES"/>
              </w:rPr>
              <w:t>0</w:t>
            </w:r>
          </w:p>
        </w:tc>
        <w:tc>
          <w:tcPr>
            <w:tcW w:w="630" w:type="dxa"/>
          </w:tcPr>
          <w:p w:rsidR="00E45792" w:rsidRPr="00C57859" w:rsidRDefault="00E45792" w:rsidP="00E8755D">
            <w:pPr>
              <w:jc w:val="center"/>
              <w:rPr>
                <w:sz w:val="18"/>
                <w:szCs w:val="18"/>
                <w:lang w:val="es-ES"/>
              </w:rPr>
            </w:pPr>
            <w:r w:rsidRPr="00C57859">
              <w:rPr>
                <w:sz w:val="18"/>
                <w:szCs w:val="18"/>
                <w:lang w:val="es-ES"/>
              </w:rPr>
              <w:t>0</w:t>
            </w:r>
          </w:p>
        </w:tc>
        <w:tc>
          <w:tcPr>
            <w:tcW w:w="630" w:type="dxa"/>
          </w:tcPr>
          <w:p w:rsidR="00E45792" w:rsidRPr="00C57859" w:rsidRDefault="00E45792" w:rsidP="00E8755D">
            <w:pPr>
              <w:jc w:val="center"/>
              <w:rPr>
                <w:sz w:val="18"/>
                <w:szCs w:val="18"/>
                <w:lang w:val="es-ES"/>
              </w:rPr>
            </w:pPr>
            <w:r w:rsidRPr="00C57859">
              <w:rPr>
                <w:sz w:val="18"/>
                <w:szCs w:val="18"/>
                <w:lang w:val="es-ES"/>
              </w:rPr>
              <w:t>0</w:t>
            </w:r>
          </w:p>
        </w:tc>
        <w:tc>
          <w:tcPr>
            <w:tcW w:w="1620" w:type="dxa"/>
          </w:tcPr>
          <w:p w:rsidR="00E45792" w:rsidRPr="00C57859" w:rsidRDefault="00E45792" w:rsidP="00E8755D">
            <w:pPr>
              <w:jc w:val="both"/>
              <w:rPr>
                <w:sz w:val="18"/>
                <w:szCs w:val="18"/>
                <w:lang w:val="es-ES"/>
              </w:rPr>
            </w:pPr>
            <w:r w:rsidRPr="00C57859">
              <w:rPr>
                <w:sz w:val="18"/>
                <w:szCs w:val="18"/>
                <w:lang w:val="es-ES"/>
              </w:rPr>
              <w:t>Reporte de avance del proyecto</w:t>
            </w:r>
          </w:p>
        </w:tc>
      </w:tr>
      <w:tr w:rsidR="00E45792" w:rsidRPr="00277867" w:rsidTr="00E45792">
        <w:tc>
          <w:tcPr>
            <w:tcW w:w="1890" w:type="dxa"/>
          </w:tcPr>
          <w:p w:rsidR="00E45792" w:rsidRPr="00C57859" w:rsidRDefault="00E45792" w:rsidP="00E8755D">
            <w:pPr>
              <w:ind w:left="245"/>
              <w:rPr>
                <w:sz w:val="18"/>
                <w:szCs w:val="18"/>
                <w:lang w:val="es-ES"/>
              </w:rPr>
            </w:pPr>
            <w:r w:rsidRPr="00C57859">
              <w:rPr>
                <w:sz w:val="18"/>
                <w:szCs w:val="18"/>
                <w:lang w:val="es-ES"/>
              </w:rPr>
              <w:t>Estudio Análisis de muestra de proyectos realizados</w:t>
            </w:r>
          </w:p>
        </w:tc>
        <w:tc>
          <w:tcPr>
            <w:tcW w:w="1080" w:type="dxa"/>
          </w:tcPr>
          <w:p w:rsidR="00E45792" w:rsidRPr="00C57859" w:rsidRDefault="009D493B" w:rsidP="00E8755D">
            <w:pPr>
              <w:jc w:val="center"/>
              <w:rPr>
                <w:sz w:val="18"/>
                <w:szCs w:val="18"/>
                <w:lang w:val="es-ES"/>
              </w:rPr>
            </w:pPr>
            <w:r>
              <w:rPr>
                <w:sz w:val="18"/>
                <w:szCs w:val="18"/>
                <w:lang w:val="es-ES"/>
              </w:rPr>
              <w:t>5</w:t>
            </w:r>
            <w:r w:rsidR="00E45792" w:rsidRPr="00C57859">
              <w:rPr>
                <w:sz w:val="18"/>
                <w:szCs w:val="18"/>
                <w:lang w:val="es-ES"/>
              </w:rPr>
              <w:t>0</w:t>
            </w:r>
            <w:r w:rsidR="00C3608B">
              <w:rPr>
                <w:sz w:val="18"/>
                <w:szCs w:val="18"/>
                <w:lang w:val="es-ES"/>
              </w:rPr>
              <w:t>.</w:t>
            </w:r>
            <w:r w:rsidR="00E45792" w:rsidRPr="00C57859">
              <w:rPr>
                <w:sz w:val="18"/>
                <w:szCs w:val="18"/>
                <w:lang w:val="es-ES"/>
              </w:rPr>
              <w:t>000</w:t>
            </w:r>
          </w:p>
        </w:tc>
        <w:tc>
          <w:tcPr>
            <w:tcW w:w="1170" w:type="dxa"/>
          </w:tcPr>
          <w:p w:rsidR="00E45792" w:rsidRPr="00C57859" w:rsidRDefault="00E45792" w:rsidP="00E8755D">
            <w:pPr>
              <w:jc w:val="center"/>
              <w:rPr>
                <w:sz w:val="18"/>
                <w:szCs w:val="18"/>
                <w:lang w:val="es-ES"/>
              </w:rPr>
            </w:pPr>
            <w:r w:rsidRPr="00C57859">
              <w:rPr>
                <w:sz w:val="18"/>
                <w:szCs w:val="18"/>
                <w:lang w:val="es-ES"/>
              </w:rPr>
              <w:t>Estudio</w:t>
            </w:r>
          </w:p>
        </w:tc>
        <w:tc>
          <w:tcPr>
            <w:tcW w:w="810" w:type="dxa"/>
          </w:tcPr>
          <w:p w:rsidR="00E45792" w:rsidRPr="00C57859" w:rsidRDefault="00E45792" w:rsidP="00E8755D">
            <w:pPr>
              <w:jc w:val="center"/>
              <w:rPr>
                <w:sz w:val="18"/>
                <w:szCs w:val="18"/>
                <w:lang w:val="es-ES"/>
              </w:rPr>
            </w:pPr>
            <w:r w:rsidRPr="00C57859">
              <w:rPr>
                <w:sz w:val="18"/>
                <w:szCs w:val="18"/>
                <w:lang w:val="es-ES"/>
              </w:rPr>
              <w:t>0</w:t>
            </w:r>
          </w:p>
        </w:tc>
        <w:tc>
          <w:tcPr>
            <w:tcW w:w="630" w:type="dxa"/>
          </w:tcPr>
          <w:p w:rsidR="00E45792" w:rsidRPr="00C57859" w:rsidRDefault="00FA453E" w:rsidP="00E8755D">
            <w:pPr>
              <w:jc w:val="center"/>
              <w:rPr>
                <w:sz w:val="18"/>
                <w:szCs w:val="18"/>
                <w:lang w:val="es-ES"/>
              </w:rPr>
            </w:pPr>
            <w:r>
              <w:rPr>
                <w:sz w:val="18"/>
                <w:szCs w:val="18"/>
                <w:lang w:val="es-ES"/>
              </w:rPr>
              <w:t>1</w:t>
            </w:r>
          </w:p>
        </w:tc>
        <w:tc>
          <w:tcPr>
            <w:tcW w:w="630" w:type="dxa"/>
          </w:tcPr>
          <w:p w:rsidR="00E45792" w:rsidRPr="00C57859" w:rsidRDefault="00FA453E" w:rsidP="00E8755D">
            <w:pPr>
              <w:jc w:val="center"/>
              <w:rPr>
                <w:sz w:val="18"/>
                <w:szCs w:val="18"/>
                <w:lang w:val="es-ES"/>
              </w:rPr>
            </w:pPr>
            <w:r>
              <w:rPr>
                <w:sz w:val="18"/>
                <w:szCs w:val="18"/>
                <w:lang w:val="es-ES"/>
              </w:rPr>
              <w:t>0</w:t>
            </w:r>
          </w:p>
        </w:tc>
        <w:tc>
          <w:tcPr>
            <w:tcW w:w="630" w:type="dxa"/>
          </w:tcPr>
          <w:p w:rsidR="00E45792" w:rsidRPr="00C57859" w:rsidRDefault="00E45792" w:rsidP="00E8755D">
            <w:pPr>
              <w:jc w:val="center"/>
              <w:rPr>
                <w:sz w:val="18"/>
                <w:szCs w:val="18"/>
                <w:lang w:val="es-ES"/>
              </w:rPr>
            </w:pPr>
            <w:r w:rsidRPr="00C57859">
              <w:rPr>
                <w:sz w:val="18"/>
                <w:szCs w:val="18"/>
                <w:lang w:val="es-ES"/>
              </w:rPr>
              <w:t>0</w:t>
            </w:r>
          </w:p>
        </w:tc>
        <w:tc>
          <w:tcPr>
            <w:tcW w:w="630" w:type="dxa"/>
          </w:tcPr>
          <w:p w:rsidR="00E45792" w:rsidRPr="00C57859" w:rsidRDefault="00E45792" w:rsidP="00E8755D">
            <w:pPr>
              <w:jc w:val="center"/>
              <w:rPr>
                <w:sz w:val="18"/>
                <w:szCs w:val="18"/>
                <w:lang w:val="es-ES"/>
              </w:rPr>
            </w:pPr>
            <w:r w:rsidRPr="00C57859">
              <w:rPr>
                <w:sz w:val="18"/>
                <w:szCs w:val="18"/>
                <w:lang w:val="es-ES"/>
              </w:rPr>
              <w:t>0</w:t>
            </w:r>
          </w:p>
        </w:tc>
        <w:tc>
          <w:tcPr>
            <w:tcW w:w="630" w:type="dxa"/>
          </w:tcPr>
          <w:p w:rsidR="00E45792" w:rsidRPr="00C57859" w:rsidRDefault="00E45792" w:rsidP="00E8755D">
            <w:pPr>
              <w:jc w:val="center"/>
              <w:rPr>
                <w:sz w:val="18"/>
                <w:szCs w:val="18"/>
                <w:lang w:val="es-ES"/>
              </w:rPr>
            </w:pPr>
            <w:r w:rsidRPr="00C57859">
              <w:rPr>
                <w:sz w:val="18"/>
                <w:szCs w:val="18"/>
                <w:lang w:val="es-ES"/>
              </w:rPr>
              <w:t>0</w:t>
            </w:r>
          </w:p>
        </w:tc>
        <w:tc>
          <w:tcPr>
            <w:tcW w:w="1620" w:type="dxa"/>
          </w:tcPr>
          <w:p w:rsidR="00E45792" w:rsidRPr="00C57859" w:rsidRDefault="00E45792" w:rsidP="00E8755D">
            <w:pPr>
              <w:jc w:val="both"/>
              <w:rPr>
                <w:sz w:val="18"/>
                <w:szCs w:val="18"/>
                <w:lang w:val="es-ES"/>
              </w:rPr>
            </w:pPr>
            <w:r w:rsidRPr="00C57859">
              <w:rPr>
                <w:sz w:val="18"/>
                <w:szCs w:val="18"/>
                <w:lang w:val="es-ES"/>
              </w:rPr>
              <w:t>Reporte de avance del proyecto</w:t>
            </w:r>
          </w:p>
        </w:tc>
      </w:tr>
      <w:tr w:rsidR="00E45792" w:rsidRPr="00277867" w:rsidTr="00E45792">
        <w:tc>
          <w:tcPr>
            <w:tcW w:w="1890" w:type="dxa"/>
          </w:tcPr>
          <w:p w:rsidR="00E45792" w:rsidRPr="00C57859" w:rsidRDefault="00E45792" w:rsidP="00E8755D">
            <w:pPr>
              <w:ind w:left="245"/>
              <w:rPr>
                <w:sz w:val="18"/>
                <w:szCs w:val="18"/>
                <w:lang w:val="es-ES"/>
              </w:rPr>
            </w:pPr>
            <w:r w:rsidRPr="00C57859">
              <w:rPr>
                <w:sz w:val="18"/>
                <w:szCs w:val="18"/>
                <w:lang w:val="es-ES"/>
              </w:rPr>
              <w:t>Plan de Acción de Género desarrollado</w:t>
            </w:r>
          </w:p>
        </w:tc>
        <w:tc>
          <w:tcPr>
            <w:tcW w:w="1080" w:type="dxa"/>
          </w:tcPr>
          <w:p w:rsidR="00E45792" w:rsidRPr="00C57859" w:rsidRDefault="009D493B" w:rsidP="00E8755D">
            <w:pPr>
              <w:jc w:val="center"/>
              <w:rPr>
                <w:sz w:val="18"/>
                <w:szCs w:val="18"/>
                <w:lang w:val="es-ES"/>
              </w:rPr>
            </w:pPr>
            <w:r>
              <w:rPr>
                <w:sz w:val="18"/>
                <w:szCs w:val="18"/>
                <w:lang w:val="es-ES"/>
              </w:rPr>
              <w:t>10</w:t>
            </w:r>
            <w:r w:rsidR="00E45792" w:rsidRPr="00C57859">
              <w:rPr>
                <w:sz w:val="18"/>
                <w:szCs w:val="18"/>
                <w:lang w:val="es-ES"/>
              </w:rPr>
              <w:t>0</w:t>
            </w:r>
            <w:r w:rsidR="00BE4A43">
              <w:rPr>
                <w:sz w:val="18"/>
                <w:szCs w:val="18"/>
                <w:lang w:val="es-ES"/>
              </w:rPr>
              <w:t>.</w:t>
            </w:r>
            <w:r w:rsidR="00E45792" w:rsidRPr="00C57859">
              <w:rPr>
                <w:sz w:val="18"/>
                <w:szCs w:val="18"/>
                <w:lang w:val="es-ES"/>
              </w:rPr>
              <w:t>000</w:t>
            </w:r>
          </w:p>
        </w:tc>
        <w:tc>
          <w:tcPr>
            <w:tcW w:w="1170" w:type="dxa"/>
          </w:tcPr>
          <w:p w:rsidR="00E45792" w:rsidRPr="00C57859" w:rsidRDefault="00E45792" w:rsidP="00E8755D">
            <w:pPr>
              <w:jc w:val="center"/>
              <w:rPr>
                <w:sz w:val="18"/>
                <w:szCs w:val="18"/>
                <w:lang w:val="es-ES"/>
              </w:rPr>
            </w:pPr>
            <w:r w:rsidRPr="00C57859">
              <w:rPr>
                <w:sz w:val="18"/>
                <w:szCs w:val="18"/>
                <w:lang w:val="es-ES"/>
              </w:rPr>
              <w:t>Plan</w:t>
            </w:r>
          </w:p>
        </w:tc>
        <w:tc>
          <w:tcPr>
            <w:tcW w:w="810" w:type="dxa"/>
          </w:tcPr>
          <w:p w:rsidR="00E45792" w:rsidRPr="00C57859" w:rsidRDefault="00E45792" w:rsidP="00E8755D">
            <w:pPr>
              <w:jc w:val="center"/>
              <w:rPr>
                <w:sz w:val="18"/>
                <w:szCs w:val="18"/>
                <w:lang w:val="es-ES"/>
              </w:rPr>
            </w:pPr>
            <w:r w:rsidRPr="00C57859">
              <w:rPr>
                <w:sz w:val="18"/>
                <w:szCs w:val="18"/>
                <w:lang w:val="es-ES"/>
              </w:rPr>
              <w:t>0</w:t>
            </w:r>
          </w:p>
        </w:tc>
        <w:tc>
          <w:tcPr>
            <w:tcW w:w="630" w:type="dxa"/>
          </w:tcPr>
          <w:p w:rsidR="00E45792" w:rsidRPr="00C57859" w:rsidRDefault="00E45792" w:rsidP="00E8755D">
            <w:pPr>
              <w:jc w:val="center"/>
              <w:rPr>
                <w:sz w:val="18"/>
                <w:szCs w:val="18"/>
                <w:lang w:val="es-ES"/>
              </w:rPr>
            </w:pPr>
            <w:r w:rsidRPr="00C57859">
              <w:rPr>
                <w:sz w:val="18"/>
                <w:szCs w:val="18"/>
                <w:lang w:val="es-ES"/>
              </w:rPr>
              <w:t>0</w:t>
            </w:r>
          </w:p>
        </w:tc>
        <w:tc>
          <w:tcPr>
            <w:tcW w:w="630" w:type="dxa"/>
          </w:tcPr>
          <w:p w:rsidR="00E45792" w:rsidRPr="00C57859" w:rsidRDefault="00FA453E" w:rsidP="00E8755D">
            <w:pPr>
              <w:jc w:val="center"/>
              <w:rPr>
                <w:sz w:val="18"/>
                <w:szCs w:val="18"/>
                <w:lang w:val="es-ES"/>
              </w:rPr>
            </w:pPr>
            <w:r>
              <w:rPr>
                <w:sz w:val="18"/>
                <w:szCs w:val="18"/>
                <w:lang w:val="es-ES"/>
              </w:rPr>
              <w:t>1</w:t>
            </w:r>
          </w:p>
        </w:tc>
        <w:tc>
          <w:tcPr>
            <w:tcW w:w="630" w:type="dxa"/>
          </w:tcPr>
          <w:p w:rsidR="00E45792" w:rsidRPr="00C57859" w:rsidRDefault="00FA453E" w:rsidP="00E8755D">
            <w:pPr>
              <w:jc w:val="center"/>
              <w:rPr>
                <w:sz w:val="18"/>
                <w:szCs w:val="18"/>
                <w:lang w:val="es-ES"/>
              </w:rPr>
            </w:pPr>
            <w:r>
              <w:rPr>
                <w:sz w:val="18"/>
                <w:szCs w:val="18"/>
                <w:lang w:val="es-ES"/>
              </w:rPr>
              <w:t>0</w:t>
            </w:r>
          </w:p>
        </w:tc>
        <w:tc>
          <w:tcPr>
            <w:tcW w:w="630" w:type="dxa"/>
          </w:tcPr>
          <w:p w:rsidR="00E45792" w:rsidRPr="00C57859" w:rsidRDefault="00E45792" w:rsidP="00E8755D">
            <w:pPr>
              <w:jc w:val="center"/>
              <w:rPr>
                <w:sz w:val="18"/>
                <w:szCs w:val="18"/>
                <w:lang w:val="es-ES"/>
              </w:rPr>
            </w:pPr>
            <w:r w:rsidRPr="00C57859">
              <w:rPr>
                <w:sz w:val="18"/>
                <w:szCs w:val="18"/>
                <w:lang w:val="es-ES"/>
              </w:rPr>
              <w:t>0</w:t>
            </w:r>
          </w:p>
        </w:tc>
        <w:tc>
          <w:tcPr>
            <w:tcW w:w="630" w:type="dxa"/>
          </w:tcPr>
          <w:p w:rsidR="00E45792" w:rsidRPr="00C57859" w:rsidRDefault="00E45792" w:rsidP="00E8755D">
            <w:pPr>
              <w:jc w:val="center"/>
              <w:rPr>
                <w:sz w:val="18"/>
                <w:szCs w:val="18"/>
                <w:lang w:val="es-ES"/>
              </w:rPr>
            </w:pPr>
            <w:r w:rsidRPr="00C57859">
              <w:rPr>
                <w:sz w:val="18"/>
                <w:szCs w:val="18"/>
                <w:lang w:val="es-ES"/>
              </w:rPr>
              <w:t>0</w:t>
            </w:r>
          </w:p>
        </w:tc>
        <w:tc>
          <w:tcPr>
            <w:tcW w:w="1620" w:type="dxa"/>
          </w:tcPr>
          <w:p w:rsidR="00E45792" w:rsidRPr="00C57859" w:rsidRDefault="00E45792" w:rsidP="00E8755D">
            <w:pPr>
              <w:jc w:val="both"/>
              <w:rPr>
                <w:sz w:val="18"/>
                <w:szCs w:val="18"/>
                <w:lang w:val="es-ES"/>
              </w:rPr>
            </w:pPr>
            <w:r w:rsidRPr="00C57859">
              <w:rPr>
                <w:sz w:val="18"/>
                <w:szCs w:val="18"/>
                <w:lang w:val="es-ES"/>
              </w:rPr>
              <w:t>Reporte de avance del proyecto</w:t>
            </w:r>
          </w:p>
        </w:tc>
      </w:tr>
      <w:tr w:rsidR="00E45792" w:rsidRPr="00277867" w:rsidTr="00E45792">
        <w:tc>
          <w:tcPr>
            <w:tcW w:w="1890" w:type="dxa"/>
          </w:tcPr>
          <w:p w:rsidR="00E45792" w:rsidRPr="00C57859" w:rsidRDefault="00E45792" w:rsidP="00E8755D">
            <w:pPr>
              <w:ind w:left="245"/>
              <w:rPr>
                <w:sz w:val="18"/>
                <w:szCs w:val="18"/>
                <w:lang w:val="es-ES"/>
              </w:rPr>
            </w:pPr>
            <w:r w:rsidRPr="00C57859">
              <w:rPr>
                <w:sz w:val="18"/>
                <w:szCs w:val="18"/>
                <w:lang w:val="es-ES"/>
              </w:rPr>
              <w:t>Actividades de género implementadas</w:t>
            </w:r>
          </w:p>
        </w:tc>
        <w:tc>
          <w:tcPr>
            <w:tcW w:w="1080" w:type="dxa"/>
          </w:tcPr>
          <w:p w:rsidR="00E45792" w:rsidRPr="00C57859" w:rsidRDefault="009D493B" w:rsidP="00E8755D">
            <w:pPr>
              <w:jc w:val="center"/>
              <w:rPr>
                <w:sz w:val="18"/>
                <w:szCs w:val="18"/>
                <w:lang w:val="es-ES"/>
              </w:rPr>
            </w:pPr>
            <w:r>
              <w:rPr>
                <w:sz w:val="18"/>
                <w:szCs w:val="18"/>
                <w:lang w:val="es-ES"/>
              </w:rPr>
              <w:t>100</w:t>
            </w:r>
            <w:r w:rsidR="00BE4A43">
              <w:rPr>
                <w:sz w:val="18"/>
                <w:szCs w:val="18"/>
                <w:lang w:val="es-ES"/>
              </w:rPr>
              <w:t>.</w:t>
            </w:r>
            <w:r w:rsidR="00E45792" w:rsidRPr="00C57859">
              <w:rPr>
                <w:sz w:val="18"/>
                <w:szCs w:val="18"/>
                <w:lang w:val="es-ES"/>
              </w:rPr>
              <w:t>000</w:t>
            </w:r>
          </w:p>
        </w:tc>
        <w:tc>
          <w:tcPr>
            <w:tcW w:w="1170" w:type="dxa"/>
          </w:tcPr>
          <w:p w:rsidR="00E45792" w:rsidRPr="00C57859" w:rsidRDefault="00E45792" w:rsidP="00E8755D">
            <w:pPr>
              <w:jc w:val="center"/>
              <w:rPr>
                <w:sz w:val="18"/>
                <w:szCs w:val="18"/>
                <w:lang w:val="es-ES"/>
              </w:rPr>
            </w:pPr>
            <w:r w:rsidRPr="00C57859">
              <w:rPr>
                <w:sz w:val="18"/>
                <w:szCs w:val="18"/>
                <w:lang w:val="es-ES"/>
              </w:rPr>
              <w:t>Actividades</w:t>
            </w:r>
          </w:p>
        </w:tc>
        <w:tc>
          <w:tcPr>
            <w:tcW w:w="810" w:type="dxa"/>
          </w:tcPr>
          <w:p w:rsidR="00E45792" w:rsidRPr="00C57859" w:rsidRDefault="00E45792" w:rsidP="00E8755D">
            <w:pPr>
              <w:jc w:val="center"/>
              <w:rPr>
                <w:sz w:val="18"/>
                <w:szCs w:val="18"/>
                <w:lang w:val="es-ES"/>
              </w:rPr>
            </w:pPr>
            <w:r w:rsidRPr="00C57859">
              <w:rPr>
                <w:sz w:val="18"/>
                <w:szCs w:val="18"/>
                <w:lang w:val="es-ES"/>
              </w:rPr>
              <w:t>0</w:t>
            </w:r>
          </w:p>
        </w:tc>
        <w:tc>
          <w:tcPr>
            <w:tcW w:w="630" w:type="dxa"/>
          </w:tcPr>
          <w:p w:rsidR="00E45792" w:rsidRPr="00C57859" w:rsidRDefault="00E45792" w:rsidP="00E8755D">
            <w:pPr>
              <w:jc w:val="center"/>
              <w:rPr>
                <w:sz w:val="18"/>
                <w:szCs w:val="18"/>
                <w:lang w:val="es-ES"/>
              </w:rPr>
            </w:pPr>
            <w:r w:rsidRPr="00C57859">
              <w:rPr>
                <w:sz w:val="18"/>
                <w:szCs w:val="18"/>
                <w:lang w:val="es-ES"/>
              </w:rPr>
              <w:t>0</w:t>
            </w:r>
          </w:p>
        </w:tc>
        <w:tc>
          <w:tcPr>
            <w:tcW w:w="630" w:type="dxa"/>
          </w:tcPr>
          <w:p w:rsidR="00E45792" w:rsidRPr="00C57859" w:rsidRDefault="00FA453E" w:rsidP="00E8755D">
            <w:pPr>
              <w:jc w:val="center"/>
              <w:rPr>
                <w:sz w:val="18"/>
                <w:szCs w:val="18"/>
                <w:lang w:val="es-ES"/>
              </w:rPr>
            </w:pPr>
            <w:r>
              <w:rPr>
                <w:sz w:val="18"/>
                <w:szCs w:val="18"/>
                <w:lang w:val="es-ES"/>
              </w:rPr>
              <w:t>1</w:t>
            </w:r>
          </w:p>
        </w:tc>
        <w:tc>
          <w:tcPr>
            <w:tcW w:w="630" w:type="dxa"/>
          </w:tcPr>
          <w:p w:rsidR="00E45792" w:rsidRPr="00C57859" w:rsidRDefault="00FA453E" w:rsidP="00E8755D">
            <w:pPr>
              <w:jc w:val="center"/>
              <w:rPr>
                <w:sz w:val="18"/>
                <w:szCs w:val="18"/>
                <w:lang w:val="es-ES"/>
              </w:rPr>
            </w:pPr>
            <w:r>
              <w:rPr>
                <w:sz w:val="18"/>
                <w:szCs w:val="18"/>
                <w:lang w:val="es-ES"/>
              </w:rPr>
              <w:t>1</w:t>
            </w:r>
          </w:p>
        </w:tc>
        <w:tc>
          <w:tcPr>
            <w:tcW w:w="630" w:type="dxa"/>
          </w:tcPr>
          <w:p w:rsidR="00E45792" w:rsidRPr="00C57859" w:rsidRDefault="00FA453E" w:rsidP="00E8755D">
            <w:pPr>
              <w:jc w:val="center"/>
              <w:rPr>
                <w:sz w:val="18"/>
                <w:szCs w:val="18"/>
                <w:lang w:val="es-ES"/>
              </w:rPr>
            </w:pPr>
            <w:r>
              <w:rPr>
                <w:sz w:val="18"/>
                <w:szCs w:val="18"/>
                <w:lang w:val="es-ES"/>
              </w:rPr>
              <w:t>2</w:t>
            </w:r>
          </w:p>
        </w:tc>
        <w:tc>
          <w:tcPr>
            <w:tcW w:w="630" w:type="dxa"/>
          </w:tcPr>
          <w:p w:rsidR="00E45792" w:rsidRPr="00C57859" w:rsidRDefault="00FA453E" w:rsidP="00E8755D">
            <w:pPr>
              <w:jc w:val="center"/>
              <w:rPr>
                <w:sz w:val="18"/>
                <w:szCs w:val="18"/>
                <w:lang w:val="es-ES"/>
              </w:rPr>
            </w:pPr>
            <w:r>
              <w:rPr>
                <w:sz w:val="18"/>
                <w:szCs w:val="18"/>
                <w:lang w:val="es-ES"/>
              </w:rPr>
              <w:t>0</w:t>
            </w:r>
          </w:p>
        </w:tc>
        <w:tc>
          <w:tcPr>
            <w:tcW w:w="1620" w:type="dxa"/>
          </w:tcPr>
          <w:p w:rsidR="00E45792" w:rsidRPr="00C57859" w:rsidRDefault="00E45792" w:rsidP="00E8755D">
            <w:pPr>
              <w:jc w:val="both"/>
              <w:rPr>
                <w:sz w:val="18"/>
                <w:szCs w:val="18"/>
                <w:lang w:val="es-ES"/>
              </w:rPr>
            </w:pPr>
            <w:r w:rsidRPr="00C57859">
              <w:rPr>
                <w:sz w:val="18"/>
                <w:szCs w:val="18"/>
                <w:lang w:val="es-ES"/>
              </w:rPr>
              <w:t>Reporte de avance del proyecto (incluyendo fotografías e informes de monitoreo</w:t>
            </w:r>
          </w:p>
        </w:tc>
      </w:tr>
    </w:tbl>
    <w:p w:rsidR="00E45792" w:rsidRPr="00323A56" w:rsidRDefault="00E45792" w:rsidP="00277867">
      <w:pPr>
        <w:jc w:val="both"/>
        <w:rPr>
          <w:lang w:val="es-ES"/>
        </w:rPr>
      </w:pPr>
    </w:p>
    <w:sectPr w:rsidR="00E45792" w:rsidRPr="00323A56" w:rsidSect="00E457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89" w:rsidRDefault="00835B89" w:rsidP="000056DF">
      <w:pPr>
        <w:spacing w:after="0" w:line="240" w:lineRule="auto"/>
      </w:pPr>
      <w:r>
        <w:separator/>
      </w:r>
    </w:p>
  </w:endnote>
  <w:endnote w:type="continuationSeparator" w:id="0">
    <w:p w:rsidR="00835B89" w:rsidRDefault="00835B89" w:rsidP="000056DF">
      <w:pPr>
        <w:spacing w:after="0" w:line="240" w:lineRule="auto"/>
      </w:pPr>
      <w:r>
        <w:continuationSeparator/>
      </w:r>
    </w:p>
  </w:endnote>
  <w:endnote w:type="continuationNotice" w:id="1">
    <w:p w:rsidR="00835B89" w:rsidRDefault="00835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5D" w:rsidRDefault="00E87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628930"/>
      <w:docPartObj>
        <w:docPartGallery w:val="Page Numbers (Bottom of Page)"/>
        <w:docPartUnique/>
      </w:docPartObj>
    </w:sdtPr>
    <w:sdtEndPr>
      <w:rPr>
        <w:noProof/>
      </w:rPr>
    </w:sdtEndPr>
    <w:sdtContent>
      <w:p w:rsidR="00E8755D" w:rsidRDefault="00E8755D">
        <w:pPr>
          <w:pStyle w:val="Footer"/>
          <w:jc w:val="center"/>
        </w:pPr>
        <w:r>
          <w:fldChar w:fldCharType="begin"/>
        </w:r>
        <w:r>
          <w:instrText xml:space="preserve"> PAGE   \* MERGEFORMAT </w:instrText>
        </w:r>
        <w:r>
          <w:fldChar w:fldCharType="separate"/>
        </w:r>
        <w:r w:rsidR="0025086D">
          <w:rPr>
            <w:noProof/>
          </w:rPr>
          <w:t>5</w:t>
        </w:r>
        <w:r>
          <w:rPr>
            <w:noProof/>
          </w:rPr>
          <w:fldChar w:fldCharType="end"/>
        </w:r>
      </w:p>
    </w:sdtContent>
  </w:sdt>
  <w:p w:rsidR="00E8755D" w:rsidRDefault="00E87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5D" w:rsidRDefault="00E87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89" w:rsidRDefault="00835B89" w:rsidP="000056DF">
      <w:pPr>
        <w:spacing w:after="0" w:line="240" w:lineRule="auto"/>
      </w:pPr>
      <w:r>
        <w:separator/>
      </w:r>
    </w:p>
  </w:footnote>
  <w:footnote w:type="continuationSeparator" w:id="0">
    <w:p w:rsidR="00835B89" w:rsidRDefault="00835B89" w:rsidP="000056DF">
      <w:pPr>
        <w:spacing w:after="0" w:line="240" w:lineRule="auto"/>
      </w:pPr>
      <w:r>
        <w:continuationSeparator/>
      </w:r>
    </w:p>
  </w:footnote>
  <w:footnote w:type="continuationNotice" w:id="1">
    <w:p w:rsidR="00835B89" w:rsidRDefault="00835B89">
      <w:pPr>
        <w:spacing w:after="0" w:line="240" w:lineRule="auto"/>
      </w:pPr>
    </w:p>
  </w:footnote>
  <w:footnote w:id="2">
    <w:p w:rsidR="00E8755D" w:rsidRPr="00E51872" w:rsidRDefault="00E8755D" w:rsidP="00E51872">
      <w:pPr>
        <w:pStyle w:val="FootnoteText"/>
        <w:ind w:left="360" w:hanging="360"/>
        <w:jc w:val="both"/>
        <w:rPr>
          <w:rFonts w:ascii="Arial" w:hAnsi="Arial" w:cs="Arial"/>
          <w:sz w:val="16"/>
          <w:szCs w:val="16"/>
          <w:lang w:val="es-ES_tradnl"/>
        </w:rPr>
      </w:pPr>
      <w:r w:rsidRPr="00E51872">
        <w:rPr>
          <w:rStyle w:val="FootnoteReference"/>
          <w:rFonts w:ascii="Arial" w:hAnsi="Arial" w:cs="Arial"/>
          <w:sz w:val="16"/>
          <w:szCs w:val="16"/>
        </w:rPr>
        <w:footnoteRef/>
      </w:r>
      <w:r w:rsidRPr="00E51872">
        <w:rPr>
          <w:rFonts w:ascii="Arial" w:hAnsi="Arial" w:cs="Arial"/>
          <w:sz w:val="16"/>
          <w:szCs w:val="16"/>
          <w:lang w:val="es-ES_tradnl"/>
        </w:rPr>
        <w:t xml:space="preserve"> </w:t>
      </w:r>
      <w:r w:rsidR="00E51872">
        <w:rPr>
          <w:rFonts w:ascii="Arial" w:hAnsi="Arial" w:cs="Arial"/>
          <w:sz w:val="16"/>
          <w:szCs w:val="16"/>
          <w:lang w:val="es-ES_tradnl"/>
        </w:rPr>
        <w:tab/>
      </w:r>
      <w:r w:rsidRPr="00E51872">
        <w:rPr>
          <w:rFonts w:ascii="Arial" w:hAnsi="Arial" w:cs="Arial"/>
          <w:sz w:val="16"/>
          <w:szCs w:val="16"/>
          <w:lang w:val="es-ES_tradnl"/>
        </w:rPr>
        <w:t>Datos del Foro Económico Mundial (2016). La tasa de alfabetización femenina es de 94% versus 95% de los hombres, la tasa de matriculación en educación primaria de las mujeres es de 96% versus 94% de los hombres y la de educación secundaria es de 84% para las mujeres y 81% para los hombres.</w:t>
      </w:r>
    </w:p>
  </w:footnote>
  <w:footnote w:id="3">
    <w:p w:rsidR="00E8755D" w:rsidRPr="00E51872" w:rsidRDefault="00E8755D" w:rsidP="00E51872">
      <w:pPr>
        <w:pStyle w:val="FootnoteText"/>
        <w:ind w:left="360" w:hanging="360"/>
        <w:jc w:val="both"/>
        <w:rPr>
          <w:rFonts w:ascii="Arial" w:hAnsi="Arial" w:cs="Arial"/>
          <w:sz w:val="16"/>
          <w:szCs w:val="16"/>
          <w:lang w:val="es-ES_tradnl"/>
        </w:rPr>
      </w:pPr>
      <w:r w:rsidRPr="00E51872">
        <w:rPr>
          <w:rStyle w:val="FootnoteReference"/>
          <w:rFonts w:ascii="Arial" w:hAnsi="Arial" w:cs="Arial"/>
          <w:sz w:val="16"/>
          <w:szCs w:val="16"/>
        </w:rPr>
        <w:footnoteRef/>
      </w:r>
      <w:r w:rsidRPr="00E51872">
        <w:rPr>
          <w:rFonts w:ascii="Arial" w:hAnsi="Arial" w:cs="Arial"/>
          <w:sz w:val="16"/>
          <w:szCs w:val="16"/>
          <w:lang w:val="es-ES_tradnl"/>
        </w:rPr>
        <w:t xml:space="preserve"> </w:t>
      </w:r>
      <w:r w:rsidR="00E51872">
        <w:rPr>
          <w:rFonts w:ascii="Arial" w:hAnsi="Arial" w:cs="Arial"/>
          <w:sz w:val="16"/>
          <w:szCs w:val="16"/>
          <w:lang w:val="es-ES_tradnl"/>
        </w:rPr>
        <w:tab/>
      </w:r>
      <w:r w:rsidRPr="00E51872">
        <w:rPr>
          <w:rFonts w:ascii="Arial" w:hAnsi="Arial" w:cs="Arial"/>
          <w:sz w:val="16"/>
          <w:szCs w:val="16"/>
          <w:lang w:val="es-ES_tradnl"/>
        </w:rPr>
        <w:t>Idem Foro Económico Mundial (2016).</w:t>
      </w:r>
    </w:p>
  </w:footnote>
  <w:footnote w:id="4">
    <w:p w:rsidR="00E8755D" w:rsidRPr="00E51872" w:rsidRDefault="00E8755D" w:rsidP="00E51872">
      <w:pPr>
        <w:pStyle w:val="FootnoteText"/>
        <w:ind w:left="360" w:hanging="360"/>
        <w:jc w:val="both"/>
        <w:rPr>
          <w:rFonts w:ascii="Arial" w:hAnsi="Arial" w:cs="Arial"/>
          <w:sz w:val="16"/>
          <w:szCs w:val="16"/>
          <w:lang w:val="es-ES_tradnl"/>
        </w:rPr>
      </w:pPr>
      <w:r w:rsidRPr="00E51872">
        <w:rPr>
          <w:rStyle w:val="FootnoteReference"/>
          <w:rFonts w:ascii="Arial" w:hAnsi="Arial" w:cs="Arial"/>
          <w:sz w:val="16"/>
          <w:szCs w:val="16"/>
        </w:rPr>
        <w:footnoteRef/>
      </w:r>
      <w:r w:rsidRPr="00E51872">
        <w:rPr>
          <w:rFonts w:ascii="Arial" w:hAnsi="Arial" w:cs="Arial"/>
          <w:sz w:val="16"/>
          <w:szCs w:val="16"/>
          <w:lang w:val="es-ES_tradnl"/>
        </w:rPr>
        <w:t xml:space="preserve"> </w:t>
      </w:r>
      <w:r w:rsidR="00E51872">
        <w:rPr>
          <w:rFonts w:ascii="Arial" w:hAnsi="Arial" w:cs="Arial"/>
          <w:sz w:val="16"/>
          <w:szCs w:val="16"/>
          <w:lang w:val="es-ES_tradnl"/>
        </w:rPr>
        <w:tab/>
      </w:r>
      <w:r w:rsidRPr="00E51872">
        <w:rPr>
          <w:rFonts w:ascii="Arial" w:hAnsi="Arial" w:cs="Arial"/>
          <w:sz w:val="16"/>
          <w:szCs w:val="16"/>
          <w:lang w:val="es-ES_tradnl"/>
        </w:rPr>
        <w:t>Agenda nacional de las mujeres y la igualdad de género 2014-2017.</w:t>
      </w:r>
    </w:p>
  </w:footnote>
  <w:footnote w:id="5">
    <w:p w:rsidR="00E8755D" w:rsidRPr="00277867" w:rsidRDefault="00E8755D" w:rsidP="00E51872">
      <w:pPr>
        <w:pStyle w:val="FootnoteText"/>
        <w:ind w:left="360" w:hanging="360"/>
        <w:jc w:val="both"/>
        <w:rPr>
          <w:rFonts w:ascii="Arial" w:hAnsi="Arial" w:cs="Arial"/>
          <w:sz w:val="16"/>
          <w:szCs w:val="16"/>
        </w:rPr>
      </w:pPr>
      <w:r w:rsidRPr="00E51872">
        <w:rPr>
          <w:rStyle w:val="FootnoteReference"/>
          <w:rFonts w:ascii="Arial" w:hAnsi="Arial" w:cs="Arial"/>
          <w:sz w:val="16"/>
          <w:szCs w:val="16"/>
        </w:rPr>
        <w:footnoteRef/>
      </w:r>
      <w:r w:rsidRPr="00277867">
        <w:rPr>
          <w:rFonts w:ascii="Arial" w:hAnsi="Arial" w:cs="Arial"/>
          <w:sz w:val="16"/>
          <w:szCs w:val="16"/>
        </w:rPr>
        <w:t xml:space="preserve"> </w:t>
      </w:r>
      <w:r w:rsidR="00E51872" w:rsidRPr="00277867">
        <w:rPr>
          <w:rFonts w:ascii="Arial" w:hAnsi="Arial" w:cs="Arial"/>
          <w:sz w:val="16"/>
          <w:szCs w:val="16"/>
        </w:rPr>
        <w:tab/>
      </w:r>
      <w:r w:rsidRPr="00277867">
        <w:rPr>
          <w:rFonts w:ascii="Arial" w:hAnsi="Arial" w:cs="Arial"/>
          <w:sz w:val="16"/>
          <w:szCs w:val="16"/>
        </w:rPr>
        <w:t>Idem.</w:t>
      </w:r>
    </w:p>
  </w:footnote>
  <w:footnote w:id="6">
    <w:p w:rsidR="00E8755D" w:rsidRPr="00277867" w:rsidRDefault="00E8755D" w:rsidP="00E51872">
      <w:pPr>
        <w:pStyle w:val="FootnoteText"/>
        <w:ind w:left="360" w:hanging="360"/>
        <w:jc w:val="both"/>
        <w:rPr>
          <w:rFonts w:ascii="Arial" w:hAnsi="Arial" w:cs="Arial"/>
          <w:sz w:val="16"/>
          <w:szCs w:val="16"/>
        </w:rPr>
      </w:pPr>
      <w:r w:rsidRPr="00E51872">
        <w:rPr>
          <w:rStyle w:val="FootnoteReference"/>
          <w:rFonts w:ascii="Arial" w:hAnsi="Arial" w:cs="Arial"/>
          <w:sz w:val="16"/>
          <w:szCs w:val="16"/>
        </w:rPr>
        <w:footnoteRef/>
      </w:r>
      <w:r w:rsidRPr="00277867">
        <w:rPr>
          <w:rFonts w:ascii="Arial" w:hAnsi="Arial" w:cs="Arial"/>
          <w:sz w:val="16"/>
          <w:szCs w:val="16"/>
        </w:rPr>
        <w:t xml:space="preserve"> </w:t>
      </w:r>
      <w:r w:rsidR="00E51872" w:rsidRPr="00277867">
        <w:rPr>
          <w:rFonts w:ascii="Arial" w:hAnsi="Arial" w:cs="Arial"/>
          <w:sz w:val="16"/>
          <w:szCs w:val="16"/>
        </w:rPr>
        <w:tab/>
      </w:r>
      <w:r w:rsidRPr="00277867">
        <w:rPr>
          <w:rFonts w:ascii="Arial" w:hAnsi="Arial" w:cs="Arial"/>
          <w:sz w:val="16"/>
          <w:szCs w:val="16"/>
        </w:rPr>
        <w:t>CepalStats (2014).</w:t>
      </w:r>
    </w:p>
  </w:footnote>
  <w:footnote w:id="7">
    <w:p w:rsidR="00E8755D" w:rsidRPr="00E51872" w:rsidRDefault="00E8755D" w:rsidP="00E51872">
      <w:pPr>
        <w:pStyle w:val="FootnoteText"/>
        <w:ind w:left="360" w:hanging="360"/>
        <w:jc w:val="both"/>
        <w:rPr>
          <w:rFonts w:ascii="Arial" w:hAnsi="Arial" w:cs="Arial"/>
          <w:sz w:val="16"/>
          <w:szCs w:val="16"/>
          <w:lang w:val="es-ES_tradnl"/>
        </w:rPr>
      </w:pPr>
      <w:r w:rsidRPr="00E51872">
        <w:rPr>
          <w:rStyle w:val="FootnoteReference"/>
          <w:rFonts w:ascii="Arial" w:hAnsi="Arial" w:cs="Arial"/>
          <w:sz w:val="16"/>
          <w:szCs w:val="16"/>
        </w:rPr>
        <w:footnoteRef/>
      </w:r>
      <w:r w:rsidRPr="00277867">
        <w:rPr>
          <w:rFonts w:ascii="Arial" w:hAnsi="Arial" w:cs="Arial"/>
          <w:sz w:val="16"/>
          <w:szCs w:val="16"/>
        </w:rPr>
        <w:t xml:space="preserve"> </w:t>
      </w:r>
      <w:r w:rsidR="00E51872" w:rsidRPr="00277867">
        <w:rPr>
          <w:rFonts w:ascii="Arial" w:hAnsi="Arial" w:cs="Arial"/>
          <w:sz w:val="16"/>
          <w:szCs w:val="16"/>
        </w:rPr>
        <w:tab/>
      </w:r>
      <w:hyperlink r:id="rId1" w:history="1">
        <w:r w:rsidRPr="00277867">
          <w:rPr>
            <w:rStyle w:val="Hyperlink"/>
            <w:rFonts w:ascii="Arial" w:hAnsi="Arial" w:cs="Arial"/>
            <w:sz w:val="16"/>
            <w:szCs w:val="16"/>
          </w:rPr>
          <w:t xml:space="preserve">Ernst and Young (2016). </w:t>
        </w:r>
        <w:r w:rsidRPr="00E51872">
          <w:rPr>
            <w:rStyle w:val="Hyperlink"/>
            <w:rFonts w:ascii="Arial" w:hAnsi="Arial" w:cs="Arial"/>
            <w:sz w:val="16"/>
            <w:szCs w:val="16"/>
            <w:lang w:val="es-ES_tradnl"/>
          </w:rPr>
          <w:t>Women in Power and Utilities: Index 2016</w:t>
        </w:r>
      </w:hyperlink>
      <w:r w:rsidRPr="00E51872">
        <w:rPr>
          <w:rFonts w:ascii="Arial" w:hAnsi="Arial" w:cs="Arial"/>
          <w:sz w:val="16"/>
          <w:szCs w:val="16"/>
          <w:lang w:val="es-ES_tradnl"/>
        </w:rPr>
        <w:t>.</w:t>
      </w:r>
    </w:p>
  </w:footnote>
  <w:footnote w:id="8">
    <w:p w:rsidR="00E8755D" w:rsidRPr="00E51872" w:rsidRDefault="00E8755D" w:rsidP="00E51872">
      <w:pPr>
        <w:pStyle w:val="FootnoteText"/>
        <w:ind w:left="360" w:hanging="360"/>
        <w:jc w:val="both"/>
        <w:rPr>
          <w:rFonts w:ascii="Arial" w:hAnsi="Arial" w:cs="Arial"/>
          <w:sz w:val="16"/>
          <w:szCs w:val="16"/>
          <w:lang w:val="es-ES_tradnl"/>
        </w:rPr>
      </w:pPr>
      <w:r w:rsidRPr="00E51872">
        <w:rPr>
          <w:rStyle w:val="FootnoteReference"/>
          <w:rFonts w:ascii="Arial" w:hAnsi="Arial" w:cs="Arial"/>
          <w:sz w:val="16"/>
          <w:szCs w:val="16"/>
        </w:rPr>
        <w:footnoteRef/>
      </w:r>
      <w:r w:rsidRPr="00E51872">
        <w:rPr>
          <w:rFonts w:ascii="Arial" w:hAnsi="Arial" w:cs="Arial"/>
          <w:sz w:val="16"/>
          <w:szCs w:val="16"/>
          <w:lang w:val="es-ES_tradnl"/>
        </w:rPr>
        <w:t xml:space="preserve"> </w:t>
      </w:r>
      <w:r w:rsidR="00E51872">
        <w:rPr>
          <w:rFonts w:ascii="Arial" w:hAnsi="Arial" w:cs="Arial"/>
          <w:sz w:val="16"/>
          <w:szCs w:val="16"/>
          <w:lang w:val="es-ES_tradnl"/>
        </w:rPr>
        <w:tab/>
      </w:r>
      <w:r w:rsidRPr="00E51872">
        <w:rPr>
          <w:rFonts w:ascii="Arial" w:hAnsi="Arial" w:cs="Arial"/>
          <w:sz w:val="16"/>
          <w:szCs w:val="16"/>
          <w:lang w:val="es-ES_tradnl"/>
        </w:rPr>
        <w:t xml:space="preserve">IDB (2015). Sistema de Información de Mercados Laborares y Seguridad Social. </w:t>
      </w:r>
    </w:p>
  </w:footnote>
  <w:footnote w:id="9">
    <w:p w:rsidR="00E8755D" w:rsidRPr="00E51872" w:rsidRDefault="00E8755D" w:rsidP="00E51872">
      <w:pPr>
        <w:pStyle w:val="FootnoteText"/>
        <w:ind w:left="360" w:hanging="360"/>
        <w:jc w:val="both"/>
        <w:rPr>
          <w:rFonts w:ascii="Arial" w:hAnsi="Arial" w:cs="Arial"/>
          <w:sz w:val="16"/>
          <w:szCs w:val="16"/>
          <w:lang w:val="es-ES_tradnl"/>
        </w:rPr>
      </w:pPr>
      <w:r w:rsidRPr="00E51872">
        <w:rPr>
          <w:rStyle w:val="FootnoteReference"/>
          <w:rFonts w:ascii="Arial" w:hAnsi="Arial" w:cs="Arial"/>
          <w:sz w:val="16"/>
          <w:szCs w:val="16"/>
        </w:rPr>
        <w:footnoteRef/>
      </w:r>
      <w:r w:rsidRPr="00E51872">
        <w:rPr>
          <w:rFonts w:ascii="Arial" w:hAnsi="Arial" w:cs="Arial"/>
          <w:sz w:val="16"/>
          <w:szCs w:val="16"/>
          <w:lang w:val="es-ES_tradnl"/>
        </w:rPr>
        <w:t xml:space="preserve"> </w:t>
      </w:r>
      <w:r w:rsidR="00E51872">
        <w:rPr>
          <w:rFonts w:ascii="Arial" w:hAnsi="Arial" w:cs="Arial"/>
          <w:sz w:val="16"/>
          <w:szCs w:val="16"/>
          <w:lang w:val="es-ES_tradnl"/>
        </w:rPr>
        <w:tab/>
      </w:r>
      <w:r w:rsidRPr="00E51872">
        <w:rPr>
          <w:rFonts w:ascii="Arial" w:hAnsi="Arial" w:cs="Arial"/>
          <w:sz w:val="16"/>
          <w:szCs w:val="16"/>
          <w:lang w:val="es-ES_tradnl"/>
        </w:rPr>
        <w:t>Sistema de información de mercados laborales y seguridad social BID (2014).</w:t>
      </w:r>
    </w:p>
  </w:footnote>
  <w:footnote w:id="10">
    <w:p w:rsidR="00E8755D" w:rsidRPr="00E51872" w:rsidRDefault="00E8755D" w:rsidP="00E51872">
      <w:pPr>
        <w:pStyle w:val="FootnoteText"/>
        <w:ind w:left="360" w:hanging="360"/>
        <w:rPr>
          <w:rFonts w:ascii="Arial" w:hAnsi="Arial" w:cs="Arial"/>
          <w:sz w:val="16"/>
          <w:szCs w:val="16"/>
          <w:lang w:val="es-ES_tradnl"/>
        </w:rPr>
      </w:pPr>
      <w:r w:rsidRPr="00E51872">
        <w:rPr>
          <w:rStyle w:val="FootnoteReference"/>
          <w:rFonts w:ascii="Arial" w:hAnsi="Arial" w:cs="Arial"/>
          <w:sz w:val="16"/>
          <w:szCs w:val="16"/>
        </w:rPr>
        <w:footnoteRef/>
      </w:r>
      <w:r w:rsidRPr="00E51872">
        <w:rPr>
          <w:rFonts w:ascii="Arial" w:hAnsi="Arial" w:cs="Arial"/>
          <w:sz w:val="16"/>
          <w:szCs w:val="16"/>
          <w:lang w:val="es-ES_tradnl"/>
        </w:rPr>
        <w:t xml:space="preserve"> </w:t>
      </w:r>
      <w:r w:rsidR="00E51872">
        <w:rPr>
          <w:rFonts w:ascii="Arial" w:hAnsi="Arial" w:cs="Arial"/>
          <w:sz w:val="16"/>
          <w:szCs w:val="16"/>
          <w:lang w:val="es-ES_tradnl"/>
        </w:rPr>
        <w:tab/>
      </w:r>
      <w:r w:rsidRPr="00E51872">
        <w:rPr>
          <w:rFonts w:ascii="Arial" w:hAnsi="Arial" w:cs="Arial"/>
          <w:sz w:val="16"/>
          <w:szCs w:val="16"/>
          <w:lang w:val="es-ES_tradnl"/>
        </w:rPr>
        <w:t>Sistema de información de mercados laborales y seguridad social BID (2014).</w:t>
      </w:r>
    </w:p>
  </w:footnote>
  <w:footnote w:id="11">
    <w:p w:rsidR="00E8755D" w:rsidRPr="00E51872" w:rsidRDefault="00E8755D" w:rsidP="00E51872">
      <w:pPr>
        <w:pStyle w:val="FootnoteText"/>
        <w:ind w:left="360" w:hanging="360"/>
        <w:jc w:val="both"/>
        <w:rPr>
          <w:rFonts w:ascii="Arial" w:hAnsi="Arial" w:cs="Arial"/>
          <w:sz w:val="16"/>
          <w:szCs w:val="16"/>
        </w:rPr>
      </w:pPr>
      <w:r w:rsidRPr="00E51872">
        <w:rPr>
          <w:rStyle w:val="FootnoteReference"/>
          <w:rFonts w:ascii="Arial" w:hAnsi="Arial" w:cs="Arial"/>
          <w:sz w:val="16"/>
          <w:szCs w:val="16"/>
        </w:rPr>
        <w:footnoteRef/>
      </w:r>
      <w:r w:rsidRPr="00E51872">
        <w:rPr>
          <w:rFonts w:ascii="Arial" w:hAnsi="Arial" w:cs="Arial"/>
          <w:sz w:val="16"/>
          <w:szCs w:val="16"/>
        </w:rPr>
        <w:t xml:space="preserve"> </w:t>
      </w:r>
      <w:r w:rsidR="00E51872">
        <w:rPr>
          <w:rFonts w:ascii="Arial" w:hAnsi="Arial" w:cs="Arial"/>
          <w:sz w:val="16"/>
          <w:szCs w:val="16"/>
        </w:rPr>
        <w:tab/>
      </w:r>
      <w:r w:rsidRPr="00E51872">
        <w:rPr>
          <w:rFonts w:ascii="Arial" w:hAnsi="Arial" w:cs="Arial"/>
          <w:sz w:val="16"/>
          <w:szCs w:val="16"/>
        </w:rPr>
        <w:t xml:space="preserve">Ver: Hunt, V. et al. (2015). Diversity Matters. McKinsey &amp; Company; Ernst and Young (2016). Women in Power and Utilities; Catalyst (2013). Why Diversity Matter; Noland, M. et al. (2016). Is Gender Diversity Profitable? Evidence from a Global Survey. Peterson Institute for International Economics; Barkat, A. (2002). Economic and Social Impact Evaluation Study of the Rural Electrification Program in Bangladesh </w:t>
      </w:r>
    </w:p>
  </w:footnote>
  <w:footnote w:id="12">
    <w:p w:rsidR="00E8755D" w:rsidRPr="00E51872" w:rsidRDefault="00E8755D" w:rsidP="00E51872">
      <w:pPr>
        <w:pStyle w:val="FootnoteText"/>
        <w:ind w:left="360" w:hanging="360"/>
        <w:rPr>
          <w:rFonts w:ascii="Arial" w:hAnsi="Arial" w:cs="Arial"/>
          <w:sz w:val="16"/>
          <w:szCs w:val="16"/>
        </w:rPr>
      </w:pPr>
      <w:r w:rsidRPr="00E51872">
        <w:rPr>
          <w:rStyle w:val="FootnoteReference"/>
          <w:rFonts w:ascii="Arial" w:hAnsi="Arial" w:cs="Arial"/>
          <w:sz w:val="16"/>
          <w:szCs w:val="16"/>
        </w:rPr>
        <w:footnoteRef/>
      </w:r>
      <w:r w:rsidRPr="00E51872">
        <w:rPr>
          <w:rFonts w:ascii="Arial" w:hAnsi="Arial" w:cs="Arial"/>
          <w:sz w:val="16"/>
          <w:szCs w:val="16"/>
        </w:rPr>
        <w:t xml:space="preserve"> </w:t>
      </w:r>
      <w:r w:rsidR="00E51872">
        <w:rPr>
          <w:rFonts w:ascii="Arial" w:hAnsi="Arial" w:cs="Arial"/>
          <w:sz w:val="16"/>
          <w:szCs w:val="16"/>
        </w:rPr>
        <w:tab/>
      </w:r>
      <w:r w:rsidRPr="00E51872">
        <w:rPr>
          <w:rFonts w:ascii="Arial" w:hAnsi="Arial" w:cs="Arial"/>
          <w:sz w:val="16"/>
          <w:szCs w:val="16"/>
        </w:rPr>
        <w:t>Dinkelman, T. (2008). The Effects of Rural Electrification on Employment: New Evidence from South Africa.</w:t>
      </w:r>
    </w:p>
  </w:footnote>
  <w:footnote w:id="13">
    <w:p w:rsidR="00E8755D" w:rsidRPr="00E51872" w:rsidRDefault="00E8755D" w:rsidP="00E51872">
      <w:pPr>
        <w:pStyle w:val="FootnoteText"/>
        <w:ind w:left="360" w:hanging="360"/>
        <w:jc w:val="both"/>
        <w:rPr>
          <w:rFonts w:ascii="Arial" w:hAnsi="Arial" w:cs="Arial"/>
          <w:sz w:val="16"/>
          <w:szCs w:val="16"/>
        </w:rPr>
      </w:pPr>
      <w:r w:rsidRPr="00E51872">
        <w:rPr>
          <w:rStyle w:val="FootnoteReference"/>
          <w:rFonts w:ascii="Arial" w:hAnsi="Arial" w:cs="Arial"/>
          <w:sz w:val="16"/>
          <w:szCs w:val="16"/>
        </w:rPr>
        <w:footnoteRef/>
      </w:r>
      <w:r w:rsidRPr="00E51872">
        <w:rPr>
          <w:rFonts w:ascii="Arial" w:hAnsi="Arial" w:cs="Arial"/>
          <w:sz w:val="16"/>
          <w:szCs w:val="16"/>
        </w:rPr>
        <w:t xml:space="preserve"> </w:t>
      </w:r>
      <w:r w:rsidR="00E51872">
        <w:rPr>
          <w:rFonts w:ascii="Arial" w:hAnsi="Arial" w:cs="Arial"/>
          <w:sz w:val="16"/>
          <w:szCs w:val="16"/>
        </w:rPr>
        <w:tab/>
      </w:r>
      <w:r w:rsidRPr="00E51872">
        <w:rPr>
          <w:rFonts w:ascii="Arial" w:hAnsi="Arial" w:cs="Arial"/>
          <w:sz w:val="16"/>
          <w:szCs w:val="16"/>
        </w:rPr>
        <w:t>USAID (2016). Engendering Utilities: Improving Gender Diversity in Power Sector Utilities.</w:t>
      </w:r>
    </w:p>
  </w:footnote>
  <w:footnote w:id="14">
    <w:p w:rsidR="003E7291" w:rsidRPr="00E51872" w:rsidRDefault="003E7291" w:rsidP="00E51872">
      <w:pPr>
        <w:pStyle w:val="FootnoteText"/>
        <w:ind w:left="360" w:hanging="360"/>
        <w:rPr>
          <w:rFonts w:ascii="Arial" w:hAnsi="Arial" w:cs="Arial"/>
          <w:sz w:val="16"/>
          <w:szCs w:val="16"/>
          <w:lang w:val="es-ES_tradnl"/>
        </w:rPr>
      </w:pPr>
      <w:r w:rsidRPr="00E51872">
        <w:rPr>
          <w:rStyle w:val="FootnoteReference"/>
          <w:rFonts w:ascii="Arial" w:hAnsi="Arial" w:cs="Arial"/>
          <w:sz w:val="16"/>
          <w:szCs w:val="16"/>
        </w:rPr>
        <w:footnoteRef/>
      </w:r>
      <w:r w:rsidRPr="00E51872">
        <w:rPr>
          <w:rFonts w:ascii="Arial" w:hAnsi="Arial" w:cs="Arial"/>
          <w:sz w:val="16"/>
          <w:szCs w:val="16"/>
          <w:lang w:val="es-ES_tradnl"/>
        </w:rPr>
        <w:t xml:space="preserve"> </w:t>
      </w:r>
      <w:r w:rsidR="00E51872">
        <w:rPr>
          <w:rFonts w:ascii="Arial" w:hAnsi="Arial" w:cs="Arial"/>
          <w:sz w:val="16"/>
          <w:szCs w:val="16"/>
          <w:lang w:val="es-ES_tradnl"/>
        </w:rPr>
        <w:tab/>
      </w:r>
      <w:r w:rsidRPr="00E51872">
        <w:rPr>
          <w:rFonts w:ascii="Arial" w:hAnsi="Arial" w:cs="Arial"/>
          <w:sz w:val="16"/>
          <w:szCs w:val="16"/>
          <w:lang w:val="es-ES_tradnl"/>
        </w:rPr>
        <w:t>Además, el MEER tiene como instituciones adscritas a: (i) el Centro Nacional de Control de la Energía (CENACE); (ii) la Agencia de Regulación y Control de Electricidad (ARCONEL); (iii) el Instituto Nacional de Eficiencia Energética y Energía Renovable (INER).</w:t>
      </w:r>
    </w:p>
  </w:footnote>
  <w:footnote w:id="15">
    <w:p w:rsidR="003E7291" w:rsidRPr="00E51872" w:rsidRDefault="003E7291" w:rsidP="00E51872">
      <w:pPr>
        <w:pStyle w:val="FootnoteText"/>
        <w:ind w:left="360" w:hanging="360"/>
        <w:rPr>
          <w:rFonts w:ascii="Arial" w:hAnsi="Arial" w:cs="Arial"/>
          <w:sz w:val="16"/>
          <w:szCs w:val="16"/>
          <w:lang w:val="es-ES_tradnl"/>
        </w:rPr>
      </w:pPr>
      <w:r w:rsidRPr="00E51872">
        <w:rPr>
          <w:rStyle w:val="FootnoteReference"/>
          <w:rFonts w:ascii="Arial" w:hAnsi="Arial" w:cs="Arial"/>
          <w:sz w:val="16"/>
          <w:szCs w:val="16"/>
        </w:rPr>
        <w:footnoteRef/>
      </w:r>
      <w:r w:rsidRPr="00E51872">
        <w:rPr>
          <w:rFonts w:ascii="Arial" w:hAnsi="Arial" w:cs="Arial"/>
          <w:sz w:val="16"/>
          <w:szCs w:val="16"/>
          <w:lang w:val="es-ES_tradnl"/>
        </w:rPr>
        <w:t xml:space="preserve"> </w:t>
      </w:r>
      <w:r w:rsidR="00E51872">
        <w:rPr>
          <w:rFonts w:ascii="Arial" w:hAnsi="Arial" w:cs="Arial"/>
          <w:sz w:val="16"/>
          <w:szCs w:val="16"/>
          <w:lang w:val="es-ES_tradnl"/>
        </w:rPr>
        <w:tab/>
      </w:r>
      <w:r w:rsidRPr="00E51872">
        <w:rPr>
          <w:rFonts w:ascii="Arial" w:hAnsi="Arial" w:cs="Arial"/>
          <w:sz w:val="16"/>
          <w:szCs w:val="16"/>
          <w:lang w:val="es-CL"/>
        </w:rPr>
        <w:t>CNEL-EP, una de las diez Empresas Eléctricas de Distribución, agrupa 11 unidades de negocio y es responsable de la atención del 49% de los clientes a nivel nacional, facturando el 62% del total de la energía</w:t>
      </w:r>
    </w:p>
  </w:footnote>
  <w:footnote w:id="16">
    <w:p w:rsidR="00FA453E" w:rsidRPr="00E51872" w:rsidRDefault="00FA453E" w:rsidP="00E51872">
      <w:pPr>
        <w:pStyle w:val="CommentText"/>
        <w:ind w:left="360" w:hanging="360"/>
        <w:rPr>
          <w:rFonts w:ascii="Arial" w:hAnsi="Arial" w:cs="Arial"/>
          <w:sz w:val="16"/>
          <w:lang w:val="es-ES_tradnl"/>
        </w:rPr>
      </w:pPr>
      <w:r w:rsidRPr="00E51872">
        <w:rPr>
          <w:rStyle w:val="FootnoteReference"/>
          <w:rFonts w:ascii="Arial" w:hAnsi="Arial" w:cs="Arial"/>
          <w:sz w:val="16"/>
        </w:rPr>
        <w:footnoteRef/>
      </w:r>
      <w:r w:rsidRPr="00E51872">
        <w:rPr>
          <w:rFonts w:ascii="Arial" w:hAnsi="Arial" w:cs="Arial"/>
          <w:sz w:val="16"/>
          <w:lang w:val="es-ES_tradnl"/>
        </w:rPr>
        <w:t xml:space="preserve"> </w:t>
      </w:r>
      <w:r w:rsidRPr="00E51872">
        <w:rPr>
          <w:rFonts w:ascii="Arial" w:hAnsi="Arial" w:cs="Arial"/>
          <w:sz w:val="16"/>
          <w:lang w:val="es-ES_tradnl"/>
        </w:rPr>
        <w:tab/>
        <w:t>Actividades como: (i) programas de mentoría e identificación temprana de mujeres en niveles jerárquicos bajos y medios con características profesionales con potencial de crecimiento, (ii) programa de reclutamiento de jóvenes profesionales recién graduados, (iii) revisión estratégica de la conformación de los equipos y oficinas dentro del MEER y las distintas Unidades de negocio.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5D" w:rsidRDefault="00E87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5D" w:rsidRDefault="00E87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5D" w:rsidRDefault="00E87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66A5"/>
    <w:multiLevelType w:val="hybridMultilevel"/>
    <w:tmpl w:val="7F2C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E4"/>
    <w:rsid w:val="000056DF"/>
    <w:rsid w:val="000216CD"/>
    <w:rsid w:val="0002532F"/>
    <w:rsid w:val="00055945"/>
    <w:rsid w:val="000C6014"/>
    <w:rsid w:val="000D10A2"/>
    <w:rsid w:val="000D5A19"/>
    <w:rsid w:val="000D74AC"/>
    <w:rsid w:val="001107A1"/>
    <w:rsid w:val="00113CC1"/>
    <w:rsid w:val="001C0AC7"/>
    <w:rsid w:val="002353EB"/>
    <w:rsid w:val="0025086D"/>
    <w:rsid w:val="00277867"/>
    <w:rsid w:val="002862BF"/>
    <w:rsid w:val="002901D3"/>
    <w:rsid w:val="003208DD"/>
    <w:rsid w:val="00323A56"/>
    <w:rsid w:val="00342912"/>
    <w:rsid w:val="003723FA"/>
    <w:rsid w:val="003A0735"/>
    <w:rsid w:val="003C39BC"/>
    <w:rsid w:val="003D27DD"/>
    <w:rsid w:val="003E7291"/>
    <w:rsid w:val="00406D89"/>
    <w:rsid w:val="0042610D"/>
    <w:rsid w:val="00426AAA"/>
    <w:rsid w:val="004D0D67"/>
    <w:rsid w:val="004D778D"/>
    <w:rsid w:val="00532017"/>
    <w:rsid w:val="005372F8"/>
    <w:rsid w:val="00570458"/>
    <w:rsid w:val="00586FC0"/>
    <w:rsid w:val="005D37BF"/>
    <w:rsid w:val="005E2CD1"/>
    <w:rsid w:val="00655571"/>
    <w:rsid w:val="006642D0"/>
    <w:rsid w:val="00692C6E"/>
    <w:rsid w:val="006A2B43"/>
    <w:rsid w:val="006B5583"/>
    <w:rsid w:val="00747720"/>
    <w:rsid w:val="00750F42"/>
    <w:rsid w:val="00754DFA"/>
    <w:rsid w:val="007630B9"/>
    <w:rsid w:val="007C027D"/>
    <w:rsid w:val="007C57FC"/>
    <w:rsid w:val="007D3349"/>
    <w:rsid w:val="00812BA9"/>
    <w:rsid w:val="00835B89"/>
    <w:rsid w:val="008728CD"/>
    <w:rsid w:val="00880F5C"/>
    <w:rsid w:val="00881A29"/>
    <w:rsid w:val="00887C5B"/>
    <w:rsid w:val="008A532A"/>
    <w:rsid w:val="008F15C9"/>
    <w:rsid w:val="008F403E"/>
    <w:rsid w:val="008F4B36"/>
    <w:rsid w:val="00904390"/>
    <w:rsid w:val="00931135"/>
    <w:rsid w:val="009A5BE4"/>
    <w:rsid w:val="009C6838"/>
    <w:rsid w:val="009D493B"/>
    <w:rsid w:val="009D4F92"/>
    <w:rsid w:val="009F14DA"/>
    <w:rsid w:val="00A0343A"/>
    <w:rsid w:val="00A17D38"/>
    <w:rsid w:val="00A3505C"/>
    <w:rsid w:val="00A44A33"/>
    <w:rsid w:val="00A51EE8"/>
    <w:rsid w:val="00A55F9C"/>
    <w:rsid w:val="00A61F7F"/>
    <w:rsid w:val="00A67ABE"/>
    <w:rsid w:val="00AB0449"/>
    <w:rsid w:val="00AB1644"/>
    <w:rsid w:val="00AE16F7"/>
    <w:rsid w:val="00B25252"/>
    <w:rsid w:val="00B52242"/>
    <w:rsid w:val="00B54308"/>
    <w:rsid w:val="00B649C4"/>
    <w:rsid w:val="00B81067"/>
    <w:rsid w:val="00BB54C0"/>
    <w:rsid w:val="00BC0598"/>
    <w:rsid w:val="00BD3E94"/>
    <w:rsid w:val="00BE4A43"/>
    <w:rsid w:val="00BE7821"/>
    <w:rsid w:val="00BE7F50"/>
    <w:rsid w:val="00C06CE1"/>
    <w:rsid w:val="00C35CA5"/>
    <w:rsid w:val="00C3608B"/>
    <w:rsid w:val="00C57859"/>
    <w:rsid w:val="00C772C9"/>
    <w:rsid w:val="00C80225"/>
    <w:rsid w:val="00C841E5"/>
    <w:rsid w:val="00CA1E81"/>
    <w:rsid w:val="00D02021"/>
    <w:rsid w:val="00D210DD"/>
    <w:rsid w:val="00D45888"/>
    <w:rsid w:val="00D8144F"/>
    <w:rsid w:val="00D8594E"/>
    <w:rsid w:val="00D965ED"/>
    <w:rsid w:val="00DE5E22"/>
    <w:rsid w:val="00DF5D8A"/>
    <w:rsid w:val="00E22E64"/>
    <w:rsid w:val="00E45792"/>
    <w:rsid w:val="00E45A70"/>
    <w:rsid w:val="00E51872"/>
    <w:rsid w:val="00E55B0C"/>
    <w:rsid w:val="00E8755D"/>
    <w:rsid w:val="00E92B8F"/>
    <w:rsid w:val="00EA7939"/>
    <w:rsid w:val="00F0690C"/>
    <w:rsid w:val="00F1113A"/>
    <w:rsid w:val="00F12A56"/>
    <w:rsid w:val="00F404CF"/>
    <w:rsid w:val="00F66D44"/>
    <w:rsid w:val="00F66F01"/>
    <w:rsid w:val="00F70BF5"/>
    <w:rsid w:val="00F77C89"/>
    <w:rsid w:val="00F87070"/>
    <w:rsid w:val="00FA07C6"/>
    <w:rsid w:val="00FA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3E2B"/>
  <w15:chartTrackingRefBased/>
  <w15:docId w15:val="{577E8B69-8B0B-4562-8EB6-37DA12BD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de rodapé,nota_rodapé,nota de rodapé,footnote,single space,FOOTNOTES,Footnote Text Char Char,foottextf,Geneva 9,Font: Geneva 9,Boston 10,f,footnote text,foottextfr,Footnote Text arial11"/>
    <w:basedOn w:val="Normal"/>
    <w:link w:val="FootnoteTextChar"/>
    <w:unhideWhenUsed/>
    <w:rsid w:val="000056DF"/>
    <w:pPr>
      <w:spacing w:after="0" w:line="240" w:lineRule="auto"/>
    </w:pPr>
    <w:rPr>
      <w:rFonts w:eastAsiaTheme="minorEastAsia"/>
      <w:sz w:val="20"/>
      <w:szCs w:val="20"/>
    </w:rPr>
  </w:style>
  <w:style w:type="character" w:customStyle="1" w:styleId="FootnoteTextChar">
    <w:name w:val="Footnote Text Char"/>
    <w:aliases w:val="fn Char,Texto de rodapé Char,nota_rodapé Char,nota de rodapé Char,footnote Char,single space Char,FOOTNOTES Char,Footnote Text Char Char Char,foottextf Char,Geneva 9 Char,Font: Geneva 9 Char,Boston 10 Char,f Char,footnote text Char"/>
    <w:basedOn w:val="DefaultParagraphFont"/>
    <w:link w:val="FootnoteText"/>
    <w:rsid w:val="000056DF"/>
    <w:rPr>
      <w:rFonts w:eastAsiaTheme="minorEastAsia"/>
      <w:sz w:val="20"/>
      <w:szCs w:val="20"/>
    </w:rPr>
  </w:style>
  <w:style w:type="character" w:styleId="FootnoteReference">
    <w:name w:val="footnote reference"/>
    <w:aliases w:val="Footnote Referencef,FC,16 Point,Superscript 6 Point,Footnote Referencefr,Style 24,F1,Footnote Referencefra,de nota al pie,(Ref. de nota al pie),referencia nota al pie,Ref. de nota al pi,Ref,o,ftref,Fußnotenzeichen DISS"/>
    <w:basedOn w:val="DefaultParagraphFont"/>
    <w:uiPriority w:val="99"/>
    <w:unhideWhenUsed/>
    <w:rsid w:val="000056DF"/>
    <w:rPr>
      <w:vertAlign w:val="superscript"/>
    </w:rPr>
  </w:style>
  <w:style w:type="character" w:styleId="Hyperlink">
    <w:name w:val="Hyperlink"/>
    <w:basedOn w:val="DefaultParagraphFont"/>
    <w:uiPriority w:val="99"/>
    <w:unhideWhenUsed/>
    <w:rsid w:val="000056DF"/>
    <w:rPr>
      <w:color w:val="0563C1" w:themeColor="hyperlink"/>
      <w:u w:val="single"/>
    </w:rPr>
  </w:style>
  <w:style w:type="table" w:styleId="MediumList2-Accent1">
    <w:name w:val="Medium List 2 Accent 1"/>
    <w:basedOn w:val="TableNormal"/>
    <w:uiPriority w:val="61"/>
    <w:rsid w:val="009C6838"/>
    <w:pPr>
      <w:spacing w:after="0" w:line="240" w:lineRule="auto"/>
    </w:pPr>
    <w:rPr>
      <w:rFonts w:asciiTheme="majorHAnsi" w:eastAsiaTheme="majorEastAsia" w:hAnsiTheme="majorHAnsi" w:cstheme="majorBidi"/>
      <w:color w:val="000000" w:themeColor="text1"/>
      <w:sz w:val="20"/>
      <w:szCs w:val="20"/>
      <w:lang w:val="es-EC" w:eastAsia="es-EC"/>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B52242"/>
    <w:pPr>
      <w:ind w:left="720"/>
      <w:contextualSpacing/>
    </w:pPr>
  </w:style>
  <w:style w:type="table" w:styleId="TableGrid">
    <w:name w:val="Table Grid"/>
    <w:basedOn w:val="TableNormal"/>
    <w:uiPriority w:val="39"/>
    <w:rsid w:val="0093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1135"/>
    <w:rPr>
      <w:sz w:val="16"/>
      <w:szCs w:val="16"/>
    </w:rPr>
  </w:style>
  <w:style w:type="paragraph" w:styleId="CommentText">
    <w:name w:val="annotation text"/>
    <w:basedOn w:val="Normal"/>
    <w:link w:val="CommentTextChar"/>
    <w:uiPriority w:val="99"/>
    <w:unhideWhenUsed/>
    <w:rsid w:val="00931135"/>
    <w:pPr>
      <w:spacing w:line="240" w:lineRule="auto"/>
    </w:pPr>
    <w:rPr>
      <w:sz w:val="20"/>
      <w:szCs w:val="20"/>
    </w:rPr>
  </w:style>
  <w:style w:type="character" w:customStyle="1" w:styleId="CommentTextChar">
    <w:name w:val="Comment Text Char"/>
    <w:basedOn w:val="DefaultParagraphFont"/>
    <w:link w:val="CommentText"/>
    <w:uiPriority w:val="99"/>
    <w:rsid w:val="00931135"/>
    <w:rPr>
      <w:sz w:val="20"/>
      <w:szCs w:val="20"/>
    </w:rPr>
  </w:style>
  <w:style w:type="paragraph" w:styleId="BalloonText">
    <w:name w:val="Balloon Text"/>
    <w:basedOn w:val="Normal"/>
    <w:link w:val="BalloonTextChar"/>
    <w:uiPriority w:val="99"/>
    <w:semiHidden/>
    <w:unhideWhenUsed/>
    <w:rsid w:val="00931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35"/>
    <w:rPr>
      <w:rFonts w:ascii="Segoe UI" w:hAnsi="Segoe UI" w:cs="Segoe UI"/>
      <w:sz w:val="18"/>
      <w:szCs w:val="18"/>
    </w:rPr>
  </w:style>
  <w:style w:type="paragraph" w:styleId="Header">
    <w:name w:val="header"/>
    <w:basedOn w:val="Normal"/>
    <w:link w:val="HeaderChar"/>
    <w:uiPriority w:val="99"/>
    <w:unhideWhenUsed/>
    <w:rsid w:val="00904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390"/>
  </w:style>
  <w:style w:type="paragraph" w:styleId="Footer">
    <w:name w:val="footer"/>
    <w:basedOn w:val="Normal"/>
    <w:link w:val="FooterChar"/>
    <w:uiPriority w:val="99"/>
    <w:unhideWhenUsed/>
    <w:rsid w:val="00904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390"/>
  </w:style>
  <w:style w:type="paragraph" w:styleId="Revision">
    <w:name w:val="Revision"/>
    <w:hidden/>
    <w:uiPriority w:val="99"/>
    <w:semiHidden/>
    <w:rsid w:val="000216CD"/>
    <w:pPr>
      <w:spacing w:after="0" w:line="240" w:lineRule="auto"/>
    </w:pPr>
  </w:style>
  <w:style w:type="paragraph" w:styleId="CommentSubject">
    <w:name w:val="annotation subject"/>
    <w:basedOn w:val="CommentText"/>
    <w:next w:val="CommentText"/>
    <w:link w:val="CommentSubjectChar"/>
    <w:uiPriority w:val="99"/>
    <w:semiHidden/>
    <w:unhideWhenUsed/>
    <w:rsid w:val="00B54308"/>
    <w:rPr>
      <w:b/>
      <w:bCs/>
    </w:rPr>
  </w:style>
  <w:style w:type="character" w:customStyle="1" w:styleId="CommentSubjectChar">
    <w:name w:val="Comment Subject Char"/>
    <w:basedOn w:val="CommentTextChar"/>
    <w:link w:val="CommentSubject"/>
    <w:uiPriority w:val="99"/>
    <w:semiHidden/>
    <w:rsid w:val="00B54308"/>
    <w:rPr>
      <w:b/>
      <w:bCs/>
      <w:sz w:val="20"/>
      <w:szCs w:val="20"/>
    </w:rPr>
  </w:style>
  <w:style w:type="character" w:styleId="Mention">
    <w:name w:val="Mention"/>
    <w:basedOn w:val="DefaultParagraphFont"/>
    <w:uiPriority w:val="99"/>
    <w:semiHidden/>
    <w:unhideWhenUsed/>
    <w:rsid w:val="00A61F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y.com/gl/en/industries/power---utilities/ey-women-in-power-and-ut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4262-3253-48DD-9884-07B650DD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Monje Silva, Andrea</dc:creator>
  <cp:keywords/>
  <dc:description/>
  <cp:lastModifiedBy>Banco Interamericano de Desarrollo</cp:lastModifiedBy>
  <cp:revision>3</cp:revision>
  <cp:lastPrinted>2017-07-07T22:09:00Z</cp:lastPrinted>
  <dcterms:created xsi:type="dcterms:W3CDTF">2017-07-10T16:43:00Z</dcterms:created>
  <dcterms:modified xsi:type="dcterms:W3CDTF">2017-07-19T15:58:00Z</dcterms:modified>
</cp:coreProperties>
</file>