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70A" w:rsidRDefault="0086570A" w:rsidP="0086570A">
      <w:pPr>
        <w:jc w:val="center"/>
        <w:rPr>
          <w:b/>
          <w:sz w:val="32"/>
          <w:lang w:val="es-CL"/>
        </w:rPr>
      </w:pPr>
      <w:r w:rsidRPr="00A0468C">
        <w:rPr>
          <w:b/>
          <w:noProof/>
          <w:sz w:val="32"/>
          <w:lang w:val="en-US"/>
        </w:rPr>
        <w:drawing>
          <wp:inline distT="0" distB="0" distL="0" distR="0" wp14:anchorId="7332CA28" wp14:editId="7E825F28">
            <wp:extent cx="1931034" cy="848144"/>
            <wp:effectExtent l="0" t="0" r="0" b="95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a:stretch>
                      <a:fillRect/>
                    </a:stretch>
                  </pic:blipFill>
                  <pic:spPr>
                    <a:xfrm>
                      <a:off x="0" y="0"/>
                      <a:ext cx="1931034" cy="848144"/>
                    </a:xfrm>
                    <a:prstGeom prst="rect">
                      <a:avLst/>
                    </a:prstGeom>
                  </pic:spPr>
                </pic:pic>
              </a:graphicData>
            </a:graphic>
          </wp:inline>
        </w:drawing>
      </w:r>
    </w:p>
    <w:p w:rsidR="0086570A" w:rsidRDefault="0086570A" w:rsidP="0086570A">
      <w:pPr>
        <w:jc w:val="center"/>
        <w:rPr>
          <w:b/>
          <w:sz w:val="32"/>
          <w:lang w:val="es-CL"/>
        </w:rPr>
      </w:pPr>
    </w:p>
    <w:p w:rsidR="0086570A" w:rsidRDefault="0086570A" w:rsidP="0086570A">
      <w:pPr>
        <w:jc w:val="center"/>
        <w:rPr>
          <w:b/>
          <w:sz w:val="32"/>
          <w:lang w:val="es-CL"/>
        </w:rPr>
      </w:pPr>
    </w:p>
    <w:p w:rsidR="0086570A" w:rsidRPr="0086570A" w:rsidRDefault="0086570A" w:rsidP="0086570A">
      <w:pPr>
        <w:jc w:val="center"/>
        <w:rPr>
          <w:b/>
          <w:sz w:val="32"/>
          <w:lang w:val="es-CL"/>
        </w:rPr>
      </w:pPr>
      <w:r w:rsidRPr="0086570A">
        <w:rPr>
          <w:b/>
          <w:sz w:val="32"/>
          <w:lang w:val="es-CL"/>
        </w:rPr>
        <w:t xml:space="preserve">Apoyo al Avance del Cambio de la Matriz Energética del Ecuador - EC-L1223  </w:t>
      </w:r>
    </w:p>
    <w:p w:rsidR="0086570A" w:rsidRPr="009E71AF" w:rsidRDefault="0086570A" w:rsidP="0086570A">
      <w:pPr>
        <w:jc w:val="center"/>
        <w:rPr>
          <w:b/>
          <w:sz w:val="32"/>
          <w:lang w:val="es-CL"/>
        </w:rPr>
      </w:pPr>
      <w:r w:rsidRPr="0086570A">
        <w:rPr>
          <w:b/>
          <w:sz w:val="32"/>
          <w:lang w:val="es-CL"/>
        </w:rPr>
        <w:t>EVALUACIÓN ECONÓMICA – FINANCIERA</w:t>
      </w:r>
    </w:p>
    <w:p w:rsidR="0086570A" w:rsidRDefault="0086570A" w:rsidP="0086570A">
      <w:pPr>
        <w:jc w:val="center"/>
        <w:rPr>
          <w:lang w:val="es-CL"/>
        </w:rPr>
      </w:pPr>
      <w:bookmarkStart w:id="0" w:name="_GoBack"/>
      <w:bookmarkEnd w:id="0"/>
    </w:p>
    <w:p w:rsidR="0086570A" w:rsidRDefault="0086570A" w:rsidP="0086570A">
      <w:pPr>
        <w:jc w:val="center"/>
        <w:rPr>
          <w:lang w:val="es-CL"/>
        </w:rPr>
      </w:pPr>
    </w:p>
    <w:p w:rsidR="0086570A" w:rsidRPr="00C60831" w:rsidRDefault="0086570A" w:rsidP="0086570A">
      <w:pPr>
        <w:jc w:val="center"/>
        <w:rPr>
          <w:b/>
          <w:sz w:val="32"/>
          <w:lang w:val="es-CL"/>
        </w:rPr>
      </w:pPr>
      <w:r w:rsidRPr="00C60831">
        <w:rPr>
          <w:b/>
          <w:sz w:val="32"/>
          <w:lang w:val="es-CL"/>
        </w:rPr>
        <w:t>Producto N°</w:t>
      </w:r>
      <w:r w:rsidR="00AE453D">
        <w:rPr>
          <w:b/>
          <w:sz w:val="32"/>
          <w:lang w:val="es-CL"/>
        </w:rPr>
        <w:t>3</w:t>
      </w:r>
    </w:p>
    <w:p w:rsidR="0086570A" w:rsidRPr="00C60831" w:rsidRDefault="0086570A" w:rsidP="0086570A">
      <w:pPr>
        <w:jc w:val="center"/>
        <w:rPr>
          <w:b/>
          <w:sz w:val="32"/>
          <w:lang w:val="es-CL"/>
        </w:rPr>
      </w:pPr>
      <w:r>
        <w:rPr>
          <w:b/>
          <w:sz w:val="32"/>
          <w:lang w:val="es-CL"/>
        </w:rPr>
        <w:t xml:space="preserve">Informe </w:t>
      </w:r>
      <w:r w:rsidR="00AE453D">
        <w:rPr>
          <w:b/>
          <w:sz w:val="32"/>
          <w:lang w:val="es-CL"/>
        </w:rPr>
        <w:t>Final</w:t>
      </w:r>
    </w:p>
    <w:p w:rsidR="0086570A" w:rsidRPr="00C60831" w:rsidRDefault="0086570A" w:rsidP="0086570A">
      <w:pPr>
        <w:jc w:val="center"/>
        <w:rPr>
          <w:sz w:val="32"/>
          <w:lang w:val="es-CL"/>
        </w:rPr>
      </w:pPr>
    </w:p>
    <w:p w:rsidR="0086570A" w:rsidRPr="00C60831" w:rsidRDefault="0086570A" w:rsidP="0086570A">
      <w:pPr>
        <w:jc w:val="center"/>
        <w:rPr>
          <w:sz w:val="32"/>
          <w:lang w:val="es-CL"/>
        </w:rPr>
      </w:pPr>
    </w:p>
    <w:p w:rsidR="0086570A" w:rsidRPr="00C60831" w:rsidRDefault="0086570A" w:rsidP="0086570A">
      <w:pPr>
        <w:jc w:val="center"/>
        <w:rPr>
          <w:sz w:val="32"/>
          <w:lang w:val="es-CL"/>
        </w:rPr>
      </w:pPr>
    </w:p>
    <w:p w:rsidR="0086570A" w:rsidRPr="00C60831" w:rsidRDefault="0086570A" w:rsidP="0086570A">
      <w:pPr>
        <w:jc w:val="center"/>
        <w:rPr>
          <w:sz w:val="32"/>
          <w:lang w:val="es-CL"/>
        </w:rPr>
      </w:pPr>
    </w:p>
    <w:p w:rsidR="0086570A" w:rsidRPr="00C60831" w:rsidRDefault="0086570A" w:rsidP="0086570A">
      <w:pPr>
        <w:jc w:val="center"/>
        <w:rPr>
          <w:sz w:val="32"/>
          <w:lang w:val="es-CL"/>
        </w:rPr>
      </w:pPr>
    </w:p>
    <w:p w:rsidR="0086570A" w:rsidRPr="00C60831" w:rsidRDefault="0086570A" w:rsidP="0086570A">
      <w:pPr>
        <w:jc w:val="center"/>
        <w:rPr>
          <w:sz w:val="32"/>
          <w:lang w:val="es-CL"/>
        </w:rPr>
      </w:pPr>
    </w:p>
    <w:p w:rsidR="0086570A" w:rsidRPr="00C60831" w:rsidRDefault="0086570A" w:rsidP="0086570A">
      <w:pPr>
        <w:jc w:val="center"/>
        <w:rPr>
          <w:sz w:val="32"/>
          <w:lang w:val="es-CL"/>
        </w:rPr>
      </w:pPr>
    </w:p>
    <w:p w:rsidR="0086570A" w:rsidRPr="00C60831" w:rsidRDefault="0086570A" w:rsidP="0086570A">
      <w:pPr>
        <w:jc w:val="center"/>
        <w:rPr>
          <w:sz w:val="32"/>
          <w:lang w:val="es-CL"/>
        </w:rPr>
      </w:pPr>
      <w:r w:rsidRPr="00C60831">
        <w:rPr>
          <w:sz w:val="32"/>
          <w:lang w:val="es-CL"/>
        </w:rPr>
        <w:t>Jaime García Calderón</w:t>
      </w:r>
    </w:p>
    <w:p w:rsidR="0086570A" w:rsidRPr="00C60831" w:rsidRDefault="0086570A" w:rsidP="0086570A">
      <w:pPr>
        <w:jc w:val="center"/>
        <w:rPr>
          <w:sz w:val="32"/>
          <w:lang w:val="es-CL"/>
        </w:rPr>
      </w:pPr>
      <w:r>
        <w:rPr>
          <w:sz w:val="32"/>
          <w:lang w:val="es-CL"/>
        </w:rPr>
        <w:t>C</w:t>
      </w:r>
      <w:r w:rsidRPr="00C60831">
        <w:rPr>
          <w:sz w:val="32"/>
          <w:lang w:val="es-CL"/>
        </w:rPr>
        <w:t>onsultor Internacional</w:t>
      </w:r>
    </w:p>
    <w:p w:rsidR="0086570A" w:rsidRPr="00C60831" w:rsidRDefault="00AE453D" w:rsidP="0086570A">
      <w:pPr>
        <w:jc w:val="center"/>
        <w:rPr>
          <w:sz w:val="32"/>
          <w:lang w:val="es-CL"/>
        </w:rPr>
      </w:pPr>
      <w:r>
        <w:rPr>
          <w:sz w:val="32"/>
          <w:lang w:val="es-CL"/>
        </w:rPr>
        <w:t>Agosto</w:t>
      </w:r>
      <w:r w:rsidR="0086570A" w:rsidRPr="00C60831">
        <w:rPr>
          <w:sz w:val="32"/>
          <w:lang w:val="es-CL"/>
        </w:rPr>
        <w:t xml:space="preserve"> 2017</w:t>
      </w:r>
    </w:p>
    <w:p w:rsidR="00AE477A" w:rsidRDefault="00AE477A">
      <w:pPr>
        <w:rPr>
          <w:lang w:val="es-CL"/>
        </w:rPr>
      </w:pPr>
      <w:r>
        <w:rPr>
          <w:lang w:val="es-CL"/>
        </w:rPr>
        <w:br w:type="page"/>
      </w:r>
    </w:p>
    <w:sdt>
      <w:sdtPr>
        <w:rPr>
          <w:rFonts w:asciiTheme="minorHAnsi" w:eastAsiaTheme="minorHAnsi" w:hAnsiTheme="minorHAnsi" w:cstheme="minorBidi"/>
          <w:color w:val="auto"/>
          <w:sz w:val="22"/>
          <w:szCs w:val="22"/>
          <w:lang w:val="es-ES" w:eastAsia="en-US"/>
        </w:rPr>
        <w:id w:val="999615998"/>
        <w:docPartObj>
          <w:docPartGallery w:val="Table of Contents"/>
          <w:docPartUnique/>
        </w:docPartObj>
      </w:sdtPr>
      <w:sdtEndPr>
        <w:rPr>
          <w:b/>
          <w:bCs/>
        </w:rPr>
      </w:sdtEndPr>
      <w:sdtContent>
        <w:p w:rsidR="00AE477A" w:rsidRDefault="00AE477A">
          <w:pPr>
            <w:pStyle w:val="TOCHeading"/>
          </w:pPr>
          <w:r>
            <w:rPr>
              <w:lang w:val="es-ES"/>
            </w:rPr>
            <w:t>Contenido</w:t>
          </w:r>
        </w:p>
        <w:p w:rsidR="00173FC2" w:rsidRDefault="00AE477A">
          <w:pPr>
            <w:pStyle w:val="TOC1"/>
            <w:tabs>
              <w:tab w:val="right" w:leader="dot" w:pos="8828"/>
            </w:tabs>
            <w:rPr>
              <w:rFonts w:eastAsiaTheme="minorEastAsia"/>
              <w:noProof/>
              <w:lang w:eastAsia="es-CR"/>
            </w:rPr>
          </w:pPr>
          <w:r>
            <w:fldChar w:fldCharType="begin"/>
          </w:r>
          <w:r>
            <w:instrText xml:space="preserve"> TOC \o "1-3" \h \z \u </w:instrText>
          </w:r>
          <w:r>
            <w:fldChar w:fldCharType="separate"/>
          </w:r>
          <w:hyperlink w:anchor="_Toc491617744" w:history="1">
            <w:r w:rsidR="00173FC2" w:rsidRPr="00CE75CB">
              <w:rPr>
                <w:rStyle w:val="Hyperlink"/>
                <w:noProof/>
                <w:lang w:val="es-CL"/>
              </w:rPr>
              <w:t>Resumen</w:t>
            </w:r>
            <w:r w:rsidR="00173FC2">
              <w:rPr>
                <w:noProof/>
                <w:webHidden/>
              </w:rPr>
              <w:tab/>
            </w:r>
            <w:r w:rsidR="00173FC2">
              <w:rPr>
                <w:noProof/>
                <w:webHidden/>
              </w:rPr>
              <w:fldChar w:fldCharType="begin"/>
            </w:r>
            <w:r w:rsidR="00173FC2">
              <w:rPr>
                <w:noProof/>
                <w:webHidden/>
              </w:rPr>
              <w:instrText xml:space="preserve"> PAGEREF _Toc491617744 \h </w:instrText>
            </w:r>
            <w:r w:rsidR="00173FC2">
              <w:rPr>
                <w:noProof/>
                <w:webHidden/>
              </w:rPr>
            </w:r>
            <w:r w:rsidR="00173FC2">
              <w:rPr>
                <w:noProof/>
                <w:webHidden/>
              </w:rPr>
              <w:fldChar w:fldCharType="separate"/>
            </w:r>
            <w:r w:rsidR="00173FC2">
              <w:rPr>
                <w:noProof/>
                <w:webHidden/>
              </w:rPr>
              <w:t>4</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45" w:history="1">
            <w:r w:rsidR="00173FC2" w:rsidRPr="00CE75CB">
              <w:rPr>
                <w:rStyle w:val="Hyperlink"/>
                <w:noProof/>
                <w:lang w:val="es-CL"/>
              </w:rPr>
              <w:t>Componente I: Expansión y Reforzamiento del Sistema Nacional de Transmisión.</w:t>
            </w:r>
            <w:r w:rsidR="00173FC2">
              <w:rPr>
                <w:noProof/>
                <w:webHidden/>
              </w:rPr>
              <w:tab/>
            </w:r>
            <w:r w:rsidR="00173FC2">
              <w:rPr>
                <w:noProof/>
                <w:webHidden/>
              </w:rPr>
              <w:fldChar w:fldCharType="begin"/>
            </w:r>
            <w:r w:rsidR="00173FC2">
              <w:rPr>
                <w:noProof/>
                <w:webHidden/>
              </w:rPr>
              <w:instrText xml:space="preserve"> PAGEREF _Toc491617745 \h </w:instrText>
            </w:r>
            <w:r w:rsidR="00173FC2">
              <w:rPr>
                <w:noProof/>
                <w:webHidden/>
              </w:rPr>
            </w:r>
            <w:r w:rsidR="00173FC2">
              <w:rPr>
                <w:noProof/>
                <w:webHidden/>
              </w:rPr>
              <w:fldChar w:fldCharType="separate"/>
            </w:r>
            <w:r w:rsidR="00173FC2">
              <w:rPr>
                <w:noProof/>
                <w:webHidden/>
              </w:rPr>
              <w:t>4</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46" w:history="1">
            <w:r w:rsidR="00173FC2" w:rsidRPr="00CE75CB">
              <w:rPr>
                <w:rStyle w:val="Hyperlink"/>
                <w:noProof/>
                <w:lang w:val="es-CL"/>
              </w:rPr>
              <w:t>Componente II. Expansión y Modernización del Sistema Nacional de Distribución.</w:t>
            </w:r>
            <w:r w:rsidR="00173FC2">
              <w:rPr>
                <w:noProof/>
                <w:webHidden/>
              </w:rPr>
              <w:tab/>
            </w:r>
            <w:r w:rsidR="00173FC2">
              <w:rPr>
                <w:noProof/>
                <w:webHidden/>
              </w:rPr>
              <w:fldChar w:fldCharType="begin"/>
            </w:r>
            <w:r w:rsidR="00173FC2">
              <w:rPr>
                <w:noProof/>
                <w:webHidden/>
              </w:rPr>
              <w:instrText xml:space="preserve"> PAGEREF _Toc491617746 \h </w:instrText>
            </w:r>
            <w:r w:rsidR="00173FC2">
              <w:rPr>
                <w:noProof/>
                <w:webHidden/>
              </w:rPr>
            </w:r>
            <w:r w:rsidR="00173FC2">
              <w:rPr>
                <w:noProof/>
                <w:webHidden/>
              </w:rPr>
              <w:fldChar w:fldCharType="separate"/>
            </w:r>
            <w:r w:rsidR="00173FC2">
              <w:rPr>
                <w:noProof/>
                <w:webHidden/>
              </w:rPr>
              <w:t>5</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47" w:history="1">
            <w:r w:rsidR="00173FC2" w:rsidRPr="00CE75CB">
              <w:rPr>
                <w:rStyle w:val="Hyperlink"/>
                <w:noProof/>
                <w:lang w:val="es-CL"/>
              </w:rPr>
              <w:t>Componente II.1. Expansión y Reforzamiento de la Infraestructura de distribución.</w:t>
            </w:r>
            <w:r w:rsidR="00173FC2">
              <w:rPr>
                <w:noProof/>
                <w:webHidden/>
              </w:rPr>
              <w:tab/>
            </w:r>
            <w:r w:rsidR="00173FC2">
              <w:rPr>
                <w:noProof/>
                <w:webHidden/>
              </w:rPr>
              <w:fldChar w:fldCharType="begin"/>
            </w:r>
            <w:r w:rsidR="00173FC2">
              <w:rPr>
                <w:noProof/>
                <w:webHidden/>
              </w:rPr>
              <w:instrText xml:space="preserve"> PAGEREF _Toc491617747 \h </w:instrText>
            </w:r>
            <w:r w:rsidR="00173FC2">
              <w:rPr>
                <w:noProof/>
                <w:webHidden/>
              </w:rPr>
            </w:r>
            <w:r w:rsidR="00173FC2">
              <w:rPr>
                <w:noProof/>
                <w:webHidden/>
              </w:rPr>
              <w:fldChar w:fldCharType="separate"/>
            </w:r>
            <w:r w:rsidR="00173FC2">
              <w:rPr>
                <w:noProof/>
                <w:webHidden/>
              </w:rPr>
              <w:t>5</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48" w:history="1">
            <w:r w:rsidR="00173FC2" w:rsidRPr="00CE75CB">
              <w:rPr>
                <w:rStyle w:val="Hyperlink"/>
                <w:noProof/>
                <w:lang w:val="es-CL"/>
              </w:rPr>
              <w:t>Componente II.2. Proyectos FERUM.</w:t>
            </w:r>
            <w:r w:rsidR="00173FC2">
              <w:rPr>
                <w:noProof/>
                <w:webHidden/>
              </w:rPr>
              <w:tab/>
            </w:r>
            <w:r w:rsidR="00173FC2">
              <w:rPr>
                <w:noProof/>
                <w:webHidden/>
              </w:rPr>
              <w:fldChar w:fldCharType="begin"/>
            </w:r>
            <w:r w:rsidR="00173FC2">
              <w:rPr>
                <w:noProof/>
                <w:webHidden/>
              </w:rPr>
              <w:instrText xml:space="preserve"> PAGEREF _Toc491617748 \h </w:instrText>
            </w:r>
            <w:r w:rsidR="00173FC2">
              <w:rPr>
                <w:noProof/>
                <w:webHidden/>
              </w:rPr>
            </w:r>
            <w:r w:rsidR="00173FC2">
              <w:rPr>
                <w:noProof/>
                <w:webHidden/>
              </w:rPr>
              <w:fldChar w:fldCharType="separate"/>
            </w:r>
            <w:r w:rsidR="00173FC2">
              <w:rPr>
                <w:noProof/>
                <w:webHidden/>
              </w:rPr>
              <w:t>6</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49" w:history="1">
            <w:r w:rsidR="00173FC2" w:rsidRPr="00CE75CB">
              <w:rPr>
                <w:rStyle w:val="Hyperlink"/>
                <w:noProof/>
                <w:lang w:val="es-CL"/>
              </w:rPr>
              <w:t>Componente II.3. Repotenciación y extensión de redes de distribución para energizar la Agroindustria.</w:t>
            </w:r>
            <w:r w:rsidR="00173FC2">
              <w:rPr>
                <w:noProof/>
                <w:webHidden/>
              </w:rPr>
              <w:tab/>
            </w:r>
            <w:r w:rsidR="00173FC2">
              <w:rPr>
                <w:noProof/>
                <w:webHidden/>
              </w:rPr>
              <w:fldChar w:fldCharType="begin"/>
            </w:r>
            <w:r w:rsidR="00173FC2">
              <w:rPr>
                <w:noProof/>
                <w:webHidden/>
              </w:rPr>
              <w:instrText xml:space="preserve"> PAGEREF _Toc491617749 \h </w:instrText>
            </w:r>
            <w:r w:rsidR="00173FC2">
              <w:rPr>
                <w:noProof/>
                <w:webHidden/>
              </w:rPr>
            </w:r>
            <w:r w:rsidR="00173FC2">
              <w:rPr>
                <w:noProof/>
                <w:webHidden/>
              </w:rPr>
              <w:fldChar w:fldCharType="separate"/>
            </w:r>
            <w:r w:rsidR="00173FC2">
              <w:rPr>
                <w:noProof/>
                <w:webHidden/>
              </w:rPr>
              <w:t>7</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50" w:history="1">
            <w:r w:rsidR="00173FC2" w:rsidRPr="00CE75CB">
              <w:rPr>
                <w:rStyle w:val="Hyperlink"/>
                <w:noProof/>
                <w:lang w:val="es-CL"/>
              </w:rPr>
              <w:t>Componente III Programa de eficiencia energética en la Agroindustria.</w:t>
            </w:r>
            <w:r w:rsidR="00173FC2">
              <w:rPr>
                <w:noProof/>
                <w:webHidden/>
              </w:rPr>
              <w:tab/>
            </w:r>
            <w:r w:rsidR="00173FC2">
              <w:rPr>
                <w:noProof/>
                <w:webHidden/>
              </w:rPr>
              <w:fldChar w:fldCharType="begin"/>
            </w:r>
            <w:r w:rsidR="00173FC2">
              <w:rPr>
                <w:noProof/>
                <w:webHidden/>
              </w:rPr>
              <w:instrText xml:space="preserve"> PAGEREF _Toc491617750 \h </w:instrText>
            </w:r>
            <w:r w:rsidR="00173FC2">
              <w:rPr>
                <w:noProof/>
                <w:webHidden/>
              </w:rPr>
            </w:r>
            <w:r w:rsidR="00173FC2">
              <w:rPr>
                <w:noProof/>
                <w:webHidden/>
              </w:rPr>
              <w:fldChar w:fldCharType="separate"/>
            </w:r>
            <w:r w:rsidR="00173FC2">
              <w:rPr>
                <w:noProof/>
                <w:webHidden/>
              </w:rPr>
              <w:t>9</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51" w:history="1">
            <w:r w:rsidR="00173FC2" w:rsidRPr="00CE75CB">
              <w:rPr>
                <w:rStyle w:val="Hyperlink"/>
                <w:noProof/>
                <w:lang w:val="es-CL"/>
              </w:rPr>
              <w:t>Resumen de Principales Supuestos, Fundamentos y Fuentes de Información de las Evaluaciones</w:t>
            </w:r>
            <w:r w:rsidR="00173FC2">
              <w:rPr>
                <w:noProof/>
                <w:webHidden/>
              </w:rPr>
              <w:tab/>
            </w:r>
            <w:r w:rsidR="00173FC2">
              <w:rPr>
                <w:noProof/>
                <w:webHidden/>
              </w:rPr>
              <w:fldChar w:fldCharType="begin"/>
            </w:r>
            <w:r w:rsidR="00173FC2">
              <w:rPr>
                <w:noProof/>
                <w:webHidden/>
              </w:rPr>
              <w:instrText xml:space="preserve"> PAGEREF _Toc491617751 \h </w:instrText>
            </w:r>
            <w:r w:rsidR="00173FC2">
              <w:rPr>
                <w:noProof/>
                <w:webHidden/>
              </w:rPr>
            </w:r>
            <w:r w:rsidR="00173FC2">
              <w:rPr>
                <w:noProof/>
                <w:webHidden/>
              </w:rPr>
              <w:fldChar w:fldCharType="separate"/>
            </w:r>
            <w:r w:rsidR="00173FC2">
              <w:rPr>
                <w:noProof/>
                <w:webHidden/>
              </w:rPr>
              <w:t>9</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52" w:history="1">
            <w:r w:rsidR="00173FC2" w:rsidRPr="00CE75CB">
              <w:rPr>
                <w:rStyle w:val="Hyperlink"/>
                <w:noProof/>
                <w:lang w:val="es-CL"/>
              </w:rPr>
              <w:t>Resultados Parciales e Integrados de la Evaluación Financiera y Económica del programa.</w:t>
            </w:r>
            <w:r w:rsidR="00173FC2">
              <w:rPr>
                <w:noProof/>
                <w:webHidden/>
              </w:rPr>
              <w:tab/>
            </w:r>
            <w:r w:rsidR="00173FC2">
              <w:rPr>
                <w:noProof/>
                <w:webHidden/>
              </w:rPr>
              <w:fldChar w:fldCharType="begin"/>
            </w:r>
            <w:r w:rsidR="00173FC2">
              <w:rPr>
                <w:noProof/>
                <w:webHidden/>
              </w:rPr>
              <w:instrText xml:space="preserve"> PAGEREF _Toc491617752 \h </w:instrText>
            </w:r>
            <w:r w:rsidR="00173FC2">
              <w:rPr>
                <w:noProof/>
                <w:webHidden/>
              </w:rPr>
            </w:r>
            <w:r w:rsidR="00173FC2">
              <w:rPr>
                <w:noProof/>
                <w:webHidden/>
              </w:rPr>
              <w:fldChar w:fldCharType="separate"/>
            </w:r>
            <w:r w:rsidR="00173FC2">
              <w:rPr>
                <w:noProof/>
                <w:webHidden/>
              </w:rPr>
              <w:t>14</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53" w:history="1">
            <w:r w:rsidR="00173FC2" w:rsidRPr="00CE75CB">
              <w:rPr>
                <w:rStyle w:val="Hyperlink"/>
                <w:noProof/>
                <w:lang w:val="es-CL"/>
              </w:rPr>
              <w:t>Introducción</w:t>
            </w:r>
            <w:r w:rsidR="00173FC2">
              <w:rPr>
                <w:noProof/>
                <w:webHidden/>
              </w:rPr>
              <w:tab/>
            </w:r>
            <w:r w:rsidR="00173FC2">
              <w:rPr>
                <w:noProof/>
                <w:webHidden/>
              </w:rPr>
              <w:fldChar w:fldCharType="begin"/>
            </w:r>
            <w:r w:rsidR="00173FC2">
              <w:rPr>
                <w:noProof/>
                <w:webHidden/>
              </w:rPr>
              <w:instrText xml:space="preserve"> PAGEREF _Toc491617753 \h </w:instrText>
            </w:r>
            <w:r w:rsidR="00173FC2">
              <w:rPr>
                <w:noProof/>
                <w:webHidden/>
              </w:rPr>
            </w:r>
            <w:r w:rsidR="00173FC2">
              <w:rPr>
                <w:noProof/>
                <w:webHidden/>
              </w:rPr>
              <w:fldChar w:fldCharType="separate"/>
            </w:r>
            <w:r w:rsidR="00173FC2">
              <w:rPr>
                <w:noProof/>
                <w:webHidden/>
              </w:rPr>
              <w:t>17</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54" w:history="1">
            <w:r w:rsidR="00173FC2" w:rsidRPr="00CE75CB">
              <w:rPr>
                <w:rStyle w:val="Hyperlink"/>
                <w:noProof/>
                <w:lang w:val="es-CL"/>
              </w:rPr>
              <w:t>Metodología, Evaluaciones y Resultados por Componente</w:t>
            </w:r>
            <w:r w:rsidR="00173FC2">
              <w:rPr>
                <w:noProof/>
                <w:webHidden/>
              </w:rPr>
              <w:tab/>
            </w:r>
            <w:r w:rsidR="00173FC2">
              <w:rPr>
                <w:noProof/>
                <w:webHidden/>
              </w:rPr>
              <w:fldChar w:fldCharType="begin"/>
            </w:r>
            <w:r w:rsidR="00173FC2">
              <w:rPr>
                <w:noProof/>
                <w:webHidden/>
              </w:rPr>
              <w:instrText xml:space="preserve"> PAGEREF _Toc491617754 \h </w:instrText>
            </w:r>
            <w:r w:rsidR="00173FC2">
              <w:rPr>
                <w:noProof/>
                <w:webHidden/>
              </w:rPr>
            </w:r>
            <w:r w:rsidR="00173FC2">
              <w:rPr>
                <w:noProof/>
                <w:webHidden/>
              </w:rPr>
              <w:fldChar w:fldCharType="separate"/>
            </w:r>
            <w:r w:rsidR="00173FC2">
              <w:rPr>
                <w:noProof/>
                <w:webHidden/>
              </w:rPr>
              <w:t>22</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55" w:history="1">
            <w:r w:rsidR="00173FC2" w:rsidRPr="00CE75CB">
              <w:rPr>
                <w:rStyle w:val="Hyperlink"/>
                <w:noProof/>
                <w:lang w:val="es-CL"/>
              </w:rPr>
              <w:t>Generalidades</w:t>
            </w:r>
            <w:r w:rsidR="00173FC2">
              <w:rPr>
                <w:noProof/>
                <w:webHidden/>
              </w:rPr>
              <w:tab/>
            </w:r>
            <w:r w:rsidR="00173FC2">
              <w:rPr>
                <w:noProof/>
                <w:webHidden/>
              </w:rPr>
              <w:fldChar w:fldCharType="begin"/>
            </w:r>
            <w:r w:rsidR="00173FC2">
              <w:rPr>
                <w:noProof/>
                <w:webHidden/>
              </w:rPr>
              <w:instrText xml:space="preserve"> PAGEREF _Toc491617755 \h </w:instrText>
            </w:r>
            <w:r w:rsidR="00173FC2">
              <w:rPr>
                <w:noProof/>
                <w:webHidden/>
              </w:rPr>
            </w:r>
            <w:r w:rsidR="00173FC2">
              <w:rPr>
                <w:noProof/>
                <w:webHidden/>
              </w:rPr>
              <w:fldChar w:fldCharType="separate"/>
            </w:r>
            <w:r w:rsidR="00173FC2">
              <w:rPr>
                <w:noProof/>
                <w:webHidden/>
              </w:rPr>
              <w:t>22</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56" w:history="1">
            <w:r w:rsidR="00173FC2" w:rsidRPr="00CE75CB">
              <w:rPr>
                <w:rStyle w:val="Hyperlink"/>
                <w:noProof/>
                <w:lang w:val="es-CL"/>
              </w:rPr>
              <w:t>Situación Sin Proyecto</w:t>
            </w:r>
            <w:r w:rsidR="00173FC2">
              <w:rPr>
                <w:noProof/>
                <w:webHidden/>
              </w:rPr>
              <w:tab/>
            </w:r>
            <w:r w:rsidR="00173FC2">
              <w:rPr>
                <w:noProof/>
                <w:webHidden/>
              </w:rPr>
              <w:fldChar w:fldCharType="begin"/>
            </w:r>
            <w:r w:rsidR="00173FC2">
              <w:rPr>
                <w:noProof/>
                <w:webHidden/>
              </w:rPr>
              <w:instrText xml:space="preserve"> PAGEREF _Toc491617756 \h </w:instrText>
            </w:r>
            <w:r w:rsidR="00173FC2">
              <w:rPr>
                <w:noProof/>
                <w:webHidden/>
              </w:rPr>
            </w:r>
            <w:r w:rsidR="00173FC2">
              <w:rPr>
                <w:noProof/>
                <w:webHidden/>
              </w:rPr>
              <w:fldChar w:fldCharType="separate"/>
            </w:r>
            <w:r w:rsidR="00173FC2">
              <w:rPr>
                <w:noProof/>
                <w:webHidden/>
              </w:rPr>
              <w:t>24</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57" w:history="1">
            <w:r w:rsidR="00173FC2" w:rsidRPr="00CE75CB">
              <w:rPr>
                <w:rStyle w:val="Hyperlink"/>
                <w:noProof/>
                <w:lang w:val="es-CL"/>
              </w:rPr>
              <w:t>C.I: Proyectos de Expansión y Reforzamiento del Sistema Nacional de Transmisión</w:t>
            </w:r>
            <w:r w:rsidR="00173FC2">
              <w:rPr>
                <w:noProof/>
                <w:webHidden/>
              </w:rPr>
              <w:tab/>
            </w:r>
            <w:r w:rsidR="00173FC2">
              <w:rPr>
                <w:noProof/>
                <w:webHidden/>
              </w:rPr>
              <w:fldChar w:fldCharType="begin"/>
            </w:r>
            <w:r w:rsidR="00173FC2">
              <w:rPr>
                <w:noProof/>
                <w:webHidden/>
              </w:rPr>
              <w:instrText xml:space="preserve"> PAGEREF _Toc491617757 \h </w:instrText>
            </w:r>
            <w:r w:rsidR="00173FC2">
              <w:rPr>
                <w:noProof/>
                <w:webHidden/>
              </w:rPr>
            </w:r>
            <w:r w:rsidR="00173FC2">
              <w:rPr>
                <w:noProof/>
                <w:webHidden/>
              </w:rPr>
              <w:fldChar w:fldCharType="separate"/>
            </w:r>
            <w:r w:rsidR="00173FC2">
              <w:rPr>
                <w:noProof/>
                <w:webHidden/>
              </w:rPr>
              <w:t>27</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58" w:history="1">
            <w:r w:rsidR="00173FC2" w:rsidRPr="00CE75CB">
              <w:rPr>
                <w:rStyle w:val="Hyperlink"/>
                <w:noProof/>
                <w:lang w:val="es-CL"/>
              </w:rPr>
              <w:t>Flujo de Potencia y Energía Relevante</w:t>
            </w:r>
            <w:r w:rsidR="00173FC2">
              <w:rPr>
                <w:noProof/>
                <w:webHidden/>
              </w:rPr>
              <w:tab/>
            </w:r>
            <w:r w:rsidR="00173FC2">
              <w:rPr>
                <w:noProof/>
                <w:webHidden/>
              </w:rPr>
              <w:fldChar w:fldCharType="begin"/>
            </w:r>
            <w:r w:rsidR="00173FC2">
              <w:rPr>
                <w:noProof/>
                <w:webHidden/>
              </w:rPr>
              <w:instrText xml:space="preserve"> PAGEREF _Toc491617758 \h </w:instrText>
            </w:r>
            <w:r w:rsidR="00173FC2">
              <w:rPr>
                <w:noProof/>
                <w:webHidden/>
              </w:rPr>
            </w:r>
            <w:r w:rsidR="00173FC2">
              <w:rPr>
                <w:noProof/>
                <w:webHidden/>
              </w:rPr>
              <w:fldChar w:fldCharType="separate"/>
            </w:r>
            <w:r w:rsidR="00173FC2">
              <w:rPr>
                <w:noProof/>
                <w:webHidden/>
              </w:rPr>
              <w:t>27</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59" w:history="1">
            <w:r w:rsidR="00173FC2" w:rsidRPr="00CE75CB">
              <w:rPr>
                <w:rStyle w:val="Hyperlink"/>
                <w:noProof/>
                <w:lang w:val="es-CL"/>
              </w:rPr>
              <w:t>Evaluación Financiera Proyectos SNT</w:t>
            </w:r>
            <w:r w:rsidR="00173FC2">
              <w:rPr>
                <w:noProof/>
                <w:webHidden/>
              </w:rPr>
              <w:tab/>
            </w:r>
            <w:r w:rsidR="00173FC2">
              <w:rPr>
                <w:noProof/>
                <w:webHidden/>
              </w:rPr>
              <w:fldChar w:fldCharType="begin"/>
            </w:r>
            <w:r w:rsidR="00173FC2">
              <w:rPr>
                <w:noProof/>
                <w:webHidden/>
              </w:rPr>
              <w:instrText xml:space="preserve"> PAGEREF _Toc491617759 \h </w:instrText>
            </w:r>
            <w:r w:rsidR="00173FC2">
              <w:rPr>
                <w:noProof/>
                <w:webHidden/>
              </w:rPr>
            </w:r>
            <w:r w:rsidR="00173FC2">
              <w:rPr>
                <w:noProof/>
                <w:webHidden/>
              </w:rPr>
              <w:fldChar w:fldCharType="separate"/>
            </w:r>
            <w:r w:rsidR="00173FC2">
              <w:rPr>
                <w:noProof/>
                <w:webHidden/>
              </w:rPr>
              <w:t>29</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60" w:history="1">
            <w:r w:rsidR="00173FC2" w:rsidRPr="00CE75CB">
              <w:rPr>
                <w:rStyle w:val="Hyperlink"/>
                <w:noProof/>
                <w:lang w:val="es-CL"/>
              </w:rPr>
              <w:t>Evaluación Económica Proyectos SNT</w:t>
            </w:r>
            <w:r w:rsidR="00173FC2">
              <w:rPr>
                <w:noProof/>
                <w:webHidden/>
              </w:rPr>
              <w:tab/>
            </w:r>
            <w:r w:rsidR="00173FC2">
              <w:rPr>
                <w:noProof/>
                <w:webHidden/>
              </w:rPr>
              <w:fldChar w:fldCharType="begin"/>
            </w:r>
            <w:r w:rsidR="00173FC2">
              <w:rPr>
                <w:noProof/>
                <w:webHidden/>
              </w:rPr>
              <w:instrText xml:space="preserve"> PAGEREF _Toc491617760 \h </w:instrText>
            </w:r>
            <w:r w:rsidR="00173FC2">
              <w:rPr>
                <w:noProof/>
                <w:webHidden/>
              </w:rPr>
            </w:r>
            <w:r w:rsidR="00173FC2">
              <w:rPr>
                <w:noProof/>
                <w:webHidden/>
              </w:rPr>
              <w:fldChar w:fldCharType="separate"/>
            </w:r>
            <w:r w:rsidR="00173FC2">
              <w:rPr>
                <w:noProof/>
                <w:webHidden/>
              </w:rPr>
              <w:t>30</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61" w:history="1">
            <w:r w:rsidR="00173FC2" w:rsidRPr="00CE75CB">
              <w:rPr>
                <w:rStyle w:val="Hyperlink"/>
                <w:noProof/>
                <w:lang w:val="es-CL"/>
              </w:rPr>
              <w:t>C.II: Proyectos de Expansión y Modernización del Sistema Nacional de Distribución</w:t>
            </w:r>
            <w:r w:rsidR="00173FC2">
              <w:rPr>
                <w:noProof/>
                <w:webHidden/>
              </w:rPr>
              <w:tab/>
            </w:r>
            <w:r w:rsidR="00173FC2">
              <w:rPr>
                <w:noProof/>
                <w:webHidden/>
              </w:rPr>
              <w:fldChar w:fldCharType="begin"/>
            </w:r>
            <w:r w:rsidR="00173FC2">
              <w:rPr>
                <w:noProof/>
                <w:webHidden/>
              </w:rPr>
              <w:instrText xml:space="preserve"> PAGEREF _Toc491617761 \h </w:instrText>
            </w:r>
            <w:r w:rsidR="00173FC2">
              <w:rPr>
                <w:noProof/>
                <w:webHidden/>
              </w:rPr>
            </w:r>
            <w:r w:rsidR="00173FC2">
              <w:rPr>
                <w:noProof/>
                <w:webHidden/>
              </w:rPr>
              <w:fldChar w:fldCharType="separate"/>
            </w:r>
            <w:r w:rsidR="00173FC2">
              <w:rPr>
                <w:noProof/>
                <w:webHidden/>
              </w:rPr>
              <w:t>38</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62" w:history="1">
            <w:r w:rsidR="00173FC2" w:rsidRPr="00CE75CB">
              <w:rPr>
                <w:rStyle w:val="Hyperlink"/>
                <w:noProof/>
                <w:lang w:val="es-CL"/>
              </w:rPr>
              <w:t>Flujo de Energía Relevante</w:t>
            </w:r>
            <w:r w:rsidR="00173FC2">
              <w:rPr>
                <w:noProof/>
                <w:webHidden/>
              </w:rPr>
              <w:tab/>
            </w:r>
            <w:r w:rsidR="00173FC2">
              <w:rPr>
                <w:noProof/>
                <w:webHidden/>
              </w:rPr>
              <w:fldChar w:fldCharType="begin"/>
            </w:r>
            <w:r w:rsidR="00173FC2">
              <w:rPr>
                <w:noProof/>
                <w:webHidden/>
              </w:rPr>
              <w:instrText xml:space="preserve"> PAGEREF _Toc491617762 \h </w:instrText>
            </w:r>
            <w:r w:rsidR="00173FC2">
              <w:rPr>
                <w:noProof/>
                <w:webHidden/>
              </w:rPr>
            </w:r>
            <w:r w:rsidR="00173FC2">
              <w:rPr>
                <w:noProof/>
                <w:webHidden/>
              </w:rPr>
              <w:fldChar w:fldCharType="separate"/>
            </w:r>
            <w:r w:rsidR="00173FC2">
              <w:rPr>
                <w:noProof/>
                <w:webHidden/>
              </w:rPr>
              <w:t>38</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63" w:history="1">
            <w:r w:rsidR="00173FC2" w:rsidRPr="00CE75CB">
              <w:rPr>
                <w:rStyle w:val="Hyperlink"/>
                <w:noProof/>
                <w:lang w:val="es-CL"/>
              </w:rPr>
              <w:t>Evaluación Financiera Proyectos SND</w:t>
            </w:r>
            <w:r w:rsidR="00173FC2">
              <w:rPr>
                <w:noProof/>
                <w:webHidden/>
              </w:rPr>
              <w:tab/>
            </w:r>
            <w:r w:rsidR="00173FC2">
              <w:rPr>
                <w:noProof/>
                <w:webHidden/>
              </w:rPr>
              <w:fldChar w:fldCharType="begin"/>
            </w:r>
            <w:r w:rsidR="00173FC2">
              <w:rPr>
                <w:noProof/>
                <w:webHidden/>
              </w:rPr>
              <w:instrText xml:space="preserve"> PAGEREF _Toc491617763 \h </w:instrText>
            </w:r>
            <w:r w:rsidR="00173FC2">
              <w:rPr>
                <w:noProof/>
                <w:webHidden/>
              </w:rPr>
            </w:r>
            <w:r w:rsidR="00173FC2">
              <w:rPr>
                <w:noProof/>
                <w:webHidden/>
              </w:rPr>
              <w:fldChar w:fldCharType="separate"/>
            </w:r>
            <w:r w:rsidR="00173FC2">
              <w:rPr>
                <w:noProof/>
                <w:webHidden/>
              </w:rPr>
              <w:t>39</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64" w:history="1">
            <w:r w:rsidR="00173FC2" w:rsidRPr="00CE75CB">
              <w:rPr>
                <w:rStyle w:val="Hyperlink"/>
                <w:noProof/>
                <w:lang w:val="es-CL"/>
              </w:rPr>
              <w:t>Evaluación Económica Proyectos SND</w:t>
            </w:r>
            <w:r w:rsidR="00173FC2">
              <w:rPr>
                <w:noProof/>
                <w:webHidden/>
              </w:rPr>
              <w:tab/>
            </w:r>
            <w:r w:rsidR="00173FC2">
              <w:rPr>
                <w:noProof/>
                <w:webHidden/>
              </w:rPr>
              <w:fldChar w:fldCharType="begin"/>
            </w:r>
            <w:r w:rsidR="00173FC2">
              <w:rPr>
                <w:noProof/>
                <w:webHidden/>
              </w:rPr>
              <w:instrText xml:space="preserve"> PAGEREF _Toc491617764 \h </w:instrText>
            </w:r>
            <w:r w:rsidR="00173FC2">
              <w:rPr>
                <w:noProof/>
                <w:webHidden/>
              </w:rPr>
            </w:r>
            <w:r w:rsidR="00173FC2">
              <w:rPr>
                <w:noProof/>
                <w:webHidden/>
              </w:rPr>
              <w:fldChar w:fldCharType="separate"/>
            </w:r>
            <w:r w:rsidR="00173FC2">
              <w:rPr>
                <w:noProof/>
                <w:webHidden/>
              </w:rPr>
              <w:t>45</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65" w:history="1">
            <w:r w:rsidR="00173FC2" w:rsidRPr="00CE75CB">
              <w:rPr>
                <w:rStyle w:val="Hyperlink"/>
                <w:noProof/>
                <w:lang w:val="es-CL"/>
              </w:rPr>
              <w:t>C.II: Proyectos FERUM</w:t>
            </w:r>
            <w:r w:rsidR="00173FC2">
              <w:rPr>
                <w:noProof/>
                <w:webHidden/>
              </w:rPr>
              <w:tab/>
            </w:r>
            <w:r w:rsidR="00173FC2">
              <w:rPr>
                <w:noProof/>
                <w:webHidden/>
              </w:rPr>
              <w:fldChar w:fldCharType="begin"/>
            </w:r>
            <w:r w:rsidR="00173FC2">
              <w:rPr>
                <w:noProof/>
                <w:webHidden/>
              </w:rPr>
              <w:instrText xml:space="preserve"> PAGEREF _Toc491617765 \h </w:instrText>
            </w:r>
            <w:r w:rsidR="00173FC2">
              <w:rPr>
                <w:noProof/>
                <w:webHidden/>
              </w:rPr>
            </w:r>
            <w:r w:rsidR="00173FC2">
              <w:rPr>
                <w:noProof/>
                <w:webHidden/>
              </w:rPr>
              <w:fldChar w:fldCharType="separate"/>
            </w:r>
            <w:r w:rsidR="00173FC2">
              <w:rPr>
                <w:noProof/>
                <w:webHidden/>
              </w:rPr>
              <w:t>49</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66" w:history="1">
            <w:r w:rsidR="00173FC2" w:rsidRPr="00CE75CB">
              <w:rPr>
                <w:rStyle w:val="Hyperlink"/>
                <w:noProof/>
                <w:lang w:val="es-CL"/>
              </w:rPr>
              <w:t>Situación Sin Proyecto</w:t>
            </w:r>
            <w:r w:rsidR="00173FC2">
              <w:rPr>
                <w:noProof/>
                <w:webHidden/>
              </w:rPr>
              <w:tab/>
            </w:r>
            <w:r w:rsidR="00173FC2">
              <w:rPr>
                <w:noProof/>
                <w:webHidden/>
              </w:rPr>
              <w:fldChar w:fldCharType="begin"/>
            </w:r>
            <w:r w:rsidR="00173FC2">
              <w:rPr>
                <w:noProof/>
                <w:webHidden/>
              </w:rPr>
              <w:instrText xml:space="preserve"> PAGEREF _Toc491617766 \h </w:instrText>
            </w:r>
            <w:r w:rsidR="00173FC2">
              <w:rPr>
                <w:noProof/>
                <w:webHidden/>
              </w:rPr>
            </w:r>
            <w:r w:rsidR="00173FC2">
              <w:rPr>
                <w:noProof/>
                <w:webHidden/>
              </w:rPr>
              <w:fldChar w:fldCharType="separate"/>
            </w:r>
            <w:r w:rsidR="00173FC2">
              <w:rPr>
                <w:noProof/>
                <w:webHidden/>
              </w:rPr>
              <w:t>50</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67" w:history="1">
            <w:r w:rsidR="00173FC2" w:rsidRPr="00CE75CB">
              <w:rPr>
                <w:rStyle w:val="Hyperlink"/>
                <w:noProof/>
              </w:rPr>
              <w:t>Evaluación Financiera Proyectos FERUM</w:t>
            </w:r>
            <w:r w:rsidR="00173FC2">
              <w:rPr>
                <w:noProof/>
                <w:webHidden/>
              </w:rPr>
              <w:tab/>
            </w:r>
            <w:r w:rsidR="00173FC2">
              <w:rPr>
                <w:noProof/>
                <w:webHidden/>
              </w:rPr>
              <w:fldChar w:fldCharType="begin"/>
            </w:r>
            <w:r w:rsidR="00173FC2">
              <w:rPr>
                <w:noProof/>
                <w:webHidden/>
              </w:rPr>
              <w:instrText xml:space="preserve"> PAGEREF _Toc491617767 \h </w:instrText>
            </w:r>
            <w:r w:rsidR="00173FC2">
              <w:rPr>
                <w:noProof/>
                <w:webHidden/>
              </w:rPr>
            </w:r>
            <w:r w:rsidR="00173FC2">
              <w:rPr>
                <w:noProof/>
                <w:webHidden/>
              </w:rPr>
              <w:fldChar w:fldCharType="separate"/>
            </w:r>
            <w:r w:rsidR="00173FC2">
              <w:rPr>
                <w:noProof/>
                <w:webHidden/>
              </w:rPr>
              <w:t>55</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68" w:history="1">
            <w:r w:rsidR="00173FC2" w:rsidRPr="00CE75CB">
              <w:rPr>
                <w:rStyle w:val="Hyperlink"/>
                <w:noProof/>
                <w:lang w:val="es-CL"/>
              </w:rPr>
              <w:t>Evaluación Económica de Proyectos FERUM</w:t>
            </w:r>
            <w:r w:rsidR="00173FC2">
              <w:rPr>
                <w:noProof/>
                <w:webHidden/>
              </w:rPr>
              <w:tab/>
            </w:r>
            <w:r w:rsidR="00173FC2">
              <w:rPr>
                <w:noProof/>
                <w:webHidden/>
              </w:rPr>
              <w:fldChar w:fldCharType="begin"/>
            </w:r>
            <w:r w:rsidR="00173FC2">
              <w:rPr>
                <w:noProof/>
                <w:webHidden/>
              </w:rPr>
              <w:instrText xml:space="preserve"> PAGEREF _Toc491617768 \h </w:instrText>
            </w:r>
            <w:r w:rsidR="00173FC2">
              <w:rPr>
                <w:noProof/>
                <w:webHidden/>
              </w:rPr>
            </w:r>
            <w:r w:rsidR="00173FC2">
              <w:rPr>
                <w:noProof/>
                <w:webHidden/>
              </w:rPr>
              <w:fldChar w:fldCharType="separate"/>
            </w:r>
            <w:r w:rsidR="00173FC2">
              <w:rPr>
                <w:noProof/>
                <w:webHidden/>
              </w:rPr>
              <w:t>60</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69" w:history="1">
            <w:r w:rsidR="00173FC2" w:rsidRPr="00CE75CB">
              <w:rPr>
                <w:rStyle w:val="Hyperlink"/>
                <w:noProof/>
                <w:lang w:val="es-CL"/>
              </w:rPr>
              <w:t>C II. Proyectos de Distribución para la Agroindustria</w:t>
            </w:r>
            <w:r w:rsidR="00173FC2">
              <w:rPr>
                <w:noProof/>
                <w:webHidden/>
              </w:rPr>
              <w:tab/>
            </w:r>
            <w:r w:rsidR="00173FC2">
              <w:rPr>
                <w:noProof/>
                <w:webHidden/>
              </w:rPr>
              <w:fldChar w:fldCharType="begin"/>
            </w:r>
            <w:r w:rsidR="00173FC2">
              <w:rPr>
                <w:noProof/>
                <w:webHidden/>
              </w:rPr>
              <w:instrText xml:space="preserve"> PAGEREF _Toc491617769 \h </w:instrText>
            </w:r>
            <w:r w:rsidR="00173FC2">
              <w:rPr>
                <w:noProof/>
                <w:webHidden/>
              </w:rPr>
            </w:r>
            <w:r w:rsidR="00173FC2">
              <w:rPr>
                <w:noProof/>
                <w:webHidden/>
              </w:rPr>
              <w:fldChar w:fldCharType="separate"/>
            </w:r>
            <w:r w:rsidR="00173FC2">
              <w:rPr>
                <w:noProof/>
                <w:webHidden/>
              </w:rPr>
              <w:t>64</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70" w:history="1">
            <w:r w:rsidR="00173FC2" w:rsidRPr="00CE75CB">
              <w:rPr>
                <w:rStyle w:val="Hyperlink"/>
                <w:noProof/>
                <w:lang w:val="es-CL"/>
              </w:rPr>
              <w:t>Evaluación Financiera Proyectos de Extensión de redes para la Agroindustria</w:t>
            </w:r>
            <w:r w:rsidR="00173FC2">
              <w:rPr>
                <w:noProof/>
                <w:webHidden/>
              </w:rPr>
              <w:tab/>
            </w:r>
            <w:r w:rsidR="00173FC2">
              <w:rPr>
                <w:noProof/>
                <w:webHidden/>
              </w:rPr>
              <w:fldChar w:fldCharType="begin"/>
            </w:r>
            <w:r w:rsidR="00173FC2">
              <w:rPr>
                <w:noProof/>
                <w:webHidden/>
              </w:rPr>
              <w:instrText xml:space="preserve"> PAGEREF _Toc491617770 \h </w:instrText>
            </w:r>
            <w:r w:rsidR="00173FC2">
              <w:rPr>
                <w:noProof/>
                <w:webHidden/>
              </w:rPr>
            </w:r>
            <w:r w:rsidR="00173FC2">
              <w:rPr>
                <w:noProof/>
                <w:webHidden/>
              </w:rPr>
              <w:fldChar w:fldCharType="separate"/>
            </w:r>
            <w:r w:rsidR="00173FC2">
              <w:rPr>
                <w:noProof/>
                <w:webHidden/>
              </w:rPr>
              <w:t>67</w:t>
            </w:r>
            <w:r w:rsidR="00173FC2">
              <w:rPr>
                <w:noProof/>
                <w:webHidden/>
              </w:rPr>
              <w:fldChar w:fldCharType="end"/>
            </w:r>
          </w:hyperlink>
        </w:p>
        <w:p w:rsidR="00173FC2" w:rsidRDefault="00DC47D1">
          <w:pPr>
            <w:pStyle w:val="TOC3"/>
            <w:tabs>
              <w:tab w:val="right" w:leader="dot" w:pos="8828"/>
            </w:tabs>
            <w:rPr>
              <w:rFonts w:eastAsiaTheme="minorEastAsia"/>
              <w:noProof/>
              <w:lang w:eastAsia="es-CR"/>
            </w:rPr>
          </w:pPr>
          <w:hyperlink w:anchor="_Toc491617771" w:history="1">
            <w:r w:rsidR="00173FC2" w:rsidRPr="00CE75CB">
              <w:rPr>
                <w:rStyle w:val="Hyperlink"/>
                <w:noProof/>
                <w:lang w:val="es-CL"/>
              </w:rPr>
              <w:t>Evaluación Económica Proyectos de Extensión de Redes para la Agroindustria.</w:t>
            </w:r>
            <w:r w:rsidR="00173FC2">
              <w:rPr>
                <w:noProof/>
                <w:webHidden/>
              </w:rPr>
              <w:tab/>
            </w:r>
            <w:r w:rsidR="00173FC2">
              <w:rPr>
                <w:noProof/>
                <w:webHidden/>
              </w:rPr>
              <w:fldChar w:fldCharType="begin"/>
            </w:r>
            <w:r w:rsidR="00173FC2">
              <w:rPr>
                <w:noProof/>
                <w:webHidden/>
              </w:rPr>
              <w:instrText xml:space="preserve"> PAGEREF _Toc491617771 \h </w:instrText>
            </w:r>
            <w:r w:rsidR="00173FC2">
              <w:rPr>
                <w:noProof/>
                <w:webHidden/>
              </w:rPr>
            </w:r>
            <w:r w:rsidR="00173FC2">
              <w:rPr>
                <w:noProof/>
                <w:webHidden/>
              </w:rPr>
              <w:fldChar w:fldCharType="separate"/>
            </w:r>
            <w:r w:rsidR="00173FC2">
              <w:rPr>
                <w:noProof/>
                <w:webHidden/>
              </w:rPr>
              <w:t>70</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72" w:history="1">
            <w:r w:rsidR="00173FC2" w:rsidRPr="00CE75CB">
              <w:rPr>
                <w:rStyle w:val="Hyperlink"/>
                <w:noProof/>
                <w:lang w:val="es-CL"/>
              </w:rPr>
              <w:t>C III. Proyecto de Eficiencia Energética para la Agroindustria</w:t>
            </w:r>
            <w:r w:rsidR="00173FC2">
              <w:rPr>
                <w:noProof/>
                <w:webHidden/>
              </w:rPr>
              <w:tab/>
            </w:r>
            <w:r w:rsidR="00173FC2">
              <w:rPr>
                <w:noProof/>
                <w:webHidden/>
              </w:rPr>
              <w:fldChar w:fldCharType="begin"/>
            </w:r>
            <w:r w:rsidR="00173FC2">
              <w:rPr>
                <w:noProof/>
                <w:webHidden/>
              </w:rPr>
              <w:instrText xml:space="preserve"> PAGEREF _Toc491617772 \h </w:instrText>
            </w:r>
            <w:r w:rsidR="00173FC2">
              <w:rPr>
                <w:noProof/>
                <w:webHidden/>
              </w:rPr>
            </w:r>
            <w:r w:rsidR="00173FC2">
              <w:rPr>
                <w:noProof/>
                <w:webHidden/>
              </w:rPr>
              <w:fldChar w:fldCharType="separate"/>
            </w:r>
            <w:r w:rsidR="00173FC2">
              <w:rPr>
                <w:noProof/>
                <w:webHidden/>
              </w:rPr>
              <w:t>79</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73" w:history="1">
            <w:r w:rsidR="00173FC2" w:rsidRPr="00CE75CB">
              <w:rPr>
                <w:rStyle w:val="Hyperlink"/>
                <w:noProof/>
                <w:lang w:val="es-CL"/>
              </w:rPr>
              <w:t>Evaluación Integral del Programa EC-L1223</w:t>
            </w:r>
            <w:r w:rsidR="00173FC2">
              <w:rPr>
                <w:noProof/>
                <w:webHidden/>
              </w:rPr>
              <w:tab/>
            </w:r>
            <w:r w:rsidR="00173FC2">
              <w:rPr>
                <w:noProof/>
                <w:webHidden/>
              </w:rPr>
              <w:fldChar w:fldCharType="begin"/>
            </w:r>
            <w:r w:rsidR="00173FC2">
              <w:rPr>
                <w:noProof/>
                <w:webHidden/>
              </w:rPr>
              <w:instrText xml:space="preserve"> PAGEREF _Toc491617773 \h </w:instrText>
            </w:r>
            <w:r w:rsidR="00173FC2">
              <w:rPr>
                <w:noProof/>
                <w:webHidden/>
              </w:rPr>
            </w:r>
            <w:r w:rsidR="00173FC2">
              <w:rPr>
                <w:noProof/>
                <w:webHidden/>
              </w:rPr>
              <w:fldChar w:fldCharType="separate"/>
            </w:r>
            <w:r w:rsidR="00173FC2">
              <w:rPr>
                <w:noProof/>
                <w:webHidden/>
              </w:rPr>
              <w:t>81</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74" w:history="1">
            <w:r w:rsidR="00173FC2" w:rsidRPr="00CE75CB">
              <w:rPr>
                <w:rStyle w:val="Hyperlink"/>
                <w:noProof/>
                <w:lang w:val="es-CL"/>
              </w:rPr>
              <w:t>Resultados Evaluación Integral</w:t>
            </w:r>
            <w:r w:rsidR="00173FC2">
              <w:rPr>
                <w:noProof/>
                <w:webHidden/>
              </w:rPr>
              <w:tab/>
            </w:r>
            <w:r w:rsidR="00173FC2">
              <w:rPr>
                <w:noProof/>
                <w:webHidden/>
              </w:rPr>
              <w:fldChar w:fldCharType="begin"/>
            </w:r>
            <w:r w:rsidR="00173FC2">
              <w:rPr>
                <w:noProof/>
                <w:webHidden/>
              </w:rPr>
              <w:instrText xml:space="preserve"> PAGEREF _Toc491617774 \h </w:instrText>
            </w:r>
            <w:r w:rsidR="00173FC2">
              <w:rPr>
                <w:noProof/>
                <w:webHidden/>
              </w:rPr>
            </w:r>
            <w:r w:rsidR="00173FC2">
              <w:rPr>
                <w:noProof/>
                <w:webHidden/>
              </w:rPr>
              <w:fldChar w:fldCharType="separate"/>
            </w:r>
            <w:r w:rsidR="00173FC2">
              <w:rPr>
                <w:noProof/>
                <w:webHidden/>
              </w:rPr>
              <w:t>82</w:t>
            </w:r>
            <w:r w:rsidR="00173FC2">
              <w:rPr>
                <w:noProof/>
                <w:webHidden/>
              </w:rPr>
              <w:fldChar w:fldCharType="end"/>
            </w:r>
          </w:hyperlink>
        </w:p>
        <w:p w:rsidR="00173FC2" w:rsidRDefault="00DC47D1">
          <w:pPr>
            <w:pStyle w:val="TOC2"/>
            <w:tabs>
              <w:tab w:val="right" w:leader="dot" w:pos="8828"/>
            </w:tabs>
            <w:rPr>
              <w:rFonts w:eastAsiaTheme="minorEastAsia"/>
              <w:noProof/>
              <w:lang w:eastAsia="es-CR"/>
            </w:rPr>
          </w:pPr>
          <w:hyperlink w:anchor="_Toc491617775" w:history="1">
            <w:r w:rsidR="00173FC2" w:rsidRPr="00CE75CB">
              <w:rPr>
                <w:rStyle w:val="Hyperlink"/>
                <w:noProof/>
                <w:lang w:val="es-CL"/>
              </w:rPr>
              <w:t>Análisis de Flujos y Parámetros Dominantes</w:t>
            </w:r>
            <w:r w:rsidR="00173FC2">
              <w:rPr>
                <w:noProof/>
                <w:webHidden/>
              </w:rPr>
              <w:tab/>
            </w:r>
            <w:r w:rsidR="00173FC2">
              <w:rPr>
                <w:noProof/>
                <w:webHidden/>
              </w:rPr>
              <w:fldChar w:fldCharType="begin"/>
            </w:r>
            <w:r w:rsidR="00173FC2">
              <w:rPr>
                <w:noProof/>
                <w:webHidden/>
              </w:rPr>
              <w:instrText xml:space="preserve"> PAGEREF _Toc491617775 \h </w:instrText>
            </w:r>
            <w:r w:rsidR="00173FC2">
              <w:rPr>
                <w:noProof/>
                <w:webHidden/>
              </w:rPr>
            </w:r>
            <w:r w:rsidR="00173FC2">
              <w:rPr>
                <w:noProof/>
                <w:webHidden/>
              </w:rPr>
              <w:fldChar w:fldCharType="separate"/>
            </w:r>
            <w:r w:rsidR="00173FC2">
              <w:rPr>
                <w:noProof/>
                <w:webHidden/>
              </w:rPr>
              <w:t>83</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76" w:history="1">
            <w:r w:rsidR="00173FC2" w:rsidRPr="00CE75CB">
              <w:rPr>
                <w:rStyle w:val="Hyperlink"/>
                <w:noProof/>
                <w:lang w:val="es-CL"/>
              </w:rPr>
              <w:t>Análisis de Sensibilidad</w:t>
            </w:r>
            <w:r w:rsidR="00173FC2">
              <w:rPr>
                <w:noProof/>
                <w:webHidden/>
              </w:rPr>
              <w:tab/>
            </w:r>
            <w:r w:rsidR="00173FC2">
              <w:rPr>
                <w:noProof/>
                <w:webHidden/>
              </w:rPr>
              <w:fldChar w:fldCharType="begin"/>
            </w:r>
            <w:r w:rsidR="00173FC2">
              <w:rPr>
                <w:noProof/>
                <w:webHidden/>
              </w:rPr>
              <w:instrText xml:space="preserve"> PAGEREF _Toc491617776 \h </w:instrText>
            </w:r>
            <w:r w:rsidR="00173FC2">
              <w:rPr>
                <w:noProof/>
                <w:webHidden/>
              </w:rPr>
            </w:r>
            <w:r w:rsidR="00173FC2">
              <w:rPr>
                <w:noProof/>
                <w:webHidden/>
              </w:rPr>
              <w:fldChar w:fldCharType="separate"/>
            </w:r>
            <w:r w:rsidR="00173FC2">
              <w:rPr>
                <w:noProof/>
                <w:webHidden/>
              </w:rPr>
              <w:t>85</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77" w:history="1">
            <w:r w:rsidR="00173FC2" w:rsidRPr="00CE75CB">
              <w:rPr>
                <w:rStyle w:val="Hyperlink"/>
                <w:noProof/>
                <w:lang w:val="es-CL"/>
              </w:rPr>
              <w:t>Conclusiones</w:t>
            </w:r>
            <w:r w:rsidR="00173FC2">
              <w:rPr>
                <w:noProof/>
                <w:webHidden/>
              </w:rPr>
              <w:tab/>
            </w:r>
            <w:r w:rsidR="00173FC2">
              <w:rPr>
                <w:noProof/>
                <w:webHidden/>
              </w:rPr>
              <w:fldChar w:fldCharType="begin"/>
            </w:r>
            <w:r w:rsidR="00173FC2">
              <w:rPr>
                <w:noProof/>
                <w:webHidden/>
              </w:rPr>
              <w:instrText xml:space="preserve"> PAGEREF _Toc491617777 \h </w:instrText>
            </w:r>
            <w:r w:rsidR="00173FC2">
              <w:rPr>
                <w:noProof/>
                <w:webHidden/>
              </w:rPr>
            </w:r>
            <w:r w:rsidR="00173FC2">
              <w:rPr>
                <w:noProof/>
                <w:webHidden/>
              </w:rPr>
              <w:fldChar w:fldCharType="separate"/>
            </w:r>
            <w:r w:rsidR="00173FC2">
              <w:rPr>
                <w:noProof/>
                <w:webHidden/>
              </w:rPr>
              <w:t>88</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78" w:history="1">
            <w:r w:rsidR="00173FC2" w:rsidRPr="00CE75CB">
              <w:rPr>
                <w:rStyle w:val="Hyperlink"/>
                <w:noProof/>
                <w:lang w:val="es-CL"/>
              </w:rPr>
              <w:t>Anexo 1. Inversiones por Proyecto</w:t>
            </w:r>
            <w:r w:rsidR="00173FC2">
              <w:rPr>
                <w:noProof/>
                <w:webHidden/>
              </w:rPr>
              <w:tab/>
            </w:r>
            <w:r w:rsidR="00173FC2">
              <w:rPr>
                <w:noProof/>
                <w:webHidden/>
              </w:rPr>
              <w:fldChar w:fldCharType="begin"/>
            </w:r>
            <w:r w:rsidR="00173FC2">
              <w:rPr>
                <w:noProof/>
                <w:webHidden/>
              </w:rPr>
              <w:instrText xml:space="preserve"> PAGEREF _Toc491617778 \h </w:instrText>
            </w:r>
            <w:r w:rsidR="00173FC2">
              <w:rPr>
                <w:noProof/>
                <w:webHidden/>
              </w:rPr>
            </w:r>
            <w:r w:rsidR="00173FC2">
              <w:rPr>
                <w:noProof/>
                <w:webHidden/>
              </w:rPr>
              <w:fldChar w:fldCharType="separate"/>
            </w:r>
            <w:r w:rsidR="00173FC2">
              <w:rPr>
                <w:noProof/>
                <w:webHidden/>
              </w:rPr>
              <w:t>89</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79" w:history="1">
            <w:r w:rsidR="00173FC2" w:rsidRPr="00CE75CB">
              <w:rPr>
                <w:rStyle w:val="Hyperlink"/>
                <w:noProof/>
                <w:lang w:val="es-CL"/>
              </w:rPr>
              <w:t>Anexo 2. Inversiones y Costos O&amp;M desde el punto de vista económico.</w:t>
            </w:r>
            <w:r w:rsidR="00173FC2">
              <w:rPr>
                <w:noProof/>
                <w:webHidden/>
              </w:rPr>
              <w:tab/>
            </w:r>
            <w:r w:rsidR="00173FC2">
              <w:rPr>
                <w:noProof/>
                <w:webHidden/>
              </w:rPr>
              <w:fldChar w:fldCharType="begin"/>
            </w:r>
            <w:r w:rsidR="00173FC2">
              <w:rPr>
                <w:noProof/>
                <w:webHidden/>
              </w:rPr>
              <w:instrText xml:space="preserve"> PAGEREF _Toc491617779 \h </w:instrText>
            </w:r>
            <w:r w:rsidR="00173FC2">
              <w:rPr>
                <w:noProof/>
                <w:webHidden/>
              </w:rPr>
            </w:r>
            <w:r w:rsidR="00173FC2">
              <w:rPr>
                <w:noProof/>
                <w:webHidden/>
              </w:rPr>
              <w:fldChar w:fldCharType="separate"/>
            </w:r>
            <w:r w:rsidR="00173FC2">
              <w:rPr>
                <w:noProof/>
                <w:webHidden/>
              </w:rPr>
              <w:t>116</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80" w:history="1">
            <w:r w:rsidR="00173FC2" w:rsidRPr="00CE75CB">
              <w:rPr>
                <w:rStyle w:val="Hyperlink"/>
                <w:noProof/>
                <w:lang w:val="es-CL"/>
              </w:rPr>
              <w:t>Anexo 3. Planillas de Evaluación Financiera</w:t>
            </w:r>
            <w:r w:rsidR="00173FC2">
              <w:rPr>
                <w:noProof/>
                <w:webHidden/>
              </w:rPr>
              <w:tab/>
            </w:r>
            <w:r w:rsidR="00173FC2">
              <w:rPr>
                <w:noProof/>
                <w:webHidden/>
              </w:rPr>
              <w:fldChar w:fldCharType="begin"/>
            </w:r>
            <w:r w:rsidR="00173FC2">
              <w:rPr>
                <w:noProof/>
                <w:webHidden/>
              </w:rPr>
              <w:instrText xml:space="preserve"> PAGEREF _Toc491617780 \h </w:instrText>
            </w:r>
            <w:r w:rsidR="00173FC2">
              <w:rPr>
                <w:noProof/>
                <w:webHidden/>
              </w:rPr>
            </w:r>
            <w:r w:rsidR="00173FC2">
              <w:rPr>
                <w:noProof/>
                <w:webHidden/>
              </w:rPr>
              <w:fldChar w:fldCharType="separate"/>
            </w:r>
            <w:r w:rsidR="00173FC2">
              <w:rPr>
                <w:noProof/>
                <w:webHidden/>
              </w:rPr>
              <w:t>118</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81" w:history="1">
            <w:r w:rsidR="00173FC2" w:rsidRPr="00CE75CB">
              <w:rPr>
                <w:rStyle w:val="Hyperlink"/>
                <w:noProof/>
                <w:lang w:val="es-CL"/>
              </w:rPr>
              <w:t>Anexo 4. Planillas de Evaluación Económica</w:t>
            </w:r>
            <w:r w:rsidR="00173FC2">
              <w:rPr>
                <w:noProof/>
                <w:webHidden/>
              </w:rPr>
              <w:tab/>
            </w:r>
            <w:r w:rsidR="00173FC2">
              <w:rPr>
                <w:noProof/>
                <w:webHidden/>
              </w:rPr>
              <w:fldChar w:fldCharType="begin"/>
            </w:r>
            <w:r w:rsidR="00173FC2">
              <w:rPr>
                <w:noProof/>
                <w:webHidden/>
              </w:rPr>
              <w:instrText xml:space="preserve"> PAGEREF _Toc491617781 \h </w:instrText>
            </w:r>
            <w:r w:rsidR="00173FC2">
              <w:rPr>
                <w:noProof/>
                <w:webHidden/>
              </w:rPr>
            </w:r>
            <w:r w:rsidR="00173FC2">
              <w:rPr>
                <w:noProof/>
                <w:webHidden/>
              </w:rPr>
              <w:fldChar w:fldCharType="separate"/>
            </w:r>
            <w:r w:rsidR="00173FC2">
              <w:rPr>
                <w:noProof/>
                <w:webHidden/>
              </w:rPr>
              <w:t>121</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82" w:history="1">
            <w:r w:rsidR="00173FC2" w:rsidRPr="00CE75CB">
              <w:rPr>
                <w:rStyle w:val="Hyperlink"/>
                <w:noProof/>
                <w:lang w:val="es-CL"/>
              </w:rPr>
              <w:t>Anexo 5. Probabilidad de erupción Volcán Cotopaxi y Capacidad disponible en S/E Mulaló</w:t>
            </w:r>
            <w:r w:rsidR="00173FC2">
              <w:rPr>
                <w:noProof/>
                <w:webHidden/>
              </w:rPr>
              <w:tab/>
            </w:r>
            <w:r w:rsidR="00173FC2">
              <w:rPr>
                <w:noProof/>
                <w:webHidden/>
              </w:rPr>
              <w:fldChar w:fldCharType="begin"/>
            </w:r>
            <w:r w:rsidR="00173FC2">
              <w:rPr>
                <w:noProof/>
                <w:webHidden/>
              </w:rPr>
              <w:instrText xml:space="preserve"> PAGEREF _Toc491617782 \h </w:instrText>
            </w:r>
            <w:r w:rsidR="00173FC2">
              <w:rPr>
                <w:noProof/>
                <w:webHidden/>
              </w:rPr>
            </w:r>
            <w:r w:rsidR="00173FC2">
              <w:rPr>
                <w:noProof/>
                <w:webHidden/>
              </w:rPr>
              <w:fldChar w:fldCharType="separate"/>
            </w:r>
            <w:r w:rsidR="00173FC2">
              <w:rPr>
                <w:noProof/>
                <w:webHidden/>
              </w:rPr>
              <w:t>124</w:t>
            </w:r>
            <w:r w:rsidR="00173FC2">
              <w:rPr>
                <w:noProof/>
                <w:webHidden/>
              </w:rPr>
              <w:fldChar w:fldCharType="end"/>
            </w:r>
          </w:hyperlink>
        </w:p>
        <w:p w:rsidR="00173FC2" w:rsidRDefault="00DC47D1">
          <w:pPr>
            <w:pStyle w:val="TOC1"/>
            <w:tabs>
              <w:tab w:val="right" w:leader="dot" w:pos="8828"/>
            </w:tabs>
            <w:rPr>
              <w:rFonts w:eastAsiaTheme="minorEastAsia"/>
              <w:noProof/>
              <w:lang w:eastAsia="es-CR"/>
            </w:rPr>
          </w:pPr>
          <w:hyperlink w:anchor="_Toc491617783" w:history="1">
            <w:r w:rsidR="00173FC2" w:rsidRPr="00CE75CB">
              <w:rPr>
                <w:rStyle w:val="Hyperlink"/>
                <w:noProof/>
                <w:lang w:val="es-CL"/>
              </w:rPr>
              <w:t>Anexo 6. Proyección capacidad esperada en S/E Machala</w:t>
            </w:r>
            <w:r w:rsidR="00173FC2">
              <w:rPr>
                <w:noProof/>
                <w:webHidden/>
              </w:rPr>
              <w:tab/>
            </w:r>
            <w:r w:rsidR="00173FC2">
              <w:rPr>
                <w:noProof/>
                <w:webHidden/>
              </w:rPr>
              <w:fldChar w:fldCharType="begin"/>
            </w:r>
            <w:r w:rsidR="00173FC2">
              <w:rPr>
                <w:noProof/>
                <w:webHidden/>
              </w:rPr>
              <w:instrText xml:space="preserve"> PAGEREF _Toc491617783 \h </w:instrText>
            </w:r>
            <w:r w:rsidR="00173FC2">
              <w:rPr>
                <w:noProof/>
                <w:webHidden/>
              </w:rPr>
            </w:r>
            <w:r w:rsidR="00173FC2">
              <w:rPr>
                <w:noProof/>
                <w:webHidden/>
              </w:rPr>
              <w:fldChar w:fldCharType="separate"/>
            </w:r>
            <w:r w:rsidR="00173FC2">
              <w:rPr>
                <w:noProof/>
                <w:webHidden/>
              </w:rPr>
              <w:t>128</w:t>
            </w:r>
            <w:r w:rsidR="00173FC2">
              <w:rPr>
                <w:noProof/>
                <w:webHidden/>
              </w:rPr>
              <w:fldChar w:fldCharType="end"/>
            </w:r>
          </w:hyperlink>
        </w:p>
        <w:p w:rsidR="00AE477A" w:rsidRDefault="00AE477A">
          <w:r>
            <w:rPr>
              <w:b/>
              <w:bCs/>
              <w:lang w:val="es-ES"/>
            </w:rPr>
            <w:fldChar w:fldCharType="end"/>
          </w:r>
        </w:p>
      </w:sdtContent>
    </w:sdt>
    <w:p w:rsidR="00BA29B8" w:rsidRDefault="00BA29B8">
      <w:pPr>
        <w:rPr>
          <w:rFonts w:asciiTheme="majorHAnsi" w:eastAsiaTheme="majorEastAsia" w:hAnsiTheme="majorHAnsi" w:cstheme="majorBidi"/>
          <w:b/>
          <w:color w:val="2F5496" w:themeColor="accent1" w:themeShade="BF"/>
          <w:sz w:val="32"/>
          <w:szCs w:val="32"/>
          <w:lang w:val="es-CL"/>
        </w:rPr>
      </w:pPr>
      <w:r>
        <w:rPr>
          <w:lang w:val="es-CL"/>
        </w:rPr>
        <w:br w:type="page"/>
      </w:r>
    </w:p>
    <w:p w:rsidR="00FB03D2" w:rsidRDefault="00FB03D2" w:rsidP="00544D52">
      <w:pPr>
        <w:pStyle w:val="Heading1"/>
        <w:rPr>
          <w:lang w:val="es-CL"/>
        </w:rPr>
      </w:pPr>
      <w:bookmarkStart w:id="1" w:name="_Toc491617744"/>
      <w:r>
        <w:rPr>
          <w:lang w:val="es-CL"/>
        </w:rPr>
        <w:t>Resumen</w:t>
      </w:r>
      <w:bookmarkEnd w:id="1"/>
    </w:p>
    <w:p w:rsidR="00544D52" w:rsidRPr="00544D52" w:rsidRDefault="00544D52" w:rsidP="00544D52">
      <w:pPr>
        <w:rPr>
          <w:lang w:val="es-CL"/>
        </w:rPr>
      </w:pPr>
    </w:p>
    <w:p w:rsidR="00FB03D2" w:rsidRDefault="00FB03D2" w:rsidP="00F56913">
      <w:pPr>
        <w:jc w:val="both"/>
        <w:rPr>
          <w:lang w:val="es-CL"/>
        </w:rPr>
      </w:pPr>
      <w:r>
        <w:rPr>
          <w:lang w:val="es-CL"/>
        </w:rPr>
        <w:t>El presente documento muestra la evaluación Financiera y Económica, basada en la metodología de Costo/Beneficio, respecto de una condición contra factual, para los proyectos del programa de inversiones EC-L1223</w:t>
      </w:r>
      <w:r w:rsidR="00C50218">
        <w:rPr>
          <w:lang w:val="es-CL"/>
        </w:rPr>
        <w:t xml:space="preserve">. El programa está circunscrito fundamentalmente por el Cambio de la Matriz Energética del Ecuador, el Plan Maestro de Electricidad y el Plan Nacional de Eficiencia Energética y, con éste, se persiguen los objetivos de adecuar y repotenciar el Sistema Interconectado Nacional de tal forma de asegurar el flujo confiable de energía, interno y regional, ante un nuevo esquema de generación, liderado desde 2017 en un 80% por generación hídrica proveniente </w:t>
      </w:r>
      <w:r w:rsidR="00544D52">
        <w:rPr>
          <w:lang w:val="es-CL"/>
        </w:rPr>
        <w:t xml:space="preserve">principalmente </w:t>
      </w:r>
      <w:r w:rsidR="00C50218">
        <w:rPr>
          <w:lang w:val="es-CL"/>
        </w:rPr>
        <w:t>desde el Nor Oriente del País</w:t>
      </w:r>
      <w:r w:rsidR="00544D52">
        <w:rPr>
          <w:lang w:val="es-CL"/>
        </w:rPr>
        <w:t xml:space="preserve"> con la </w:t>
      </w:r>
      <w:r w:rsidR="0086570A">
        <w:rPr>
          <w:lang w:val="es-CL"/>
        </w:rPr>
        <w:t xml:space="preserve">plena </w:t>
      </w:r>
      <w:r w:rsidR="00544D52">
        <w:rPr>
          <w:lang w:val="es-CL"/>
        </w:rPr>
        <w:t>entrada en operación de la Central Coca Codo Sinclair (1500 MW)</w:t>
      </w:r>
      <w:r w:rsidR="00C50218">
        <w:rPr>
          <w:lang w:val="es-CL"/>
        </w:rPr>
        <w:t xml:space="preserve">. </w:t>
      </w:r>
    </w:p>
    <w:p w:rsidR="003767DB" w:rsidRDefault="003767DB" w:rsidP="00F56913">
      <w:pPr>
        <w:jc w:val="both"/>
        <w:rPr>
          <w:lang w:val="es-CL"/>
        </w:rPr>
      </w:pPr>
      <w:r>
        <w:rPr>
          <w:lang w:val="es-CL"/>
        </w:rPr>
        <w:t>Se suman en este mismo programa, de forma consistente con lo anterior, iniciativas de repotenciación y mejora de los sistemas de sub</w:t>
      </w:r>
      <w:r w:rsidR="00D81185">
        <w:rPr>
          <w:lang w:val="es-CL"/>
        </w:rPr>
        <w:t xml:space="preserve"> </w:t>
      </w:r>
      <w:r>
        <w:rPr>
          <w:lang w:val="es-CL"/>
        </w:rPr>
        <w:t>transmisión y distribución eléctrica, así como una nueva partida de proyectos de Electrificación Rural y Urb</w:t>
      </w:r>
      <w:r w:rsidR="00F56913">
        <w:rPr>
          <w:lang w:val="es-CL"/>
        </w:rPr>
        <w:t>ano Marginal, continuando con el</w:t>
      </w:r>
      <w:r>
        <w:rPr>
          <w:lang w:val="es-CL"/>
        </w:rPr>
        <w:t xml:space="preserve"> </w:t>
      </w:r>
      <w:r w:rsidR="00F56913">
        <w:rPr>
          <w:lang w:val="es-CL"/>
        </w:rPr>
        <w:t>objetivo nacional</w:t>
      </w:r>
      <w:r>
        <w:rPr>
          <w:lang w:val="es-CL"/>
        </w:rPr>
        <w:t xml:space="preserve"> de aumentar la cobertura eléctrica y dar la posibilidad a las familias de menores recursos de normalizar su conexión e incorporarse al Programa PEC, para la adquisición de Cocinas Eléctricas de Inducción.</w:t>
      </w:r>
      <w:r w:rsidR="006248FB" w:rsidRPr="006248FB">
        <w:rPr>
          <w:lang w:val="es-CL"/>
        </w:rPr>
        <w:t xml:space="preserve"> </w:t>
      </w:r>
      <w:r w:rsidR="006248FB">
        <w:rPr>
          <w:lang w:val="es-CL"/>
        </w:rPr>
        <w:t>Asimismo, con la expansión del SND, el programa permitirá abastecer de energía eléctrica al sector agroindustrial, especialmente la industria camaronera, intensa usuaria de combustibles fósiles para el bombeo permanente de agua, que al cambiar a electrobombas y otras instalaciones eléctricas por cerca de 270 MVA, traerá enormes beneficios por la reducción del uso del Diésel, y su respectivo subsidio, así como de mayor productividad (peso y tamaño del camarón) para el sector vinculado con la nueva tecnología a implementar y una mejor accesibilidad a los mercados mundiales por el reconocimiento en el uso de energías limpias y amigables con el medio ambiente.</w:t>
      </w:r>
    </w:p>
    <w:p w:rsidR="003767DB" w:rsidRDefault="003767DB" w:rsidP="00F56913">
      <w:pPr>
        <w:jc w:val="both"/>
        <w:rPr>
          <w:lang w:val="es-CL"/>
        </w:rPr>
      </w:pPr>
      <w:r>
        <w:rPr>
          <w:lang w:val="es-CL"/>
        </w:rPr>
        <w:t>Se evalúa, además, los efectos esperados del Plan de Eficiencia Energética en la Agroindustria, mediante el cual, se espera que esta industria optimice el uso de la energía eléctrica mediante la difusión y capacitación sobre la Norma ISO 50.001, junto con otras iniciativas como el Etiquetado de equipamiento industrial.</w:t>
      </w:r>
    </w:p>
    <w:p w:rsidR="00D27DA4" w:rsidRDefault="00D27DA4" w:rsidP="00F56913">
      <w:pPr>
        <w:jc w:val="both"/>
        <w:rPr>
          <w:lang w:val="es-CL"/>
        </w:rPr>
      </w:pPr>
    </w:p>
    <w:p w:rsidR="003767DB" w:rsidRDefault="00DE4CAE" w:rsidP="00903790">
      <w:pPr>
        <w:pStyle w:val="Heading2"/>
        <w:rPr>
          <w:lang w:val="es-CL"/>
        </w:rPr>
      </w:pPr>
      <w:bookmarkStart w:id="2" w:name="_Toc491617745"/>
      <w:r w:rsidRPr="00A135CC">
        <w:rPr>
          <w:lang w:val="es-CL"/>
        </w:rPr>
        <w:t>Componente I: Expansión y Reforzamiento del Sistema Nacional de Transmisión</w:t>
      </w:r>
      <w:r>
        <w:rPr>
          <w:lang w:val="es-CL"/>
        </w:rPr>
        <w:t>.</w:t>
      </w:r>
      <w:bookmarkEnd w:id="2"/>
    </w:p>
    <w:p w:rsidR="00DE4CAE" w:rsidRDefault="003F4BB0" w:rsidP="00F56913">
      <w:pPr>
        <w:jc w:val="both"/>
        <w:rPr>
          <w:lang w:val="es-CL"/>
        </w:rPr>
      </w:pPr>
      <w:r>
        <w:rPr>
          <w:lang w:val="es-CL"/>
        </w:rPr>
        <w:t>Se evalúa</w:t>
      </w:r>
      <w:r w:rsidR="00A135CC">
        <w:rPr>
          <w:lang w:val="es-CL"/>
        </w:rPr>
        <w:t>n</w:t>
      </w:r>
      <w:r>
        <w:rPr>
          <w:lang w:val="es-CL"/>
        </w:rPr>
        <w:t xml:space="preserve"> los proyectos en Subestación Cajas (138/69 kV – 167MVA); Subestación Tanicuchi (230/138 kV – 167MVA); Subestación Orquídeas (138/69-13,8 kV 225 MVA); Subestación Posorja (138/69 kV 67 MVA); y Subestación La Avanzada (230/138 kV 167 MVA).</w:t>
      </w:r>
    </w:p>
    <w:p w:rsidR="003F4BB0" w:rsidRDefault="003F4BB0" w:rsidP="00F56913">
      <w:pPr>
        <w:jc w:val="both"/>
        <w:rPr>
          <w:lang w:val="es-CL"/>
        </w:rPr>
      </w:pPr>
      <w:r>
        <w:rPr>
          <w:lang w:val="es-CL"/>
        </w:rPr>
        <w:t xml:space="preserve">Estos proyectos, </w:t>
      </w:r>
      <w:r w:rsidR="00A135CC">
        <w:rPr>
          <w:lang w:val="es-CL"/>
        </w:rPr>
        <w:t>con</w:t>
      </w:r>
      <w:r>
        <w:rPr>
          <w:lang w:val="es-CL"/>
        </w:rPr>
        <w:t xml:space="preserve"> una inversión total de US$ 113,87 millones</w:t>
      </w:r>
      <w:r w:rsidR="00E3212D">
        <w:rPr>
          <w:lang w:val="es-CL"/>
        </w:rPr>
        <w:t>,</w:t>
      </w:r>
      <w:r>
        <w:rPr>
          <w:lang w:val="es-CL"/>
        </w:rPr>
        <w:t xml:space="preserve"> representan una ampliación de capacidad de transmisión de 793 MVA (</w:t>
      </w:r>
      <w:r w:rsidR="00A135CC">
        <w:rPr>
          <w:lang w:val="es-CL"/>
        </w:rPr>
        <w:t xml:space="preserve">726.3 desde 2020, por el desmontaje de SE Mulaló). Por lo tanto, respecto de la situación sn proyecto, uno de los principales beneficios </w:t>
      </w:r>
      <w:r w:rsidR="00E3212D">
        <w:rPr>
          <w:lang w:val="es-CL"/>
        </w:rPr>
        <w:t xml:space="preserve">percibidos por la entidad ejecutora (TRANSELECTRIC) </w:t>
      </w:r>
      <w:r w:rsidR="00A135CC">
        <w:rPr>
          <w:lang w:val="es-CL"/>
        </w:rPr>
        <w:t xml:space="preserve">será la mayor venta de energía a las EED’s respectivas (hasta unos 3500 GWh adicionales </w:t>
      </w:r>
      <w:r w:rsidR="00BC5480">
        <w:rPr>
          <w:lang w:val="es-CL"/>
        </w:rPr>
        <w:t xml:space="preserve">al año, </w:t>
      </w:r>
      <w:r w:rsidR="00A135CC">
        <w:rPr>
          <w:lang w:val="es-CL"/>
        </w:rPr>
        <w:t xml:space="preserve">al copar </w:t>
      </w:r>
      <w:r w:rsidR="00E3212D">
        <w:rPr>
          <w:lang w:val="es-CL"/>
        </w:rPr>
        <w:t xml:space="preserve">gradualmente </w:t>
      </w:r>
      <w:r w:rsidR="00A135CC">
        <w:rPr>
          <w:lang w:val="es-CL"/>
        </w:rPr>
        <w:t>la nueva capacidad), valorados sobre la base del Cargo de Transmisión (1,77 US$/kW-Mes).</w:t>
      </w:r>
      <w:r w:rsidR="00E258C5">
        <w:rPr>
          <w:lang w:val="es-CL"/>
        </w:rPr>
        <w:t xml:space="preserve"> Esto representa un mayor ingreso para la entidad ejecutora que inicia en 2019 con US$ 1.3 millones y supera gradualmente los US$ 14 millones anuales desde 2040.</w:t>
      </w:r>
    </w:p>
    <w:p w:rsidR="00A135CC" w:rsidRDefault="00A135CC" w:rsidP="00F56913">
      <w:pPr>
        <w:jc w:val="both"/>
        <w:rPr>
          <w:lang w:val="es-CL"/>
        </w:rPr>
      </w:pPr>
      <w:r>
        <w:rPr>
          <w:lang w:val="es-CL"/>
        </w:rPr>
        <w:t xml:space="preserve">Los egresos financieros para la entidad ejecutora </w:t>
      </w:r>
      <w:r w:rsidR="00E3212D">
        <w:rPr>
          <w:lang w:val="es-CL"/>
        </w:rPr>
        <w:t xml:space="preserve">corresponden </w:t>
      </w:r>
      <w:r w:rsidR="00E6319B">
        <w:rPr>
          <w:lang w:val="es-CL"/>
        </w:rPr>
        <w:t xml:space="preserve">básicamente </w:t>
      </w:r>
      <w:r w:rsidR="00E3212D">
        <w:rPr>
          <w:lang w:val="es-CL"/>
        </w:rPr>
        <w:t xml:space="preserve">a los Costos de </w:t>
      </w:r>
      <w:r w:rsidR="00DF60A3">
        <w:rPr>
          <w:lang w:val="es-CL"/>
        </w:rPr>
        <w:t xml:space="preserve">Administración, </w:t>
      </w:r>
      <w:r w:rsidR="00E3212D">
        <w:rPr>
          <w:lang w:val="es-CL"/>
        </w:rPr>
        <w:t>Operación y Mantenimiento que se valoran como una constante equivalente a 3,68% del monto de inversión inicial, unos US$ 4,2 millones anuales.</w:t>
      </w:r>
    </w:p>
    <w:p w:rsidR="00E3212D" w:rsidRDefault="00E3212D" w:rsidP="00F56913">
      <w:pPr>
        <w:jc w:val="both"/>
        <w:rPr>
          <w:lang w:val="es-CL"/>
        </w:rPr>
      </w:pPr>
      <w:r>
        <w:rPr>
          <w:lang w:val="es-CL"/>
        </w:rPr>
        <w:t>Desde el punto de vista económico, el principal efecto ligado a la mayor energía vendida a las EED, es experimentado por los consumidores finales, de esta forma se esti</w:t>
      </w:r>
      <w:r w:rsidR="00BC5480">
        <w:rPr>
          <w:lang w:val="es-CL"/>
        </w:rPr>
        <w:t>ma un beneficio al consumidor que inicia en US$ 75 millones en 2019 y alcanza los US$ 900 millones en 2038</w:t>
      </w:r>
      <w:r w:rsidR="00003CC0">
        <w:rPr>
          <w:lang w:val="es-CL"/>
        </w:rPr>
        <w:t xml:space="preserve"> (para una elasticidad precio de la demanda de -0,2)</w:t>
      </w:r>
      <w:r w:rsidR="00BC5480">
        <w:rPr>
          <w:lang w:val="es-CL"/>
        </w:rPr>
        <w:t>. Sin embargo, para hacer efectivo este beneficio se adiciona la inversión y gastos adicionales que deben incurrir las EED’s de tal forma de permitir el mayor flujo de energía por sus redes, un costo económico que en valor presente alcanza los US$ 735 millones.</w:t>
      </w:r>
    </w:p>
    <w:p w:rsidR="00BC5480" w:rsidRDefault="00BC5480" w:rsidP="00F56913">
      <w:pPr>
        <w:jc w:val="both"/>
        <w:rPr>
          <w:lang w:val="es-CL"/>
        </w:rPr>
      </w:pPr>
      <w:r>
        <w:rPr>
          <w:lang w:val="es-CL"/>
        </w:rPr>
        <w:t>Otros costos económicos valorados para el componente I son los relacionados a la mayor generación de energía que debe producirse ligada a la mayor venta de energía de estos proyectos. De esta forma</w:t>
      </w:r>
      <w:r w:rsidR="00003CC0">
        <w:rPr>
          <w:lang w:val="es-CL"/>
        </w:rPr>
        <w:t>, en primer lugar,</w:t>
      </w:r>
      <w:r>
        <w:rPr>
          <w:lang w:val="es-CL"/>
        </w:rPr>
        <w:t xml:space="preserve"> se valoran los Costos Variables de Generación, cuya proyección se basa en el Plan Maestro de Electricidad</w:t>
      </w:r>
      <w:r w:rsidR="00003CC0">
        <w:rPr>
          <w:lang w:val="es-CL"/>
        </w:rPr>
        <w:t xml:space="preserve"> (PME)</w:t>
      </w:r>
      <w:r>
        <w:rPr>
          <w:lang w:val="es-CL"/>
        </w:rPr>
        <w:t xml:space="preserve"> </w:t>
      </w:r>
      <w:r w:rsidR="00003CC0">
        <w:rPr>
          <w:lang w:val="es-CL"/>
        </w:rPr>
        <w:t>2016-2015, iniciando en 1,3 cUS$/kWh en 2018 y llegando a los 2,3 cUS$/kWh a partir de 2025 lo que resulta en un costo económico que inicia en</w:t>
      </w:r>
      <w:r w:rsidR="000B16FC">
        <w:rPr>
          <w:lang w:val="es-CL"/>
        </w:rPr>
        <w:t xml:space="preserve"> US$ 4,8 millones</w:t>
      </w:r>
      <w:r w:rsidR="00003CC0">
        <w:rPr>
          <w:lang w:val="es-CL"/>
        </w:rPr>
        <w:t xml:space="preserve"> y alcanza los </w:t>
      </w:r>
      <w:r w:rsidR="000B16FC">
        <w:rPr>
          <w:lang w:val="es-CL"/>
        </w:rPr>
        <w:t>US$ 78,4 millones</w:t>
      </w:r>
      <w:r w:rsidR="00003CC0">
        <w:rPr>
          <w:lang w:val="es-CL"/>
        </w:rPr>
        <w:t xml:space="preserve"> en 2038; Y, en segundo lugar, se determina el subsidio al combustible ligado a la mayor generación y basados en las proyecciones del requerimiento de combustibles fósiles proyectado en el mismo PME 2016-2025. Este subsidio</w:t>
      </w:r>
      <w:r w:rsidR="000B16FC">
        <w:rPr>
          <w:lang w:val="es-CL"/>
        </w:rPr>
        <w:t>, valorado según diferencia de precio local e internacional de los combustibles,</w:t>
      </w:r>
      <w:r w:rsidR="00003CC0">
        <w:rPr>
          <w:lang w:val="es-CL"/>
        </w:rPr>
        <w:t xml:space="preserve"> inicia en 2019 con US$</w:t>
      </w:r>
      <w:r w:rsidR="000B16FC">
        <w:rPr>
          <w:lang w:val="es-CL"/>
        </w:rPr>
        <w:t>0</w:t>
      </w:r>
      <w:r w:rsidR="00003CC0">
        <w:rPr>
          <w:lang w:val="es-CL"/>
        </w:rPr>
        <w:t>,</w:t>
      </w:r>
      <w:r w:rsidR="000B16FC">
        <w:rPr>
          <w:lang w:val="es-CL"/>
        </w:rPr>
        <w:t>65</w:t>
      </w:r>
      <w:r w:rsidR="00003CC0">
        <w:rPr>
          <w:lang w:val="es-CL"/>
        </w:rPr>
        <w:t xml:space="preserve"> millones, alcanzando los US$</w:t>
      </w:r>
      <w:r w:rsidR="000B16FC">
        <w:rPr>
          <w:lang w:val="es-CL"/>
        </w:rPr>
        <w:t>15</w:t>
      </w:r>
      <w:r w:rsidR="00003CC0">
        <w:rPr>
          <w:lang w:val="es-CL"/>
        </w:rPr>
        <w:t>,</w:t>
      </w:r>
      <w:r w:rsidR="000B16FC">
        <w:rPr>
          <w:lang w:val="es-CL"/>
        </w:rPr>
        <w:t>1</w:t>
      </w:r>
      <w:r w:rsidR="00003CC0">
        <w:rPr>
          <w:lang w:val="es-CL"/>
        </w:rPr>
        <w:t xml:space="preserve"> millones en 2038.</w:t>
      </w:r>
    </w:p>
    <w:p w:rsidR="000B16FC" w:rsidRDefault="000B16FC" w:rsidP="00F56913">
      <w:pPr>
        <w:jc w:val="both"/>
        <w:rPr>
          <w:lang w:val="es-CL"/>
        </w:rPr>
      </w:pPr>
      <w:r>
        <w:rPr>
          <w:lang w:val="es-CL"/>
        </w:rPr>
        <w:t xml:space="preserve">Además, los proyectos de transmisión permiten mejorar las posibilidades de exportación de energía hacia Perú y Colombia, ya que descongestionan el corredor troncal de 138 kV (sobre 60 MVA) y mejora las condiciones de voltaje en el sur del sistema. Si bien, no es posible proyectar el monto de este incremento en las exportaciones, pues depende de condiciones económicas combinadas de los 3 países, se ha estimado que un aprovechamiento </w:t>
      </w:r>
      <w:r w:rsidR="00DF60A3">
        <w:rPr>
          <w:lang w:val="es-CL"/>
        </w:rPr>
        <w:t xml:space="preserve">factible </w:t>
      </w:r>
      <w:r>
        <w:rPr>
          <w:lang w:val="es-CL"/>
        </w:rPr>
        <w:t xml:space="preserve">del 10% de esta mayor capacidad hacia Colombia y triplicar las actuales exportaciones hacia Perú, puede traer ingresos adicionales para la economía ecuatoriana del orden de los US$ 5 millones anuales. </w:t>
      </w:r>
    </w:p>
    <w:p w:rsidR="00E3212D" w:rsidRDefault="00E3212D" w:rsidP="00F56913">
      <w:pPr>
        <w:jc w:val="both"/>
        <w:rPr>
          <w:lang w:val="es-CL"/>
        </w:rPr>
      </w:pPr>
    </w:p>
    <w:p w:rsidR="00003CC0" w:rsidRDefault="00003CC0" w:rsidP="00903790">
      <w:pPr>
        <w:pStyle w:val="Heading2"/>
        <w:rPr>
          <w:lang w:val="es-CL"/>
        </w:rPr>
      </w:pPr>
      <w:bookmarkStart w:id="3" w:name="_Toc491617746"/>
      <w:r w:rsidRPr="000B16FC">
        <w:rPr>
          <w:lang w:val="es-CL"/>
        </w:rPr>
        <w:t xml:space="preserve">Componente II. Expansión y </w:t>
      </w:r>
      <w:r w:rsidR="00893E1A">
        <w:rPr>
          <w:lang w:val="es-CL"/>
        </w:rPr>
        <w:t>Modernización del Sistema Nacional de Distribución</w:t>
      </w:r>
      <w:r w:rsidRPr="00003CC0">
        <w:rPr>
          <w:lang w:val="es-CL"/>
        </w:rPr>
        <w:t>.</w:t>
      </w:r>
      <w:bookmarkEnd w:id="3"/>
    </w:p>
    <w:p w:rsidR="00893E1A" w:rsidRDefault="00893E1A" w:rsidP="00F56913">
      <w:pPr>
        <w:jc w:val="both"/>
        <w:rPr>
          <w:b/>
          <w:i/>
          <w:lang w:val="es-CL"/>
        </w:rPr>
      </w:pPr>
    </w:p>
    <w:p w:rsidR="00893E1A" w:rsidRPr="00893E1A" w:rsidRDefault="00893E1A" w:rsidP="00903790">
      <w:pPr>
        <w:pStyle w:val="Heading3"/>
        <w:rPr>
          <w:lang w:val="es-CL"/>
        </w:rPr>
      </w:pPr>
      <w:bookmarkStart w:id="4" w:name="_Toc491617747"/>
      <w:r w:rsidRPr="00893E1A">
        <w:rPr>
          <w:lang w:val="es-CL"/>
        </w:rPr>
        <w:t>Componente II.1. Expansión y Reforzamiento de la Infraestructura de distribución.</w:t>
      </w:r>
      <w:bookmarkEnd w:id="4"/>
    </w:p>
    <w:p w:rsidR="00003CC0" w:rsidRDefault="000B16FC" w:rsidP="00F56913">
      <w:pPr>
        <w:jc w:val="both"/>
        <w:rPr>
          <w:lang w:val="es-CL"/>
        </w:rPr>
      </w:pPr>
      <w:r w:rsidRPr="000D2A04">
        <w:rPr>
          <w:lang w:val="es-CL"/>
        </w:rPr>
        <w:t>Se han evaluado 76 proyectos de subtransmisión y distribución</w:t>
      </w:r>
      <w:r w:rsidR="00AE453D" w:rsidRPr="000D2A04">
        <w:rPr>
          <w:lang w:val="es-CL"/>
        </w:rPr>
        <w:t>, a ejecutar por las 20 EED’s. Estos proyectos, con una inversión de US$ 47,74 millones, permiten expandir, mejorar y reforzar las capacidades de las redes de distribución, permitiendo un aumento de capacidad</w:t>
      </w:r>
      <w:r w:rsidR="000D2A04">
        <w:rPr>
          <w:lang w:val="es-CL"/>
        </w:rPr>
        <w:t xml:space="preserve"> de unos 310 MW que se traducen en la posibilidad de abastecer un incremento de la demanda de hasta 1560 GWh anuales (con factor de carga de 0,57)</w:t>
      </w:r>
      <w:r w:rsidR="00CB02FD">
        <w:rPr>
          <w:lang w:val="es-CL"/>
        </w:rPr>
        <w:t>, observables en un 100% en 2038</w:t>
      </w:r>
      <w:r w:rsidR="000D2A04">
        <w:rPr>
          <w:lang w:val="es-CL"/>
        </w:rPr>
        <w:t>.</w:t>
      </w:r>
    </w:p>
    <w:p w:rsidR="00CB02FD" w:rsidRDefault="00CB02FD" w:rsidP="00F56913">
      <w:pPr>
        <w:jc w:val="both"/>
        <w:rPr>
          <w:lang w:val="es-CL"/>
        </w:rPr>
      </w:pPr>
      <w:r>
        <w:rPr>
          <w:lang w:val="es-CL"/>
        </w:rPr>
        <w:t xml:space="preserve">Desde el punto de vista financiero los principales beneficios de este bloque de proyectos son La mayor venta de energía, así como la menor Energía No Suministrada, vinculada a mejoras en la calidad de servicio, verificables en la reducción del índice TTIK en 19 de estos proyectos, siendo el más relevante en este sentido la </w:t>
      </w:r>
      <w:r w:rsidRPr="00CB02FD">
        <w:rPr>
          <w:lang w:val="es-CL"/>
        </w:rPr>
        <w:t>construcción línea de subtransmisión MANTA 2-MANTA 1</w:t>
      </w:r>
      <w:r w:rsidR="006B112E">
        <w:rPr>
          <w:lang w:val="es-CL"/>
        </w:rPr>
        <w:t>, con una reducción de este índice desde 0,30 a 0,14 horas/año para una demanda de 7,5 MW</w:t>
      </w:r>
      <w:r>
        <w:rPr>
          <w:lang w:val="es-CL"/>
        </w:rPr>
        <w:t>.</w:t>
      </w:r>
    </w:p>
    <w:p w:rsidR="006B112E" w:rsidRDefault="006B112E" w:rsidP="00F56913">
      <w:pPr>
        <w:jc w:val="both"/>
        <w:rPr>
          <w:lang w:val="es-CL"/>
        </w:rPr>
      </w:pPr>
      <w:r w:rsidRPr="009131F4">
        <w:rPr>
          <w:lang w:val="es-CL"/>
        </w:rPr>
        <w:t xml:space="preserve">La mayor venta de energía, valorada a precio medio de venta </w:t>
      </w:r>
      <w:r w:rsidR="009131F4" w:rsidRPr="009131F4">
        <w:rPr>
          <w:lang w:val="es-CL"/>
        </w:rPr>
        <w:t xml:space="preserve">2016 y proyectado según el PME 2016-2025, </w:t>
      </w:r>
      <w:r w:rsidRPr="009131F4">
        <w:rPr>
          <w:lang w:val="es-CL"/>
        </w:rPr>
        <w:t>inicia en US$</w:t>
      </w:r>
      <w:r w:rsidR="009131F4" w:rsidRPr="009131F4">
        <w:rPr>
          <w:lang w:val="es-CL"/>
        </w:rPr>
        <w:t xml:space="preserve">3,8 </w:t>
      </w:r>
      <w:r w:rsidRPr="009131F4">
        <w:rPr>
          <w:lang w:val="es-CL"/>
        </w:rPr>
        <w:t>millones en 2019 y alcanza gradualmente hasta los US$</w:t>
      </w:r>
      <w:r w:rsidR="009131F4" w:rsidRPr="009131F4">
        <w:rPr>
          <w:lang w:val="es-CL"/>
        </w:rPr>
        <w:t>168,7</w:t>
      </w:r>
      <w:r w:rsidRPr="009131F4">
        <w:rPr>
          <w:lang w:val="es-CL"/>
        </w:rPr>
        <w:t xml:space="preserve"> millones en 20</w:t>
      </w:r>
      <w:r w:rsidR="009131F4" w:rsidRPr="009131F4">
        <w:rPr>
          <w:lang w:val="es-CL"/>
        </w:rPr>
        <w:t>4</w:t>
      </w:r>
      <w:r w:rsidRPr="009131F4">
        <w:rPr>
          <w:lang w:val="es-CL"/>
        </w:rPr>
        <w:t>8</w:t>
      </w:r>
      <w:r>
        <w:rPr>
          <w:lang w:val="es-CL"/>
        </w:rPr>
        <w:t>.</w:t>
      </w:r>
    </w:p>
    <w:p w:rsidR="009131F4" w:rsidRDefault="009131F4" w:rsidP="009131F4">
      <w:pPr>
        <w:jc w:val="both"/>
        <w:rPr>
          <w:lang w:val="es-CL"/>
        </w:rPr>
      </w:pPr>
      <w:r>
        <w:rPr>
          <w:lang w:val="es-CL"/>
        </w:rPr>
        <w:t xml:space="preserve">Por su parte, la menor Energía No Suministrada, valorada a CENS de 1533 US$/MWh, </w:t>
      </w:r>
      <w:r w:rsidRPr="009131F4">
        <w:rPr>
          <w:lang w:val="es-CL"/>
        </w:rPr>
        <w:t>inicia en US$3,</w:t>
      </w:r>
      <w:r>
        <w:rPr>
          <w:lang w:val="es-CL"/>
        </w:rPr>
        <w:t>14</w:t>
      </w:r>
      <w:r w:rsidRPr="009131F4">
        <w:rPr>
          <w:lang w:val="es-CL"/>
        </w:rPr>
        <w:t xml:space="preserve"> millones en 2019 y alcanza gradualmente hasta los US$</w:t>
      </w:r>
      <w:r>
        <w:rPr>
          <w:lang w:val="es-CL"/>
        </w:rPr>
        <w:t>5,8</w:t>
      </w:r>
      <w:r w:rsidRPr="009131F4">
        <w:rPr>
          <w:lang w:val="es-CL"/>
        </w:rPr>
        <w:t xml:space="preserve"> millones en 2048</w:t>
      </w:r>
      <w:r>
        <w:rPr>
          <w:lang w:val="es-CL"/>
        </w:rPr>
        <w:t>.</w:t>
      </w:r>
    </w:p>
    <w:p w:rsidR="000B16FC" w:rsidRDefault="009131F4" w:rsidP="00F56913">
      <w:pPr>
        <w:jc w:val="both"/>
        <w:rPr>
          <w:lang w:val="es-CL"/>
        </w:rPr>
      </w:pPr>
      <w:r>
        <w:rPr>
          <w:lang w:val="es-CL"/>
        </w:rPr>
        <w:t>La mayor venta de energía, expandida por las pérdidas técnicas, conlleva necesariamente una mayor compra de la misma tanto a Transelectric (Cargo por Transmisión), como a los generadores (Costo Medio de Generación). Ambos cargos se consideran como el Costo Medio de Compra, estimado en las estadísticas 2016 de Arconel, para cada EED, así como en la proyección de los Costos Medios de Transmisión y de Generación del PME 2016-2025.</w:t>
      </w:r>
      <w:r w:rsidR="00D27DA4">
        <w:rPr>
          <w:lang w:val="es-CL"/>
        </w:rPr>
        <w:t xml:space="preserve"> Con un valor entorno a los 5,3 cUS$/kWh, con excepción de la EE Galápagos, donde alcanza los 12,82 cUS$/kWh, la mayor compra de energía inicia en 2019 con US$1,9 Millones, alcanzando los US$78,6 millones en 2048.</w:t>
      </w:r>
    </w:p>
    <w:p w:rsidR="000B16FC" w:rsidRDefault="00D27DA4" w:rsidP="00F56913">
      <w:pPr>
        <w:jc w:val="both"/>
        <w:rPr>
          <w:lang w:val="es-CL"/>
        </w:rPr>
      </w:pPr>
      <w:r>
        <w:rPr>
          <w:lang w:val="es-CL"/>
        </w:rPr>
        <w:t>Otro costo financiero incurrido por las entidades ejecutoras (las 20 EED’s), son los costos de operación y mantenimiento que, en general representan una fracción constante anual del monto de inversión (4% para Subtransmisión y 8% para Distribución), alcanzando anualmente a los US$2,6 millones.</w:t>
      </w:r>
    </w:p>
    <w:p w:rsidR="00D27DA4" w:rsidRDefault="00D27DA4" w:rsidP="00F56913">
      <w:pPr>
        <w:jc w:val="both"/>
        <w:rPr>
          <w:lang w:val="es-CL"/>
        </w:rPr>
      </w:pPr>
    </w:p>
    <w:p w:rsidR="00903790" w:rsidRDefault="00D27DA4" w:rsidP="00F56913">
      <w:pPr>
        <w:jc w:val="both"/>
        <w:rPr>
          <w:lang w:val="es-CL"/>
        </w:rPr>
      </w:pPr>
      <w:r>
        <w:rPr>
          <w:lang w:val="es-CL"/>
        </w:rPr>
        <w:t xml:space="preserve">Desde la perspectiva económica, </w:t>
      </w:r>
      <w:r w:rsidR="00903790">
        <w:rPr>
          <w:lang w:val="es-CL"/>
        </w:rPr>
        <w:t xml:space="preserve">los mayores elementos de ganancia son: </w:t>
      </w:r>
    </w:p>
    <w:p w:rsidR="00D27DA4" w:rsidRPr="00903790" w:rsidRDefault="00903790" w:rsidP="00903790">
      <w:pPr>
        <w:pStyle w:val="ListParagraph"/>
        <w:numPr>
          <w:ilvl w:val="0"/>
          <w:numId w:val="24"/>
        </w:numPr>
        <w:jc w:val="both"/>
        <w:rPr>
          <w:lang w:val="es-CL"/>
        </w:rPr>
      </w:pPr>
      <w:r w:rsidRPr="00903790">
        <w:rPr>
          <w:lang w:val="es-CL"/>
        </w:rPr>
        <w:t>el Beneficio percibido por el consumidor, ligado al incremente paulatino de la demanda de energía que es posible servir gracias al aumento de capacidad del sistema de distribución el que, considerando una elasticidad precio de la demanda igual a -0.2, resulta en US$ 8.66 millones en 2019 y asciende gradualmente hasta los US$ 262 millones anuales en 2038.</w:t>
      </w:r>
    </w:p>
    <w:p w:rsidR="00903790" w:rsidRDefault="00903790" w:rsidP="00903790">
      <w:pPr>
        <w:pStyle w:val="ListParagraph"/>
        <w:numPr>
          <w:ilvl w:val="0"/>
          <w:numId w:val="24"/>
        </w:numPr>
        <w:jc w:val="both"/>
        <w:rPr>
          <w:lang w:val="es-CL"/>
        </w:rPr>
      </w:pPr>
      <w:r>
        <w:rPr>
          <w:lang w:val="es-CL"/>
        </w:rPr>
        <w:t>La menor Energía No Suministrada, que desde esta perspectiva representa los menores costos incurridos por clientes (residenciales, industriales, comerciales y otros) gracias a una reducción de las interrupciones del suministro eléctrico. Valorados a 1533 US$/MWh, se proyecta un beneficio social entre US$ 3.1 millones y US$ 5.8 millones anuales a lo largo del horizonte de evaluación.</w:t>
      </w:r>
    </w:p>
    <w:p w:rsidR="00903790" w:rsidRPr="00903790" w:rsidRDefault="00903790" w:rsidP="00903790">
      <w:pPr>
        <w:jc w:val="both"/>
        <w:rPr>
          <w:lang w:val="es-CL"/>
        </w:rPr>
      </w:pPr>
      <w:r>
        <w:rPr>
          <w:lang w:val="es-CL"/>
        </w:rPr>
        <w:t>En contrapartida, se proyectan como costos socioeconómicos</w:t>
      </w:r>
      <w:r w:rsidR="00885BE6">
        <w:rPr>
          <w:lang w:val="es-CL"/>
        </w:rPr>
        <w:t xml:space="preserve"> aquellos ligados a la mayor generación de energía, asociada con la mayor demanda servida y que se traduce en mayores costos variables de generación (inicia en US$ 386 mil en 2019 y asciende hasta los US 27.2 millones en 20138) y un mayor subsidio a los combustibles fósiles usados parcialmente en esa producción eléctrica (inicia en US$ 75 mil en 2019 y asciende hasta los US 5.2 millones en 2038)</w:t>
      </w:r>
      <w:r w:rsidR="00ED53F6">
        <w:rPr>
          <w:lang w:val="es-CL"/>
        </w:rPr>
        <w:t>. Además, los costos de operación y mantenimiento se valoran socialmente en US$ 2.0 millones anuales.</w:t>
      </w:r>
    </w:p>
    <w:p w:rsidR="00AC6630" w:rsidRDefault="00AC6630" w:rsidP="00F56913">
      <w:pPr>
        <w:jc w:val="both"/>
        <w:rPr>
          <w:lang w:val="es-CL"/>
        </w:rPr>
      </w:pPr>
    </w:p>
    <w:p w:rsidR="00235563" w:rsidRPr="00893E1A" w:rsidRDefault="00235563" w:rsidP="00235563">
      <w:pPr>
        <w:pStyle w:val="Heading3"/>
        <w:rPr>
          <w:lang w:val="es-CL"/>
        </w:rPr>
      </w:pPr>
      <w:bookmarkStart w:id="5" w:name="_Toc491617748"/>
      <w:r w:rsidRPr="00893E1A">
        <w:rPr>
          <w:lang w:val="es-CL"/>
        </w:rPr>
        <w:t>Componente II.</w:t>
      </w:r>
      <w:r>
        <w:rPr>
          <w:lang w:val="es-CL"/>
        </w:rPr>
        <w:t>2</w:t>
      </w:r>
      <w:r w:rsidRPr="00893E1A">
        <w:rPr>
          <w:lang w:val="es-CL"/>
        </w:rPr>
        <w:t xml:space="preserve">. </w:t>
      </w:r>
      <w:r>
        <w:rPr>
          <w:lang w:val="es-CL"/>
        </w:rPr>
        <w:t>Proyectos FERUM</w:t>
      </w:r>
      <w:r w:rsidRPr="00893E1A">
        <w:rPr>
          <w:lang w:val="es-CL"/>
        </w:rPr>
        <w:t>.</w:t>
      </w:r>
      <w:bookmarkEnd w:id="5"/>
    </w:p>
    <w:p w:rsidR="00ED53F6" w:rsidRDefault="00235563" w:rsidP="00235563">
      <w:pPr>
        <w:jc w:val="both"/>
        <w:rPr>
          <w:lang w:val="es-CL"/>
        </w:rPr>
      </w:pPr>
      <w:r w:rsidRPr="00962CD6">
        <w:rPr>
          <w:lang w:val="es-CL"/>
        </w:rPr>
        <w:t xml:space="preserve">Constituyen parte integral de este programa 568 proyectos de extensión de las redes de distribución destinados a zona rurales y urbano marginales donde se </w:t>
      </w:r>
      <w:r w:rsidR="00907205" w:rsidRPr="00962CD6">
        <w:rPr>
          <w:lang w:val="es-CL"/>
        </w:rPr>
        <w:t>beneficiarán</w:t>
      </w:r>
      <w:r w:rsidR="00962CD6">
        <w:rPr>
          <w:lang w:val="es-CL"/>
        </w:rPr>
        <w:t xml:space="preserve"> 14,</w:t>
      </w:r>
      <w:r w:rsidRPr="00962CD6">
        <w:rPr>
          <w:lang w:val="es-CL"/>
        </w:rPr>
        <w:t>5</w:t>
      </w:r>
      <w:r w:rsidR="00E044A2" w:rsidRPr="00962CD6">
        <w:rPr>
          <w:lang w:val="es-CL"/>
        </w:rPr>
        <w:t>7</w:t>
      </w:r>
      <w:r w:rsidRPr="00962CD6">
        <w:rPr>
          <w:lang w:val="es-CL"/>
        </w:rPr>
        <w:t>5 Viviendas sin sumini</w:t>
      </w:r>
      <w:r w:rsidR="00E044A2" w:rsidRPr="00962CD6">
        <w:rPr>
          <w:lang w:val="es-CL"/>
        </w:rPr>
        <w:t>s</w:t>
      </w:r>
      <w:r w:rsidRPr="00962CD6">
        <w:rPr>
          <w:lang w:val="es-CL"/>
        </w:rPr>
        <w:t xml:space="preserve">tro y </w:t>
      </w:r>
      <w:r w:rsidR="00E044A2" w:rsidRPr="00962CD6">
        <w:rPr>
          <w:lang w:val="es-CL"/>
        </w:rPr>
        <w:t>2</w:t>
      </w:r>
      <w:r w:rsidR="00962CD6">
        <w:rPr>
          <w:lang w:val="es-CL"/>
        </w:rPr>
        <w:t>,</w:t>
      </w:r>
      <w:r w:rsidR="00E044A2" w:rsidRPr="00962CD6">
        <w:rPr>
          <w:lang w:val="es-CL"/>
        </w:rPr>
        <w:t>105 viviendas con suministro.</w:t>
      </w:r>
    </w:p>
    <w:p w:rsidR="00ED53F6" w:rsidRDefault="00962CD6" w:rsidP="00F56913">
      <w:pPr>
        <w:jc w:val="both"/>
        <w:rPr>
          <w:lang w:val="es-CL"/>
        </w:rPr>
      </w:pPr>
      <w:r>
        <w:rPr>
          <w:lang w:val="es-CL"/>
        </w:rPr>
        <w:t>Con una inversión de US$ 30.4 Millones se espera incrementar las ventas de energía por un monto anual adicional desde US$ 2 millones a US$ 3.5 millones en el horizonte de evaluación.</w:t>
      </w:r>
    </w:p>
    <w:p w:rsidR="00962CD6" w:rsidRDefault="00962CD6" w:rsidP="00F56913">
      <w:pPr>
        <w:jc w:val="both"/>
        <w:rPr>
          <w:lang w:val="es-CL"/>
        </w:rPr>
      </w:pPr>
      <w:r>
        <w:rPr>
          <w:lang w:val="es-CL"/>
        </w:rPr>
        <w:t>Esto se suma a la posibilidad de un</w:t>
      </w:r>
      <w:r w:rsidR="00E062D1">
        <w:rPr>
          <w:lang w:val="es-CL"/>
        </w:rPr>
        <w:t>a</w:t>
      </w:r>
      <w:r>
        <w:rPr>
          <w:lang w:val="es-CL"/>
        </w:rPr>
        <w:t xml:space="preserve"> menor compra de energía, debido a que, antes de la ejecución de estos proyectos, se estima la existencia de un consumo informal de energía</w:t>
      </w:r>
      <w:r w:rsidR="009667AA">
        <w:rPr>
          <w:lang w:val="es-CL"/>
        </w:rPr>
        <w:t xml:space="preserve"> en casi un 70% de las viviendas declaradas como Vss, principalmente en zonas rurales de la costa o urbano marginales relativamente cercanas a las redes existentes. Y, sin una señal de costo, se estima por parte de dichas viviendas un sobreconsumo por un factor de 2.2, respecto de otras viviendas similares con registro y facturación de su consumo. Esta menor compra neta de energía, con proyecto, por parte de las EED inicia en US$ 1.4 millones desde 2018 y se reduce gradualmente hasta los US$ 93.7 mil en 2038.</w:t>
      </w:r>
    </w:p>
    <w:p w:rsidR="009667AA" w:rsidRDefault="009667AA" w:rsidP="00F56913">
      <w:pPr>
        <w:jc w:val="both"/>
        <w:rPr>
          <w:lang w:val="es-CL"/>
        </w:rPr>
      </w:pPr>
      <w:r>
        <w:rPr>
          <w:lang w:val="es-CL"/>
        </w:rPr>
        <w:t>Los costos financieros adicionados por este proyecto son la Operación y Mantenimiento, que alcanza US$ 1 millón anual a parir de 2023, así como la comercialización por la incorporación de 14</w:t>
      </w:r>
      <w:r w:rsidR="008D142A">
        <w:rPr>
          <w:lang w:val="es-CL"/>
        </w:rPr>
        <w:t>,</w:t>
      </w:r>
      <w:r>
        <w:rPr>
          <w:lang w:val="es-CL"/>
        </w:rPr>
        <w:t>575 clientes y su crecimiento, la que se estima en US$ 262 mil en 2019 y asciende progresivamente hasta los US$ 822.3 mil en 20 años.</w:t>
      </w:r>
    </w:p>
    <w:p w:rsidR="009667AA" w:rsidRDefault="009667AA" w:rsidP="00F56913">
      <w:pPr>
        <w:jc w:val="both"/>
        <w:rPr>
          <w:lang w:val="es-CL"/>
        </w:rPr>
      </w:pPr>
    </w:p>
    <w:p w:rsidR="009667AA" w:rsidRDefault="009667AA" w:rsidP="00F56913">
      <w:pPr>
        <w:jc w:val="both"/>
        <w:rPr>
          <w:lang w:val="es-CL"/>
        </w:rPr>
      </w:pPr>
      <w:r>
        <w:rPr>
          <w:lang w:val="es-CL"/>
        </w:rPr>
        <w:t>Bajo la perspectiva económica, el beneficio más relevante es el beneficio del consumidor final (asociado con la curva de demanda, reemplazo de energías sustitutas y reemplazo de GLP para aquellas familias que, con ocasión de este proyecto pueden adherirse al programa PEC</w:t>
      </w:r>
      <w:r w:rsidR="003D02D9">
        <w:rPr>
          <w:lang w:val="es-CL"/>
        </w:rPr>
        <w:t xml:space="preserve"> adquiriendo Cocinas Eléctricas de Inducción</w:t>
      </w:r>
      <w:r>
        <w:rPr>
          <w:lang w:val="es-CL"/>
        </w:rPr>
        <w:t>)</w:t>
      </w:r>
      <w:r w:rsidR="003D02D9">
        <w:rPr>
          <w:lang w:val="es-CL"/>
        </w:rPr>
        <w:t>. Este beneficio se valor en US$ 880 mil en 2018, US$ 1.77 millones en 2019 y asciende gradualmente hasta los US$ 18.5 millones en 2038.</w:t>
      </w:r>
    </w:p>
    <w:p w:rsidR="003D02D9" w:rsidRDefault="003D02D9" w:rsidP="00F56913">
      <w:pPr>
        <w:jc w:val="both"/>
        <w:rPr>
          <w:lang w:val="es-CL"/>
        </w:rPr>
      </w:pPr>
      <w:r>
        <w:rPr>
          <w:lang w:val="es-CL"/>
        </w:rPr>
        <w:t xml:space="preserve">También se perfila como beneficio económico la menor generación de energía que, adicionando los </w:t>
      </w:r>
      <w:r w:rsidR="00236F36">
        <w:rPr>
          <w:lang w:val="es-CL"/>
        </w:rPr>
        <w:t xml:space="preserve">menores </w:t>
      </w:r>
      <w:r>
        <w:rPr>
          <w:lang w:val="es-CL"/>
        </w:rPr>
        <w:t>costos variables de generación y subsidio a los combustibles ligados a dicha generación</w:t>
      </w:r>
      <w:r w:rsidR="004C733C">
        <w:rPr>
          <w:lang w:val="es-CL"/>
        </w:rPr>
        <w:t xml:space="preserve"> se traduce en un ahorro que inicia en 2018 con </w:t>
      </w:r>
      <w:r w:rsidR="00952067">
        <w:rPr>
          <w:lang w:val="es-CL"/>
        </w:rPr>
        <w:t>US$ 476 mil y desciende gradualmente hasta US$ 155.3 mil en 2038.</w:t>
      </w:r>
    </w:p>
    <w:p w:rsidR="008D142A" w:rsidRDefault="008D142A" w:rsidP="00F56913">
      <w:pPr>
        <w:jc w:val="both"/>
        <w:rPr>
          <w:lang w:val="es-CL"/>
        </w:rPr>
      </w:pPr>
      <w:r>
        <w:rPr>
          <w:lang w:val="es-CL"/>
        </w:rPr>
        <w:t>Como costos económicos del proyecto, está la operación y mantenimiento de las nuevas redes, que alcanza los US$ 855.75 mil anuales desde 2023 en adelante; y, por otra parte, el mayor subsidio de Tarifa Dignidad para el que califican muchas de las familias beneficiadas por el proyecto</w:t>
      </w:r>
      <w:r w:rsidR="002F6B9D">
        <w:rPr>
          <w:lang w:val="es-CL"/>
        </w:rPr>
        <w:t>, el que fluctúa entre los US$ 173.3 mil y US$ 1.5 millones anuales en el horizonte de evaluación.</w:t>
      </w:r>
    </w:p>
    <w:p w:rsidR="002F6B9D" w:rsidRDefault="002F6B9D" w:rsidP="00F56913">
      <w:pPr>
        <w:jc w:val="both"/>
        <w:rPr>
          <w:lang w:val="es-CL"/>
        </w:rPr>
      </w:pPr>
    </w:p>
    <w:p w:rsidR="008065E5" w:rsidRDefault="008065E5" w:rsidP="008065E5">
      <w:pPr>
        <w:jc w:val="both"/>
        <w:rPr>
          <w:lang w:val="es-CL"/>
        </w:rPr>
      </w:pPr>
    </w:p>
    <w:p w:rsidR="008065E5" w:rsidRPr="00893E1A" w:rsidRDefault="008065E5" w:rsidP="008065E5">
      <w:pPr>
        <w:pStyle w:val="Heading3"/>
        <w:rPr>
          <w:lang w:val="es-CL"/>
        </w:rPr>
      </w:pPr>
      <w:bookmarkStart w:id="6" w:name="_Toc491617749"/>
      <w:r w:rsidRPr="00893E1A">
        <w:rPr>
          <w:lang w:val="es-CL"/>
        </w:rPr>
        <w:t>Componente II.</w:t>
      </w:r>
      <w:r>
        <w:rPr>
          <w:lang w:val="es-CL"/>
        </w:rPr>
        <w:t>3</w:t>
      </w:r>
      <w:r w:rsidRPr="00893E1A">
        <w:rPr>
          <w:lang w:val="es-CL"/>
        </w:rPr>
        <w:t xml:space="preserve">. </w:t>
      </w:r>
      <w:r w:rsidR="007D19F7" w:rsidRPr="007D19F7">
        <w:rPr>
          <w:lang w:val="es-CL"/>
        </w:rPr>
        <w:t>Repotenciación y extensión de redes de distribución para energizar la Agroindustria</w:t>
      </w:r>
      <w:r w:rsidRPr="00893E1A">
        <w:rPr>
          <w:lang w:val="es-CL"/>
        </w:rPr>
        <w:t>.</w:t>
      </w:r>
      <w:bookmarkEnd w:id="6"/>
    </w:p>
    <w:p w:rsidR="002F6B9D" w:rsidRDefault="007D19F7" w:rsidP="008065E5">
      <w:pPr>
        <w:jc w:val="both"/>
        <w:rPr>
          <w:lang w:val="es-CL"/>
        </w:rPr>
      </w:pPr>
      <w:r>
        <w:rPr>
          <w:lang w:val="es-CL"/>
        </w:rPr>
        <w:t xml:space="preserve">Este bloque de proyectos, con una inversión total de US$ 23.6 Millones busca acercar las redes de media tensión hasta la frontera de la agroindustria, esencialmente camaronera, que totaliza sobre 55 mil hectáreas de cultivo de </w:t>
      </w:r>
      <w:r w:rsidR="00C72326">
        <w:rPr>
          <w:lang w:val="es-CL"/>
        </w:rPr>
        <w:t xml:space="preserve">este </w:t>
      </w:r>
      <w:r>
        <w:rPr>
          <w:lang w:val="es-CL"/>
        </w:rPr>
        <w:t xml:space="preserve">crustáceo. Esta industria, que satisface su requerimiento energético con combustible fósil, para el bloque objetivo de este proyecto, representaría una demanda eléctrica de </w:t>
      </w:r>
      <w:r w:rsidR="00C72326">
        <w:rPr>
          <w:lang w:val="es-CL"/>
        </w:rPr>
        <w:t xml:space="preserve">unos </w:t>
      </w:r>
      <w:r>
        <w:rPr>
          <w:lang w:val="es-CL"/>
        </w:rPr>
        <w:t>260 MW cuando todos estos clientes estén conectados, lo que representa un flujo de energía de 1,290 GWh anuales.</w:t>
      </w:r>
    </w:p>
    <w:p w:rsidR="007D19F7" w:rsidRDefault="007D19F7" w:rsidP="008065E5">
      <w:pPr>
        <w:jc w:val="both"/>
        <w:rPr>
          <w:lang w:val="es-CL"/>
        </w:rPr>
      </w:pPr>
      <w:r>
        <w:rPr>
          <w:lang w:val="es-CL"/>
        </w:rPr>
        <w:t>De forma conservadora, se ha estimado que este grupo objetivo de agroindustriales se incorporaría gradualmente a esta oferta, alcanzando un 100% en 10 años.</w:t>
      </w:r>
    </w:p>
    <w:p w:rsidR="00C72326" w:rsidRDefault="00C72326" w:rsidP="008065E5">
      <w:pPr>
        <w:jc w:val="both"/>
        <w:rPr>
          <w:lang w:val="es-CL"/>
        </w:rPr>
      </w:pPr>
      <w:r>
        <w:rPr>
          <w:lang w:val="es-CL"/>
        </w:rPr>
        <w:t>Desde el punto de vista financiero, se ha supuesto que las EED venderían esta energía adicional en niveles de media tensión a un tarifa horaria para Bombeo de Agua, lo que representa un ingreso por este concepto que inicia en 2019 con US$ 8.6 Millones, alcanzando su máximo valor desde 2028 con US$ 86 millones.</w:t>
      </w:r>
    </w:p>
    <w:p w:rsidR="00C72326" w:rsidRDefault="00C72326" w:rsidP="008065E5">
      <w:pPr>
        <w:jc w:val="both"/>
        <w:rPr>
          <w:lang w:val="es-CL"/>
        </w:rPr>
      </w:pPr>
      <w:r>
        <w:rPr>
          <w:lang w:val="es-CL"/>
        </w:rPr>
        <w:t>Como contrapartida, los costos de compra de energía para las EED también se incrementan gradualmente desde los US$ 6.6 Millones en 2019, alcanzando un máximo de US$ 66,4 millones desde 2028 en adelante.</w:t>
      </w:r>
    </w:p>
    <w:p w:rsidR="00C72326" w:rsidRDefault="00C72326" w:rsidP="008065E5">
      <w:pPr>
        <w:jc w:val="both"/>
        <w:rPr>
          <w:lang w:val="es-CL"/>
        </w:rPr>
      </w:pPr>
      <w:r>
        <w:rPr>
          <w:lang w:val="es-CL"/>
        </w:rPr>
        <w:t>Se adicionan como costos para las EED, la operación y mantenimiento de las nuevas redes por US$ 1.4 millones anuales, así como los costos de comercialización asociados con la incorporación gradual de unos 1,152 nuevos clientes, lo que se estiman en un total de US$ 19.5 mil al incorporar al 100% de estos clientes.</w:t>
      </w:r>
    </w:p>
    <w:p w:rsidR="00952067" w:rsidRDefault="00952067" w:rsidP="00F56913">
      <w:pPr>
        <w:jc w:val="both"/>
        <w:rPr>
          <w:lang w:val="es-CL"/>
        </w:rPr>
      </w:pPr>
    </w:p>
    <w:p w:rsidR="00DF008E" w:rsidRDefault="00DF008E" w:rsidP="00F56913">
      <w:pPr>
        <w:jc w:val="both"/>
        <w:rPr>
          <w:lang w:val="es-CL"/>
        </w:rPr>
      </w:pPr>
      <w:r>
        <w:rPr>
          <w:lang w:val="es-CL"/>
        </w:rPr>
        <w:t>Para una evaluación desde la perspectiva económica,</w:t>
      </w:r>
      <w:r w:rsidR="008838AE">
        <w:rPr>
          <w:lang w:val="es-CL"/>
        </w:rPr>
        <w:t xml:space="preserve"> se agrega el excedente del productor, es decir</w:t>
      </w:r>
      <w:r>
        <w:rPr>
          <w:lang w:val="es-CL"/>
        </w:rPr>
        <w:t xml:space="preserve"> los beneficios y costos asumidos desde la agroindustria, </w:t>
      </w:r>
      <w:r w:rsidR="008838AE">
        <w:rPr>
          <w:lang w:val="es-CL"/>
        </w:rPr>
        <w:t xml:space="preserve">así como </w:t>
      </w:r>
      <w:r>
        <w:rPr>
          <w:lang w:val="es-CL"/>
        </w:rPr>
        <w:t xml:space="preserve">la reducción del subsidio a los combustibles asociada con la reducción de demanda esperada; </w:t>
      </w:r>
      <w:r w:rsidR="008838AE">
        <w:rPr>
          <w:lang w:val="es-CL"/>
        </w:rPr>
        <w:t>y</w:t>
      </w:r>
      <w:r>
        <w:rPr>
          <w:lang w:val="es-CL"/>
        </w:rPr>
        <w:t xml:space="preserve"> una valoración de los costos asociados con la generación demandada por este sector (costo variable de generación y subsidio a los combustibles empleados en generación eléctrica).</w:t>
      </w:r>
    </w:p>
    <w:p w:rsidR="00DF008E" w:rsidRDefault="00DF008E" w:rsidP="00F56913">
      <w:pPr>
        <w:jc w:val="both"/>
        <w:rPr>
          <w:lang w:val="es-CL"/>
        </w:rPr>
      </w:pPr>
      <w:r>
        <w:rPr>
          <w:lang w:val="es-CL"/>
        </w:rPr>
        <w:t xml:space="preserve">Se estima que la inversión de la industria camaronera, objeto de este proyecto, totalizaría unos US$ 196 millones, entre </w:t>
      </w:r>
      <w:r w:rsidR="003556D4">
        <w:rPr>
          <w:lang w:val="es-CL"/>
        </w:rPr>
        <w:t xml:space="preserve">construcción, </w:t>
      </w:r>
      <w:r>
        <w:rPr>
          <w:lang w:val="es-CL"/>
        </w:rPr>
        <w:t>adecuación de redes y adquisición de equipamiento eléctrico lo que además demanda operación y mantenimiento por unos US$ 17.6 millones</w:t>
      </w:r>
      <w:r w:rsidR="00615867">
        <w:rPr>
          <w:lang w:val="es-CL"/>
        </w:rPr>
        <w:t xml:space="preserve"> anuales</w:t>
      </w:r>
      <w:r>
        <w:rPr>
          <w:lang w:val="es-CL"/>
        </w:rPr>
        <w:t>. Asimismo, se estima como beneficios</w:t>
      </w:r>
      <w:r w:rsidR="008838AE">
        <w:rPr>
          <w:lang w:val="es-CL"/>
        </w:rPr>
        <w:t xml:space="preserve"> anuales:</w:t>
      </w:r>
      <w:r>
        <w:rPr>
          <w:lang w:val="es-CL"/>
        </w:rPr>
        <w:t xml:space="preserve"> </w:t>
      </w:r>
      <w:r w:rsidR="008838AE">
        <w:rPr>
          <w:lang w:val="es-CL"/>
        </w:rPr>
        <w:t>U</w:t>
      </w:r>
      <w:r>
        <w:rPr>
          <w:lang w:val="es-CL"/>
        </w:rPr>
        <w:t xml:space="preserve">na mayor productividad de camarón (en cantidad y tamaño medio) que se traduce en ingresos por mayores ventas de </w:t>
      </w:r>
      <w:r w:rsidR="008838AE">
        <w:rPr>
          <w:lang w:val="es-CL"/>
        </w:rPr>
        <w:t>US$ 48.9 millones</w:t>
      </w:r>
      <w:r w:rsidR="00615867">
        <w:rPr>
          <w:lang w:val="es-CL"/>
        </w:rPr>
        <w:t xml:space="preserve"> anuales</w:t>
      </w:r>
      <w:r w:rsidR="008838AE">
        <w:rPr>
          <w:lang w:val="es-CL"/>
        </w:rPr>
        <w:t>; La sustitución de combustibles fósiles, por unos US$ 52.6 millones; y Menores costos de mantenimiento de motobombas, por US$ 20.1 millones. El pago de la factura eléctrica, que para el 100% de los camaroneros alcanzaría los US$ 86 millones, no forma parte de los flujos económicos netos evaluados, pues se cancela con el ingreso recibido por las EED’s.</w:t>
      </w:r>
    </w:p>
    <w:p w:rsidR="008838AE" w:rsidRDefault="008838AE" w:rsidP="00F56913">
      <w:pPr>
        <w:jc w:val="both"/>
        <w:rPr>
          <w:lang w:val="es-CL"/>
        </w:rPr>
      </w:pPr>
      <w:r>
        <w:rPr>
          <w:lang w:val="es-CL"/>
        </w:rPr>
        <w:t>Otro beneficio socioeconómico valorado en este proyecto es la reducción del subsidio a los combustibles que dejarán de demandarse desde la agroindustria, el que alcanzaría gradualmente unos US$40.95 millones anuales desde el año 10 en adelante.</w:t>
      </w:r>
    </w:p>
    <w:p w:rsidR="008838AE" w:rsidRDefault="00615867" w:rsidP="00F56913">
      <w:pPr>
        <w:jc w:val="both"/>
        <w:rPr>
          <w:lang w:val="es-CL"/>
        </w:rPr>
      </w:pPr>
      <w:r>
        <w:rPr>
          <w:lang w:val="es-CL"/>
        </w:rPr>
        <w:t>Otros</w:t>
      </w:r>
      <w:r w:rsidR="008838AE">
        <w:rPr>
          <w:lang w:val="es-CL"/>
        </w:rPr>
        <w:t xml:space="preserve"> costos socioeconómicos</w:t>
      </w:r>
      <w:r>
        <w:rPr>
          <w:lang w:val="es-CL"/>
        </w:rPr>
        <w:t xml:space="preserve"> estimados</w:t>
      </w:r>
      <w:r w:rsidR="008838AE">
        <w:rPr>
          <w:lang w:val="es-CL"/>
        </w:rPr>
        <w:t xml:space="preserve">, más allá de la agroindustria, </w:t>
      </w:r>
      <w:r>
        <w:rPr>
          <w:lang w:val="es-CL"/>
        </w:rPr>
        <w:t>son aquellos asociados con la mayor generación de energía eléctrica demandada por este sector. De esta forma, el costo variable de generación alcanzaría los US$ 33.2 millones anuales, mientras que el subsidio a los combustibles empleados en dicha generación llegará a los US$ 6.4 millones anuales cuando el 100% de agroindustriales se hayan incorporado activamente a esta propuesta.</w:t>
      </w:r>
    </w:p>
    <w:p w:rsidR="00615867" w:rsidRDefault="00615867" w:rsidP="00F56913">
      <w:pPr>
        <w:jc w:val="both"/>
        <w:rPr>
          <w:lang w:val="es-CL"/>
        </w:rPr>
      </w:pPr>
    </w:p>
    <w:p w:rsidR="00615867" w:rsidRPr="00893E1A" w:rsidRDefault="00615867" w:rsidP="00A21AC2">
      <w:pPr>
        <w:pStyle w:val="Heading2"/>
        <w:rPr>
          <w:lang w:val="es-CL"/>
        </w:rPr>
      </w:pPr>
      <w:bookmarkStart w:id="7" w:name="_Toc491617750"/>
      <w:r w:rsidRPr="00893E1A">
        <w:rPr>
          <w:lang w:val="es-CL"/>
        </w:rPr>
        <w:t>Componente II</w:t>
      </w:r>
      <w:r>
        <w:rPr>
          <w:lang w:val="es-CL"/>
        </w:rPr>
        <w:t>I</w:t>
      </w:r>
      <w:r w:rsidRPr="00893E1A">
        <w:rPr>
          <w:lang w:val="es-CL"/>
        </w:rPr>
        <w:t xml:space="preserve"> </w:t>
      </w:r>
      <w:r w:rsidRPr="00615867">
        <w:rPr>
          <w:lang w:val="es-CL"/>
        </w:rPr>
        <w:t>Programa de eficiencia energética en la Agroindustria</w:t>
      </w:r>
      <w:r w:rsidRPr="00893E1A">
        <w:rPr>
          <w:lang w:val="es-CL"/>
        </w:rPr>
        <w:t>.</w:t>
      </w:r>
      <w:bookmarkEnd w:id="7"/>
    </w:p>
    <w:p w:rsidR="008838AE" w:rsidRDefault="00615867" w:rsidP="00615867">
      <w:pPr>
        <w:jc w:val="both"/>
        <w:rPr>
          <w:lang w:val="es-CL"/>
        </w:rPr>
      </w:pPr>
      <w:r>
        <w:rPr>
          <w:lang w:val="es-CL"/>
        </w:rPr>
        <w:t xml:space="preserve">Este programa se evalúa </w:t>
      </w:r>
      <w:r w:rsidR="00287848">
        <w:rPr>
          <w:lang w:val="es-CL"/>
        </w:rPr>
        <w:t xml:space="preserve">sólo </w:t>
      </w:r>
      <w:r>
        <w:rPr>
          <w:lang w:val="es-CL"/>
        </w:rPr>
        <w:t>desde el punto de vista económico, considerando el impacto que se espera obtener en una reducción del consumo por parte de la agroindustria que haya realizado su conversión de diésel a electricidad. En este sentido, conservadoramente se espera una reducción de la demanda energética de un 15% respecto a las proyecciones realizadas para el Componente II.</w:t>
      </w:r>
    </w:p>
    <w:p w:rsidR="00615867" w:rsidRDefault="00615867" w:rsidP="00615867">
      <w:pPr>
        <w:jc w:val="both"/>
        <w:rPr>
          <w:lang w:val="es-CL"/>
        </w:rPr>
      </w:pPr>
      <w:r>
        <w:rPr>
          <w:lang w:val="es-CL"/>
        </w:rPr>
        <w:t xml:space="preserve">De esta forma, con una inversión adicional de US$ 2.4 millones, ejecutada por el MEER, </w:t>
      </w:r>
      <w:r w:rsidR="00605217">
        <w:rPr>
          <w:lang w:val="es-CL"/>
        </w:rPr>
        <w:t>se espera un ahorro anual en costos variables de generación de hasta US$ 4.98 millones y menor subsidio a los combustibles empleados en generación de US$ 960 mil anuales, a partir del año 10 de puesta en marcha de este programa.</w:t>
      </w:r>
    </w:p>
    <w:p w:rsidR="00962CD6" w:rsidRDefault="00962CD6">
      <w:pPr>
        <w:rPr>
          <w:lang w:val="es-CL"/>
        </w:rPr>
      </w:pPr>
    </w:p>
    <w:p w:rsidR="00AC223B" w:rsidRDefault="00AC223B">
      <w:pPr>
        <w:rPr>
          <w:lang w:val="es-CL"/>
        </w:rPr>
      </w:pPr>
    </w:p>
    <w:p w:rsidR="003472E0" w:rsidRDefault="003472E0">
      <w:pPr>
        <w:rPr>
          <w:lang w:val="es-CL"/>
        </w:rPr>
      </w:pPr>
    </w:p>
    <w:p w:rsidR="009E13E8" w:rsidRPr="009E13E8" w:rsidRDefault="009E13E8" w:rsidP="00A21AC2">
      <w:pPr>
        <w:pStyle w:val="Heading2"/>
        <w:rPr>
          <w:lang w:val="es-CL"/>
        </w:rPr>
      </w:pPr>
      <w:bookmarkStart w:id="8" w:name="_Toc491617751"/>
      <w:r w:rsidRPr="009E13E8">
        <w:rPr>
          <w:lang w:val="es-CL"/>
        </w:rPr>
        <w:t>Resumen de Principales Supuestos, Fundamentos y Fuentes de Información de las Evaluaciones</w:t>
      </w:r>
      <w:bookmarkEnd w:id="8"/>
    </w:p>
    <w:tbl>
      <w:tblPr>
        <w:tblStyle w:val="TableGrid"/>
        <w:tblW w:w="9776" w:type="dxa"/>
        <w:tblLayout w:type="fixed"/>
        <w:tblLook w:val="04A0" w:firstRow="1" w:lastRow="0" w:firstColumn="1" w:lastColumn="0" w:noHBand="0" w:noVBand="1"/>
      </w:tblPr>
      <w:tblGrid>
        <w:gridCol w:w="1696"/>
        <w:gridCol w:w="1701"/>
        <w:gridCol w:w="2552"/>
        <w:gridCol w:w="3827"/>
      </w:tblGrid>
      <w:tr w:rsidR="009E13E8" w:rsidTr="003B23C2">
        <w:trPr>
          <w:trHeight w:val="500"/>
        </w:trPr>
        <w:tc>
          <w:tcPr>
            <w:tcW w:w="1696" w:type="dxa"/>
            <w:shd w:val="clear" w:color="auto" w:fill="D9E2F3" w:themeFill="accent1" w:themeFillTint="33"/>
            <w:vAlign w:val="center"/>
          </w:tcPr>
          <w:p w:rsidR="009E13E8" w:rsidRPr="00425EB1" w:rsidRDefault="009E13E8" w:rsidP="003B23C2">
            <w:pPr>
              <w:jc w:val="center"/>
              <w:rPr>
                <w:b/>
                <w:sz w:val="18"/>
                <w:lang w:val="es-CL"/>
              </w:rPr>
            </w:pPr>
            <w:r w:rsidRPr="00425EB1">
              <w:rPr>
                <w:b/>
                <w:sz w:val="18"/>
                <w:lang w:val="es-CL"/>
              </w:rPr>
              <w:t>Proyecto</w:t>
            </w:r>
          </w:p>
        </w:tc>
        <w:tc>
          <w:tcPr>
            <w:tcW w:w="1701" w:type="dxa"/>
            <w:shd w:val="clear" w:color="auto" w:fill="D9E2F3" w:themeFill="accent1" w:themeFillTint="33"/>
            <w:vAlign w:val="center"/>
          </w:tcPr>
          <w:p w:rsidR="009E13E8" w:rsidRPr="00425EB1" w:rsidRDefault="009E13E8" w:rsidP="003B23C2">
            <w:pPr>
              <w:jc w:val="center"/>
              <w:rPr>
                <w:b/>
                <w:sz w:val="18"/>
                <w:lang w:val="es-CL"/>
              </w:rPr>
            </w:pPr>
            <w:r w:rsidRPr="00425EB1">
              <w:rPr>
                <w:b/>
                <w:sz w:val="18"/>
                <w:lang w:val="es-CL"/>
              </w:rPr>
              <w:t>Costo/Beneficio</w:t>
            </w:r>
          </w:p>
        </w:tc>
        <w:tc>
          <w:tcPr>
            <w:tcW w:w="2552" w:type="dxa"/>
            <w:shd w:val="clear" w:color="auto" w:fill="D9E2F3" w:themeFill="accent1" w:themeFillTint="33"/>
            <w:vAlign w:val="center"/>
          </w:tcPr>
          <w:p w:rsidR="009E13E8" w:rsidRPr="00504271" w:rsidRDefault="009E13E8" w:rsidP="003B23C2">
            <w:pPr>
              <w:jc w:val="center"/>
              <w:rPr>
                <w:b/>
                <w:sz w:val="18"/>
                <w:lang w:val="es-CL"/>
              </w:rPr>
            </w:pPr>
            <w:r w:rsidRPr="00504271">
              <w:rPr>
                <w:b/>
                <w:sz w:val="18"/>
                <w:lang w:val="es-CL"/>
              </w:rPr>
              <w:t>Fundamento</w:t>
            </w:r>
            <w:r>
              <w:rPr>
                <w:b/>
                <w:sz w:val="18"/>
                <w:lang w:val="es-CL"/>
              </w:rPr>
              <w:t xml:space="preserve"> Cualitativo</w:t>
            </w:r>
          </w:p>
        </w:tc>
        <w:tc>
          <w:tcPr>
            <w:tcW w:w="3827" w:type="dxa"/>
            <w:shd w:val="clear" w:color="auto" w:fill="D9E2F3" w:themeFill="accent1" w:themeFillTint="33"/>
            <w:vAlign w:val="center"/>
          </w:tcPr>
          <w:p w:rsidR="009E13E8" w:rsidRPr="00504271" w:rsidRDefault="009E13E8" w:rsidP="003B23C2">
            <w:pPr>
              <w:jc w:val="center"/>
              <w:rPr>
                <w:b/>
                <w:sz w:val="18"/>
                <w:lang w:val="es-CL"/>
              </w:rPr>
            </w:pPr>
            <w:r w:rsidRPr="00504271">
              <w:rPr>
                <w:b/>
                <w:sz w:val="18"/>
                <w:lang w:val="es-CL"/>
              </w:rPr>
              <w:t>Fuente(s) de Información</w:t>
            </w:r>
          </w:p>
        </w:tc>
      </w:tr>
      <w:tr w:rsidR="009E13E8" w:rsidTr="003B23C2">
        <w:tc>
          <w:tcPr>
            <w:tcW w:w="1696" w:type="dxa"/>
            <w:vMerge w:val="restart"/>
            <w:shd w:val="clear" w:color="auto" w:fill="E2EFD9" w:themeFill="accent6" w:themeFillTint="33"/>
          </w:tcPr>
          <w:p w:rsidR="009E13E8" w:rsidRPr="00425EB1" w:rsidRDefault="009E13E8" w:rsidP="003B23C2">
            <w:pPr>
              <w:jc w:val="both"/>
              <w:rPr>
                <w:b/>
                <w:sz w:val="18"/>
                <w:lang w:val="es-CL"/>
              </w:rPr>
            </w:pPr>
            <w:r w:rsidRPr="00425EB1">
              <w:rPr>
                <w:b/>
                <w:sz w:val="18"/>
                <w:lang w:val="es-CL"/>
              </w:rPr>
              <w:t>CI.</w:t>
            </w:r>
            <w:r w:rsidRPr="00425EB1">
              <w:rPr>
                <w:b/>
                <w:sz w:val="18"/>
              </w:rPr>
              <w:t xml:space="preserve"> </w:t>
            </w:r>
            <w:r w:rsidRPr="00425EB1">
              <w:rPr>
                <w:b/>
                <w:sz w:val="18"/>
                <w:lang w:val="es-CL"/>
              </w:rPr>
              <w:t>Expansión y Reforzamiento del Sistema Nacional de Transmisión</w:t>
            </w:r>
          </w:p>
        </w:tc>
        <w:tc>
          <w:tcPr>
            <w:tcW w:w="1701" w:type="dxa"/>
          </w:tcPr>
          <w:p w:rsidR="009E13E8" w:rsidRPr="00425EB1" w:rsidRDefault="009E13E8" w:rsidP="003B23C2">
            <w:pPr>
              <w:rPr>
                <w:b/>
                <w:sz w:val="18"/>
                <w:lang w:val="es-CL"/>
              </w:rPr>
            </w:pPr>
            <w:r w:rsidRPr="00425EB1">
              <w:rPr>
                <w:b/>
                <w:sz w:val="18"/>
                <w:lang w:val="es-CL"/>
              </w:rPr>
              <w:t>Mayor Venta de Energía</w:t>
            </w:r>
          </w:p>
        </w:tc>
        <w:tc>
          <w:tcPr>
            <w:tcW w:w="2552" w:type="dxa"/>
          </w:tcPr>
          <w:p w:rsidR="009E13E8" w:rsidRPr="00504271" w:rsidRDefault="009E13E8" w:rsidP="003B23C2">
            <w:pPr>
              <w:rPr>
                <w:sz w:val="18"/>
                <w:lang w:val="es-CL"/>
              </w:rPr>
            </w:pPr>
            <w:r w:rsidRPr="00504271">
              <w:rPr>
                <w:sz w:val="18"/>
                <w:lang w:val="es-CL"/>
              </w:rPr>
              <w:t>La mayor capacidad instalada permite suplir el crecimiento de la demanda energética de 5 EED´s</w:t>
            </w:r>
          </w:p>
        </w:tc>
        <w:tc>
          <w:tcPr>
            <w:tcW w:w="3827" w:type="dxa"/>
          </w:tcPr>
          <w:p w:rsidR="009E13E8" w:rsidRPr="00504271" w:rsidRDefault="009E13E8" w:rsidP="003B23C2">
            <w:pPr>
              <w:rPr>
                <w:sz w:val="18"/>
                <w:lang w:val="es-CL"/>
              </w:rPr>
            </w:pPr>
            <w:r w:rsidRPr="00504271">
              <w:rPr>
                <w:sz w:val="18"/>
                <w:lang w:val="es-CL"/>
              </w:rPr>
              <w:t>Capacidad Instalada (MVA) y proyección de demanda (MVA) de subestaciones de transmisión existentes en zona de influencia: Ibarra; Posorja (más SE Móvil); Mulaló; Policentro y Machala (Fuente TRANSELECTRIC).</w:t>
            </w:r>
          </w:p>
          <w:p w:rsidR="009E13E8" w:rsidRPr="00504271" w:rsidRDefault="009E13E8" w:rsidP="003B23C2">
            <w:pPr>
              <w:rPr>
                <w:sz w:val="18"/>
                <w:lang w:val="es-CL"/>
              </w:rPr>
            </w:pPr>
          </w:p>
          <w:p w:rsidR="009E13E8" w:rsidRPr="00504271" w:rsidRDefault="009E13E8" w:rsidP="003B23C2">
            <w:pPr>
              <w:rPr>
                <w:sz w:val="18"/>
                <w:lang w:val="es-CL"/>
              </w:rPr>
            </w:pPr>
            <w:r w:rsidRPr="00504271">
              <w:rPr>
                <w:sz w:val="18"/>
                <w:lang w:val="es-CL"/>
              </w:rPr>
              <w:t>Capacidad Nuevos Proyectos de Transmisión (en MVA). (Fuente TRANSELECTRIC)</w:t>
            </w:r>
          </w:p>
          <w:p w:rsidR="009E13E8" w:rsidRPr="00504271" w:rsidRDefault="009E13E8" w:rsidP="003B23C2">
            <w:pPr>
              <w:rPr>
                <w:sz w:val="18"/>
                <w:lang w:val="es-CL"/>
              </w:rPr>
            </w:pPr>
          </w:p>
          <w:p w:rsidR="009E13E8" w:rsidRPr="00504271" w:rsidRDefault="009E13E8" w:rsidP="003B23C2">
            <w:pPr>
              <w:rPr>
                <w:sz w:val="18"/>
                <w:lang w:val="es-CL"/>
              </w:rPr>
            </w:pPr>
            <w:r w:rsidRPr="00504271">
              <w:rPr>
                <w:sz w:val="18"/>
                <w:lang w:val="es-CL"/>
              </w:rPr>
              <w:t>Cargo por Transmisión (US$/kW-Mes). Fuente: Estadística Sector Eléctrico 2016, ARCONEL y proyecciones PME 2016-2025.</w:t>
            </w:r>
          </w:p>
        </w:tc>
      </w:tr>
      <w:tr w:rsidR="009E13E8" w:rsidTr="003B23C2">
        <w:tc>
          <w:tcPr>
            <w:tcW w:w="1696" w:type="dxa"/>
            <w:vMerge/>
            <w:shd w:val="clear" w:color="auto" w:fill="E2EFD9" w:themeFill="accent6"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Operación y Mantenimiento</w:t>
            </w:r>
          </w:p>
        </w:tc>
        <w:tc>
          <w:tcPr>
            <w:tcW w:w="2552" w:type="dxa"/>
          </w:tcPr>
          <w:p w:rsidR="009E13E8" w:rsidRPr="00504271" w:rsidRDefault="009E13E8" w:rsidP="003B23C2">
            <w:pPr>
              <w:rPr>
                <w:sz w:val="18"/>
                <w:lang w:val="es-CL"/>
              </w:rPr>
            </w:pPr>
            <w:r w:rsidRPr="00504271">
              <w:rPr>
                <w:sz w:val="18"/>
                <w:lang w:val="es-CL"/>
              </w:rPr>
              <w:t>Toda nueva infraestructura demanda recursos operacionales, así como de mantenimiento preventivo y correctivo. Se aplica como un porcentaje anual constante respecto del monto a invertir.</w:t>
            </w:r>
          </w:p>
        </w:tc>
        <w:tc>
          <w:tcPr>
            <w:tcW w:w="3827" w:type="dxa"/>
          </w:tcPr>
          <w:p w:rsidR="009E13E8" w:rsidRPr="00504271" w:rsidRDefault="009E13E8" w:rsidP="003B23C2">
            <w:pPr>
              <w:rPr>
                <w:sz w:val="18"/>
                <w:lang w:val="es-CL"/>
              </w:rPr>
            </w:pPr>
            <w:r w:rsidRPr="00504271">
              <w:rPr>
                <w:sz w:val="18"/>
                <w:lang w:val="es-CL"/>
              </w:rPr>
              <w:t>Fuente: Se determina sobre la base de porcentaje estimado en el PME 2016-2025, para actividades de AO&amp;M por sobre el activo de transmisión.</w:t>
            </w:r>
          </w:p>
        </w:tc>
      </w:tr>
      <w:tr w:rsidR="009E13E8" w:rsidTr="003B23C2">
        <w:tc>
          <w:tcPr>
            <w:tcW w:w="1696" w:type="dxa"/>
            <w:vMerge/>
            <w:shd w:val="clear" w:color="auto" w:fill="E2EFD9" w:themeFill="accent6"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Beneficio del Consumidor</w:t>
            </w:r>
          </w:p>
        </w:tc>
        <w:tc>
          <w:tcPr>
            <w:tcW w:w="2552" w:type="dxa"/>
          </w:tcPr>
          <w:p w:rsidR="009E13E8" w:rsidRPr="00504271" w:rsidRDefault="009E13E8" w:rsidP="003B23C2">
            <w:pPr>
              <w:rPr>
                <w:sz w:val="18"/>
                <w:lang w:val="es-CL"/>
              </w:rPr>
            </w:pPr>
            <w:r w:rsidRPr="00504271">
              <w:rPr>
                <w:sz w:val="18"/>
                <w:lang w:val="es-CL"/>
              </w:rPr>
              <w:t>La disponibilidad de energía es percibida por el consumidor final como un beneficio representado como el área bajo la curva de demanda. Depende del Precio y cantidad de energía consumida, así como de la Elasticidad Precio de la Demanda. La energía que fluye a cada EED se determina mediante las proyecciones de demanda (MVA) y los Factores de Carga de cada EED.</w:t>
            </w:r>
          </w:p>
        </w:tc>
        <w:tc>
          <w:tcPr>
            <w:tcW w:w="3827" w:type="dxa"/>
          </w:tcPr>
          <w:p w:rsidR="009E13E8" w:rsidRPr="00504271" w:rsidRDefault="009E13E8" w:rsidP="003B23C2">
            <w:pPr>
              <w:rPr>
                <w:sz w:val="18"/>
                <w:lang w:val="es-CL"/>
              </w:rPr>
            </w:pPr>
            <w:r w:rsidRPr="00504271">
              <w:rPr>
                <w:sz w:val="18"/>
                <w:lang w:val="es-CL"/>
              </w:rPr>
              <w:t>Fuentes adicionales de información:</w:t>
            </w:r>
          </w:p>
          <w:p w:rsidR="009E13E8" w:rsidRPr="00504271" w:rsidRDefault="009E13E8" w:rsidP="003B23C2">
            <w:pPr>
              <w:rPr>
                <w:sz w:val="18"/>
                <w:lang w:val="es-CL"/>
              </w:rPr>
            </w:pPr>
            <w:r w:rsidRPr="00504271">
              <w:rPr>
                <w:sz w:val="18"/>
                <w:lang w:val="es-CL"/>
              </w:rPr>
              <w:t>Factor de Carga de cada EED (Estadísticas del Sector Eléctrico 2016, ARCONEL); Precios (Proyección Costos del Sector Eléctrico, PME 2016-2025) y Elasticidad Precio de la Demanda, como valor típico de la industria aportado por el Consultor: -0.2 (Plan de inversiones en apoyo al cambio de la matriz energética de ecuador / EC-L1160. Evaluación Integral del Programa, J. García 2016).</w:t>
            </w:r>
          </w:p>
        </w:tc>
      </w:tr>
      <w:tr w:rsidR="009E13E8" w:rsidTr="003B23C2">
        <w:tc>
          <w:tcPr>
            <w:tcW w:w="1696" w:type="dxa"/>
            <w:vMerge/>
            <w:shd w:val="clear" w:color="auto" w:fill="E2EFD9" w:themeFill="accent6"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Mayor Exportación Regional</w:t>
            </w:r>
          </w:p>
        </w:tc>
        <w:tc>
          <w:tcPr>
            <w:tcW w:w="2552" w:type="dxa"/>
          </w:tcPr>
          <w:p w:rsidR="009E13E8" w:rsidRPr="00504271" w:rsidRDefault="009E13E8" w:rsidP="003B23C2">
            <w:pPr>
              <w:rPr>
                <w:sz w:val="18"/>
                <w:lang w:val="es-CL"/>
              </w:rPr>
            </w:pPr>
            <w:r w:rsidRPr="00504271">
              <w:rPr>
                <w:sz w:val="18"/>
                <w:lang w:val="es-CL"/>
              </w:rPr>
              <w:t>Proyecto Tanicuchí libera 66 MVA del corredor de 138 kV. Se estima aprovechar un 10% para incrementar exportación a Colombia.</w:t>
            </w:r>
          </w:p>
          <w:p w:rsidR="009E13E8" w:rsidRPr="00504271" w:rsidRDefault="009E13E8" w:rsidP="003B23C2">
            <w:pPr>
              <w:rPr>
                <w:sz w:val="18"/>
                <w:lang w:val="es-CL"/>
              </w:rPr>
            </w:pPr>
            <w:r w:rsidRPr="00504271">
              <w:rPr>
                <w:sz w:val="18"/>
                <w:lang w:val="es-CL"/>
              </w:rPr>
              <w:t>Proyecto La Avanzada, mejora condiciones de voltaje y maniobrabilidad para exportaciones a Perú. Se estima incrementar 3 veces la exportación 2016.</w:t>
            </w:r>
          </w:p>
        </w:tc>
        <w:tc>
          <w:tcPr>
            <w:tcW w:w="3827" w:type="dxa"/>
          </w:tcPr>
          <w:p w:rsidR="009E13E8" w:rsidRPr="00504271" w:rsidRDefault="009E13E8" w:rsidP="003B23C2">
            <w:pPr>
              <w:rPr>
                <w:sz w:val="18"/>
                <w:lang w:val="es-CL"/>
              </w:rPr>
            </w:pPr>
            <w:r w:rsidRPr="00504271">
              <w:rPr>
                <w:sz w:val="18"/>
                <w:lang w:val="es-CL"/>
              </w:rPr>
              <w:t>Fuente: Estadística Sector Eléctrico 2016. ARCONEL, para valores Base</w:t>
            </w:r>
            <w:r>
              <w:rPr>
                <w:sz w:val="18"/>
                <w:lang w:val="es-CL"/>
              </w:rPr>
              <w:t xml:space="preserve"> de energía exportada y sus precios</w:t>
            </w:r>
            <w:r w:rsidRPr="00504271">
              <w:rPr>
                <w:sz w:val="18"/>
                <w:lang w:val="es-CL"/>
              </w:rPr>
              <w:t>.</w:t>
            </w:r>
          </w:p>
        </w:tc>
      </w:tr>
      <w:tr w:rsidR="009E13E8" w:rsidTr="003B23C2">
        <w:tc>
          <w:tcPr>
            <w:tcW w:w="1696" w:type="dxa"/>
            <w:vMerge/>
            <w:shd w:val="clear" w:color="auto" w:fill="E2EFD9" w:themeFill="accent6"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Variable de Generación</w:t>
            </w:r>
          </w:p>
        </w:tc>
        <w:tc>
          <w:tcPr>
            <w:tcW w:w="2552" w:type="dxa"/>
          </w:tcPr>
          <w:p w:rsidR="009E13E8" w:rsidRPr="00504271" w:rsidRDefault="009E13E8" w:rsidP="003B23C2">
            <w:pPr>
              <w:rPr>
                <w:sz w:val="18"/>
                <w:lang w:val="es-CL"/>
              </w:rPr>
            </w:pPr>
            <w:r w:rsidRPr="00504271">
              <w:rPr>
                <w:sz w:val="18"/>
                <w:lang w:val="es-CL"/>
              </w:rPr>
              <w:t>El mayor flujo de energía que es posible con el proyecto requiere una mayor generación de la misma, ampliada por las pérdidas técnicas de transmisión y valorada según costos variables (US$/kWh)</w:t>
            </w:r>
          </w:p>
        </w:tc>
        <w:tc>
          <w:tcPr>
            <w:tcW w:w="3827" w:type="dxa"/>
          </w:tcPr>
          <w:p w:rsidR="009E13E8" w:rsidRPr="00504271" w:rsidRDefault="009E13E8" w:rsidP="003B23C2">
            <w:pPr>
              <w:rPr>
                <w:sz w:val="18"/>
                <w:lang w:val="es-CL"/>
              </w:rPr>
            </w:pPr>
            <w:r w:rsidRPr="00504271">
              <w:rPr>
                <w:sz w:val="18"/>
                <w:lang w:val="es-CL"/>
              </w:rPr>
              <w:t>Proyección de Costos Variables de Generación (PME 2016-2025).</w:t>
            </w:r>
          </w:p>
          <w:p w:rsidR="009E13E8" w:rsidRPr="00504271" w:rsidRDefault="009E13E8" w:rsidP="003B23C2">
            <w:pPr>
              <w:rPr>
                <w:sz w:val="18"/>
                <w:lang w:val="es-CL"/>
              </w:rPr>
            </w:pPr>
            <w:r w:rsidRPr="00504271">
              <w:rPr>
                <w:sz w:val="18"/>
                <w:lang w:val="es-CL"/>
              </w:rPr>
              <w:t>Pérdidas Técnicas en el Sistema de Transmisión (Estadísticas Sector Eléctrico 2016, ARCONEL)</w:t>
            </w:r>
          </w:p>
          <w:p w:rsidR="009E13E8" w:rsidRPr="00504271" w:rsidRDefault="009E13E8" w:rsidP="003B23C2">
            <w:pPr>
              <w:rPr>
                <w:sz w:val="18"/>
                <w:lang w:val="es-CL"/>
              </w:rPr>
            </w:pPr>
          </w:p>
        </w:tc>
      </w:tr>
      <w:tr w:rsidR="009E13E8" w:rsidTr="003B23C2">
        <w:tc>
          <w:tcPr>
            <w:tcW w:w="1696" w:type="dxa"/>
            <w:vMerge/>
            <w:shd w:val="clear" w:color="auto" w:fill="E2EFD9" w:themeFill="accent6"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Subsidio Combustibles Generación</w:t>
            </w:r>
          </w:p>
        </w:tc>
        <w:tc>
          <w:tcPr>
            <w:tcW w:w="2552" w:type="dxa"/>
          </w:tcPr>
          <w:p w:rsidR="009E13E8" w:rsidRPr="00504271" w:rsidRDefault="009E13E8" w:rsidP="003B23C2">
            <w:pPr>
              <w:rPr>
                <w:sz w:val="18"/>
                <w:lang w:val="es-CL"/>
              </w:rPr>
            </w:pPr>
            <w:r w:rsidRPr="00504271">
              <w:rPr>
                <w:sz w:val="18"/>
                <w:lang w:val="es-CL"/>
              </w:rPr>
              <w:t>La mayor generación demandada por el proyecto requiere usar combustible fósil subsidiado en la parte térmica de la matriz energética.</w:t>
            </w:r>
          </w:p>
        </w:tc>
        <w:tc>
          <w:tcPr>
            <w:tcW w:w="3827" w:type="dxa"/>
          </w:tcPr>
          <w:p w:rsidR="009E13E8" w:rsidRPr="00504271" w:rsidRDefault="009E13E8" w:rsidP="003B23C2">
            <w:pPr>
              <w:rPr>
                <w:sz w:val="18"/>
                <w:lang w:val="es-CL"/>
              </w:rPr>
            </w:pPr>
            <w:r w:rsidRPr="00504271">
              <w:rPr>
                <w:sz w:val="18"/>
                <w:lang w:val="es-CL"/>
              </w:rPr>
              <w:t>Requerimientos de combustible en la generación. (Proyección PME 2016-2025).</w:t>
            </w:r>
          </w:p>
          <w:p w:rsidR="009E13E8" w:rsidRPr="00504271" w:rsidRDefault="009E13E8" w:rsidP="003B23C2">
            <w:pPr>
              <w:rPr>
                <w:sz w:val="18"/>
                <w:lang w:val="es-CL"/>
              </w:rPr>
            </w:pPr>
            <w:r w:rsidRPr="00504271">
              <w:rPr>
                <w:sz w:val="18"/>
                <w:lang w:val="es-CL"/>
              </w:rPr>
              <w:t>Costo Internacional de Combustibles: Index Mundi (Fuel Oil N°2 y Diésel de ultra bajo azufre, ultra-low sulfur, N°2 precio SPOT FOB puerto de New York. Febrero 2017).</w:t>
            </w:r>
          </w:p>
          <w:p w:rsidR="009E13E8" w:rsidRPr="00504271" w:rsidRDefault="009E13E8" w:rsidP="003B23C2">
            <w:pPr>
              <w:rPr>
                <w:sz w:val="18"/>
                <w:lang w:val="es-CL"/>
              </w:rPr>
            </w:pPr>
            <w:r w:rsidRPr="00504271">
              <w:rPr>
                <w:sz w:val="18"/>
                <w:lang w:val="es-CL"/>
              </w:rPr>
              <w:t>Costo Nacional de Combustibles: EP Petroecuador. Febrero 2017.</w:t>
            </w:r>
          </w:p>
        </w:tc>
      </w:tr>
      <w:tr w:rsidR="009E13E8" w:rsidTr="003B23C2">
        <w:tc>
          <w:tcPr>
            <w:tcW w:w="1696" w:type="dxa"/>
            <w:vMerge/>
            <w:shd w:val="clear" w:color="auto" w:fill="E2EFD9" w:themeFill="accent6"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Adicional Distribución</w:t>
            </w:r>
          </w:p>
        </w:tc>
        <w:tc>
          <w:tcPr>
            <w:tcW w:w="2552" w:type="dxa"/>
          </w:tcPr>
          <w:p w:rsidR="009E13E8" w:rsidRPr="00504271" w:rsidRDefault="009E13E8" w:rsidP="003B23C2">
            <w:pPr>
              <w:rPr>
                <w:sz w:val="18"/>
                <w:lang w:val="es-CL"/>
              </w:rPr>
            </w:pPr>
            <w:r w:rsidRPr="00504271">
              <w:rPr>
                <w:sz w:val="18"/>
                <w:lang w:val="es-CL"/>
              </w:rPr>
              <w:t>El beneficio del consumidor final sólo es posible si se realizan en distribución las obras adicionales para el flujo de este gran bloque de potencia. Se estima la inversión adicional y sus costos de operación y mantenimiento.</w:t>
            </w:r>
          </w:p>
        </w:tc>
        <w:tc>
          <w:tcPr>
            <w:tcW w:w="3827" w:type="dxa"/>
          </w:tcPr>
          <w:p w:rsidR="009E13E8" w:rsidRPr="00504271" w:rsidRDefault="009E13E8" w:rsidP="003B23C2">
            <w:pPr>
              <w:rPr>
                <w:sz w:val="18"/>
                <w:lang w:val="es-CL"/>
              </w:rPr>
            </w:pPr>
            <w:r>
              <w:rPr>
                <w:sz w:val="18"/>
                <w:lang w:val="es-CL"/>
              </w:rPr>
              <w:t>Proyecciones del PME 2016-2025: Energía Distribuida, Inversiones y Costos de Operación y Mantenimiento por cada EED. Se obtienen los baremos de inversión y Costos unitarios en US$/kWh y se multiplican por el aumento anual en el flujo de energía del proyecto.</w:t>
            </w:r>
          </w:p>
        </w:tc>
      </w:tr>
      <w:tr w:rsidR="009E13E8" w:rsidTr="003B23C2">
        <w:tc>
          <w:tcPr>
            <w:tcW w:w="1696" w:type="dxa"/>
            <w:vMerge w:val="restart"/>
            <w:shd w:val="clear" w:color="auto" w:fill="FFF2CC" w:themeFill="accent4" w:themeFillTint="33"/>
          </w:tcPr>
          <w:p w:rsidR="009E13E8" w:rsidRPr="00425EB1" w:rsidRDefault="009E13E8" w:rsidP="003B23C2">
            <w:pPr>
              <w:jc w:val="both"/>
              <w:rPr>
                <w:b/>
                <w:sz w:val="18"/>
                <w:lang w:val="es-CL"/>
              </w:rPr>
            </w:pPr>
            <w:r w:rsidRPr="00425EB1">
              <w:rPr>
                <w:b/>
                <w:sz w:val="18"/>
                <w:lang w:val="es-CL"/>
              </w:rPr>
              <w:t>CII.1 Expansión y Reforzamiento de la Infraestructura de distribución</w:t>
            </w:r>
          </w:p>
        </w:tc>
        <w:tc>
          <w:tcPr>
            <w:tcW w:w="1701" w:type="dxa"/>
          </w:tcPr>
          <w:p w:rsidR="009E13E8" w:rsidRPr="00425EB1" w:rsidRDefault="009E13E8" w:rsidP="003B23C2">
            <w:pPr>
              <w:rPr>
                <w:b/>
                <w:sz w:val="18"/>
                <w:lang w:val="es-CL"/>
              </w:rPr>
            </w:pPr>
            <w:r w:rsidRPr="00425EB1">
              <w:rPr>
                <w:b/>
                <w:sz w:val="18"/>
                <w:lang w:val="es-CL"/>
              </w:rPr>
              <w:t>Mayor Venta de Energía</w:t>
            </w:r>
          </w:p>
        </w:tc>
        <w:tc>
          <w:tcPr>
            <w:tcW w:w="2552" w:type="dxa"/>
          </w:tcPr>
          <w:p w:rsidR="009E13E8" w:rsidRPr="00504271" w:rsidRDefault="009E13E8" w:rsidP="003B23C2">
            <w:pPr>
              <w:rPr>
                <w:sz w:val="18"/>
                <w:lang w:val="es-CL"/>
              </w:rPr>
            </w:pPr>
            <w:r w:rsidRPr="00504271">
              <w:rPr>
                <w:sz w:val="18"/>
                <w:lang w:val="es-CL"/>
              </w:rPr>
              <w:t>La mayor capacidad instalada permite suplir el crecimiento de la demanda energética</w:t>
            </w:r>
            <w:r>
              <w:rPr>
                <w:sz w:val="18"/>
                <w:lang w:val="es-CL"/>
              </w:rPr>
              <w:t xml:space="preserve"> a nivel de Consumidores Finales.</w:t>
            </w:r>
          </w:p>
        </w:tc>
        <w:tc>
          <w:tcPr>
            <w:tcW w:w="3827" w:type="dxa"/>
          </w:tcPr>
          <w:p w:rsidR="009E13E8" w:rsidRDefault="009E13E8" w:rsidP="003B23C2">
            <w:pPr>
              <w:rPr>
                <w:sz w:val="18"/>
                <w:lang w:val="es-CL"/>
              </w:rPr>
            </w:pPr>
            <w:r>
              <w:rPr>
                <w:sz w:val="18"/>
                <w:lang w:val="es-CL"/>
              </w:rPr>
              <w:t>Capacidad de instalaciones relevantes (MW), con /sin proyecto y demanda 2016 (Dir. Distribución MEER).</w:t>
            </w:r>
          </w:p>
          <w:p w:rsidR="009E13E8" w:rsidRDefault="009E13E8" w:rsidP="003B23C2">
            <w:pPr>
              <w:rPr>
                <w:sz w:val="18"/>
                <w:lang w:val="es-CL"/>
              </w:rPr>
            </w:pPr>
            <w:r>
              <w:rPr>
                <w:sz w:val="18"/>
                <w:lang w:val="es-CL"/>
              </w:rPr>
              <w:t>Tasa de crecimiento anual de la demanda por EED (Promedio PME 2016-2025)</w:t>
            </w:r>
          </w:p>
          <w:p w:rsidR="009E13E8" w:rsidRDefault="009E13E8" w:rsidP="003B23C2">
            <w:pPr>
              <w:rPr>
                <w:sz w:val="18"/>
                <w:lang w:val="es-CL"/>
              </w:rPr>
            </w:pPr>
            <w:r>
              <w:rPr>
                <w:sz w:val="18"/>
                <w:lang w:val="es-CL"/>
              </w:rPr>
              <w:t>Factor de Carga Anual por EED (Estadística del Sector Eléctrico 2016, ARCONEL) Se considera potencia facturada a cada EED y su respectiva energía anual vendida.</w:t>
            </w:r>
          </w:p>
          <w:p w:rsidR="009E13E8" w:rsidRDefault="009E13E8" w:rsidP="003B23C2">
            <w:pPr>
              <w:rPr>
                <w:sz w:val="18"/>
                <w:lang w:val="es-CL"/>
              </w:rPr>
            </w:pPr>
            <w:r>
              <w:rPr>
                <w:sz w:val="18"/>
                <w:lang w:val="es-CL"/>
              </w:rPr>
              <w:t>Precio Medio de Venta por EED (Estadística del Sector Eléctrico 2016, ARCONEL)</w:t>
            </w:r>
          </w:p>
        </w:tc>
      </w:tr>
      <w:tr w:rsidR="009E13E8" w:rsidTr="003B23C2">
        <w:tc>
          <w:tcPr>
            <w:tcW w:w="1696" w:type="dxa"/>
            <w:vMerge/>
            <w:shd w:val="clear" w:color="auto" w:fill="FFF2CC" w:themeFill="accent4"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Menor Energía No Suministrada</w:t>
            </w:r>
          </w:p>
        </w:tc>
        <w:tc>
          <w:tcPr>
            <w:tcW w:w="2552" w:type="dxa"/>
          </w:tcPr>
          <w:p w:rsidR="009E13E8" w:rsidRPr="00504271" w:rsidRDefault="009E13E8" w:rsidP="003B23C2">
            <w:pPr>
              <w:rPr>
                <w:sz w:val="18"/>
                <w:lang w:val="es-CL"/>
              </w:rPr>
            </w:pPr>
            <w:r>
              <w:rPr>
                <w:sz w:val="18"/>
                <w:lang w:val="es-CL"/>
              </w:rPr>
              <w:t>Al evitar o reducir la duración de interrupciones se evitaría pagar futuras compensaciones a clientes conforme el Costo de Energía No Suministrada.</w:t>
            </w:r>
          </w:p>
        </w:tc>
        <w:tc>
          <w:tcPr>
            <w:tcW w:w="3827" w:type="dxa"/>
          </w:tcPr>
          <w:p w:rsidR="009E13E8" w:rsidRDefault="009E13E8" w:rsidP="003B23C2">
            <w:pPr>
              <w:rPr>
                <w:sz w:val="18"/>
                <w:lang w:val="es-CL"/>
              </w:rPr>
            </w:pPr>
            <w:r w:rsidRPr="00093F74">
              <w:rPr>
                <w:sz w:val="18"/>
                <w:lang w:val="en-US"/>
              </w:rPr>
              <w:t xml:space="preserve">Costo de Energía No Suministrada (CENS): 1533 US$/MWh (Methodolgy for Estimating the Cost of Energy Not Supplied – Ecuadorian Case-. </w:t>
            </w:r>
            <w:r w:rsidRPr="00093F74">
              <w:rPr>
                <w:sz w:val="18"/>
                <w:lang w:val="es-CL"/>
              </w:rPr>
              <w:t>Paul Vasquez y Ángel Vaca</w:t>
            </w:r>
            <w:r>
              <w:rPr>
                <w:sz w:val="18"/>
                <w:lang w:val="es-CL"/>
              </w:rPr>
              <w:t>)</w:t>
            </w:r>
          </w:p>
          <w:p w:rsidR="009E13E8" w:rsidRDefault="009E13E8" w:rsidP="003B23C2">
            <w:pPr>
              <w:rPr>
                <w:sz w:val="18"/>
                <w:lang w:val="es-CL"/>
              </w:rPr>
            </w:pPr>
            <w:r w:rsidRPr="00093F74">
              <w:rPr>
                <w:sz w:val="18"/>
                <w:lang w:val="es-CL"/>
              </w:rPr>
              <w:t>Plan de inversiones en apoyo al cambio de la matriz energética de ecuador / EC-L1160</w:t>
            </w:r>
            <w:r>
              <w:rPr>
                <w:sz w:val="18"/>
                <w:lang w:val="es-CL"/>
              </w:rPr>
              <w:t xml:space="preserve">. </w:t>
            </w:r>
            <w:r w:rsidRPr="00093F74">
              <w:rPr>
                <w:sz w:val="18"/>
                <w:lang w:val="es-CL"/>
              </w:rPr>
              <w:t>Evaluación Integral del Programa</w:t>
            </w:r>
            <w:r>
              <w:rPr>
                <w:sz w:val="18"/>
                <w:lang w:val="es-CL"/>
              </w:rPr>
              <w:t>, J. García (2016)</w:t>
            </w:r>
          </w:p>
        </w:tc>
      </w:tr>
      <w:tr w:rsidR="009E13E8" w:rsidTr="003B23C2">
        <w:tc>
          <w:tcPr>
            <w:tcW w:w="1696" w:type="dxa"/>
            <w:vMerge/>
            <w:shd w:val="clear" w:color="auto" w:fill="FFF2CC" w:themeFill="accent4"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Mayor Compra de Energía</w:t>
            </w:r>
          </w:p>
        </w:tc>
        <w:tc>
          <w:tcPr>
            <w:tcW w:w="2552" w:type="dxa"/>
          </w:tcPr>
          <w:p w:rsidR="009E13E8" w:rsidRDefault="009E13E8" w:rsidP="003B23C2">
            <w:pPr>
              <w:rPr>
                <w:sz w:val="18"/>
                <w:lang w:val="es-CL"/>
              </w:rPr>
            </w:pPr>
            <w:r>
              <w:rPr>
                <w:sz w:val="18"/>
                <w:lang w:val="es-CL"/>
              </w:rPr>
              <w:t>La mayor energía que es posible abastecer con proyecto, debe ser comprada por cada EED a sus proveedores (Transmisión y Generación). El precio de esta transacción se refleja en las estadísticas como Precio Medio de Compra.</w:t>
            </w:r>
          </w:p>
        </w:tc>
        <w:tc>
          <w:tcPr>
            <w:tcW w:w="3827" w:type="dxa"/>
          </w:tcPr>
          <w:p w:rsidR="009E13E8" w:rsidRPr="00093F74" w:rsidRDefault="009E13E8" w:rsidP="003B23C2">
            <w:pPr>
              <w:rPr>
                <w:sz w:val="18"/>
              </w:rPr>
            </w:pPr>
            <w:r>
              <w:rPr>
                <w:sz w:val="18"/>
              </w:rPr>
              <w:t>Pérdidas Técnicas y Precio Medio de Compra de Energía por EED (Estadística del Sector Eléctrico 2016, ARCONEL)</w:t>
            </w:r>
          </w:p>
        </w:tc>
      </w:tr>
      <w:tr w:rsidR="009E13E8" w:rsidTr="003B23C2">
        <w:tc>
          <w:tcPr>
            <w:tcW w:w="1696" w:type="dxa"/>
            <w:vMerge/>
            <w:shd w:val="clear" w:color="auto" w:fill="FFF2CC" w:themeFill="accent4"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Costos de Operación y Mantenimiento</w:t>
            </w:r>
          </w:p>
        </w:tc>
        <w:tc>
          <w:tcPr>
            <w:tcW w:w="2552" w:type="dxa"/>
          </w:tcPr>
          <w:p w:rsidR="009E13E8" w:rsidRDefault="009E13E8" w:rsidP="003B23C2">
            <w:pPr>
              <w:rPr>
                <w:sz w:val="18"/>
                <w:lang w:val="es-CL"/>
              </w:rPr>
            </w:pPr>
            <w:r w:rsidRPr="00504271">
              <w:rPr>
                <w:sz w:val="18"/>
                <w:lang w:val="es-CL"/>
              </w:rPr>
              <w:t>Toda nueva infraestructura demanda recursos operacionales, así como de mantenimiento preventivo y correctivo. Se aplica como un porcentaje anual constante respecto del monto a invertir.</w:t>
            </w:r>
            <w:r>
              <w:rPr>
                <w:sz w:val="18"/>
                <w:lang w:val="es-CL"/>
              </w:rPr>
              <w:t xml:space="preserve"> </w:t>
            </w:r>
          </w:p>
        </w:tc>
        <w:tc>
          <w:tcPr>
            <w:tcW w:w="3827" w:type="dxa"/>
          </w:tcPr>
          <w:p w:rsidR="009E13E8" w:rsidRDefault="009E13E8" w:rsidP="003B23C2">
            <w:pPr>
              <w:rPr>
                <w:sz w:val="18"/>
              </w:rPr>
            </w:pPr>
            <w:r>
              <w:rPr>
                <w:sz w:val="18"/>
              </w:rPr>
              <w:t xml:space="preserve">Fuente: </w:t>
            </w:r>
            <w:r w:rsidRPr="00093F74">
              <w:rPr>
                <w:sz w:val="18"/>
                <w:lang w:val="es-CL"/>
              </w:rPr>
              <w:t>Plan de inversiones en apoyo al cambio de la matriz energética de ecuador / EC-L1160</w:t>
            </w:r>
            <w:r>
              <w:rPr>
                <w:sz w:val="18"/>
                <w:lang w:val="es-CL"/>
              </w:rPr>
              <w:t xml:space="preserve">. </w:t>
            </w:r>
            <w:r w:rsidRPr="00093F74">
              <w:rPr>
                <w:sz w:val="18"/>
                <w:lang w:val="es-CL"/>
              </w:rPr>
              <w:t>Evaluación Integral del Programa</w:t>
            </w:r>
            <w:r>
              <w:rPr>
                <w:sz w:val="18"/>
                <w:lang w:val="es-CL"/>
              </w:rPr>
              <w:t>, J. García (2016)</w:t>
            </w:r>
          </w:p>
        </w:tc>
      </w:tr>
      <w:tr w:rsidR="009E13E8" w:rsidTr="003B23C2">
        <w:tc>
          <w:tcPr>
            <w:tcW w:w="1696" w:type="dxa"/>
            <w:vMerge/>
            <w:shd w:val="clear" w:color="auto" w:fill="FFF2CC" w:themeFill="accent4"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Beneficio del Consumidor Final</w:t>
            </w:r>
          </w:p>
        </w:tc>
        <w:tc>
          <w:tcPr>
            <w:tcW w:w="2552" w:type="dxa"/>
          </w:tcPr>
          <w:p w:rsidR="009E13E8" w:rsidRPr="00504271" w:rsidRDefault="009E13E8" w:rsidP="003B23C2">
            <w:pPr>
              <w:rPr>
                <w:sz w:val="18"/>
                <w:lang w:val="es-CL"/>
              </w:rPr>
            </w:pPr>
            <w:r w:rsidRPr="00504271">
              <w:rPr>
                <w:sz w:val="18"/>
                <w:lang w:val="es-CL"/>
              </w:rPr>
              <w:t xml:space="preserve">La disponibilidad de energía es percibida por el consumidor final como un beneficio representado como el área bajo la curva de demanda. Depende del Precio y cantidad de energía consumida, así como de la Elasticidad Precio de la Demanda. </w:t>
            </w:r>
          </w:p>
        </w:tc>
        <w:tc>
          <w:tcPr>
            <w:tcW w:w="3827" w:type="dxa"/>
          </w:tcPr>
          <w:p w:rsidR="009E13E8" w:rsidRPr="00504271" w:rsidRDefault="009E13E8" w:rsidP="003B23C2">
            <w:pPr>
              <w:rPr>
                <w:sz w:val="18"/>
                <w:lang w:val="es-CL"/>
              </w:rPr>
            </w:pPr>
            <w:r w:rsidRPr="00504271">
              <w:rPr>
                <w:sz w:val="18"/>
                <w:lang w:val="es-CL"/>
              </w:rPr>
              <w:t>Fuentes adicionales de información:</w:t>
            </w:r>
          </w:p>
          <w:p w:rsidR="009E13E8" w:rsidRPr="00504271" w:rsidRDefault="009E13E8" w:rsidP="003B23C2">
            <w:pPr>
              <w:rPr>
                <w:sz w:val="18"/>
                <w:lang w:val="es-CL"/>
              </w:rPr>
            </w:pPr>
            <w:r>
              <w:rPr>
                <w:sz w:val="18"/>
                <w:lang w:val="es-CL"/>
              </w:rPr>
              <w:t>Precio Medio de Venta por EED</w:t>
            </w:r>
            <w:r w:rsidRPr="00504271">
              <w:rPr>
                <w:sz w:val="18"/>
                <w:lang w:val="es-CL"/>
              </w:rPr>
              <w:t xml:space="preserve"> (Estadísticas del Sector Eléctrico 2016, ARCONEL) y Elasticidad Precio de la Demanda, como valor típico de la industria aportado por el Consultor: -0.2 (Plan de inversiones en apoyo al cambio de la matriz energética de ecuador / EC-L1160. Evaluación Integral del Programa, J. García 2016).</w:t>
            </w:r>
          </w:p>
        </w:tc>
      </w:tr>
      <w:tr w:rsidR="009E13E8" w:rsidTr="003B23C2">
        <w:tc>
          <w:tcPr>
            <w:tcW w:w="1696" w:type="dxa"/>
            <w:vMerge/>
            <w:shd w:val="clear" w:color="auto" w:fill="FFF2CC" w:themeFill="accent4"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Variable de Generación</w:t>
            </w:r>
          </w:p>
        </w:tc>
        <w:tc>
          <w:tcPr>
            <w:tcW w:w="2552" w:type="dxa"/>
          </w:tcPr>
          <w:p w:rsidR="009E13E8" w:rsidRPr="00504271" w:rsidRDefault="009E13E8" w:rsidP="003B23C2">
            <w:pPr>
              <w:rPr>
                <w:sz w:val="18"/>
                <w:lang w:val="es-CL"/>
              </w:rPr>
            </w:pPr>
            <w:r w:rsidRPr="00504271">
              <w:rPr>
                <w:sz w:val="18"/>
                <w:lang w:val="es-CL"/>
              </w:rPr>
              <w:t>El mayor flujo de energía que es posible con el proyecto requiere una mayor generación de la misma, ampliada por las pérdidas técnicas de transmisión y valorada según costos variables (US$/kWh)</w:t>
            </w:r>
          </w:p>
        </w:tc>
        <w:tc>
          <w:tcPr>
            <w:tcW w:w="3827" w:type="dxa"/>
          </w:tcPr>
          <w:p w:rsidR="009E13E8" w:rsidRPr="00504271" w:rsidRDefault="009E13E8" w:rsidP="003B23C2">
            <w:pPr>
              <w:rPr>
                <w:sz w:val="18"/>
                <w:lang w:val="es-CL"/>
              </w:rPr>
            </w:pPr>
            <w:r w:rsidRPr="00504271">
              <w:rPr>
                <w:sz w:val="18"/>
                <w:lang w:val="es-CL"/>
              </w:rPr>
              <w:t>Proyección de Costos Variables de Generación (PME 2016-2025).</w:t>
            </w:r>
          </w:p>
          <w:p w:rsidR="009E13E8" w:rsidRPr="00504271" w:rsidRDefault="009E13E8" w:rsidP="003B23C2">
            <w:pPr>
              <w:rPr>
                <w:sz w:val="18"/>
                <w:lang w:val="es-CL"/>
              </w:rPr>
            </w:pPr>
            <w:r w:rsidRPr="00504271">
              <w:rPr>
                <w:sz w:val="18"/>
                <w:lang w:val="es-CL"/>
              </w:rPr>
              <w:t>Pérdidas Técnicas en el Sistema de Transmisión (Estadísticas Sector Eléctrico 2016, ARCONEL)</w:t>
            </w:r>
          </w:p>
          <w:p w:rsidR="009E13E8" w:rsidRPr="00504271" w:rsidRDefault="009E13E8" w:rsidP="003B23C2">
            <w:pPr>
              <w:rPr>
                <w:sz w:val="18"/>
                <w:lang w:val="es-CL"/>
              </w:rPr>
            </w:pPr>
          </w:p>
        </w:tc>
      </w:tr>
      <w:tr w:rsidR="009E13E8" w:rsidTr="003B23C2">
        <w:tc>
          <w:tcPr>
            <w:tcW w:w="1696" w:type="dxa"/>
            <w:vMerge/>
            <w:shd w:val="clear" w:color="auto" w:fill="FFF2CC" w:themeFill="accent4" w:themeFillTint="33"/>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Subsidio Combustibles Generación</w:t>
            </w:r>
          </w:p>
        </w:tc>
        <w:tc>
          <w:tcPr>
            <w:tcW w:w="2552" w:type="dxa"/>
          </w:tcPr>
          <w:p w:rsidR="009E13E8" w:rsidRPr="00504271" w:rsidRDefault="009E13E8" w:rsidP="003B23C2">
            <w:pPr>
              <w:rPr>
                <w:sz w:val="18"/>
                <w:lang w:val="es-CL"/>
              </w:rPr>
            </w:pPr>
            <w:r w:rsidRPr="00504271">
              <w:rPr>
                <w:sz w:val="18"/>
                <w:lang w:val="es-CL"/>
              </w:rPr>
              <w:t>La mayor generación demandada por el proyecto requiere usar combustible fósil subsidiado en la parte térmica de la matriz energética.</w:t>
            </w:r>
          </w:p>
        </w:tc>
        <w:tc>
          <w:tcPr>
            <w:tcW w:w="3827" w:type="dxa"/>
          </w:tcPr>
          <w:p w:rsidR="009E13E8" w:rsidRPr="00504271" w:rsidRDefault="009E13E8" w:rsidP="003B23C2">
            <w:pPr>
              <w:rPr>
                <w:sz w:val="18"/>
                <w:lang w:val="es-CL"/>
              </w:rPr>
            </w:pPr>
            <w:r w:rsidRPr="00504271">
              <w:rPr>
                <w:sz w:val="18"/>
                <w:lang w:val="es-CL"/>
              </w:rPr>
              <w:t>Requerimientos de combustible en la generación. (Proyección PME 2016-2025).</w:t>
            </w:r>
          </w:p>
          <w:p w:rsidR="009E13E8" w:rsidRPr="00504271" w:rsidRDefault="009E13E8" w:rsidP="003B23C2">
            <w:pPr>
              <w:rPr>
                <w:sz w:val="18"/>
                <w:lang w:val="es-CL"/>
              </w:rPr>
            </w:pPr>
            <w:r w:rsidRPr="00504271">
              <w:rPr>
                <w:sz w:val="18"/>
                <w:lang w:val="es-CL"/>
              </w:rPr>
              <w:t>Costo Internacional de Combustibles: Index Mundi (Fuel Oil N°2 y Diésel de ultra bajo azufre, ultra-low sulfur, N°2 precio SPOT FOB puerto de New York. Febrero 2017).</w:t>
            </w:r>
          </w:p>
          <w:p w:rsidR="009E13E8" w:rsidRPr="00504271" w:rsidRDefault="009E13E8" w:rsidP="003B23C2">
            <w:pPr>
              <w:rPr>
                <w:sz w:val="18"/>
                <w:lang w:val="es-CL"/>
              </w:rPr>
            </w:pPr>
            <w:r w:rsidRPr="00504271">
              <w:rPr>
                <w:sz w:val="18"/>
                <w:lang w:val="es-CL"/>
              </w:rPr>
              <w:t>Costo Nacional de Combustibles: EP Petroecuador. Febrero 2017.</w:t>
            </w:r>
          </w:p>
        </w:tc>
      </w:tr>
      <w:tr w:rsidR="009E13E8" w:rsidTr="003B23C2">
        <w:tc>
          <w:tcPr>
            <w:tcW w:w="1696" w:type="dxa"/>
            <w:vMerge w:val="restart"/>
            <w:shd w:val="clear" w:color="auto" w:fill="C5E0B3" w:themeFill="accent6" w:themeFillTint="66"/>
          </w:tcPr>
          <w:p w:rsidR="009E13E8" w:rsidRPr="00425EB1" w:rsidRDefault="009E13E8" w:rsidP="003B23C2">
            <w:pPr>
              <w:jc w:val="both"/>
              <w:rPr>
                <w:b/>
                <w:sz w:val="18"/>
                <w:lang w:val="es-CL"/>
              </w:rPr>
            </w:pPr>
            <w:r w:rsidRPr="00425EB1">
              <w:rPr>
                <w:b/>
                <w:sz w:val="18"/>
                <w:lang w:val="es-CL"/>
              </w:rPr>
              <w:t>CII.2 Proyectos FERUM</w:t>
            </w:r>
          </w:p>
        </w:tc>
        <w:tc>
          <w:tcPr>
            <w:tcW w:w="1701" w:type="dxa"/>
          </w:tcPr>
          <w:p w:rsidR="009E13E8" w:rsidRPr="00425EB1" w:rsidRDefault="009E13E8" w:rsidP="003B23C2">
            <w:pPr>
              <w:rPr>
                <w:b/>
                <w:sz w:val="18"/>
                <w:lang w:val="es-CL"/>
              </w:rPr>
            </w:pPr>
            <w:r w:rsidRPr="00425EB1">
              <w:rPr>
                <w:b/>
                <w:sz w:val="18"/>
                <w:lang w:val="es-CL"/>
              </w:rPr>
              <w:t>Mayor Venta de Energía</w:t>
            </w:r>
          </w:p>
        </w:tc>
        <w:tc>
          <w:tcPr>
            <w:tcW w:w="2552" w:type="dxa"/>
          </w:tcPr>
          <w:p w:rsidR="009E13E8" w:rsidRPr="00504271" w:rsidRDefault="009E13E8" w:rsidP="003B23C2">
            <w:pPr>
              <w:rPr>
                <w:sz w:val="18"/>
                <w:lang w:val="es-CL"/>
              </w:rPr>
            </w:pPr>
            <w:r>
              <w:rPr>
                <w:sz w:val="18"/>
                <w:lang w:val="es-CL"/>
              </w:rPr>
              <w:t>La formalización, conexión e incorporación como clientes a las Viviendas Sin Suministro permite incrementar la facturación de energía. Además, el proyecto normaliza la condición técnica de cada zona que propicia el crecimiento de clientes en el futuro, así como su incorporación al Programa de Cocción Eficiente.</w:t>
            </w:r>
          </w:p>
        </w:tc>
        <w:tc>
          <w:tcPr>
            <w:tcW w:w="3827" w:type="dxa"/>
          </w:tcPr>
          <w:p w:rsidR="009E13E8" w:rsidRDefault="009E13E8" w:rsidP="003B23C2">
            <w:pPr>
              <w:rPr>
                <w:sz w:val="18"/>
                <w:lang w:val="es-CL"/>
              </w:rPr>
            </w:pPr>
            <w:r>
              <w:rPr>
                <w:sz w:val="18"/>
                <w:lang w:val="es-CL"/>
              </w:rPr>
              <w:t>Viviendas Sin Suministro (Vss) y Vviendas Con Suministro (Vcs); Consumo Medio Mensual; Crecimiento Clientes (Gerencia Programa FERUM, MEER).</w:t>
            </w:r>
          </w:p>
          <w:p w:rsidR="009E13E8" w:rsidRDefault="009E13E8" w:rsidP="003B23C2">
            <w:pPr>
              <w:rPr>
                <w:sz w:val="18"/>
                <w:lang w:val="es-CL"/>
              </w:rPr>
            </w:pPr>
            <w:r>
              <w:rPr>
                <w:sz w:val="18"/>
                <w:lang w:val="es-CL"/>
              </w:rPr>
              <w:t>Tarifa Residencial (Pliego Tarifario 2017)</w:t>
            </w:r>
          </w:p>
          <w:p w:rsidR="009E13E8" w:rsidRDefault="009E13E8" w:rsidP="003B23C2">
            <w:pPr>
              <w:rPr>
                <w:sz w:val="18"/>
                <w:lang w:val="es-CL"/>
              </w:rPr>
            </w:pPr>
            <w:r>
              <w:rPr>
                <w:sz w:val="18"/>
                <w:lang w:val="es-CL"/>
              </w:rPr>
              <w:t>Hipótesis proyección cobertura programa PEC (Gerencia Programa FERUM).</w:t>
            </w:r>
          </w:p>
          <w:p w:rsidR="009E13E8" w:rsidRPr="00504271" w:rsidRDefault="009E13E8" w:rsidP="003B23C2">
            <w:pPr>
              <w:rPr>
                <w:sz w:val="18"/>
                <w:lang w:val="es-CL"/>
              </w:rPr>
            </w:pPr>
            <w:r>
              <w:rPr>
                <w:sz w:val="18"/>
                <w:lang w:val="es-CL"/>
              </w:rPr>
              <w:t>Consumo medio esperado por Cocina Eléctrica de Inducción (Entrevista del Consultor a diversos usuarios: 40 kWh/Mes)</w:t>
            </w: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Mayor (Menor) Compra de Energía</w:t>
            </w:r>
          </w:p>
        </w:tc>
        <w:tc>
          <w:tcPr>
            <w:tcW w:w="2552" w:type="dxa"/>
          </w:tcPr>
          <w:p w:rsidR="009E13E8" w:rsidRDefault="009E13E8" w:rsidP="003B23C2">
            <w:pPr>
              <w:rPr>
                <w:sz w:val="18"/>
                <w:lang w:val="es-CL"/>
              </w:rPr>
            </w:pPr>
            <w:r>
              <w:rPr>
                <w:sz w:val="18"/>
                <w:lang w:val="es-CL"/>
              </w:rPr>
              <w:t xml:space="preserve">Se estima que, sin proyecto, un 70% de las Vss consumen energía de forma informal. </w:t>
            </w:r>
          </w:p>
          <w:p w:rsidR="009E13E8" w:rsidRDefault="009E13E8" w:rsidP="003B23C2">
            <w:pPr>
              <w:rPr>
                <w:sz w:val="18"/>
                <w:lang w:val="es-CL"/>
              </w:rPr>
            </w:pPr>
            <w:r>
              <w:rPr>
                <w:sz w:val="18"/>
                <w:lang w:val="es-CL"/>
              </w:rPr>
              <w:t>Con Proyecto consumen menos ante la señal del cobro mensual.</w:t>
            </w:r>
          </w:p>
        </w:tc>
        <w:tc>
          <w:tcPr>
            <w:tcW w:w="3827" w:type="dxa"/>
          </w:tcPr>
          <w:p w:rsidR="009E13E8" w:rsidRDefault="009E13E8" w:rsidP="003B23C2">
            <w:pPr>
              <w:rPr>
                <w:sz w:val="18"/>
                <w:lang w:val="es-CL"/>
              </w:rPr>
            </w:pPr>
            <w:r>
              <w:rPr>
                <w:sz w:val="18"/>
                <w:lang w:val="es-CL"/>
              </w:rPr>
              <w:t>Factor Sobreconsumo con conexión informal. (</w:t>
            </w:r>
            <w:r w:rsidRPr="00504271">
              <w:rPr>
                <w:sz w:val="18"/>
                <w:lang w:val="es-CL"/>
              </w:rPr>
              <w:t>Plan de inversiones en apoyo al cambio de la matriz energética de ecuador / EC-L1160. Evaluación Integral del Programa, J. García 2016</w:t>
            </w:r>
            <w:r>
              <w:rPr>
                <w:sz w:val="18"/>
                <w:lang w:val="es-CL"/>
              </w:rPr>
              <w:t>.</w:t>
            </w:r>
          </w:p>
          <w:p w:rsidR="009E13E8" w:rsidRDefault="009E13E8" w:rsidP="003B23C2">
            <w:pPr>
              <w:rPr>
                <w:sz w:val="18"/>
                <w:lang w:val="es-CL"/>
              </w:rPr>
            </w:pPr>
            <w:r>
              <w:rPr>
                <w:sz w:val="18"/>
              </w:rPr>
              <w:t>Pérdidas Técnicas y Precio Medio de Compra de Energía por EED (Estadística del Sector Eléctrico 2016, ARCONEL)</w:t>
            </w: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de Operación y Mantenimiento</w:t>
            </w:r>
          </w:p>
        </w:tc>
        <w:tc>
          <w:tcPr>
            <w:tcW w:w="2552" w:type="dxa"/>
          </w:tcPr>
          <w:p w:rsidR="009E13E8" w:rsidRDefault="009E13E8" w:rsidP="003B23C2">
            <w:pPr>
              <w:rPr>
                <w:sz w:val="18"/>
                <w:lang w:val="es-CL"/>
              </w:rPr>
            </w:pPr>
            <w:r w:rsidRPr="00504271">
              <w:rPr>
                <w:sz w:val="18"/>
                <w:lang w:val="es-CL"/>
              </w:rPr>
              <w:t>Toda nueva infraestructura demanda recursos operacionales, así como de mantenimiento preventivo y correctivo. Se aplica como un porcentaje anual constante respecto del monto a invertir.</w:t>
            </w:r>
            <w:r>
              <w:rPr>
                <w:sz w:val="18"/>
                <w:lang w:val="es-CL"/>
              </w:rPr>
              <w:t xml:space="preserve"> </w:t>
            </w:r>
          </w:p>
        </w:tc>
        <w:tc>
          <w:tcPr>
            <w:tcW w:w="3827" w:type="dxa"/>
          </w:tcPr>
          <w:p w:rsidR="009E13E8" w:rsidRDefault="009E13E8" w:rsidP="003B23C2">
            <w:pPr>
              <w:rPr>
                <w:sz w:val="18"/>
              </w:rPr>
            </w:pPr>
            <w:r>
              <w:rPr>
                <w:sz w:val="18"/>
              </w:rPr>
              <w:t xml:space="preserve">Fuente: </w:t>
            </w:r>
            <w:r w:rsidRPr="00093F74">
              <w:rPr>
                <w:sz w:val="18"/>
                <w:lang w:val="es-CL"/>
              </w:rPr>
              <w:t>Plan de inversiones en apoyo al cambio de la matriz energética de ecuador / EC-L1160</w:t>
            </w:r>
            <w:r>
              <w:rPr>
                <w:sz w:val="18"/>
                <w:lang w:val="es-CL"/>
              </w:rPr>
              <w:t xml:space="preserve">. </w:t>
            </w:r>
            <w:r w:rsidRPr="00093F74">
              <w:rPr>
                <w:sz w:val="18"/>
                <w:lang w:val="es-CL"/>
              </w:rPr>
              <w:t>Evaluación Integral del Programa</w:t>
            </w:r>
            <w:r>
              <w:rPr>
                <w:sz w:val="18"/>
                <w:lang w:val="es-CL"/>
              </w:rPr>
              <w:t>, J. García (2016)</w:t>
            </w: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Comercialización</w:t>
            </w:r>
          </w:p>
        </w:tc>
        <w:tc>
          <w:tcPr>
            <w:tcW w:w="2552" w:type="dxa"/>
          </w:tcPr>
          <w:p w:rsidR="009E13E8" w:rsidRPr="00504271" w:rsidRDefault="009E13E8" w:rsidP="003B23C2">
            <w:pPr>
              <w:rPr>
                <w:sz w:val="18"/>
                <w:lang w:val="es-CL"/>
              </w:rPr>
            </w:pPr>
            <w:r>
              <w:rPr>
                <w:sz w:val="18"/>
                <w:lang w:val="es-CL"/>
              </w:rPr>
              <w:t>La incorporación de nuevos clientes incrementa las actividades del ciclo comercial (lectura, facturación y recaudación; gestión de morosidad, atención comercial, etc.) de forma proporcional.</w:t>
            </w:r>
          </w:p>
        </w:tc>
        <w:tc>
          <w:tcPr>
            <w:tcW w:w="3827" w:type="dxa"/>
          </w:tcPr>
          <w:p w:rsidR="009E13E8" w:rsidRPr="00AD73C5" w:rsidRDefault="009E13E8" w:rsidP="003B23C2">
            <w:pPr>
              <w:rPr>
                <w:sz w:val="18"/>
                <w:lang w:val="es-CL"/>
              </w:rPr>
            </w:pPr>
            <w:r>
              <w:rPr>
                <w:sz w:val="18"/>
                <w:lang w:val="es-CL"/>
              </w:rPr>
              <w:t>Se estima el costo unitario según lo reconocido tarifariamente 1.414 US$/Cliente-Mes (Pliego Tarifario 2017)</w:t>
            </w: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Beneficio del Consumidor</w:t>
            </w:r>
          </w:p>
        </w:tc>
        <w:tc>
          <w:tcPr>
            <w:tcW w:w="2552" w:type="dxa"/>
          </w:tcPr>
          <w:p w:rsidR="009E13E8" w:rsidRPr="00504271" w:rsidRDefault="009E13E8" w:rsidP="003B23C2">
            <w:pPr>
              <w:rPr>
                <w:sz w:val="18"/>
                <w:lang w:val="es-CL"/>
              </w:rPr>
            </w:pPr>
            <w:r w:rsidRPr="00504271">
              <w:rPr>
                <w:sz w:val="18"/>
                <w:lang w:val="es-CL"/>
              </w:rPr>
              <w:t xml:space="preserve">La disponibilidad de energía es percibida por el consumidor final como un beneficio representado como el área bajo la curva de demanda. Depende del Precio y cantidad de energía consumida, así como de la Elasticidad Precio de la Demanda. </w:t>
            </w:r>
          </w:p>
        </w:tc>
        <w:tc>
          <w:tcPr>
            <w:tcW w:w="3827" w:type="dxa"/>
          </w:tcPr>
          <w:p w:rsidR="009E13E8" w:rsidRPr="00504271" w:rsidRDefault="009E13E8" w:rsidP="003B23C2">
            <w:pPr>
              <w:rPr>
                <w:sz w:val="18"/>
                <w:lang w:val="es-CL"/>
              </w:rPr>
            </w:pPr>
            <w:r w:rsidRPr="00504271">
              <w:rPr>
                <w:sz w:val="18"/>
                <w:lang w:val="es-CL"/>
              </w:rPr>
              <w:t>Fuentes adicionales de información:</w:t>
            </w:r>
          </w:p>
          <w:p w:rsidR="009E13E8" w:rsidRPr="00504271" w:rsidRDefault="009E13E8" w:rsidP="003B23C2">
            <w:pPr>
              <w:rPr>
                <w:sz w:val="18"/>
                <w:lang w:val="es-CL"/>
              </w:rPr>
            </w:pPr>
            <w:r>
              <w:rPr>
                <w:sz w:val="18"/>
                <w:lang w:val="es-CL"/>
              </w:rPr>
              <w:t>Precio Medio de Venta por EED</w:t>
            </w:r>
            <w:r w:rsidRPr="00504271">
              <w:rPr>
                <w:sz w:val="18"/>
                <w:lang w:val="es-CL"/>
              </w:rPr>
              <w:t xml:space="preserve"> (Estadísticas del Sector Eléctrico 2016, ARCONEL) y Elasticidad Precio de la Demanda, como valor típico de la industria aportado por el Consultor: -0.2 (Plan de inversiones en apoyo al cambio de la matriz energética de ecuador / EC-L1160. Evaluación Integral del Programa, J. García 2016).</w:t>
            </w: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Reemplazo de Energías Sustitutas</w:t>
            </w:r>
          </w:p>
        </w:tc>
        <w:tc>
          <w:tcPr>
            <w:tcW w:w="2552" w:type="dxa"/>
          </w:tcPr>
          <w:p w:rsidR="009E13E8" w:rsidRPr="00504271" w:rsidRDefault="009E13E8" w:rsidP="003B23C2">
            <w:pPr>
              <w:rPr>
                <w:sz w:val="18"/>
                <w:lang w:val="es-CL"/>
              </w:rPr>
            </w:pPr>
            <w:r>
              <w:rPr>
                <w:sz w:val="18"/>
                <w:lang w:val="es-CL"/>
              </w:rPr>
              <w:t>La porción de Vss sin conexión informal, utilizan fuentes de energía relativamente más caras y en menor cantidad.</w:t>
            </w:r>
          </w:p>
        </w:tc>
        <w:tc>
          <w:tcPr>
            <w:tcW w:w="3827" w:type="dxa"/>
          </w:tcPr>
          <w:p w:rsidR="009E13E8" w:rsidRPr="00504271" w:rsidRDefault="009E13E8" w:rsidP="003B23C2">
            <w:pPr>
              <w:rPr>
                <w:sz w:val="18"/>
                <w:lang w:val="es-CL"/>
              </w:rPr>
            </w:pPr>
            <w:r>
              <w:rPr>
                <w:sz w:val="18"/>
                <w:lang w:val="es-CL"/>
              </w:rPr>
              <w:t xml:space="preserve">Valores típicos de energías sustitutas (Po y Qo) y Elasticidad Precio de la Demanda, empleados en proyectos FERUM. </w:t>
            </w:r>
            <w:r w:rsidRPr="00504271">
              <w:rPr>
                <w:sz w:val="18"/>
                <w:lang w:val="es-CL"/>
              </w:rPr>
              <w:t>(Plan de inversiones en apoyo al cambio de la matriz energética de ecuador / EC-L1160. Evaluación Integral del Programa, J. García 2016).</w:t>
            </w: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Beneficio Consumo CEIs</w:t>
            </w:r>
          </w:p>
        </w:tc>
        <w:tc>
          <w:tcPr>
            <w:tcW w:w="2552" w:type="dxa"/>
          </w:tcPr>
          <w:p w:rsidR="009E13E8" w:rsidRDefault="009E13E8" w:rsidP="003B23C2">
            <w:pPr>
              <w:rPr>
                <w:sz w:val="18"/>
                <w:lang w:val="es-CL"/>
              </w:rPr>
            </w:pPr>
            <w:r>
              <w:rPr>
                <w:sz w:val="18"/>
                <w:lang w:val="es-CL"/>
              </w:rPr>
              <w:t>Los clientes beneficiados con el proyecto pueden entrar al programa PEC y ahorrar el gasto anual de GLP en cocción de alimentos.</w:t>
            </w:r>
          </w:p>
        </w:tc>
        <w:tc>
          <w:tcPr>
            <w:tcW w:w="3827" w:type="dxa"/>
          </w:tcPr>
          <w:p w:rsidR="009E13E8" w:rsidRDefault="009E13E8" w:rsidP="003B23C2">
            <w:pPr>
              <w:rPr>
                <w:sz w:val="18"/>
                <w:lang w:val="es-CL"/>
              </w:rPr>
            </w:pPr>
            <w:r>
              <w:rPr>
                <w:sz w:val="18"/>
                <w:lang w:val="es-CL"/>
              </w:rPr>
              <w:t>Cantidad y costos mensuales de cilindros GLP por vivienda. (</w:t>
            </w:r>
            <w:r w:rsidRPr="00504271">
              <w:rPr>
                <w:sz w:val="18"/>
                <w:lang w:val="es-CL"/>
              </w:rPr>
              <w:t>Plan de inversiones en apoyo al cambio de la matriz energética de ecuador / EC-L1160. Evaluación Integral del Programa, J. García 2016).</w:t>
            </w: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Variable de Generación</w:t>
            </w:r>
          </w:p>
        </w:tc>
        <w:tc>
          <w:tcPr>
            <w:tcW w:w="2552" w:type="dxa"/>
          </w:tcPr>
          <w:p w:rsidR="009E13E8" w:rsidRPr="00504271" w:rsidRDefault="009E13E8" w:rsidP="003B23C2">
            <w:pPr>
              <w:rPr>
                <w:sz w:val="18"/>
                <w:lang w:val="es-CL"/>
              </w:rPr>
            </w:pPr>
            <w:r w:rsidRPr="00504271">
              <w:rPr>
                <w:sz w:val="18"/>
                <w:lang w:val="es-CL"/>
              </w:rPr>
              <w:t xml:space="preserve">El mayor </w:t>
            </w:r>
            <w:r>
              <w:rPr>
                <w:sz w:val="18"/>
                <w:lang w:val="es-CL"/>
              </w:rPr>
              <w:t xml:space="preserve">(o menor) </w:t>
            </w:r>
            <w:r w:rsidRPr="00504271">
              <w:rPr>
                <w:sz w:val="18"/>
                <w:lang w:val="es-CL"/>
              </w:rPr>
              <w:t>flujo de energía que es posible con el proyecto requiere una mayor</w:t>
            </w:r>
            <w:r>
              <w:rPr>
                <w:sz w:val="18"/>
                <w:lang w:val="es-CL"/>
              </w:rPr>
              <w:t xml:space="preserve"> (o menor)</w:t>
            </w:r>
            <w:r w:rsidRPr="00504271">
              <w:rPr>
                <w:sz w:val="18"/>
                <w:lang w:val="es-CL"/>
              </w:rPr>
              <w:t xml:space="preserve"> generación de la misma, ampliada por las pérdidas técnicas de transmisión y valorada según costos variables (US$/kWh)</w:t>
            </w:r>
          </w:p>
        </w:tc>
        <w:tc>
          <w:tcPr>
            <w:tcW w:w="3827" w:type="dxa"/>
          </w:tcPr>
          <w:p w:rsidR="009E13E8" w:rsidRPr="00504271" w:rsidRDefault="009E13E8" w:rsidP="003B23C2">
            <w:pPr>
              <w:rPr>
                <w:sz w:val="18"/>
                <w:lang w:val="es-CL"/>
              </w:rPr>
            </w:pPr>
            <w:r w:rsidRPr="00504271">
              <w:rPr>
                <w:sz w:val="18"/>
                <w:lang w:val="es-CL"/>
              </w:rPr>
              <w:t>Proyección de Costos Variables de Generación (PME 2016-2025).</w:t>
            </w:r>
          </w:p>
          <w:p w:rsidR="009E13E8" w:rsidRPr="00504271" w:rsidRDefault="009E13E8" w:rsidP="003B23C2">
            <w:pPr>
              <w:rPr>
                <w:sz w:val="18"/>
                <w:lang w:val="es-CL"/>
              </w:rPr>
            </w:pPr>
            <w:r w:rsidRPr="00504271">
              <w:rPr>
                <w:sz w:val="18"/>
                <w:lang w:val="es-CL"/>
              </w:rPr>
              <w:t>Pérdidas Técnicas en el Sistema de Transmisión (Estadísticas Sector Eléctrico 2016, ARCONEL)</w:t>
            </w:r>
          </w:p>
          <w:p w:rsidR="009E13E8" w:rsidRPr="00504271" w:rsidRDefault="009E13E8" w:rsidP="003B23C2">
            <w:pPr>
              <w:rPr>
                <w:sz w:val="18"/>
                <w:lang w:val="es-CL"/>
              </w:rPr>
            </w:pPr>
          </w:p>
        </w:tc>
      </w:tr>
      <w:tr w:rsidR="009E13E8" w:rsidTr="003B23C2">
        <w:tc>
          <w:tcPr>
            <w:tcW w:w="1696" w:type="dxa"/>
            <w:vMerge/>
            <w:shd w:val="clear" w:color="auto" w:fill="C5E0B3" w:themeFill="accent6"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Subsidio Combustibles Generación</w:t>
            </w:r>
          </w:p>
        </w:tc>
        <w:tc>
          <w:tcPr>
            <w:tcW w:w="2552" w:type="dxa"/>
          </w:tcPr>
          <w:p w:rsidR="009E13E8" w:rsidRPr="00504271" w:rsidRDefault="009E13E8" w:rsidP="003B23C2">
            <w:pPr>
              <w:rPr>
                <w:sz w:val="18"/>
                <w:lang w:val="es-CL"/>
              </w:rPr>
            </w:pPr>
            <w:r w:rsidRPr="00504271">
              <w:rPr>
                <w:sz w:val="18"/>
                <w:lang w:val="es-CL"/>
              </w:rPr>
              <w:t>La mayor</w:t>
            </w:r>
            <w:r>
              <w:rPr>
                <w:sz w:val="18"/>
                <w:lang w:val="es-CL"/>
              </w:rPr>
              <w:t xml:space="preserve"> (o menor)</w:t>
            </w:r>
            <w:r w:rsidRPr="00504271">
              <w:rPr>
                <w:sz w:val="18"/>
                <w:lang w:val="es-CL"/>
              </w:rPr>
              <w:t xml:space="preserve"> generación demandada por el proyecto </w:t>
            </w:r>
            <w:r>
              <w:rPr>
                <w:sz w:val="18"/>
                <w:lang w:val="es-CL"/>
              </w:rPr>
              <w:t>implica aumentar (o reducir) el uso de</w:t>
            </w:r>
            <w:r w:rsidRPr="00504271">
              <w:rPr>
                <w:sz w:val="18"/>
                <w:lang w:val="es-CL"/>
              </w:rPr>
              <w:t xml:space="preserve"> combustible fósil subsidiado en la parte térmica de la matriz energética.</w:t>
            </w:r>
          </w:p>
        </w:tc>
        <w:tc>
          <w:tcPr>
            <w:tcW w:w="3827" w:type="dxa"/>
          </w:tcPr>
          <w:p w:rsidR="009E13E8" w:rsidRPr="00504271" w:rsidRDefault="009E13E8" w:rsidP="003B23C2">
            <w:pPr>
              <w:rPr>
                <w:sz w:val="18"/>
                <w:lang w:val="es-CL"/>
              </w:rPr>
            </w:pPr>
            <w:r w:rsidRPr="00504271">
              <w:rPr>
                <w:sz w:val="18"/>
                <w:lang w:val="es-CL"/>
              </w:rPr>
              <w:t>Requerimientos de combustible en la generación. (Proyección PME 2016-2025).</w:t>
            </w:r>
          </w:p>
          <w:p w:rsidR="009E13E8" w:rsidRPr="00504271" w:rsidRDefault="009E13E8" w:rsidP="003B23C2">
            <w:pPr>
              <w:rPr>
                <w:sz w:val="18"/>
                <w:lang w:val="es-CL"/>
              </w:rPr>
            </w:pPr>
            <w:r w:rsidRPr="00504271">
              <w:rPr>
                <w:sz w:val="18"/>
                <w:lang w:val="es-CL"/>
              </w:rPr>
              <w:t>Costo Internacional de Combustibles: Index Mundi (Fuel Oil N°2 y Diésel de ultra bajo azufre, ultra-low sulfur, N°2 precio SPOT FOB puerto de New York. Febrero 2017).</w:t>
            </w:r>
          </w:p>
          <w:p w:rsidR="009E13E8" w:rsidRPr="00504271" w:rsidRDefault="009E13E8" w:rsidP="003B23C2">
            <w:pPr>
              <w:rPr>
                <w:sz w:val="18"/>
                <w:lang w:val="es-CL"/>
              </w:rPr>
            </w:pPr>
            <w:r w:rsidRPr="00504271">
              <w:rPr>
                <w:sz w:val="18"/>
                <w:lang w:val="es-CL"/>
              </w:rPr>
              <w:t>Costo Nacional de Combustibles: EP Petroecuador. Febrero 2017.</w:t>
            </w:r>
          </w:p>
        </w:tc>
      </w:tr>
      <w:tr w:rsidR="009E13E8" w:rsidTr="003B23C2">
        <w:tc>
          <w:tcPr>
            <w:tcW w:w="1696" w:type="dxa"/>
            <w:vMerge w:val="restart"/>
            <w:shd w:val="clear" w:color="auto" w:fill="F7CAAC" w:themeFill="accent2" w:themeFillTint="66"/>
          </w:tcPr>
          <w:p w:rsidR="009E13E8" w:rsidRPr="00425EB1" w:rsidRDefault="009E13E8" w:rsidP="003B23C2">
            <w:pPr>
              <w:jc w:val="both"/>
              <w:rPr>
                <w:b/>
                <w:sz w:val="18"/>
                <w:lang w:val="es-CL"/>
              </w:rPr>
            </w:pPr>
            <w:r w:rsidRPr="00425EB1">
              <w:rPr>
                <w:b/>
                <w:sz w:val="18"/>
                <w:lang w:val="es-CL"/>
              </w:rPr>
              <w:t>CII.3. Repotenciación y extensión de redes de distribución para energizar la Agroindustria.</w:t>
            </w:r>
          </w:p>
        </w:tc>
        <w:tc>
          <w:tcPr>
            <w:tcW w:w="1701" w:type="dxa"/>
          </w:tcPr>
          <w:p w:rsidR="009E13E8" w:rsidRPr="00425EB1" w:rsidRDefault="009E13E8" w:rsidP="003B23C2">
            <w:pPr>
              <w:rPr>
                <w:b/>
                <w:sz w:val="18"/>
                <w:lang w:val="es-CL"/>
              </w:rPr>
            </w:pPr>
            <w:r w:rsidRPr="00425EB1">
              <w:rPr>
                <w:b/>
                <w:sz w:val="18"/>
                <w:lang w:val="es-CL"/>
              </w:rPr>
              <w:t>Venta de Energía</w:t>
            </w:r>
          </w:p>
        </w:tc>
        <w:tc>
          <w:tcPr>
            <w:tcW w:w="2552" w:type="dxa"/>
          </w:tcPr>
          <w:p w:rsidR="009E13E8" w:rsidRPr="00504271" w:rsidRDefault="009E13E8" w:rsidP="003B23C2">
            <w:pPr>
              <w:rPr>
                <w:sz w:val="18"/>
                <w:lang w:val="es-CL"/>
              </w:rPr>
            </w:pPr>
            <w:r>
              <w:rPr>
                <w:sz w:val="18"/>
                <w:lang w:val="es-CL"/>
              </w:rPr>
              <w:t>La conexión de la agroindustria al sistema eléctrico permite una facturación de energía asociada.</w:t>
            </w:r>
          </w:p>
        </w:tc>
        <w:tc>
          <w:tcPr>
            <w:tcW w:w="3827" w:type="dxa"/>
          </w:tcPr>
          <w:p w:rsidR="009E13E8" w:rsidRDefault="009E13E8" w:rsidP="003B23C2">
            <w:pPr>
              <w:rPr>
                <w:sz w:val="18"/>
                <w:lang w:val="es-CL"/>
              </w:rPr>
            </w:pPr>
            <w:r>
              <w:rPr>
                <w:sz w:val="18"/>
                <w:lang w:val="es-CL"/>
              </w:rPr>
              <w:t xml:space="preserve">Hectáreas de cultivo y potencia a instalar, para bombeo y aireación por hectárea, empresas camaroneras (Proyecto SIGDE, MEER). </w:t>
            </w:r>
          </w:p>
          <w:p w:rsidR="009E13E8" w:rsidRDefault="009E13E8" w:rsidP="003B23C2">
            <w:pPr>
              <w:rPr>
                <w:sz w:val="18"/>
                <w:lang w:val="es-CL"/>
              </w:rPr>
            </w:pPr>
            <w:r>
              <w:rPr>
                <w:sz w:val="18"/>
                <w:lang w:val="es-CL"/>
              </w:rPr>
              <w:t>Proyección diaria pleamar, para 365 días (J. García)</w:t>
            </w:r>
          </w:p>
          <w:p w:rsidR="009E13E8" w:rsidRPr="00504271" w:rsidRDefault="009E13E8" w:rsidP="003B23C2">
            <w:pPr>
              <w:rPr>
                <w:sz w:val="18"/>
                <w:lang w:val="es-CL"/>
              </w:rPr>
            </w:pPr>
            <w:r>
              <w:rPr>
                <w:sz w:val="18"/>
                <w:lang w:val="es-CL"/>
              </w:rPr>
              <w:t>Tarifa Media Tensión Horaria, para Bombeo de Agua (Pliego Tarifario 2017)</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Mayor Compra de Energía</w:t>
            </w:r>
          </w:p>
        </w:tc>
        <w:tc>
          <w:tcPr>
            <w:tcW w:w="2552" w:type="dxa"/>
          </w:tcPr>
          <w:p w:rsidR="009E13E8" w:rsidRDefault="009E13E8" w:rsidP="003B23C2">
            <w:pPr>
              <w:rPr>
                <w:sz w:val="18"/>
                <w:lang w:val="es-CL"/>
              </w:rPr>
            </w:pPr>
            <w:r>
              <w:rPr>
                <w:sz w:val="18"/>
                <w:lang w:val="es-CL"/>
              </w:rPr>
              <w:t>La mayor energía que es posible abastecer con proyecto, debe ser comprada por cada EED a sus proveedores (Transmisión y Generación). El precio de esta transacción se refleja en las estadísticas como Precio Medio de Compra.</w:t>
            </w:r>
          </w:p>
        </w:tc>
        <w:tc>
          <w:tcPr>
            <w:tcW w:w="3827" w:type="dxa"/>
          </w:tcPr>
          <w:p w:rsidR="009E13E8" w:rsidRPr="00093F74" w:rsidRDefault="009E13E8" w:rsidP="003B23C2">
            <w:pPr>
              <w:rPr>
                <w:sz w:val="18"/>
              </w:rPr>
            </w:pPr>
            <w:r>
              <w:rPr>
                <w:sz w:val="18"/>
              </w:rPr>
              <w:t>Pérdidas Técnicas y Precio Medio de Compra de Energía por EED (Estadística del Sector Eléctrico 2016, ARCONEL)</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de Operación y Mantenimiento</w:t>
            </w:r>
          </w:p>
        </w:tc>
        <w:tc>
          <w:tcPr>
            <w:tcW w:w="2552" w:type="dxa"/>
          </w:tcPr>
          <w:p w:rsidR="009E13E8" w:rsidRDefault="009E13E8" w:rsidP="003B23C2">
            <w:pPr>
              <w:rPr>
                <w:sz w:val="18"/>
                <w:lang w:val="es-CL"/>
              </w:rPr>
            </w:pPr>
            <w:r w:rsidRPr="00504271">
              <w:rPr>
                <w:sz w:val="18"/>
                <w:lang w:val="es-CL"/>
              </w:rPr>
              <w:t>Toda nueva infraestructura demanda recursos operacionales, así como de mantenimiento preventivo y correctivo. Se aplica como un porcentaje anual constante respecto del monto a invertir.</w:t>
            </w:r>
            <w:r>
              <w:rPr>
                <w:sz w:val="18"/>
                <w:lang w:val="es-CL"/>
              </w:rPr>
              <w:t xml:space="preserve"> </w:t>
            </w:r>
          </w:p>
        </w:tc>
        <w:tc>
          <w:tcPr>
            <w:tcW w:w="3827" w:type="dxa"/>
          </w:tcPr>
          <w:p w:rsidR="009E13E8" w:rsidRDefault="009E13E8" w:rsidP="003B23C2">
            <w:pPr>
              <w:rPr>
                <w:sz w:val="18"/>
              </w:rPr>
            </w:pPr>
            <w:r>
              <w:rPr>
                <w:sz w:val="18"/>
              </w:rPr>
              <w:t xml:space="preserve">Fuente: </w:t>
            </w:r>
            <w:r w:rsidRPr="00093F74">
              <w:rPr>
                <w:sz w:val="18"/>
                <w:lang w:val="es-CL"/>
              </w:rPr>
              <w:t>Plan de inversiones en apoyo al cambio de la matriz energética de ecuador / EC-L1160</w:t>
            </w:r>
            <w:r>
              <w:rPr>
                <w:sz w:val="18"/>
                <w:lang w:val="es-CL"/>
              </w:rPr>
              <w:t xml:space="preserve">. </w:t>
            </w:r>
            <w:r w:rsidRPr="00093F74">
              <w:rPr>
                <w:sz w:val="18"/>
                <w:lang w:val="es-CL"/>
              </w:rPr>
              <w:t>Evaluación Integral del Programa</w:t>
            </w:r>
            <w:r>
              <w:rPr>
                <w:sz w:val="18"/>
                <w:lang w:val="es-CL"/>
              </w:rPr>
              <w:t>, J. García (2016)</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Comercialización</w:t>
            </w:r>
          </w:p>
        </w:tc>
        <w:tc>
          <w:tcPr>
            <w:tcW w:w="2552" w:type="dxa"/>
          </w:tcPr>
          <w:p w:rsidR="009E13E8" w:rsidRPr="00504271" w:rsidRDefault="009E13E8" w:rsidP="003B23C2">
            <w:pPr>
              <w:rPr>
                <w:sz w:val="18"/>
                <w:lang w:val="es-CL"/>
              </w:rPr>
            </w:pPr>
            <w:r>
              <w:rPr>
                <w:sz w:val="18"/>
                <w:lang w:val="es-CL"/>
              </w:rPr>
              <w:t>La incorporación de nuevos clientes incrementa las actividades del ciclo comercial (lectura, facturación y recaudación; gestión de morosidad, atención comercial, etc.) de forma proporcional.</w:t>
            </w:r>
          </w:p>
        </w:tc>
        <w:tc>
          <w:tcPr>
            <w:tcW w:w="3827" w:type="dxa"/>
          </w:tcPr>
          <w:p w:rsidR="009E13E8" w:rsidRPr="00AD73C5" w:rsidRDefault="009E13E8" w:rsidP="003B23C2">
            <w:pPr>
              <w:rPr>
                <w:sz w:val="18"/>
                <w:lang w:val="es-CL"/>
              </w:rPr>
            </w:pPr>
            <w:r>
              <w:rPr>
                <w:sz w:val="18"/>
                <w:lang w:val="es-CL"/>
              </w:rPr>
              <w:t>Se estima el costo unitario según lo reconocido tarifariamente 1.414 US$/Cliente-Mes (Pliego Tarifario 2017)</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Inversión Agroindustria</w:t>
            </w:r>
          </w:p>
        </w:tc>
        <w:tc>
          <w:tcPr>
            <w:tcW w:w="2552" w:type="dxa"/>
          </w:tcPr>
          <w:p w:rsidR="009E13E8" w:rsidRDefault="009E13E8" w:rsidP="003B23C2">
            <w:pPr>
              <w:rPr>
                <w:sz w:val="18"/>
                <w:lang w:val="es-CL"/>
              </w:rPr>
            </w:pPr>
            <w:r>
              <w:rPr>
                <w:sz w:val="18"/>
                <w:lang w:val="es-CL"/>
              </w:rPr>
              <w:t>Para conectarse al sistema y utilizar la energía eléctrica deben construir y adecuar redes y equipamiento.</w:t>
            </w:r>
          </w:p>
        </w:tc>
        <w:tc>
          <w:tcPr>
            <w:tcW w:w="3827" w:type="dxa"/>
          </w:tcPr>
          <w:p w:rsidR="009E13E8" w:rsidRDefault="009E13E8" w:rsidP="003B23C2">
            <w:pPr>
              <w:rPr>
                <w:sz w:val="18"/>
                <w:lang w:val="es-CL"/>
              </w:rPr>
            </w:pPr>
            <w:r>
              <w:rPr>
                <w:sz w:val="18"/>
                <w:lang w:val="es-CL"/>
              </w:rPr>
              <w:t>Inversión media estimada por hectárea de cultivo (P</w:t>
            </w:r>
            <w:r w:rsidRPr="00660229">
              <w:rPr>
                <w:sz w:val="18"/>
                <w:lang w:val="es-CL"/>
              </w:rPr>
              <w:t>refactibilidad para conectar camaroneras del litoral ecuatoriano a las redes eléctricas de distribución</w:t>
            </w:r>
            <w:r>
              <w:rPr>
                <w:sz w:val="18"/>
                <w:lang w:val="es-CL"/>
              </w:rPr>
              <w:t xml:space="preserve">, </w:t>
            </w:r>
            <w:r w:rsidRPr="00E113C4">
              <w:rPr>
                <w:sz w:val="18"/>
                <w:lang w:val="es-CL"/>
              </w:rPr>
              <w:t>ESPOL TECH EP</w:t>
            </w:r>
            <w:r>
              <w:rPr>
                <w:sz w:val="18"/>
                <w:lang w:val="es-CL"/>
              </w:rPr>
              <w:t>, para MAGAP, 2015)</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 xml:space="preserve">Mayor Productividad </w:t>
            </w:r>
          </w:p>
        </w:tc>
        <w:tc>
          <w:tcPr>
            <w:tcW w:w="2552" w:type="dxa"/>
          </w:tcPr>
          <w:p w:rsidR="009E13E8" w:rsidRDefault="009E13E8" w:rsidP="003B23C2">
            <w:pPr>
              <w:rPr>
                <w:sz w:val="18"/>
                <w:lang w:val="es-CL"/>
              </w:rPr>
            </w:pPr>
            <w:r>
              <w:rPr>
                <w:sz w:val="18"/>
                <w:lang w:val="es-CL"/>
              </w:rPr>
              <w:t>Se estima que los métodos de bombeo y aireación a implementar eléctricamente permiten incrementar la productividad de cultivo del camarón.</w:t>
            </w:r>
          </w:p>
        </w:tc>
        <w:tc>
          <w:tcPr>
            <w:tcW w:w="3827" w:type="dxa"/>
            <w:shd w:val="clear" w:color="auto" w:fill="E7E6E6" w:themeFill="background2"/>
          </w:tcPr>
          <w:p w:rsidR="009E13E8" w:rsidRDefault="009E13E8" w:rsidP="003B23C2">
            <w:pPr>
              <w:rPr>
                <w:sz w:val="18"/>
                <w:lang w:val="es-CL"/>
              </w:rPr>
            </w:pPr>
            <w:r>
              <w:rPr>
                <w:sz w:val="18"/>
                <w:lang w:val="es-CL"/>
              </w:rPr>
              <w:t>Se aplica un 10% del aumento de productividad esperado según en equipo del Proyecto SIGDE, MEER (Productividad aumenta de 3500 a 4200 Lb/Há y el tamaño del camarón aumenta de 15 a 25 gr</w:t>
            </w:r>
            <w:r w:rsidRPr="00756D99">
              <w:rPr>
                <w:sz w:val="18"/>
                <w:lang w:val="es-CL"/>
              </w:rPr>
              <w:t xml:space="preserve">). </w:t>
            </w:r>
            <w:r w:rsidRPr="001C19FE">
              <w:rPr>
                <w:i/>
                <w:sz w:val="18"/>
                <w:lang w:val="es-CL"/>
              </w:rPr>
              <w:t>Se espera mayores antecedentes</w:t>
            </w:r>
            <w:r>
              <w:rPr>
                <w:sz w:val="18"/>
                <w:lang w:val="es-CL"/>
              </w:rPr>
              <w:t>.</w:t>
            </w:r>
          </w:p>
          <w:p w:rsidR="009E13E8" w:rsidRDefault="009E13E8" w:rsidP="003B23C2">
            <w:pPr>
              <w:rPr>
                <w:sz w:val="18"/>
                <w:lang w:val="es-CL"/>
              </w:rPr>
            </w:pPr>
          </w:p>
          <w:p w:rsidR="009E13E8" w:rsidRPr="00756D99" w:rsidRDefault="009E13E8" w:rsidP="003B23C2">
            <w:pPr>
              <w:rPr>
                <w:sz w:val="18"/>
                <w:lang w:val="es-CL"/>
              </w:rPr>
            </w:pPr>
            <w:r>
              <w:rPr>
                <w:sz w:val="18"/>
                <w:lang w:val="es-CL"/>
              </w:rPr>
              <w:t xml:space="preserve">Se estiman los ingresos por mayor venta de la agroindustria según precios internacionales del camarón </w:t>
            </w:r>
            <w:r w:rsidRPr="00756D99">
              <w:rPr>
                <w:sz w:val="18"/>
                <w:lang w:val="es-CL"/>
              </w:rPr>
              <w:t>(Boletín Cámara Nacional de Acuicultura, 25/05/2015.</w:t>
            </w:r>
            <w:r>
              <w:rPr>
                <w:sz w:val="18"/>
                <w:lang w:val="es-CL"/>
              </w:rPr>
              <w:t xml:space="preserve"> </w:t>
            </w:r>
            <w:hyperlink r:id="rId9" w:history="1">
              <w:r w:rsidRPr="001C19FE">
                <w:rPr>
                  <w:rStyle w:val="Hyperlink"/>
                  <w:sz w:val="18"/>
                  <w:lang w:val="es-CL"/>
                </w:rPr>
                <w:t>http://www.cna-ecuador.com/prensa/1658-25-05-2015-productores-ven-que-los-precios-del-camaron-ecuatoriano-continuan-recuperandose</w:t>
              </w:r>
            </w:hyperlink>
            <w:r w:rsidRPr="00756D99">
              <w:rPr>
                <w:sz w:val="18"/>
                <w:lang w:val="es-CL"/>
              </w:rPr>
              <w:t>)</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Sustitución de Combustible</w:t>
            </w:r>
          </w:p>
        </w:tc>
        <w:tc>
          <w:tcPr>
            <w:tcW w:w="2552" w:type="dxa"/>
          </w:tcPr>
          <w:p w:rsidR="009E13E8" w:rsidRDefault="009E13E8" w:rsidP="003B23C2">
            <w:pPr>
              <w:rPr>
                <w:sz w:val="18"/>
                <w:lang w:val="es-CL"/>
              </w:rPr>
            </w:pPr>
            <w:r>
              <w:rPr>
                <w:sz w:val="18"/>
                <w:lang w:val="es-CL"/>
              </w:rPr>
              <w:t>Sin proyecto, los requerimientos de energía de la agroindustria se suplen con Diésel. Éste es comprado en el mercado local. Con proyecto se acaba esta necesidad.</w:t>
            </w:r>
          </w:p>
        </w:tc>
        <w:tc>
          <w:tcPr>
            <w:tcW w:w="3827" w:type="dxa"/>
          </w:tcPr>
          <w:p w:rsidR="009E13E8" w:rsidRDefault="009E13E8" w:rsidP="003B23C2">
            <w:pPr>
              <w:rPr>
                <w:sz w:val="18"/>
                <w:lang w:val="es-CL"/>
              </w:rPr>
            </w:pPr>
            <w:r>
              <w:rPr>
                <w:sz w:val="18"/>
                <w:lang w:val="es-CL"/>
              </w:rPr>
              <w:t>Uso de Diésel por hectárea de cultivo (P</w:t>
            </w:r>
            <w:r w:rsidRPr="00660229">
              <w:rPr>
                <w:sz w:val="18"/>
                <w:lang w:val="es-CL"/>
              </w:rPr>
              <w:t>refactibilidad para conectar camaroneras del litoral ecuatoriano a las redes eléctricas de distribución</w:t>
            </w:r>
            <w:r>
              <w:rPr>
                <w:sz w:val="18"/>
                <w:lang w:val="es-CL"/>
              </w:rPr>
              <w:t xml:space="preserve">, </w:t>
            </w:r>
            <w:r w:rsidRPr="00E113C4">
              <w:rPr>
                <w:sz w:val="18"/>
                <w:lang w:val="es-CL"/>
              </w:rPr>
              <w:t>ESPOL TECH EP</w:t>
            </w:r>
            <w:r>
              <w:rPr>
                <w:sz w:val="18"/>
                <w:lang w:val="es-CL"/>
              </w:rPr>
              <w:t>, para MAGAP, 2015)</w:t>
            </w:r>
          </w:p>
          <w:p w:rsidR="009E13E8" w:rsidRDefault="009E13E8" w:rsidP="003B23C2">
            <w:pPr>
              <w:rPr>
                <w:sz w:val="18"/>
                <w:lang w:val="es-CL"/>
              </w:rPr>
            </w:pPr>
          </w:p>
          <w:p w:rsidR="009E13E8" w:rsidRDefault="009E13E8" w:rsidP="003B23C2">
            <w:pPr>
              <w:rPr>
                <w:sz w:val="18"/>
                <w:lang w:val="es-CL"/>
              </w:rPr>
            </w:pPr>
            <w:r>
              <w:rPr>
                <w:sz w:val="18"/>
                <w:lang w:val="es-CL"/>
              </w:rPr>
              <w:t>Precio Local del Diésel (</w:t>
            </w:r>
            <w:r w:rsidRPr="001C19FE">
              <w:rPr>
                <w:sz w:val="18"/>
                <w:lang w:val="es-CL"/>
              </w:rPr>
              <w:t>EP PetroEcuador FEB 2017</w:t>
            </w:r>
            <w:r>
              <w:rPr>
                <w:sz w:val="18"/>
                <w:lang w:val="es-CL"/>
              </w:rPr>
              <w:t>)</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Ahorro mantenimiento motobombas</w:t>
            </w:r>
          </w:p>
        </w:tc>
        <w:tc>
          <w:tcPr>
            <w:tcW w:w="2552" w:type="dxa"/>
          </w:tcPr>
          <w:p w:rsidR="009E13E8" w:rsidRDefault="009E13E8" w:rsidP="003B23C2">
            <w:pPr>
              <w:rPr>
                <w:sz w:val="18"/>
                <w:lang w:val="es-CL"/>
              </w:rPr>
            </w:pPr>
            <w:r>
              <w:rPr>
                <w:sz w:val="18"/>
                <w:lang w:val="es-CL"/>
              </w:rPr>
              <w:t>Al reemplazar las motobombas a diésel, su mantenimiento tampoco es requerido.</w:t>
            </w:r>
          </w:p>
        </w:tc>
        <w:tc>
          <w:tcPr>
            <w:tcW w:w="3827" w:type="dxa"/>
          </w:tcPr>
          <w:p w:rsidR="009E13E8" w:rsidRDefault="009E13E8" w:rsidP="003B23C2">
            <w:pPr>
              <w:rPr>
                <w:sz w:val="18"/>
                <w:lang w:val="es-CL"/>
              </w:rPr>
            </w:pPr>
            <w:r>
              <w:rPr>
                <w:sz w:val="18"/>
                <w:lang w:val="es-CL"/>
              </w:rPr>
              <w:t>Costo mantenimiento motores diésel por hectárea de cultivo (P</w:t>
            </w:r>
            <w:r w:rsidRPr="00660229">
              <w:rPr>
                <w:sz w:val="18"/>
                <w:lang w:val="es-CL"/>
              </w:rPr>
              <w:t>refactibilidad para conectar camaroneras del litoral ecuatoriano a las redes eléctricas de distribución</w:t>
            </w:r>
            <w:r>
              <w:rPr>
                <w:sz w:val="18"/>
                <w:lang w:val="es-CL"/>
              </w:rPr>
              <w:t xml:space="preserve">, </w:t>
            </w:r>
            <w:r w:rsidRPr="00E113C4">
              <w:rPr>
                <w:sz w:val="18"/>
                <w:lang w:val="es-CL"/>
              </w:rPr>
              <w:t>ESPOL TECH EP</w:t>
            </w:r>
            <w:r>
              <w:rPr>
                <w:sz w:val="18"/>
                <w:lang w:val="es-CL"/>
              </w:rPr>
              <w:t>, para MAGAP, 2015)</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Ahorro subsidio combustible agroindustria</w:t>
            </w:r>
          </w:p>
        </w:tc>
        <w:tc>
          <w:tcPr>
            <w:tcW w:w="2552" w:type="dxa"/>
          </w:tcPr>
          <w:p w:rsidR="009E13E8" w:rsidRDefault="009E13E8" w:rsidP="003B23C2">
            <w:pPr>
              <w:rPr>
                <w:sz w:val="18"/>
                <w:lang w:val="es-CL"/>
              </w:rPr>
            </w:pPr>
            <w:r>
              <w:rPr>
                <w:sz w:val="18"/>
                <w:lang w:val="es-CL"/>
              </w:rPr>
              <w:t>Al reducir el uso de diésel por la agroindustria, también se reduce el subsidio aportado por el Gobierno de Ecuador.</w:t>
            </w:r>
          </w:p>
        </w:tc>
        <w:tc>
          <w:tcPr>
            <w:tcW w:w="3827" w:type="dxa"/>
          </w:tcPr>
          <w:p w:rsidR="009E13E8" w:rsidRDefault="009E13E8" w:rsidP="003B23C2">
            <w:pPr>
              <w:rPr>
                <w:sz w:val="18"/>
                <w:lang w:val="es-CL"/>
              </w:rPr>
            </w:pPr>
            <w:r>
              <w:rPr>
                <w:sz w:val="18"/>
                <w:lang w:val="es-CL"/>
              </w:rPr>
              <w:t>Uso de Diésel por hectárea de cultivo (P</w:t>
            </w:r>
            <w:r w:rsidRPr="00660229">
              <w:rPr>
                <w:sz w:val="18"/>
                <w:lang w:val="es-CL"/>
              </w:rPr>
              <w:t>refactibilidad para conectar camaroneras del litoral ecuatoriano a las redes eléctricas de distribución</w:t>
            </w:r>
            <w:r>
              <w:rPr>
                <w:sz w:val="18"/>
                <w:lang w:val="es-CL"/>
              </w:rPr>
              <w:t xml:space="preserve">, </w:t>
            </w:r>
            <w:r w:rsidRPr="00E113C4">
              <w:rPr>
                <w:sz w:val="18"/>
                <w:lang w:val="es-CL"/>
              </w:rPr>
              <w:t>ESPOL TECH EP</w:t>
            </w:r>
            <w:r>
              <w:rPr>
                <w:sz w:val="18"/>
                <w:lang w:val="es-CL"/>
              </w:rPr>
              <w:t>, para MAGAP, 2015)</w:t>
            </w:r>
          </w:p>
          <w:p w:rsidR="009E13E8" w:rsidRDefault="009E13E8" w:rsidP="003B23C2">
            <w:pPr>
              <w:rPr>
                <w:sz w:val="18"/>
                <w:lang w:val="es-CL"/>
              </w:rPr>
            </w:pPr>
          </w:p>
          <w:p w:rsidR="009E13E8" w:rsidRDefault="009E13E8" w:rsidP="003B23C2">
            <w:pPr>
              <w:rPr>
                <w:sz w:val="18"/>
                <w:lang w:val="es-CL"/>
              </w:rPr>
            </w:pPr>
            <w:r>
              <w:rPr>
                <w:sz w:val="18"/>
                <w:lang w:val="es-CL"/>
              </w:rPr>
              <w:t>Hectáreas de cultivo agroindustria. (Proyecto SIGDE, MEER)</w:t>
            </w:r>
          </w:p>
          <w:p w:rsidR="009E13E8" w:rsidRDefault="009E13E8" w:rsidP="003B23C2">
            <w:pPr>
              <w:rPr>
                <w:sz w:val="18"/>
                <w:lang w:val="es-CL"/>
              </w:rPr>
            </w:pPr>
          </w:p>
          <w:p w:rsidR="009E13E8" w:rsidRPr="00504271" w:rsidRDefault="009E13E8" w:rsidP="003B23C2">
            <w:pPr>
              <w:rPr>
                <w:sz w:val="18"/>
                <w:lang w:val="es-CL"/>
              </w:rPr>
            </w:pPr>
            <w:r w:rsidRPr="00504271">
              <w:rPr>
                <w:sz w:val="18"/>
                <w:lang w:val="es-CL"/>
              </w:rPr>
              <w:t>Costo Internacional de Combustibles: Index Mundi</w:t>
            </w:r>
            <w:r>
              <w:rPr>
                <w:sz w:val="18"/>
                <w:lang w:val="es-CL"/>
              </w:rPr>
              <w:t>,</w:t>
            </w:r>
            <w:r w:rsidRPr="00504271">
              <w:rPr>
                <w:sz w:val="18"/>
                <w:lang w:val="es-CL"/>
              </w:rPr>
              <w:t xml:space="preserve"> Diésel de ultra bajo azufre, ultra-low sulfur, N°2 precio SPOT FOB puerto de New York. Febrero 2017).</w:t>
            </w:r>
          </w:p>
          <w:p w:rsidR="009E13E8" w:rsidRDefault="009E13E8" w:rsidP="003B23C2">
            <w:pPr>
              <w:rPr>
                <w:sz w:val="18"/>
                <w:lang w:val="es-CL"/>
              </w:rPr>
            </w:pPr>
            <w:r w:rsidRPr="00504271">
              <w:rPr>
                <w:sz w:val="18"/>
                <w:lang w:val="es-CL"/>
              </w:rPr>
              <w:t>Costo Nacional de Combustibles: EP Petroecuador. Febrero 2017.</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Costos de Operación y Mantenimiento redes y equipos eléctricos agroindustria</w:t>
            </w:r>
          </w:p>
        </w:tc>
        <w:tc>
          <w:tcPr>
            <w:tcW w:w="2552" w:type="dxa"/>
          </w:tcPr>
          <w:p w:rsidR="009E13E8" w:rsidRDefault="009E13E8" w:rsidP="003B23C2">
            <w:pPr>
              <w:rPr>
                <w:sz w:val="18"/>
                <w:lang w:val="es-CL"/>
              </w:rPr>
            </w:pPr>
            <w:r>
              <w:rPr>
                <w:sz w:val="18"/>
                <w:lang w:val="es-CL"/>
              </w:rPr>
              <w:t>Las redes y equipos eléctricos incorporados por la requieren mantenimiento, y se estiman como un porcentaje de la inversión total.</w:t>
            </w:r>
          </w:p>
        </w:tc>
        <w:tc>
          <w:tcPr>
            <w:tcW w:w="3827" w:type="dxa"/>
          </w:tcPr>
          <w:p w:rsidR="009E13E8" w:rsidRDefault="009E13E8" w:rsidP="003B23C2">
            <w:pPr>
              <w:rPr>
                <w:sz w:val="18"/>
                <w:lang w:val="es-CL"/>
              </w:rPr>
            </w:pPr>
            <w:r>
              <w:rPr>
                <w:sz w:val="18"/>
                <w:lang w:val="es-CL"/>
              </w:rPr>
              <w:t>Porcentajes de operación y mantenimiento empleados en proyectos del sistema de distribución. (</w:t>
            </w:r>
            <w:r w:rsidRPr="00093F74">
              <w:rPr>
                <w:sz w:val="18"/>
                <w:lang w:val="es-CL"/>
              </w:rPr>
              <w:t>Plan de inversiones en apoyo al cambio de la matriz energética de ecuador / EC-L1160</w:t>
            </w:r>
            <w:r>
              <w:rPr>
                <w:sz w:val="18"/>
                <w:lang w:val="es-CL"/>
              </w:rPr>
              <w:t xml:space="preserve">. </w:t>
            </w:r>
            <w:r w:rsidRPr="00093F74">
              <w:rPr>
                <w:sz w:val="18"/>
                <w:lang w:val="es-CL"/>
              </w:rPr>
              <w:t>Evaluación Integral del Programa</w:t>
            </w:r>
            <w:r>
              <w:rPr>
                <w:sz w:val="18"/>
                <w:lang w:val="es-CL"/>
              </w:rPr>
              <w:t>, J. García, 2016)</w:t>
            </w: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Costo Variable de Generación</w:t>
            </w:r>
          </w:p>
        </w:tc>
        <w:tc>
          <w:tcPr>
            <w:tcW w:w="2552" w:type="dxa"/>
          </w:tcPr>
          <w:p w:rsidR="009E13E8" w:rsidRPr="00504271" w:rsidRDefault="009E13E8" w:rsidP="003B23C2">
            <w:pPr>
              <w:rPr>
                <w:sz w:val="18"/>
                <w:lang w:val="es-CL"/>
              </w:rPr>
            </w:pPr>
            <w:r w:rsidRPr="00504271">
              <w:rPr>
                <w:sz w:val="18"/>
                <w:lang w:val="es-CL"/>
              </w:rPr>
              <w:t>El mayor flujo de energía que es posible con el proyecto requiere una mayor generación de la misma, ampliada por las pérdidas técnicas de transmisión y valorada según costos variables (US$/kWh)</w:t>
            </w:r>
          </w:p>
        </w:tc>
        <w:tc>
          <w:tcPr>
            <w:tcW w:w="3827" w:type="dxa"/>
          </w:tcPr>
          <w:p w:rsidR="009E13E8" w:rsidRPr="00504271" w:rsidRDefault="009E13E8" w:rsidP="003B23C2">
            <w:pPr>
              <w:rPr>
                <w:sz w:val="18"/>
                <w:lang w:val="es-CL"/>
              </w:rPr>
            </w:pPr>
            <w:r w:rsidRPr="00504271">
              <w:rPr>
                <w:sz w:val="18"/>
                <w:lang w:val="es-CL"/>
              </w:rPr>
              <w:t>Proyección de Costos Variables de Generación (PME 2016-2025).</w:t>
            </w:r>
          </w:p>
          <w:p w:rsidR="009E13E8" w:rsidRPr="00504271" w:rsidRDefault="009E13E8" w:rsidP="003B23C2">
            <w:pPr>
              <w:rPr>
                <w:sz w:val="18"/>
                <w:lang w:val="es-CL"/>
              </w:rPr>
            </w:pPr>
            <w:r w:rsidRPr="00504271">
              <w:rPr>
                <w:sz w:val="18"/>
                <w:lang w:val="es-CL"/>
              </w:rPr>
              <w:t>Pérdidas Técnicas en el Sistema de Transmisión (Estadísticas Sector Eléctrico 2016, ARCONEL)</w:t>
            </w:r>
          </w:p>
          <w:p w:rsidR="009E13E8" w:rsidRPr="00504271" w:rsidRDefault="009E13E8" w:rsidP="003B23C2">
            <w:pPr>
              <w:rPr>
                <w:sz w:val="18"/>
                <w:lang w:val="es-CL"/>
              </w:rPr>
            </w:pPr>
          </w:p>
        </w:tc>
      </w:tr>
      <w:tr w:rsidR="009E13E8" w:rsidTr="003B23C2">
        <w:tc>
          <w:tcPr>
            <w:tcW w:w="1696" w:type="dxa"/>
            <w:vMerge/>
            <w:shd w:val="clear" w:color="auto" w:fill="F7CAAC" w:themeFill="accent2" w:themeFillTint="66"/>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Subsidio Combustibles Generación</w:t>
            </w:r>
          </w:p>
        </w:tc>
        <w:tc>
          <w:tcPr>
            <w:tcW w:w="2552" w:type="dxa"/>
          </w:tcPr>
          <w:p w:rsidR="009E13E8" w:rsidRPr="00504271" w:rsidRDefault="009E13E8" w:rsidP="003B23C2">
            <w:pPr>
              <w:rPr>
                <w:sz w:val="18"/>
                <w:lang w:val="es-CL"/>
              </w:rPr>
            </w:pPr>
            <w:r w:rsidRPr="00504271">
              <w:rPr>
                <w:sz w:val="18"/>
                <w:lang w:val="es-CL"/>
              </w:rPr>
              <w:t>La mayor</w:t>
            </w:r>
            <w:r>
              <w:rPr>
                <w:sz w:val="18"/>
                <w:lang w:val="es-CL"/>
              </w:rPr>
              <w:t xml:space="preserve"> </w:t>
            </w:r>
            <w:r w:rsidRPr="00504271">
              <w:rPr>
                <w:sz w:val="18"/>
                <w:lang w:val="es-CL"/>
              </w:rPr>
              <w:t xml:space="preserve">generación demandada por el proyecto </w:t>
            </w:r>
            <w:r>
              <w:rPr>
                <w:sz w:val="18"/>
                <w:lang w:val="es-CL"/>
              </w:rPr>
              <w:t>implica aumentar el uso de</w:t>
            </w:r>
            <w:r w:rsidRPr="00504271">
              <w:rPr>
                <w:sz w:val="18"/>
                <w:lang w:val="es-CL"/>
              </w:rPr>
              <w:t xml:space="preserve"> combustible fósil subsidiado en la parte térmica de la matriz energética.</w:t>
            </w:r>
          </w:p>
        </w:tc>
        <w:tc>
          <w:tcPr>
            <w:tcW w:w="3827" w:type="dxa"/>
          </w:tcPr>
          <w:p w:rsidR="009E13E8" w:rsidRPr="00504271" w:rsidRDefault="009E13E8" w:rsidP="003B23C2">
            <w:pPr>
              <w:rPr>
                <w:sz w:val="18"/>
                <w:lang w:val="es-CL"/>
              </w:rPr>
            </w:pPr>
            <w:r w:rsidRPr="00504271">
              <w:rPr>
                <w:sz w:val="18"/>
                <w:lang w:val="es-CL"/>
              </w:rPr>
              <w:t>Requerimientos de combustible en la generación. (Proyección PME 2016-2025).</w:t>
            </w:r>
          </w:p>
          <w:p w:rsidR="009E13E8" w:rsidRPr="00504271" w:rsidRDefault="009E13E8" w:rsidP="003B23C2">
            <w:pPr>
              <w:rPr>
                <w:sz w:val="18"/>
                <w:lang w:val="es-CL"/>
              </w:rPr>
            </w:pPr>
            <w:r w:rsidRPr="00504271">
              <w:rPr>
                <w:sz w:val="18"/>
                <w:lang w:val="es-CL"/>
              </w:rPr>
              <w:t>Costo Internacional de Combustibles: Index Mundi (Fuel Oil N°2 y Diésel de ultra bajo azufre, ultra-low sulfur, N°2 precio SPOT FOB puerto de New York. Febrero 2017).</w:t>
            </w:r>
          </w:p>
          <w:p w:rsidR="009E13E8" w:rsidRPr="00504271" w:rsidRDefault="009E13E8" w:rsidP="003B23C2">
            <w:pPr>
              <w:rPr>
                <w:sz w:val="18"/>
                <w:lang w:val="es-CL"/>
              </w:rPr>
            </w:pPr>
            <w:r w:rsidRPr="00504271">
              <w:rPr>
                <w:sz w:val="18"/>
                <w:lang w:val="es-CL"/>
              </w:rPr>
              <w:t>Costo Nacional de Combustibles: EP Petroecuador. Febrero 2017.</w:t>
            </w:r>
          </w:p>
        </w:tc>
      </w:tr>
      <w:tr w:rsidR="009E13E8" w:rsidTr="003B23C2">
        <w:tc>
          <w:tcPr>
            <w:tcW w:w="1696" w:type="dxa"/>
            <w:vMerge w:val="restart"/>
            <w:shd w:val="clear" w:color="auto" w:fill="9CC2E5" w:themeFill="accent5" w:themeFillTint="99"/>
          </w:tcPr>
          <w:p w:rsidR="009E13E8" w:rsidRPr="00425EB1" w:rsidRDefault="009E13E8" w:rsidP="003B23C2">
            <w:pPr>
              <w:jc w:val="both"/>
              <w:rPr>
                <w:b/>
                <w:sz w:val="18"/>
                <w:lang w:val="es-CL"/>
              </w:rPr>
            </w:pPr>
            <w:r w:rsidRPr="00425EB1">
              <w:rPr>
                <w:b/>
                <w:sz w:val="18"/>
                <w:lang w:val="es-CL"/>
              </w:rPr>
              <w:t>CIII. Programa de eficiencia energética en la Agroindustria</w:t>
            </w:r>
          </w:p>
        </w:tc>
        <w:tc>
          <w:tcPr>
            <w:tcW w:w="1701" w:type="dxa"/>
          </w:tcPr>
          <w:p w:rsidR="009E13E8" w:rsidRPr="00425EB1" w:rsidRDefault="009E13E8" w:rsidP="003B23C2">
            <w:pPr>
              <w:rPr>
                <w:b/>
                <w:sz w:val="18"/>
                <w:lang w:val="es-CL"/>
              </w:rPr>
            </w:pPr>
            <w:r w:rsidRPr="00425EB1">
              <w:rPr>
                <w:b/>
                <w:sz w:val="18"/>
                <w:lang w:val="es-CL"/>
              </w:rPr>
              <w:t>Menor Costo Generación</w:t>
            </w:r>
          </w:p>
        </w:tc>
        <w:tc>
          <w:tcPr>
            <w:tcW w:w="2552" w:type="dxa"/>
          </w:tcPr>
          <w:p w:rsidR="009E13E8" w:rsidRPr="00504271" w:rsidRDefault="009E13E8" w:rsidP="003B23C2">
            <w:pPr>
              <w:rPr>
                <w:sz w:val="18"/>
                <w:lang w:val="es-CL"/>
              </w:rPr>
            </w:pPr>
            <w:r>
              <w:rPr>
                <w:sz w:val="18"/>
                <w:lang w:val="es-CL"/>
              </w:rPr>
              <w:t>El proyecto reducirá el requerimiento de energía del proyecto, por tanto, demanda una menor generación</w:t>
            </w:r>
          </w:p>
        </w:tc>
        <w:tc>
          <w:tcPr>
            <w:tcW w:w="3827" w:type="dxa"/>
          </w:tcPr>
          <w:p w:rsidR="009E13E8" w:rsidRPr="00504271" w:rsidRDefault="009E13E8" w:rsidP="003B23C2">
            <w:pPr>
              <w:rPr>
                <w:sz w:val="18"/>
                <w:lang w:val="es-CL"/>
              </w:rPr>
            </w:pPr>
            <w:r w:rsidRPr="00504271">
              <w:rPr>
                <w:sz w:val="18"/>
                <w:lang w:val="es-CL"/>
              </w:rPr>
              <w:t>Proyección de Costos Variables de Generación (PME 2016-2025).</w:t>
            </w:r>
          </w:p>
          <w:p w:rsidR="009E13E8" w:rsidRPr="00504271" w:rsidRDefault="009E13E8" w:rsidP="003B23C2">
            <w:pPr>
              <w:rPr>
                <w:sz w:val="18"/>
                <w:lang w:val="es-CL"/>
              </w:rPr>
            </w:pPr>
            <w:r w:rsidRPr="00504271">
              <w:rPr>
                <w:sz w:val="18"/>
                <w:lang w:val="es-CL"/>
              </w:rPr>
              <w:t>Pérdidas Técnicas en el Sistema de Transmisión (Estadísticas Sector Eléctrico 2016, ARCONEL)</w:t>
            </w:r>
          </w:p>
          <w:p w:rsidR="009E13E8" w:rsidRPr="00504271" w:rsidRDefault="009E13E8" w:rsidP="003B23C2">
            <w:pPr>
              <w:rPr>
                <w:sz w:val="18"/>
                <w:lang w:val="es-CL"/>
              </w:rPr>
            </w:pPr>
          </w:p>
        </w:tc>
      </w:tr>
      <w:tr w:rsidR="009E13E8" w:rsidTr="003B23C2">
        <w:tc>
          <w:tcPr>
            <w:tcW w:w="1696" w:type="dxa"/>
            <w:vMerge/>
            <w:shd w:val="clear" w:color="auto" w:fill="9CC2E5" w:themeFill="accent5" w:themeFillTint="99"/>
          </w:tcPr>
          <w:p w:rsidR="009E13E8" w:rsidRPr="00425EB1" w:rsidRDefault="009E13E8" w:rsidP="003B23C2">
            <w:pPr>
              <w:jc w:val="both"/>
              <w:rPr>
                <w:b/>
                <w:sz w:val="18"/>
                <w:lang w:val="es-CL"/>
              </w:rPr>
            </w:pPr>
          </w:p>
        </w:tc>
        <w:tc>
          <w:tcPr>
            <w:tcW w:w="1701" w:type="dxa"/>
          </w:tcPr>
          <w:p w:rsidR="009E13E8" w:rsidRPr="00425EB1" w:rsidRDefault="009E13E8" w:rsidP="003B23C2">
            <w:pPr>
              <w:rPr>
                <w:b/>
                <w:sz w:val="18"/>
                <w:lang w:val="es-CL"/>
              </w:rPr>
            </w:pPr>
            <w:r w:rsidRPr="00425EB1">
              <w:rPr>
                <w:b/>
                <w:sz w:val="18"/>
                <w:lang w:val="es-CL"/>
              </w:rPr>
              <w:t>Menor Subsidio al Combustible en Generación</w:t>
            </w:r>
          </w:p>
        </w:tc>
        <w:tc>
          <w:tcPr>
            <w:tcW w:w="2552" w:type="dxa"/>
          </w:tcPr>
          <w:p w:rsidR="009E13E8" w:rsidRPr="00504271" w:rsidRDefault="009E13E8" w:rsidP="003B23C2">
            <w:pPr>
              <w:rPr>
                <w:sz w:val="18"/>
                <w:lang w:val="es-CL"/>
              </w:rPr>
            </w:pPr>
            <w:r w:rsidRPr="00504271">
              <w:rPr>
                <w:sz w:val="18"/>
                <w:lang w:val="es-CL"/>
              </w:rPr>
              <w:t xml:space="preserve">La </w:t>
            </w:r>
            <w:r>
              <w:rPr>
                <w:sz w:val="18"/>
                <w:lang w:val="es-CL"/>
              </w:rPr>
              <w:t>meno</w:t>
            </w:r>
            <w:r w:rsidRPr="00504271">
              <w:rPr>
                <w:sz w:val="18"/>
                <w:lang w:val="es-CL"/>
              </w:rPr>
              <w:t>r</w:t>
            </w:r>
            <w:r>
              <w:rPr>
                <w:sz w:val="18"/>
                <w:lang w:val="es-CL"/>
              </w:rPr>
              <w:t xml:space="preserve"> </w:t>
            </w:r>
            <w:r w:rsidRPr="00504271">
              <w:rPr>
                <w:sz w:val="18"/>
                <w:lang w:val="es-CL"/>
              </w:rPr>
              <w:t xml:space="preserve">generación demandada por el proyecto </w:t>
            </w:r>
            <w:r>
              <w:rPr>
                <w:sz w:val="18"/>
                <w:lang w:val="es-CL"/>
              </w:rPr>
              <w:t>implica reducir el uso de</w:t>
            </w:r>
            <w:r w:rsidRPr="00504271">
              <w:rPr>
                <w:sz w:val="18"/>
                <w:lang w:val="es-CL"/>
              </w:rPr>
              <w:t xml:space="preserve"> combustible fósil subsidiado en la parte térmica de la matriz energética.</w:t>
            </w:r>
          </w:p>
        </w:tc>
        <w:tc>
          <w:tcPr>
            <w:tcW w:w="3827" w:type="dxa"/>
          </w:tcPr>
          <w:p w:rsidR="009E13E8" w:rsidRPr="00504271" w:rsidRDefault="009E13E8" w:rsidP="003B23C2">
            <w:pPr>
              <w:rPr>
                <w:sz w:val="18"/>
                <w:lang w:val="es-CL"/>
              </w:rPr>
            </w:pPr>
            <w:r w:rsidRPr="00504271">
              <w:rPr>
                <w:sz w:val="18"/>
                <w:lang w:val="es-CL"/>
              </w:rPr>
              <w:t>Requerimientos de combustible en la generación. (Proyección PME 2016-2025).</w:t>
            </w:r>
          </w:p>
          <w:p w:rsidR="009E13E8" w:rsidRPr="00504271" w:rsidRDefault="009E13E8" w:rsidP="003B23C2">
            <w:pPr>
              <w:rPr>
                <w:sz w:val="18"/>
                <w:lang w:val="es-CL"/>
              </w:rPr>
            </w:pPr>
            <w:r w:rsidRPr="00504271">
              <w:rPr>
                <w:sz w:val="18"/>
                <w:lang w:val="es-CL"/>
              </w:rPr>
              <w:t>Costo Internacional de Combustibles: Index Mundi (Fuel Oil N°2 y Diésel de ultra bajo azufre, ultra-low sulfur, N°2 precio SPOT FOB puerto de New York. Febrero 2017).</w:t>
            </w:r>
          </w:p>
          <w:p w:rsidR="009E13E8" w:rsidRPr="00504271" w:rsidRDefault="009E13E8" w:rsidP="003B23C2">
            <w:pPr>
              <w:rPr>
                <w:sz w:val="18"/>
                <w:lang w:val="es-CL"/>
              </w:rPr>
            </w:pPr>
            <w:r w:rsidRPr="00504271">
              <w:rPr>
                <w:sz w:val="18"/>
                <w:lang w:val="es-CL"/>
              </w:rPr>
              <w:t>Costo Nacional de Combustibles: EP Petroecuador. Febrero 2017.</w:t>
            </w:r>
          </w:p>
        </w:tc>
      </w:tr>
    </w:tbl>
    <w:p w:rsidR="009E13E8" w:rsidRDefault="009E13E8" w:rsidP="009E13E8">
      <w:pPr>
        <w:jc w:val="both"/>
        <w:rPr>
          <w:lang w:val="es-CL"/>
        </w:rPr>
      </w:pPr>
    </w:p>
    <w:p w:rsidR="009E13E8" w:rsidRDefault="009E13E8">
      <w:pPr>
        <w:rPr>
          <w:lang w:val="es-CL"/>
        </w:rPr>
      </w:pPr>
    </w:p>
    <w:p w:rsidR="00287848" w:rsidRDefault="00287848">
      <w:pPr>
        <w:rPr>
          <w:lang w:val="es-CL"/>
        </w:rPr>
      </w:pPr>
    </w:p>
    <w:p w:rsidR="00287848" w:rsidRPr="00893E1A" w:rsidRDefault="00287848" w:rsidP="00A21AC2">
      <w:pPr>
        <w:pStyle w:val="Heading2"/>
        <w:rPr>
          <w:lang w:val="es-CL"/>
        </w:rPr>
      </w:pPr>
      <w:bookmarkStart w:id="9" w:name="_Toc491617752"/>
      <w:r>
        <w:rPr>
          <w:lang w:val="es-CL"/>
        </w:rPr>
        <w:t>Resultados Parciales e Integrados de la Evaluación Financiera y Económica del programa</w:t>
      </w:r>
      <w:r w:rsidRPr="00893E1A">
        <w:rPr>
          <w:lang w:val="es-CL"/>
        </w:rPr>
        <w:t>.</w:t>
      </w:r>
      <w:bookmarkEnd w:id="9"/>
    </w:p>
    <w:p w:rsidR="009E13E8" w:rsidRDefault="00F56913" w:rsidP="009E13E8">
      <w:pPr>
        <w:jc w:val="both"/>
        <w:rPr>
          <w:lang w:val="es-CL"/>
        </w:rPr>
      </w:pPr>
      <w:r>
        <w:rPr>
          <w:lang w:val="es-CL"/>
        </w:rPr>
        <w:t xml:space="preserve">La Tabla N°1 resume los resultados </w:t>
      </w:r>
      <w:r w:rsidR="007C0A8B">
        <w:rPr>
          <w:lang w:val="es-CL"/>
        </w:rPr>
        <w:t xml:space="preserve">de </w:t>
      </w:r>
      <w:r w:rsidR="008E65D8">
        <w:rPr>
          <w:lang w:val="es-CL"/>
        </w:rPr>
        <w:t xml:space="preserve">rentabilidad resultantes de </w:t>
      </w:r>
      <w:r w:rsidR="007C0A8B">
        <w:rPr>
          <w:lang w:val="es-CL"/>
        </w:rPr>
        <w:t xml:space="preserve">las evaluaciones </w:t>
      </w:r>
      <w:r>
        <w:rPr>
          <w:lang w:val="es-CL"/>
        </w:rPr>
        <w:t>de cada componente del programa EC-L1223,</w:t>
      </w:r>
      <w:r w:rsidR="007C0A8B">
        <w:rPr>
          <w:lang w:val="es-CL"/>
        </w:rPr>
        <w:t xml:space="preserve"> </w:t>
      </w:r>
      <w:r w:rsidR="00D53BA7">
        <w:rPr>
          <w:lang w:val="es-CL"/>
        </w:rPr>
        <w:t xml:space="preserve">por separado, </w:t>
      </w:r>
      <w:r w:rsidR="007C0A8B">
        <w:rPr>
          <w:lang w:val="es-CL"/>
        </w:rPr>
        <w:t xml:space="preserve">así como el resultado de la Evaluación Integral del </w:t>
      </w:r>
      <w:r w:rsidR="008E65D8">
        <w:rPr>
          <w:lang w:val="es-CL"/>
        </w:rPr>
        <w:t>mismo, donde se han considerado las relaciones en cadena de flujos energéticos y de sus costos/beneficios respectivos</w:t>
      </w:r>
      <w:r w:rsidR="009E13E8">
        <w:rPr>
          <w:lang w:val="es-CL"/>
        </w:rPr>
        <w:t>.</w:t>
      </w:r>
    </w:p>
    <w:p w:rsidR="003472E0" w:rsidRDefault="003472E0" w:rsidP="009E13E8">
      <w:pPr>
        <w:jc w:val="both"/>
        <w:rPr>
          <w:lang w:val="es-CL"/>
        </w:rPr>
      </w:pPr>
    </w:p>
    <w:p w:rsidR="003472E0" w:rsidRDefault="003472E0" w:rsidP="009E13E8">
      <w:pPr>
        <w:jc w:val="both"/>
        <w:rPr>
          <w:lang w:val="es-CL"/>
        </w:rPr>
      </w:pPr>
    </w:p>
    <w:p w:rsidR="003472E0" w:rsidRDefault="003472E0" w:rsidP="009E13E8">
      <w:pPr>
        <w:jc w:val="both"/>
        <w:rPr>
          <w:lang w:val="es-CL"/>
        </w:rPr>
      </w:pPr>
    </w:p>
    <w:p w:rsidR="003472E0" w:rsidRDefault="003472E0" w:rsidP="009E13E8">
      <w:pPr>
        <w:jc w:val="both"/>
        <w:rPr>
          <w:b/>
          <w:lang w:val="es-CL"/>
        </w:rPr>
      </w:pPr>
    </w:p>
    <w:p w:rsidR="00AC6630" w:rsidRPr="00B21D60" w:rsidRDefault="00B21D60" w:rsidP="00B21D60">
      <w:pPr>
        <w:spacing w:after="0"/>
        <w:jc w:val="center"/>
        <w:rPr>
          <w:b/>
          <w:lang w:val="es-CL"/>
        </w:rPr>
      </w:pPr>
      <w:r w:rsidRPr="00325B93">
        <w:rPr>
          <w:b/>
          <w:lang w:val="es-CL"/>
        </w:rPr>
        <w:t>Tabla N°1 Resultados Evaluación Financiera y Económica del Programa EC-L1223</w:t>
      </w:r>
    </w:p>
    <w:tbl>
      <w:tblPr>
        <w:tblW w:w="9258" w:type="dxa"/>
        <w:tblLayout w:type="fixed"/>
        <w:tblLook w:val="04A0" w:firstRow="1" w:lastRow="0" w:firstColumn="1" w:lastColumn="0" w:noHBand="0" w:noVBand="1"/>
      </w:tblPr>
      <w:tblGrid>
        <w:gridCol w:w="1271"/>
        <w:gridCol w:w="2415"/>
        <w:gridCol w:w="1275"/>
        <w:gridCol w:w="1418"/>
        <w:gridCol w:w="709"/>
        <w:gridCol w:w="1417"/>
        <w:gridCol w:w="753"/>
      </w:tblGrid>
      <w:tr w:rsidR="008A1000" w:rsidTr="008A1000">
        <w:tc>
          <w:tcPr>
            <w:tcW w:w="3686" w:type="dxa"/>
            <w:gridSpan w:val="2"/>
            <w:vMerge w:val="restart"/>
            <w:tcBorders>
              <w:top w:val="single" w:sz="4" w:space="0" w:color="auto"/>
              <w:left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sidRPr="00544D52">
              <w:rPr>
                <w:b/>
                <w:sz w:val="16"/>
                <w:lang w:val="es-CL"/>
              </w:rPr>
              <w:t>Proyectos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sidRPr="00544D52">
              <w:rPr>
                <w:b/>
                <w:sz w:val="16"/>
                <w:lang w:val="es-CL"/>
              </w:rPr>
              <w:t xml:space="preserve">Inversión </w:t>
            </w:r>
            <w:r>
              <w:rPr>
                <w:b/>
                <w:sz w:val="16"/>
                <w:lang w:val="es-CL"/>
              </w:rPr>
              <w:t xml:space="preserve">US$ </w:t>
            </w:r>
            <w:r w:rsidRPr="00544D52">
              <w:rPr>
                <w:b/>
                <w:sz w:val="16"/>
                <w:lang w:val="es-CL"/>
              </w:rPr>
              <w:t>(sin IVA)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Pr>
                <w:b/>
                <w:sz w:val="16"/>
                <w:lang w:val="es-CL"/>
              </w:rPr>
              <w:t>Indicadores Financieros</w:t>
            </w:r>
          </w:p>
        </w:tc>
        <w:tc>
          <w:tcPr>
            <w:tcW w:w="217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Pr>
                <w:b/>
                <w:sz w:val="16"/>
                <w:lang w:val="es-CL"/>
              </w:rPr>
              <w:t>Indicadores Económicos</w:t>
            </w:r>
          </w:p>
        </w:tc>
      </w:tr>
      <w:tr w:rsidR="008A1000" w:rsidTr="00BC619C">
        <w:tc>
          <w:tcPr>
            <w:tcW w:w="3686" w:type="dxa"/>
            <w:gridSpan w:val="2"/>
            <w:vMerge/>
            <w:tcBorders>
              <w:left w:val="single" w:sz="4" w:space="0" w:color="auto"/>
              <w:bottom w:val="single" w:sz="4" w:space="0" w:color="auto"/>
              <w:right w:val="single" w:sz="4" w:space="0" w:color="auto"/>
            </w:tcBorders>
            <w:shd w:val="clear" w:color="auto" w:fill="DEEAF6" w:themeFill="accent5" w:themeFillTint="33"/>
          </w:tcPr>
          <w:p w:rsidR="008A1000" w:rsidRPr="00544D52" w:rsidRDefault="008A1000" w:rsidP="00544D52">
            <w:pPr>
              <w:jc w:val="center"/>
              <w:rPr>
                <w:b/>
                <w:sz w:val="16"/>
                <w:lang w:val="es-CL"/>
              </w:rPr>
            </w:pPr>
          </w:p>
        </w:tc>
        <w:tc>
          <w:tcPr>
            <w:tcW w:w="127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sidRPr="00544D52">
              <w:rPr>
                <w:b/>
                <w:sz w:val="16"/>
                <w:lang w:val="es-CL"/>
              </w:rPr>
              <w:t>VAN F</w:t>
            </w:r>
            <w:r>
              <w:rPr>
                <w:b/>
                <w:sz w:val="16"/>
                <w:lang w:val="es-CL"/>
              </w:rPr>
              <w:t xml:space="preserve"> (US$)</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sidRPr="00544D52">
              <w:rPr>
                <w:b/>
                <w:sz w:val="16"/>
                <w:lang w:val="es-CL"/>
              </w:rPr>
              <w:t>TIR F</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sidRPr="00544D52">
              <w:rPr>
                <w:b/>
                <w:sz w:val="16"/>
                <w:lang w:val="es-CL"/>
              </w:rPr>
              <w:t>VAN E</w:t>
            </w:r>
            <w:r>
              <w:rPr>
                <w:b/>
                <w:sz w:val="16"/>
                <w:lang w:val="es-CL"/>
              </w:rPr>
              <w:t xml:space="preserve"> (US$)</w:t>
            </w:r>
          </w:p>
        </w:tc>
        <w:tc>
          <w:tcPr>
            <w:tcW w:w="7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A1000" w:rsidRPr="00544D52" w:rsidRDefault="008A1000" w:rsidP="00544D52">
            <w:pPr>
              <w:jc w:val="center"/>
              <w:rPr>
                <w:b/>
                <w:sz w:val="16"/>
                <w:lang w:val="es-CL"/>
              </w:rPr>
            </w:pPr>
            <w:r w:rsidRPr="00544D52">
              <w:rPr>
                <w:b/>
                <w:sz w:val="16"/>
                <w:lang w:val="es-CL"/>
              </w:rPr>
              <w:t>TIR E</w:t>
            </w:r>
          </w:p>
        </w:tc>
      </w:tr>
      <w:tr w:rsidR="008A1000" w:rsidTr="009E13E8">
        <w:tc>
          <w:tcPr>
            <w:tcW w:w="1271" w:type="dxa"/>
            <w:vMerge w:val="restart"/>
            <w:tcBorders>
              <w:top w:val="single" w:sz="4" w:space="0" w:color="auto"/>
              <w:left w:val="single" w:sz="4" w:space="0" w:color="auto"/>
              <w:right w:val="single" w:sz="4" w:space="0" w:color="auto"/>
            </w:tcBorders>
            <w:shd w:val="clear" w:color="auto" w:fill="auto"/>
            <w:vAlign w:val="center"/>
          </w:tcPr>
          <w:p w:rsidR="008A1000" w:rsidRPr="008A1000" w:rsidRDefault="008A1000" w:rsidP="001D08CB">
            <w:pPr>
              <w:rPr>
                <w:b/>
                <w:sz w:val="16"/>
                <w:lang w:val="es-CL"/>
              </w:rPr>
            </w:pPr>
            <w:r w:rsidRPr="008A1000">
              <w:rPr>
                <w:b/>
                <w:sz w:val="16"/>
                <w:lang w:val="es-CL"/>
              </w:rPr>
              <w:t>CI. Expansión y Reforzamiento del Sistema Nacional de Transmisión</w:t>
            </w: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1D08CB">
            <w:pPr>
              <w:rPr>
                <w:sz w:val="16"/>
                <w:lang w:val="es-CL"/>
              </w:rPr>
            </w:pPr>
            <w:r w:rsidRPr="00D47ADC">
              <w:rPr>
                <w:sz w:val="16"/>
                <w:lang w:val="es-CL"/>
              </w:rPr>
              <w:t>Ampliación de la Subestación Posorja 138/69 kV</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9.944.502,7</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color w:val="FF0000"/>
                <w:sz w:val="16"/>
                <w:lang w:val="es-CL"/>
              </w:rPr>
              <w:t>-5.634.951,4</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5,2%</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338.667.715,6</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77,5%</w:t>
            </w:r>
          </w:p>
        </w:tc>
      </w:tr>
      <w:tr w:rsidR="008A1000" w:rsidTr="009E13E8">
        <w:tc>
          <w:tcPr>
            <w:tcW w:w="1271" w:type="dxa"/>
            <w:vMerge/>
            <w:tcBorders>
              <w:left w:val="single" w:sz="4" w:space="0" w:color="auto"/>
              <w:right w:val="single" w:sz="4" w:space="0" w:color="auto"/>
            </w:tcBorders>
            <w:shd w:val="clear" w:color="auto" w:fill="auto"/>
            <w:vAlign w:val="center"/>
          </w:tcPr>
          <w:p w:rsidR="008A1000" w:rsidRPr="008A1000" w:rsidRDefault="008A1000" w:rsidP="001D08CB">
            <w:pPr>
              <w:rPr>
                <w:b/>
                <w:sz w:val="16"/>
                <w:lang w:val="es-CL"/>
              </w:rPr>
            </w:pP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1D08CB">
            <w:pPr>
              <w:rPr>
                <w:sz w:val="16"/>
                <w:lang w:val="es-CL"/>
              </w:rPr>
            </w:pPr>
            <w:r w:rsidRPr="00D47ADC">
              <w:rPr>
                <w:sz w:val="16"/>
                <w:lang w:val="es-CL"/>
              </w:rPr>
              <w:t>Sistema de Transmisión Las Orquídeas 230 kV, 225 MVA</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27.582.136,48</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color w:val="FF0000"/>
                <w:sz w:val="16"/>
                <w:lang w:val="es-CL"/>
              </w:rPr>
              <w:t>-16.723.509,5</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5,4%</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546.713.777,1</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80,8%</w:t>
            </w:r>
          </w:p>
        </w:tc>
      </w:tr>
      <w:tr w:rsidR="008A1000" w:rsidTr="009E13E8">
        <w:tc>
          <w:tcPr>
            <w:tcW w:w="1271" w:type="dxa"/>
            <w:vMerge/>
            <w:tcBorders>
              <w:left w:val="single" w:sz="4" w:space="0" w:color="auto"/>
              <w:right w:val="single" w:sz="4" w:space="0" w:color="auto"/>
            </w:tcBorders>
            <w:shd w:val="clear" w:color="auto" w:fill="auto"/>
            <w:vAlign w:val="center"/>
          </w:tcPr>
          <w:p w:rsidR="008A1000" w:rsidRPr="008A1000" w:rsidRDefault="008A1000" w:rsidP="001D08CB">
            <w:pPr>
              <w:rPr>
                <w:b/>
                <w:sz w:val="16"/>
                <w:lang w:val="es-CL"/>
              </w:rPr>
            </w:pP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1D08CB">
            <w:pPr>
              <w:rPr>
                <w:sz w:val="16"/>
                <w:lang w:val="es-CL"/>
              </w:rPr>
            </w:pPr>
            <w:r w:rsidRPr="00D47ADC">
              <w:rPr>
                <w:sz w:val="16"/>
                <w:lang w:val="es-CL"/>
              </w:rPr>
              <w:t>Sistema de Transmisión Tanicuchí 230/138 kV</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23.293.288,26</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color w:val="FF0000"/>
                <w:sz w:val="16"/>
                <w:lang w:val="es-CL"/>
              </w:rPr>
              <w:t>-26.733.482,9</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color w:val="FF0000"/>
                <w:sz w:val="16"/>
                <w:lang w:val="es-CL"/>
              </w:rPr>
              <w:t>-3,4%</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171.322.759,6</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30,3%</w:t>
            </w:r>
          </w:p>
        </w:tc>
      </w:tr>
      <w:tr w:rsidR="008A1000" w:rsidTr="009E13E8">
        <w:tc>
          <w:tcPr>
            <w:tcW w:w="1271" w:type="dxa"/>
            <w:vMerge/>
            <w:tcBorders>
              <w:left w:val="single" w:sz="4" w:space="0" w:color="auto"/>
              <w:right w:val="single" w:sz="4" w:space="0" w:color="auto"/>
            </w:tcBorders>
            <w:shd w:val="clear" w:color="auto" w:fill="auto"/>
            <w:vAlign w:val="center"/>
          </w:tcPr>
          <w:p w:rsidR="008A1000" w:rsidRPr="008A1000" w:rsidRDefault="008A1000" w:rsidP="001D08CB">
            <w:pPr>
              <w:rPr>
                <w:b/>
                <w:sz w:val="16"/>
                <w:lang w:val="es-CL"/>
              </w:rPr>
            </w:pP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1D08CB">
            <w:pPr>
              <w:rPr>
                <w:sz w:val="16"/>
                <w:lang w:val="es-CL"/>
              </w:rPr>
            </w:pPr>
            <w:r w:rsidRPr="00D47ADC">
              <w:rPr>
                <w:sz w:val="16"/>
                <w:lang w:val="es-CL"/>
              </w:rPr>
              <w:t>Sistema de Transmisión La Avanzada 230 kV</w:t>
            </w:r>
            <w:r>
              <w:rPr>
                <w:rStyle w:val="FootnoteReference"/>
                <w:sz w:val="16"/>
                <w:lang w:val="es-CL"/>
              </w:rPr>
              <w:footnoteReference w:id="1"/>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31.957.862,5</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color w:val="FF0000"/>
                <w:sz w:val="16"/>
                <w:lang w:val="es-CL"/>
              </w:rPr>
              <w:t>-36.328.094,0</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color w:val="FF0000"/>
                <w:sz w:val="16"/>
                <w:lang w:val="es-CL"/>
              </w:rPr>
              <w:t>-2,0%</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275.582.648,4</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30,2%</w:t>
            </w:r>
          </w:p>
        </w:tc>
      </w:tr>
      <w:tr w:rsidR="008A1000" w:rsidTr="009E13E8">
        <w:tc>
          <w:tcPr>
            <w:tcW w:w="1271" w:type="dxa"/>
            <w:vMerge/>
            <w:tcBorders>
              <w:left w:val="single" w:sz="4" w:space="0" w:color="auto"/>
              <w:right w:val="single" w:sz="4" w:space="0" w:color="auto"/>
            </w:tcBorders>
            <w:shd w:val="clear" w:color="auto" w:fill="auto"/>
            <w:vAlign w:val="center"/>
          </w:tcPr>
          <w:p w:rsidR="008A1000" w:rsidRPr="008A1000" w:rsidRDefault="008A1000" w:rsidP="001D08CB">
            <w:pPr>
              <w:rPr>
                <w:b/>
                <w:sz w:val="16"/>
                <w:lang w:val="es-CL"/>
              </w:rPr>
            </w:pP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1D08CB">
            <w:pPr>
              <w:rPr>
                <w:sz w:val="16"/>
                <w:lang w:val="es-CL"/>
              </w:rPr>
            </w:pPr>
            <w:r w:rsidRPr="00D47ADC">
              <w:rPr>
                <w:sz w:val="16"/>
                <w:lang w:val="es-CL"/>
              </w:rPr>
              <w:t>Construcción de la Subestación Cajas 230/69 kV, 167 MVA</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21.099.000,0</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color w:val="FF0000"/>
                <w:sz w:val="16"/>
                <w:lang w:val="es-CL"/>
              </w:rPr>
              <w:t>-21.742.997,0</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1,1%</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282.652.356,4</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35,3%</w:t>
            </w:r>
          </w:p>
        </w:tc>
      </w:tr>
      <w:tr w:rsidR="008A1000" w:rsidTr="009E13E8">
        <w:tc>
          <w:tcPr>
            <w:tcW w:w="1271" w:type="dxa"/>
            <w:vMerge/>
            <w:tcBorders>
              <w:left w:val="single" w:sz="4" w:space="0" w:color="auto"/>
              <w:bottom w:val="single" w:sz="4" w:space="0" w:color="auto"/>
              <w:right w:val="single" w:sz="4" w:space="0" w:color="auto"/>
            </w:tcBorders>
            <w:shd w:val="clear" w:color="auto" w:fill="auto"/>
            <w:vAlign w:val="center"/>
          </w:tcPr>
          <w:p w:rsidR="008A1000" w:rsidRPr="008A1000" w:rsidRDefault="008A1000" w:rsidP="001D08CB">
            <w:pPr>
              <w:rPr>
                <w:b/>
                <w:sz w:val="16"/>
                <w:lang w:val="es-CL"/>
              </w:rPr>
            </w:pPr>
          </w:p>
        </w:tc>
        <w:tc>
          <w:tcPr>
            <w:tcW w:w="24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A5971" w:rsidRDefault="008A1000" w:rsidP="001D08CB">
            <w:pPr>
              <w:rPr>
                <w:b/>
                <w:sz w:val="16"/>
                <w:lang w:val="es-CL"/>
              </w:rPr>
            </w:pPr>
            <w:r w:rsidRPr="00DA5971">
              <w:rPr>
                <w:b/>
                <w:sz w:val="16"/>
                <w:lang w:val="es-CL"/>
              </w:rPr>
              <w:t>TOTAL C I</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A5971" w:rsidRDefault="008A1000" w:rsidP="00AC6630">
            <w:pPr>
              <w:jc w:val="center"/>
              <w:rPr>
                <w:b/>
                <w:sz w:val="16"/>
                <w:lang w:val="es-CL"/>
              </w:rPr>
            </w:pPr>
            <w:r w:rsidRPr="00DA5971">
              <w:rPr>
                <w:b/>
                <w:sz w:val="16"/>
                <w:lang w:val="es-CL"/>
              </w:rPr>
              <w:t>113.876.790,01</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A5971" w:rsidRDefault="008A1000" w:rsidP="00AC6630">
            <w:pPr>
              <w:jc w:val="center"/>
              <w:rPr>
                <w:b/>
                <w:sz w:val="16"/>
                <w:lang w:val="es-CL"/>
              </w:rPr>
            </w:pPr>
            <w:r w:rsidRPr="00DA5971">
              <w:rPr>
                <w:b/>
                <w:color w:val="FF0000"/>
                <w:sz w:val="16"/>
                <w:lang w:val="es-CL"/>
              </w:rPr>
              <w:t>-107.163.034,7</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A5971" w:rsidRDefault="008A1000" w:rsidP="00AC6630">
            <w:pPr>
              <w:jc w:val="center"/>
              <w:rPr>
                <w:b/>
                <w:sz w:val="16"/>
                <w:lang w:val="es-CL"/>
              </w:rPr>
            </w:pPr>
            <w:r w:rsidRPr="00DA5971">
              <w:rPr>
                <w:b/>
                <w:sz w:val="16"/>
                <w:lang w:val="es-CL"/>
              </w:rPr>
              <w:t>1,0%</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A5971" w:rsidRDefault="008A1000" w:rsidP="00AC6630">
            <w:pPr>
              <w:jc w:val="center"/>
              <w:rPr>
                <w:b/>
                <w:sz w:val="16"/>
                <w:lang w:val="es-CL"/>
              </w:rPr>
            </w:pPr>
            <w:r>
              <w:rPr>
                <w:b/>
                <w:sz w:val="16"/>
                <w:lang w:val="es-CL"/>
              </w:rPr>
              <w:t>1.202.254.925,7</w:t>
            </w:r>
          </w:p>
        </w:tc>
        <w:tc>
          <w:tcPr>
            <w:tcW w:w="7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A5971" w:rsidRDefault="008A1000" w:rsidP="00AC6630">
            <w:pPr>
              <w:jc w:val="center"/>
              <w:rPr>
                <w:b/>
                <w:sz w:val="16"/>
                <w:lang w:val="es-CL"/>
              </w:rPr>
            </w:pPr>
            <w:r>
              <w:rPr>
                <w:b/>
                <w:sz w:val="16"/>
                <w:lang w:val="es-CL"/>
              </w:rPr>
              <w:t>52,4%</w:t>
            </w:r>
          </w:p>
        </w:tc>
      </w:tr>
      <w:tr w:rsidR="008A1000" w:rsidTr="009E13E8">
        <w:tc>
          <w:tcPr>
            <w:tcW w:w="1271" w:type="dxa"/>
            <w:vMerge w:val="restart"/>
            <w:tcBorders>
              <w:top w:val="single" w:sz="4" w:space="0" w:color="auto"/>
              <w:left w:val="single" w:sz="4" w:space="0" w:color="auto"/>
              <w:right w:val="single" w:sz="4" w:space="0" w:color="auto"/>
            </w:tcBorders>
            <w:shd w:val="clear" w:color="auto" w:fill="auto"/>
            <w:vAlign w:val="center"/>
          </w:tcPr>
          <w:p w:rsidR="008A1000" w:rsidRPr="008A1000" w:rsidRDefault="008A1000" w:rsidP="001D08CB">
            <w:pPr>
              <w:rPr>
                <w:b/>
                <w:sz w:val="16"/>
                <w:lang w:val="es-CL"/>
              </w:rPr>
            </w:pPr>
            <w:r w:rsidRPr="008A1000">
              <w:rPr>
                <w:b/>
                <w:sz w:val="16"/>
                <w:lang w:val="es-CL"/>
              </w:rPr>
              <w:t>CII. Expansión y Modernización del Sistema Nacional de Distribución</w:t>
            </w: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1D08CB">
            <w:pPr>
              <w:rPr>
                <w:sz w:val="16"/>
                <w:lang w:val="es-CL"/>
              </w:rPr>
            </w:pPr>
            <w:r w:rsidRPr="00D47ADC">
              <w:rPr>
                <w:sz w:val="16"/>
                <w:lang w:val="es-CL"/>
              </w:rPr>
              <w:t>Expansión y Reforzamiento de la Infraestructura de distribución.</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47.740.604,2</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color w:val="FF0000"/>
                <w:sz w:val="16"/>
                <w:lang w:val="es-CL"/>
              </w:rPr>
            </w:pPr>
            <w:r w:rsidRPr="00D47ADC">
              <w:rPr>
                <w:sz w:val="16"/>
                <w:lang w:val="es-CL"/>
              </w:rPr>
              <w:t>126.047.457,0</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23,9%</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613.258.902,2</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52,1%</w:t>
            </w:r>
          </w:p>
        </w:tc>
      </w:tr>
      <w:tr w:rsidR="008A1000" w:rsidTr="009E13E8">
        <w:trPr>
          <w:trHeight w:val="278"/>
        </w:trPr>
        <w:tc>
          <w:tcPr>
            <w:tcW w:w="1271" w:type="dxa"/>
            <w:vMerge/>
            <w:tcBorders>
              <w:left w:val="single" w:sz="4" w:space="0" w:color="auto"/>
              <w:right w:val="single" w:sz="4" w:space="0" w:color="auto"/>
            </w:tcBorders>
            <w:shd w:val="clear" w:color="auto" w:fill="auto"/>
            <w:vAlign w:val="center"/>
          </w:tcPr>
          <w:p w:rsidR="008A1000" w:rsidRPr="008A1000" w:rsidRDefault="008A1000" w:rsidP="001D08CB">
            <w:pPr>
              <w:rPr>
                <w:b/>
                <w:sz w:val="16"/>
                <w:lang w:val="es-CL"/>
              </w:rPr>
            </w:pP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1D08CB">
            <w:pPr>
              <w:rPr>
                <w:sz w:val="16"/>
                <w:lang w:val="es-CL"/>
              </w:rPr>
            </w:pPr>
            <w:r w:rsidRPr="00D47ADC">
              <w:rPr>
                <w:sz w:val="16"/>
                <w:lang w:val="es-CL"/>
              </w:rPr>
              <w:t>Proyectos FERUM</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30.406.926,8</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color w:val="FF0000"/>
                <w:sz w:val="16"/>
                <w:lang w:val="es-CL"/>
              </w:rPr>
            </w:pPr>
            <w:r w:rsidRPr="00D47ADC">
              <w:rPr>
                <w:color w:val="FF0000"/>
                <w:sz w:val="16"/>
                <w:lang w:val="es-CL"/>
              </w:rPr>
              <w:t>-15.431.924,5</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1,65%</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Pr>
                <w:sz w:val="16"/>
                <w:lang w:val="es-CL"/>
              </w:rPr>
              <w:t>8.870.815,8</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AC6630">
            <w:pPr>
              <w:jc w:val="center"/>
              <w:rPr>
                <w:sz w:val="16"/>
                <w:lang w:val="es-CL"/>
              </w:rPr>
            </w:pPr>
            <w:r w:rsidRPr="00D47ADC">
              <w:rPr>
                <w:sz w:val="16"/>
                <w:lang w:val="es-CL"/>
              </w:rPr>
              <w:t>15,</w:t>
            </w:r>
            <w:r>
              <w:rPr>
                <w:sz w:val="16"/>
                <w:lang w:val="es-CL"/>
              </w:rPr>
              <w:t>9</w:t>
            </w:r>
            <w:r w:rsidRPr="00D47ADC">
              <w:rPr>
                <w:sz w:val="16"/>
                <w:lang w:val="es-CL"/>
              </w:rPr>
              <w:t>%</w:t>
            </w:r>
          </w:p>
        </w:tc>
      </w:tr>
      <w:tr w:rsidR="008A1000" w:rsidTr="009E13E8">
        <w:trPr>
          <w:trHeight w:val="447"/>
        </w:trPr>
        <w:tc>
          <w:tcPr>
            <w:tcW w:w="1271" w:type="dxa"/>
            <w:vMerge/>
            <w:tcBorders>
              <w:left w:val="single" w:sz="4" w:space="0" w:color="auto"/>
              <w:right w:val="single" w:sz="4" w:space="0" w:color="auto"/>
            </w:tcBorders>
            <w:shd w:val="clear" w:color="auto" w:fill="auto"/>
            <w:vAlign w:val="center"/>
          </w:tcPr>
          <w:p w:rsidR="008A1000" w:rsidRPr="008A1000" w:rsidRDefault="008A1000" w:rsidP="00B97023">
            <w:pPr>
              <w:rPr>
                <w:b/>
                <w:sz w:val="16"/>
                <w:lang w:val="es-CL"/>
              </w:rPr>
            </w:pP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B97023" w:rsidRDefault="008A1000" w:rsidP="00B97023">
            <w:pPr>
              <w:rPr>
                <w:sz w:val="16"/>
                <w:lang w:val="es-CL"/>
              </w:rPr>
            </w:pPr>
            <w:r w:rsidRPr="00B97023">
              <w:rPr>
                <w:sz w:val="16"/>
                <w:lang w:val="es-CL"/>
              </w:rPr>
              <w:t>Repotenciación y extensión de redes de distribución para energizar la Agroindustria</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B97023" w:rsidRDefault="008A1000" w:rsidP="00B97023">
            <w:pPr>
              <w:jc w:val="center"/>
              <w:rPr>
                <w:sz w:val="16"/>
                <w:lang w:val="es-CL"/>
              </w:rPr>
            </w:pPr>
            <w:r w:rsidRPr="00B97023">
              <w:rPr>
                <w:sz w:val="16"/>
                <w:lang w:val="es-CL"/>
              </w:rPr>
              <w:t>23.575.680,02</w:t>
            </w:r>
          </w:p>
        </w:tc>
        <w:tc>
          <w:tcPr>
            <w:tcW w:w="1418" w:type="dxa"/>
            <w:tcBorders>
              <w:top w:val="single" w:sz="4" w:space="0" w:color="auto"/>
              <w:left w:val="single" w:sz="4" w:space="0" w:color="auto"/>
              <w:bottom w:val="single" w:sz="4" w:space="0" w:color="auto"/>
              <w:right w:val="single" w:sz="4" w:space="0" w:color="auto"/>
            </w:tcBorders>
            <w:vAlign w:val="center"/>
          </w:tcPr>
          <w:p w:rsidR="008A1000" w:rsidRPr="00B97023" w:rsidRDefault="008A1000" w:rsidP="00B97023">
            <w:pPr>
              <w:jc w:val="center"/>
              <w:rPr>
                <w:color w:val="FF0000"/>
                <w:sz w:val="16"/>
                <w:lang w:val="es-CL"/>
              </w:rPr>
            </w:pPr>
            <w:r w:rsidRPr="00B97023">
              <w:rPr>
                <w:sz w:val="16"/>
                <w:lang w:val="es-CL"/>
              </w:rPr>
              <w:t>54.142.412,40</w:t>
            </w:r>
          </w:p>
        </w:tc>
        <w:tc>
          <w:tcPr>
            <w:tcW w:w="709" w:type="dxa"/>
            <w:tcBorders>
              <w:top w:val="single" w:sz="4" w:space="0" w:color="auto"/>
              <w:left w:val="single" w:sz="4" w:space="0" w:color="auto"/>
              <w:bottom w:val="single" w:sz="4" w:space="0" w:color="auto"/>
              <w:right w:val="single" w:sz="4" w:space="0" w:color="auto"/>
            </w:tcBorders>
            <w:vAlign w:val="center"/>
          </w:tcPr>
          <w:p w:rsidR="008A1000" w:rsidRPr="00B97023" w:rsidRDefault="008A1000" w:rsidP="00B97023">
            <w:pPr>
              <w:jc w:val="center"/>
              <w:rPr>
                <w:sz w:val="16"/>
                <w:lang w:val="es-CL"/>
              </w:rPr>
            </w:pPr>
            <w:r w:rsidRPr="00B97023">
              <w:rPr>
                <w:sz w:val="16"/>
                <w:lang w:val="es-CL"/>
              </w:rPr>
              <w:t>28,8%</w:t>
            </w: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B97023" w:rsidRDefault="008A1000" w:rsidP="00B97023">
            <w:pPr>
              <w:jc w:val="center"/>
              <w:rPr>
                <w:sz w:val="16"/>
                <w:lang w:val="es-CL"/>
              </w:rPr>
            </w:pPr>
            <w:r w:rsidRPr="00B97023">
              <w:rPr>
                <w:sz w:val="16"/>
                <w:lang w:val="es-CL"/>
              </w:rPr>
              <w:t>323.900.528,94</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B97023" w:rsidRDefault="008A1000" w:rsidP="00B97023">
            <w:pPr>
              <w:jc w:val="center"/>
              <w:rPr>
                <w:sz w:val="16"/>
                <w:lang w:val="es-CL"/>
              </w:rPr>
            </w:pPr>
            <w:r w:rsidRPr="00B97023">
              <w:rPr>
                <w:sz w:val="16"/>
                <w:lang w:val="es-CL"/>
              </w:rPr>
              <w:t>42,9%</w:t>
            </w:r>
          </w:p>
        </w:tc>
      </w:tr>
      <w:tr w:rsidR="008A1000" w:rsidTr="009E13E8">
        <w:tc>
          <w:tcPr>
            <w:tcW w:w="1271" w:type="dxa"/>
            <w:vMerge/>
            <w:tcBorders>
              <w:left w:val="single" w:sz="4" w:space="0" w:color="auto"/>
              <w:bottom w:val="single" w:sz="4" w:space="0" w:color="auto"/>
              <w:right w:val="single" w:sz="4" w:space="0" w:color="auto"/>
            </w:tcBorders>
            <w:shd w:val="clear" w:color="auto" w:fill="auto"/>
            <w:vAlign w:val="center"/>
          </w:tcPr>
          <w:p w:rsidR="008A1000" w:rsidRPr="008A1000" w:rsidRDefault="008A1000" w:rsidP="00B97023">
            <w:pPr>
              <w:rPr>
                <w:b/>
                <w:sz w:val="16"/>
                <w:lang w:val="es-CL"/>
              </w:rPr>
            </w:pPr>
          </w:p>
        </w:tc>
        <w:tc>
          <w:tcPr>
            <w:tcW w:w="24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6248FB" w:rsidRDefault="008A1000" w:rsidP="00B97023">
            <w:pPr>
              <w:rPr>
                <w:b/>
                <w:sz w:val="16"/>
                <w:highlight w:val="yellow"/>
                <w:lang w:val="es-CL"/>
              </w:rPr>
            </w:pPr>
            <w:r w:rsidRPr="00B97023">
              <w:rPr>
                <w:b/>
                <w:sz w:val="16"/>
                <w:lang w:val="es-CL"/>
              </w:rPr>
              <w:t>TOTAL C II</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6248FB" w:rsidRDefault="008A1000" w:rsidP="00B97023">
            <w:pPr>
              <w:jc w:val="center"/>
              <w:rPr>
                <w:b/>
                <w:sz w:val="16"/>
                <w:highlight w:val="yellow"/>
                <w:lang w:val="es-CL"/>
              </w:rPr>
            </w:pPr>
            <w:r w:rsidRPr="00B97023">
              <w:rPr>
                <w:b/>
                <w:sz w:val="16"/>
                <w:lang w:val="es-CL"/>
              </w:rPr>
              <w:t>101.723.210,99</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6248FB" w:rsidRDefault="008A1000" w:rsidP="00B97023">
            <w:pPr>
              <w:jc w:val="center"/>
              <w:rPr>
                <w:b/>
                <w:sz w:val="16"/>
                <w:highlight w:val="yellow"/>
                <w:lang w:val="es-CL"/>
              </w:rPr>
            </w:pPr>
            <w:r w:rsidRPr="00B97023">
              <w:rPr>
                <w:b/>
                <w:sz w:val="16"/>
                <w:lang w:val="es-CL"/>
              </w:rPr>
              <w:t>164.757.944,85</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6248FB" w:rsidRDefault="008A1000" w:rsidP="00B97023">
            <w:pPr>
              <w:jc w:val="center"/>
              <w:rPr>
                <w:b/>
                <w:sz w:val="16"/>
                <w:highlight w:val="yellow"/>
                <w:lang w:val="es-CL"/>
              </w:rPr>
            </w:pPr>
            <w:r w:rsidRPr="00B97023">
              <w:rPr>
                <w:b/>
                <w:sz w:val="16"/>
                <w:lang w:val="es-CL"/>
              </w:rPr>
              <w:t>22,1%</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6248FB" w:rsidRDefault="008A1000" w:rsidP="00B97023">
            <w:pPr>
              <w:jc w:val="center"/>
              <w:rPr>
                <w:b/>
                <w:sz w:val="16"/>
                <w:highlight w:val="yellow"/>
                <w:lang w:val="es-CL"/>
              </w:rPr>
            </w:pPr>
            <w:r>
              <w:rPr>
                <w:b/>
                <w:sz w:val="16"/>
                <w:lang w:val="es-CL"/>
              </w:rPr>
              <w:t>945</w:t>
            </w:r>
            <w:r w:rsidRPr="00B97023">
              <w:rPr>
                <w:b/>
                <w:sz w:val="16"/>
                <w:lang w:val="es-CL"/>
              </w:rPr>
              <w:t>.6</w:t>
            </w:r>
            <w:r>
              <w:rPr>
                <w:b/>
                <w:sz w:val="16"/>
                <w:lang w:val="es-CL"/>
              </w:rPr>
              <w:t>44</w:t>
            </w:r>
            <w:r w:rsidRPr="00B97023">
              <w:rPr>
                <w:b/>
                <w:sz w:val="16"/>
                <w:lang w:val="es-CL"/>
              </w:rPr>
              <w:t>.0</w:t>
            </w:r>
            <w:r>
              <w:rPr>
                <w:b/>
                <w:sz w:val="16"/>
                <w:lang w:val="es-CL"/>
              </w:rPr>
              <w:t>92,3</w:t>
            </w:r>
          </w:p>
        </w:tc>
        <w:tc>
          <w:tcPr>
            <w:tcW w:w="7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6248FB" w:rsidRDefault="008A1000" w:rsidP="00B97023">
            <w:pPr>
              <w:jc w:val="center"/>
              <w:rPr>
                <w:b/>
                <w:sz w:val="16"/>
                <w:highlight w:val="yellow"/>
                <w:lang w:val="es-CL"/>
              </w:rPr>
            </w:pPr>
            <w:r>
              <w:rPr>
                <w:b/>
                <w:sz w:val="16"/>
                <w:lang w:val="es-CL"/>
              </w:rPr>
              <w:t>43</w:t>
            </w:r>
            <w:r w:rsidRPr="00B97023">
              <w:rPr>
                <w:b/>
                <w:sz w:val="16"/>
                <w:lang w:val="es-CL"/>
              </w:rPr>
              <w:t>,</w:t>
            </w:r>
            <w:r>
              <w:rPr>
                <w:b/>
                <w:sz w:val="16"/>
                <w:lang w:val="es-CL"/>
              </w:rPr>
              <w:t>0</w:t>
            </w:r>
            <w:r w:rsidRPr="00B97023">
              <w:rPr>
                <w:b/>
                <w:sz w:val="16"/>
                <w:lang w:val="es-CL"/>
              </w:rPr>
              <w:t>%</w:t>
            </w:r>
          </w:p>
        </w:tc>
      </w:tr>
      <w:tr w:rsidR="008A1000" w:rsidTr="00A21AC2">
        <w:tc>
          <w:tcPr>
            <w:tcW w:w="1271" w:type="dxa"/>
            <w:vMerge w:val="restart"/>
            <w:tcBorders>
              <w:top w:val="single" w:sz="4" w:space="0" w:color="auto"/>
              <w:left w:val="single" w:sz="4" w:space="0" w:color="auto"/>
              <w:right w:val="single" w:sz="4" w:space="0" w:color="auto"/>
            </w:tcBorders>
            <w:shd w:val="clear" w:color="auto" w:fill="auto"/>
            <w:vAlign w:val="center"/>
          </w:tcPr>
          <w:p w:rsidR="008A1000" w:rsidRPr="008A1000" w:rsidRDefault="008A1000" w:rsidP="00B97023">
            <w:pPr>
              <w:rPr>
                <w:b/>
                <w:sz w:val="16"/>
                <w:lang w:val="es-CL"/>
              </w:rPr>
            </w:pPr>
            <w:r w:rsidRPr="008A1000">
              <w:rPr>
                <w:b/>
                <w:sz w:val="16"/>
                <w:lang w:val="es-CL"/>
              </w:rPr>
              <w:t>CIII. Programa de eficiencia energética en la Agroindustria</w:t>
            </w:r>
          </w:p>
        </w:tc>
        <w:tc>
          <w:tcPr>
            <w:tcW w:w="241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B97023">
            <w:pPr>
              <w:rPr>
                <w:sz w:val="16"/>
                <w:lang w:val="es-CL"/>
              </w:rPr>
            </w:pPr>
            <w:r w:rsidRPr="00D47ADC">
              <w:rPr>
                <w:sz w:val="16"/>
                <w:lang w:val="es-CL"/>
              </w:rPr>
              <w:t>Programa de eficiencia energética en la Agroindustria</w:t>
            </w:r>
          </w:p>
        </w:tc>
        <w:tc>
          <w:tcPr>
            <w:tcW w:w="1275"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B97023">
            <w:pPr>
              <w:jc w:val="center"/>
              <w:rPr>
                <w:sz w:val="16"/>
                <w:lang w:val="es-CL"/>
              </w:rPr>
            </w:pPr>
            <w:r w:rsidRPr="00D47ADC">
              <w:rPr>
                <w:sz w:val="16"/>
                <w:lang w:val="es-CL"/>
              </w:rPr>
              <w:t>2.400.000,00</w:t>
            </w:r>
          </w:p>
        </w:tc>
        <w:tc>
          <w:tcPr>
            <w:tcW w:w="141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8A1000" w:rsidRPr="00D47ADC" w:rsidRDefault="008A1000" w:rsidP="00B97023">
            <w:pPr>
              <w:jc w:val="center"/>
              <w:rPr>
                <w:color w:val="FF0000"/>
                <w:sz w:val="16"/>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8A1000" w:rsidRPr="00D47ADC" w:rsidRDefault="008A1000" w:rsidP="00B97023">
            <w:pPr>
              <w:jc w:val="center"/>
              <w:rPr>
                <w:sz w:val="16"/>
                <w:lang w:val="es-CL"/>
              </w:rPr>
            </w:pPr>
          </w:p>
        </w:tc>
        <w:tc>
          <w:tcPr>
            <w:tcW w:w="1417"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B97023">
            <w:pPr>
              <w:jc w:val="center"/>
              <w:rPr>
                <w:sz w:val="16"/>
                <w:lang w:val="es-CL"/>
              </w:rPr>
            </w:pPr>
            <w:r w:rsidRPr="00D47ADC">
              <w:rPr>
                <w:sz w:val="16"/>
                <w:lang w:val="es-CL"/>
              </w:rPr>
              <w:t>22.344.554,94</w:t>
            </w:r>
          </w:p>
        </w:tc>
        <w:tc>
          <w:tcPr>
            <w:tcW w:w="753" w:type="dxa"/>
            <w:tcBorders>
              <w:top w:val="single" w:sz="4" w:space="0" w:color="auto"/>
              <w:left w:val="single" w:sz="4" w:space="0" w:color="auto"/>
              <w:bottom w:val="single" w:sz="4" w:space="0" w:color="auto"/>
              <w:right w:val="single" w:sz="4" w:space="0" w:color="auto"/>
            </w:tcBorders>
            <w:vAlign w:val="center"/>
          </w:tcPr>
          <w:p w:rsidR="008A1000" w:rsidRPr="00D47ADC" w:rsidRDefault="008A1000" w:rsidP="00B97023">
            <w:pPr>
              <w:jc w:val="center"/>
              <w:rPr>
                <w:sz w:val="16"/>
                <w:lang w:val="es-CL"/>
              </w:rPr>
            </w:pPr>
            <w:r w:rsidRPr="00D47ADC">
              <w:rPr>
                <w:sz w:val="16"/>
                <w:lang w:val="es-CL"/>
              </w:rPr>
              <w:t>55,2%</w:t>
            </w:r>
          </w:p>
        </w:tc>
      </w:tr>
      <w:tr w:rsidR="008A1000" w:rsidTr="009E13E8">
        <w:tc>
          <w:tcPr>
            <w:tcW w:w="1271" w:type="dxa"/>
            <w:vMerge/>
            <w:tcBorders>
              <w:left w:val="single" w:sz="4" w:space="0" w:color="auto"/>
              <w:bottom w:val="single" w:sz="4" w:space="0" w:color="auto"/>
              <w:right w:val="single" w:sz="4" w:space="0" w:color="auto"/>
            </w:tcBorders>
            <w:shd w:val="clear" w:color="auto" w:fill="auto"/>
            <w:vAlign w:val="center"/>
          </w:tcPr>
          <w:p w:rsidR="008A1000" w:rsidRPr="008A1000" w:rsidRDefault="008A1000" w:rsidP="00B97023">
            <w:pPr>
              <w:rPr>
                <w:b/>
                <w:sz w:val="16"/>
                <w:lang w:val="es-CL"/>
              </w:rPr>
            </w:pPr>
          </w:p>
        </w:tc>
        <w:tc>
          <w:tcPr>
            <w:tcW w:w="24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B97023" w:rsidRDefault="008A1000" w:rsidP="00B97023">
            <w:pPr>
              <w:rPr>
                <w:b/>
                <w:sz w:val="16"/>
                <w:lang w:val="es-CL"/>
              </w:rPr>
            </w:pPr>
            <w:r w:rsidRPr="00B97023">
              <w:rPr>
                <w:b/>
                <w:sz w:val="16"/>
                <w:lang w:val="es-CL"/>
              </w:rPr>
              <w:t>TOTAL C III</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47ADC" w:rsidRDefault="008A1000" w:rsidP="00B97023">
            <w:pPr>
              <w:jc w:val="center"/>
              <w:rPr>
                <w:sz w:val="16"/>
                <w:lang w:val="es-CL"/>
              </w:rPr>
            </w:pPr>
            <w:r w:rsidRPr="00D47ADC">
              <w:rPr>
                <w:sz w:val="16"/>
                <w:lang w:val="es-CL"/>
              </w:rPr>
              <w:t>2.400.000,00</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47ADC" w:rsidRDefault="008A1000" w:rsidP="00B97023">
            <w:pPr>
              <w:jc w:val="center"/>
              <w:rPr>
                <w:color w:val="FF0000"/>
                <w:sz w:val="16"/>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47ADC" w:rsidRDefault="008A1000" w:rsidP="00B97023">
            <w:pPr>
              <w:jc w:val="center"/>
              <w:rPr>
                <w:sz w:val="16"/>
                <w:lang w:val="es-CL"/>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47ADC" w:rsidRDefault="008A1000" w:rsidP="00B97023">
            <w:pPr>
              <w:jc w:val="center"/>
              <w:rPr>
                <w:sz w:val="16"/>
                <w:lang w:val="es-CL"/>
              </w:rPr>
            </w:pPr>
            <w:r w:rsidRPr="00D47ADC">
              <w:rPr>
                <w:sz w:val="16"/>
                <w:lang w:val="es-CL"/>
              </w:rPr>
              <w:t>22.344.554,94</w:t>
            </w:r>
          </w:p>
        </w:tc>
        <w:tc>
          <w:tcPr>
            <w:tcW w:w="7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A1000" w:rsidRPr="00D47ADC" w:rsidRDefault="008A1000" w:rsidP="00B97023">
            <w:pPr>
              <w:jc w:val="center"/>
              <w:rPr>
                <w:sz w:val="16"/>
                <w:lang w:val="es-CL"/>
              </w:rPr>
            </w:pPr>
            <w:r w:rsidRPr="00D47ADC">
              <w:rPr>
                <w:sz w:val="16"/>
                <w:lang w:val="es-CL"/>
              </w:rPr>
              <w:t>55,2%</w:t>
            </w:r>
          </w:p>
        </w:tc>
      </w:tr>
      <w:tr w:rsidR="008A1000" w:rsidTr="009E13E8">
        <w:tc>
          <w:tcPr>
            <w:tcW w:w="1271" w:type="dxa"/>
            <w:vMerge w:val="restart"/>
            <w:tcBorders>
              <w:top w:val="single" w:sz="4" w:space="0" w:color="auto"/>
              <w:left w:val="single" w:sz="4" w:space="0" w:color="auto"/>
              <w:right w:val="single" w:sz="4" w:space="0" w:color="auto"/>
            </w:tcBorders>
            <w:shd w:val="clear" w:color="auto" w:fill="E2EFD9" w:themeFill="accent6" w:themeFillTint="33"/>
            <w:vAlign w:val="center"/>
          </w:tcPr>
          <w:p w:rsidR="008A1000" w:rsidRPr="008A1000" w:rsidRDefault="008A1000" w:rsidP="00B97023">
            <w:pPr>
              <w:jc w:val="center"/>
              <w:rPr>
                <w:b/>
                <w:sz w:val="16"/>
                <w:lang w:val="es-CL"/>
              </w:rPr>
            </w:pPr>
            <w:r w:rsidRPr="008A1000">
              <w:rPr>
                <w:b/>
                <w:sz w:val="16"/>
                <w:lang w:val="es-CL"/>
              </w:rPr>
              <w:t>Programa Integral</w:t>
            </w:r>
          </w:p>
        </w:tc>
        <w:tc>
          <w:tcPr>
            <w:tcW w:w="241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Proyectos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Inversión US$ (sin IVA)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Indicadores Financieros</w:t>
            </w:r>
          </w:p>
        </w:tc>
        <w:tc>
          <w:tcPr>
            <w:tcW w:w="217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Indicadores Económicos</w:t>
            </w:r>
          </w:p>
        </w:tc>
      </w:tr>
      <w:tr w:rsidR="008A1000" w:rsidTr="009E13E8">
        <w:tc>
          <w:tcPr>
            <w:tcW w:w="1271" w:type="dxa"/>
            <w:vMerge/>
            <w:tcBorders>
              <w:left w:val="single" w:sz="4" w:space="0" w:color="auto"/>
              <w:right w:val="single" w:sz="4" w:space="0" w:color="auto"/>
            </w:tcBorders>
            <w:shd w:val="clear" w:color="auto" w:fill="E2EFD9" w:themeFill="accent6" w:themeFillTint="33"/>
          </w:tcPr>
          <w:p w:rsidR="008A1000" w:rsidRPr="00D47ADC" w:rsidRDefault="008A1000" w:rsidP="00B97023">
            <w:pPr>
              <w:jc w:val="center"/>
              <w:rPr>
                <w:b/>
                <w:sz w:val="16"/>
                <w:lang w:val="es-CL"/>
              </w:rPr>
            </w:pPr>
          </w:p>
        </w:tc>
        <w:tc>
          <w:tcPr>
            <w:tcW w:w="241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p>
        </w:tc>
        <w:tc>
          <w:tcPr>
            <w:tcW w:w="127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VAN F (US$)</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TIR F</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VAN E (US$)</w:t>
            </w:r>
          </w:p>
        </w:tc>
        <w:tc>
          <w:tcPr>
            <w:tcW w:w="75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sidRPr="00D47ADC">
              <w:rPr>
                <w:b/>
                <w:sz w:val="16"/>
                <w:lang w:val="es-CL"/>
              </w:rPr>
              <w:t>TIR E</w:t>
            </w:r>
          </w:p>
        </w:tc>
      </w:tr>
      <w:tr w:rsidR="008A1000" w:rsidTr="009E13E8">
        <w:tc>
          <w:tcPr>
            <w:tcW w:w="1271" w:type="dxa"/>
            <w:vMerge/>
            <w:tcBorders>
              <w:left w:val="single" w:sz="4" w:space="0" w:color="auto"/>
              <w:bottom w:val="single" w:sz="4" w:space="0" w:color="auto"/>
              <w:right w:val="single" w:sz="4" w:space="0" w:color="auto"/>
            </w:tcBorders>
            <w:shd w:val="clear" w:color="auto" w:fill="E2EFD9" w:themeFill="accent6" w:themeFillTint="33"/>
          </w:tcPr>
          <w:p w:rsidR="008A1000" w:rsidRPr="00D47ADC" w:rsidRDefault="008A1000" w:rsidP="00B97023">
            <w:pPr>
              <w:jc w:val="center"/>
              <w:rPr>
                <w:b/>
                <w:sz w:val="16"/>
                <w:lang w:val="es-CL"/>
              </w:rPr>
            </w:pPr>
          </w:p>
        </w:tc>
        <w:tc>
          <w:tcPr>
            <w:tcW w:w="241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Pr>
                <w:b/>
                <w:sz w:val="16"/>
                <w:lang w:val="es-CL"/>
              </w:rPr>
              <w:t>CI-CII-CIII</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Pr>
                <w:b/>
                <w:sz w:val="16"/>
                <w:lang w:val="es-CL"/>
              </w:rPr>
              <w:t>218.000.000</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Pr>
                <w:b/>
                <w:sz w:val="16"/>
                <w:lang w:val="es-CL"/>
              </w:rPr>
              <w:t>55.194.910,1</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Pr>
                <w:b/>
                <w:sz w:val="16"/>
                <w:lang w:val="es-CL"/>
              </w:rPr>
              <w:t>13,9%</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Pr>
                <w:b/>
                <w:sz w:val="16"/>
                <w:lang w:val="es-CL"/>
              </w:rPr>
              <w:t>2.</w:t>
            </w:r>
            <w:r w:rsidR="001813A6">
              <w:rPr>
                <w:b/>
                <w:sz w:val="16"/>
                <w:lang w:val="es-CL"/>
              </w:rPr>
              <w:t>206</w:t>
            </w:r>
            <w:r>
              <w:rPr>
                <w:b/>
                <w:sz w:val="16"/>
                <w:lang w:val="es-CL"/>
              </w:rPr>
              <w:t>.</w:t>
            </w:r>
            <w:r w:rsidR="001813A6">
              <w:rPr>
                <w:b/>
                <w:sz w:val="16"/>
                <w:lang w:val="es-CL"/>
              </w:rPr>
              <w:t>063</w:t>
            </w:r>
            <w:r>
              <w:rPr>
                <w:b/>
                <w:sz w:val="16"/>
                <w:lang w:val="es-CL"/>
              </w:rPr>
              <w:t>.</w:t>
            </w:r>
            <w:r w:rsidR="001813A6">
              <w:rPr>
                <w:b/>
                <w:sz w:val="16"/>
                <w:lang w:val="es-CL"/>
              </w:rPr>
              <w:t>151</w:t>
            </w:r>
            <w:r>
              <w:rPr>
                <w:b/>
                <w:sz w:val="16"/>
                <w:lang w:val="es-CL"/>
              </w:rPr>
              <w:t>,</w:t>
            </w:r>
            <w:r w:rsidR="001813A6">
              <w:rPr>
                <w:b/>
                <w:sz w:val="16"/>
                <w:lang w:val="es-CL"/>
              </w:rPr>
              <w:t>4</w:t>
            </w:r>
          </w:p>
        </w:tc>
        <w:tc>
          <w:tcPr>
            <w:tcW w:w="75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1000" w:rsidRPr="00D47ADC" w:rsidRDefault="008A1000" w:rsidP="00B97023">
            <w:pPr>
              <w:jc w:val="center"/>
              <w:rPr>
                <w:b/>
                <w:sz w:val="16"/>
                <w:lang w:val="es-CL"/>
              </w:rPr>
            </w:pPr>
            <w:r>
              <w:rPr>
                <w:b/>
                <w:sz w:val="16"/>
                <w:lang w:val="es-CL"/>
              </w:rPr>
              <w:t>47,</w:t>
            </w:r>
            <w:r w:rsidR="005F1265">
              <w:rPr>
                <w:b/>
                <w:sz w:val="16"/>
                <w:lang w:val="es-CL"/>
              </w:rPr>
              <w:t>7</w:t>
            </w:r>
            <w:r>
              <w:rPr>
                <w:b/>
                <w:sz w:val="16"/>
                <w:lang w:val="es-CL"/>
              </w:rPr>
              <w:t>%</w:t>
            </w:r>
          </w:p>
        </w:tc>
      </w:tr>
    </w:tbl>
    <w:p w:rsidR="008E65D8" w:rsidRDefault="008E65D8" w:rsidP="00F56913">
      <w:pPr>
        <w:jc w:val="both"/>
        <w:rPr>
          <w:lang w:val="es-CL"/>
        </w:rPr>
      </w:pPr>
    </w:p>
    <w:p w:rsidR="008E65D8" w:rsidRDefault="005C7F8A" w:rsidP="00F56913">
      <w:pPr>
        <w:jc w:val="both"/>
        <w:rPr>
          <w:lang w:val="es-CL"/>
        </w:rPr>
      </w:pPr>
      <w:r>
        <w:rPr>
          <w:lang w:val="es-CL"/>
        </w:rPr>
        <w:t>En conc</w:t>
      </w:r>
      <w:r w:rsidR="00B21D60">
        <w:rPr>
          <w:lang w:val="es-CL"/>
        </w:rPr>
        <w:t>lusión, el programa bajo análisis resulta rentable de forma integral, presentando cierta debilidad relativa en la cartera de proyectos FERUM, así como en el proyecto</w:t>
      </w:r>
      <w:r w:rsidR="00D47ADC">
        <w:rPr>
          <w:lang w:val="es-CL"/>
        </w:rPr>
        <w:t xml:space="preserve"> del SNT en La Avanzada o</w:t>
      </w:r>
      <w:r w:rsidR="00B21D60">
        <w:rPr>
          <w:lang w:val="es-CL"/>
        </w:rPr>
        <w:t xml:space="preserve"> del sistema de transmisión Tanicuchí</w:t>
      </w:r>
      <w:r w:rsidR="008A1000">
        <w:rPr>
          <w:lang w:val="es-CL"/>
        </w:rPr>
        <w:t xml:space="preserve"> (TIR&lt;0)</w:t>
      </w:r>
      <w:r w:rsidR="00B21D60">
        <w:rPr>
          <w:lang w:val="es-CL"/>
        </w:rPr>
        <w:t>, cuyo principal objetivo es alejar la actual subestación Mulaló de la zona de riesgo ante la eventual erupción del volcán Cotopaxi, cuya probabilidad de ocurrencia dentro del período de evaluación se ha estimado por sobre un 84%.</w:t>
      </w:r>
    </w:p>
    <w:p w:rsidR="00B21D60" w:rsidRDefault="00B21D60" w:rsidP="00F56913">
      <w:pPr>
        <w:jc w:val="both"/>
        <w:rPr>
          <w:lang w:val="es-CL"/>
        </w:rPr>
      </w:pPr>
      <w:r>
        <w:rPr>
          <w:lang w:val="es-CL"/>
        </w:rPr>
        <w:t>La negatividad aparente de la rentabilidad financiera de los proyectos de Transmisión se revierte</w:t>
      </w:r>
      <w:r w:rsidR="00D47ADC">
        <w:rPr>
          <w:lang w:val="es-CL"/>
        </w:rPr>
        <w:t xml:space="preserve"> en gran medida</w:t>
      </w:r>
      <w:r>
        <w:rPr>
          <w:lang w:val="es-CL"/>
        </w:rPr>
        <w:t>, al complementarse con iniciativas de proyectos de distribución relacionados, que llevan el flujo energético hacia el cliente final en las EED de El Oro, Regional Norte, Santa Elena, Guayaquil y Cotopaxi, así como su aporte a los intercambio</w:t>
      </w:r>
      <w:r w:rsidR="0061035B">
        <w:rPr>
          <w:lang w:val="es-CL"/>
        </w:rPr>
        <w:t>s</w:t>
      </w:r>
      <w:r>
        <w:rPr>
          <w:lang w:val="es-CL"/>
        </w:rPr>
        <w:t xml:space="preserve"> con Colombia y Perú</w:t>
      </w:r>
      <w:r w:rsidR="0061035B">
        <w:rPr>
          <w:lang w:val="es-CL"/>
        </w:rPr>
        <w:t xml:space="preserve"> o para llevar el flujo de energía hacia la agroindustria.</w:t>
      </w:r>
    </w:p>
    <w:p w:rsidR="009710BA" w:rsidRDefault="009710BA" w:rsidP="00F56913">
      <w:pPr>
        <w:jc w:val="both"/>
        <w:rPr>
          <w:lang w:val="es-CL"/>
        </w:rPr>
      </w:pPr>
    </w:p>
    <w:p w:rsidR="009710BA" w:rsidRDefault="009710BA">
      <w:pPr>
        <w:rPr>
          <w:rFonts w:asciiTheme="majorHAnsi" w:eastAsiaTheme="majorEastAsia" w:hAnsiTheme="majorHAnsi" w:cstheme="majorBidi"/>
          <w:b/>
          <w:color w:val="2F5496" w:themeColor="accent1" w:themeShade="BF"/>
          <w:sz w:val="32"/>
          <w:szCs w:val="32"/>
          <w:lang w:val="es-CL"/>
        </w:rPr>
      </w:pPr>
      <w:r>
        <w:rPr>
          <w:lang w:val="es-CL"/>
        </w:rPr>
        <w:br w:type="page"/>
      </w:r>
    </w:p>
    <w:p w:rsidR="00AE477A" w:rsidRDefault="00AE477A" w:rsidP="00EA229A">
      <w:pPr>
        <w:pStyle w:val="Heading1"/>
        <w:rPr>
          <w:lang w:val="es-CL"/>
        </w:rPr>
      </w:pPr>
      <w:bookmarkStart w:id="10" w:name="_Toc491617753"/>
      <w:r>
        <w:rPr>
          <w:lang w:val="es-CL"/>
        </w:rPr>
        <w:t>Introducción</w:t>
      </w:r>
      <w:bookmarkEnd w:id="10"/>
    </w:p>
    <w:p w:rsidR="00EA229A" w:rsidRPr="00EA229A" w:rsidRDefault="00EA229A" w:rsidP="00EA229A">
      <w:pPr>
        <w:jc w:val="both"/>
        <w:rPr>
          <w:lang w:val="es-CL"/>
        </w:rPr>
      </w:pPr>
      <w:r w:rsidRPr="00EA229A">
        <w:rPr>
          <w:lang w:val="es-CL"/>
        </w:rPr>
        <w:t>Durante la última década, el sector eléctrico de Ecuador se ha beneficiado de un ambicioso proceso de transformación con el cual se busca dinamizar la matriz productiva del país y asegurar el bienestar social mediante la mejora de la oferta de energía eléctrica, asegurando la calidad del servicio a través de inversiones estratégicas en generación, transmisión y distribución de electricidad. El proceso de transformación  incluye acciones enfocadas, tanto a las fuentes primarias de energía, como a las estructuras de consumo del sector industrial, comercial y residencial, buscando: (i) maximizar el aprovechamiento de los recursos renovables; (ii) reducir la dependencia de los combustibles fósiles y el costo de los subsidios asociados a su consumo; (iii) aumentar el intercambio de energía en la región; (iv) incrementar la cobertura eléctrica; y (v) mejorar los indicadores de prestación del servicio.</w:t>
      </w:r>
    </w:p>
    <w:p w:rsidR="00EA229A" w:rsidRPr="00EA229A" w:rsidRDefault="00EA229A" w:rsidP="00EA229A">
      <w:pPr>
        <w:jc w:val="both"/>
        <w:rPr>
          <w:lang w:val="es-CL"/>
        </w:rPr>
      </w:pPr>
      <w:r w:rsidRPr="00EA229A">
        <w:rPr>
          <w:lang w:val="es-CL"/>
        </w:rPr>
        <w:t>Entre los años 2007 y 2015, con inversiones del Gobierno del Ecuador y financiamiento externo, el sector eléctrico ha destinado US$5.900 millones para la construcción de proyectos de hidroeléctricos, los cuales han permitido duplicar la potencia nominal instalada en generación hidroeléctrica, pasando de 2.057 MW en 2007 a 4.409 MW en 2016, condición que ha llevado la producción de energía hidráulica de 49.6% en 2007 a 63.6% en 2016. En transmisión de electricidad, entre los años 2010 y 2015 la capacidad instalada en transformación pasó de 7.109 MVA a 10.517 MVA y se adicionaron 927 km de Líneas de Transmisión (LT), mientras que</w:t>
      </w:r>
      <w:r w:rsidR="002D1DAB">
        <w:rPr>
          <w:lang w:val="es-CL"/>
        </w:rPr>
        <w:t>,</w:t>
      </w:r>
      <w:r w:rsidRPr="00EA229A">
        <w:rPr>
          <w:lang w:val="es-CL"/>
        </w:rPr>
        <w:t xml:space="preserve"> en el mismo periodo, la capacidad del Sistema Nacional de Distribución (SND) en subestaciones de transformación de 69 a 13.8 kV aumentó en 1.814 MVA.</w:t>
      </w:r>
    </w:p>
    <w:p w:rsidR="00EA229A" w:rsidRPr="00EA229A" w:rsidRDefault="00EA229A" w:rsidP="00EA229A">
      <w:pPr>
        <w:jc w:val="both"/>
        <w:rPr>
          <w:lang w:val="es-CL"/>
        </w:rPr>
      </w:pPr>
      <w:r w:rsidRPr="00EA229A">
        <w:rPr>
          <w:lang w:val="es-CL"/>
        </w:rPr>
        <w:t>En complemento a las inversiones en infraestructura y mejoras en la capacidad operativa de los distintos agentes del sector, el Ministerio de Electricidad y Energía Renovable (MEER) como organismo encargado del sector eléctrico en el país, y en conformidad a lo estipulado en el artículo 13 de la Ley Orgánica del Servicio Público de Energía Eléctrica (LOSPEE) , ha avanzado en el diseño del Plan Nacional de Eficiencia Energética (PLANEE), cuya preparación cuenta con asistencia técnica del Banco, el cual recoge el conjunto de acciones  en ejecución y planificadas, tendientes a optimizar el uso de los recursos energéticos, de tal forma que los programas, proyectos y medidas necesarias permitan la utilización eficiente de la energía.</w:t>
      </w:r>
    </w:p>
    <w:p w:rsidR="00EA229A" w:rsidRPr="00EA229A" w:rsidRDefault="00EA229A" w:rsidP="00EA229A">
      <w:pPr>
        <w:jc w:val="both"/>
        <w:rPr>
          <w:lang w:val="es-CL"/>
        </w:rPr>
      </w:pPr>
      <w:r w:rsidRPr="00EA229A">
        <w:rPr>
          <w:lang w:val="es-CL"/>
        </w:rPr>
        <w:t>Como parte de los resultados iniciales del programa de inversiones en el sector, Ecuador se ubica en el quinto lugar en seguridad energética a nivel mundial y el primero en América Latina y el Caribe, de acuerdo con el ranking del Consejo Mundial de Energía.</w:t>
      </w:r>
    </w:p>
    <w:p w:rsidR="00EA229A" w:rsidRPr="00EA229A" w:rsidRDefault="00EA229A" w:rsidP="00EA229A">
      <w:pPr>
        <w:jc w:val="both"/>
        <w:rPr>
          <w:lang w:val="es-CL"/>
        </w:rPr>
      </w:pPr>
      <w:r w:rsidRPr="00EA229A">
        <w:rPr>
          <w:lang w:val="es-CL"/>
        </w:rPr>
        <w:t>Con el fin de acompañar los esfuerzos del Gobierno de Ecuador en la transformación del sector eléctrico, el Banco aprobó, a partir de 2011, el financiamiento de ocho préstamos de inversión y un préstamo basado en reformas de políticas (PBL). Tres de estos préstamos han finalizado su ejecución con resultados importantes en los inicios de la reforma del sector, mientras que las cinco operaciones actualmente en ejecución presentan un significativo nivel de avance. Considerando la baja participación laboral femenina en el sector (27.8%), en operaciones previas se ha promovido una mayor participación de mujeres a través de capacitaciones ligadas al sector energía. En cuanto a asistencia técnica, el BID ha apoyado al sector mediante cooperaciones técnicas que han permitido la efectiva implementación de la cartera, así como la provisión de apoyo para el desarrollo de planes, estudios y evaluaciones para avanzar en la modernización y expansión del sistema eléctrico y gestión de la demanda.</w:t>
      </w:r>
    </w:p>
    <w:p w:rsidR="00EA229A" w:rsidRPr="00EA229A" w:rsidRDefault="00EA229A" w:rsidP="00EA229A">
      <w:pPr>
        <w:jc w:val="both"/>
        <w:rPr>
          <w:lang w:val="es-CL"/>
        </w:rPr>
      </w:pPr>
      <w:r w:rsidRPr="00EA229A">
        <w:rPr>
          <w:lang w:val="es-CL"/>
        </w:rPr>
        <w:t>Con base en el Plan Maestro de Electrificación (PME) y los alcances contenidos en el PLANEE, el MEER ha identificado y priorizado una cartera de proyectos que permitirá consolidar el sector eléctrico, aumentando su confiabilidad y priorizando el uso de recursos renovables, en las siguientes áreas:  (i) Sistema Nacional de Transmisión (SNT), US$361 millones ; (ii) Sistema Nacional de Distribución (SND), US$498 millones; (iii) Ampliación de la cobertura eléctrica en el país, US$53 millones; y (iv) Proyectos de Eficiencia Energética, US$116 millones . Asimismo, para consolidar el uso intensivo de electricidad, con el beneficio adicional del desplazamiento de combustibles fósiles, el MEER ha diseñado un programa para apoyar a la mejora de la competitividad del sector productivo, con el cual se busca el reemplazo del uso de combustibles derivados del petróleo para la generación de energía eléctrica, mediante la extensión del SND hacia zonas agroindustriales, programa que, además, contribuiría con la reactivación económica en áreas afectadas por el sismo de 2016. Por otra parte, en respuesta a la creciente necesidad de contar con un servicio confiable y de calidad, el MEER ha priorizado entre sus objetivos estratégicos la necesidad de incrementar la eficiencia operacional en las Empresas Eléctricas de Distribución (EED), incorporando equipos y sistemas que contribuyan a la modernización del sector.</w:t>
      </w:r>
    </w:p>
    <w:p w:rsidR="00EA229A" w:rsidRPr="00EA229A" w:rsidRDefault="00EA229A" w:rsidP="00EA229A">
      <w:pPr>
        <w:jc w:val="both"/>
        <w:rPr>
          <w:lang w:val="es-CL"/>
        </w:rPr>
      </w:pPr>
      <w:r w:rsidRPr="00EA229A">
        <w:rPr>
          <w:lang w:val="es-CL"/>
        </w:rPr>
        <w:t>No obstante, el éxito alcanzado con el desarrollo de las inversiones en el sector eléctrico, los recursos públicos se han priorizado, entre otros, para atender necesidades de financiamiento en las actividades de emergencia y reconstrucción de las zonas afectadas por el sismo de 2016. Tal condición, limita la posibilidad del gobierno para dar continuidad a las acciones que permitan avanzar en la sostenibilidad del sector y privilegiar el uso intensivo de la electricidad para continuar reduciendo el impacto macroeconómico por consumo de combustibles fósiles importados y subsidios asociados, la mejora en la eficiencia en el uso de la energía y la reducción de la huella de carbono.</w:t>
      </w:r>
    </w:p>
    <w:p w:rsidR="00EA229A" w:rsidRDefault="00EA229A" w:rsidP="00EA229A">
      <w:pPr>
        <w:jc w:val="both"/>
        <w:rPr>
          <w:lang w:val="es-CL"/>
        </w:rPr>
      </w:pPr>
      <w:r w:rsidRPr="00EA229A">
        <w:rPr>
          <w:b/>
          <w:lang w:val="es-CL"/>
        </w:rPr>
        <w:t>Propuesta de Financiamiento:</w:t>
      </w:r>
      <w:r w:rsidRPr="00EA229A">
        <w:rPr>
          <w:lang w:val="es-CL"/>
        </w:rPr>
        <w:t xml:space="preserve"> El objetivo general de esta operación es apoyar el avance a la implementación del Plan de Inversiones del Cambio de la Matriz Energética (CME), mediante la expansión, el reforzamiento y la eficiencia operacional del sistema eléctrico y contribuir a la ejecución del PME y PLANEE. Los objetivos específicos son: (i) dar continuidad a los proyectos de reforzamiento y expansión del SNT para permitir el transporte eficiente de la energía inyectada al SNI con los proyectos de generación en desarrollo  y contribuir a la adaptación local del SNT, en preparación a los intercambios de energía regionales; (ii) facilitar el uso prioritario de la electricidad en el sector agroindustrial, mediante el refuerzo y expansión del SND, aumentar el nivel de cobertura eléctrica en el país, mediante el desarrollo de sistemas eléctricos en zonas urbano-marginales y rurales, así como fomentar mejoras en la eficiencia operacional de las EED; y (iii) impulsar la implementación de proyectos del PLANEE. Los componentes propuestos son:</w:t>
      </w:r>
    </w:p>
    <w:p w:rsidR="00EA229A" w:rsidRPr="00EA229A" w:rsidRDefault="00EA229A" w:rsidP="00EA229A">
      <w:pPr>
        <w:jc w:val="both"/>
        <w:rPr>
          <w:lang w:val="es-CL"/>
        </w:rPr>
      </w:pPr>
      <w:r w:rsidRPr="00EA229A">
        <w:rPr>
          <w:b/>
          <w:lang w:val="es-CL"/>
        </w:rPr>
        <w:t>Componente I - Expansión y reforzamiento del SNT</w:t>
      </w:r>
      <w:r w:rsidRPr="00EA229A">
        <w:rPr>
          <w:lang w:val="es-CL"/>
        </w:rPr>
        <w:t xml:space="preserve">: Las obras a financiar facilitarán la continuidad de la ejecución del Plan de Expansión de la Transmisión, mediante la construcción de nuevas líneas, nuevas subestaciones y ampliación de subestaciones existentes. Estas obras son requeridas por el SNT para garantizar el servicio de transporte de energía eléctrica a los diferentes centros de consumo del país e intercambios regionales, así como para facilitar el despacho de las nuevas centrales de generación eléctrica, previstas para satisfacer la creciente demanda de energía. </w:t>
      </w:r>
    </w:p>
    <w:p w:rsidR="00EA229A" w:rsidRPr="00EA229A" w:rsidRDefault="00EA229A" w:rsidP="00EA229A">
      <w:pPr>
        <w:jc w:val="both"/>
        <w:rPr>
          <w:lang w:val="es-CL"/>
        </w:rPr>
      </w:pPr>
      <w:r w:rsidRPr="00826075">
        <w:rPr>
          <w:b/>
          <w:lang w:val="es-CL"/>
        </w:rPr>
        <w:t>Componente II - Expansión y modernización del SND:</w:t>
      </w:r>
      <w:r w:rsidRPr="00826075">
        <w:rPr>
          <w:lang w:val="es-CL"/>
        </w:rPr>
        <w:t xml:space="preserve"> Se financiarán proyectos del SND que contribuyan con: (i) expansión y reforzamiento de la infraestructura de distribución; (ii) mejoramiento de la eficiencia operacional del sector eléctrico, incorporando tecnologías para la gestión de activos y del mantenimiento; (iii) continuidad al esfuerzo de reducir la brecha de cobertura del servicio eléctrico, a través de proyectos FERUM</w:t>
      </w:r>
      <w:r w:rsidR="00826075" w:rsidRPr="00826075">
        <w:rPr>
          <w:lang w:val="es-CL"/>
        </w:rPr>
        <w:t xml:space="preserve">; y (iv) apoyo al programa de inversiones para el desplazamiento de combustibles fósiles en la agroindustria camaronera </w:t>
      </w:r>
      <w:r w:rsidRPr="00826075">
        <w:rPr>
          <w:lang w:val="es-CL"/>
        </w:rPr>
        <w:t>.</w:t>
      </w:r>
    </w:p>
    <w:p w:rsidR="00EA229A" w:rsidRPr="00EA229A" w:rsidRDefault="00EA229A" w:rsidP="00EA229A">
      <w:pPr>
        <w:jc w:val="both"/>
        <w:rPr>
          <w:lang w:val="es-CL"/>
        </w:rPr>
      </w:pPr>
      <w:r w:rsidRPr="00EA229A">
        <w:rPr>
          <w:b/>
          <w:lang w:val="es-CL"/>
        </w:rPr>
        <w:t>Componente III - Apoyo a la implementación del Programa Nacional de Eficiencia Energética:</w:t>
      </w:r>
      <w:r w:rsidRPr="00EA229A">
        <w:rPr>
          <w:lang w:val="es-CL"/>
        </w:rPr>
        <w:t xml:space="preserve"> Se financiarán proyectos de la primera etapa de implementación del PLANEE, diseñado bajo un enfoque multisectorial, en el cual se destacan los proyectos</w:t>
      </w:r>
      <w:r w:rsidR="00826075">
        <w:rPr>
          <w:lang w:val="es-CL"/>
        </w:rPr>
        <w:t xml:space="preserve"> de</w:t>
      </w:r>
      <w:r>
        <w:rPr>
          <w:lang w:val="es-CL"/>
        </w:rPr>
        <w:t xml:space="preserve"> Eficiencia Energética en la Agroindustria</w:t>
      </w:r>
      <w:r w:rsidR="00391408">
        <w:rPr>
          <w:lang w:val="es-CL"/>
        </w:rPr>
        <w:t>.</w:t>
      </w:r>
    </w:p>
    <w:p w:rsidR="002D1DAB" w:rsidRPr="00391408" w:rsidRDefault="002D1DAB" w:rsidP="00391408">
      <w:pPr>
        <w:spacing w:after="0"/>
        <w:jc w:val="center"/>
        <w:rPr>
          <w:b/>
          <w:lang w:val="es-CL"/>
        </w:rPr>
      </w:pPr>
      <w:r w:rsidRPr="009809DA">
        <w:rPr>
          <w:b/>
          <w:lang w:val="es-CL"/>
        </w:rPr>
        <w:t xml:space="preserve">Tabla N°2 </w:t>
      </w:r>
      <w:r w:rsidR="00391408" w:rsidRPr="009809DA">
        <w:rPr>
          <w:b/>
          <w:lang w:val="es-CL"/>
        </w:rPr>
        <w:t>P</w:t>
      </w:r>
      <w:r w:rsidRPr="009809DA">
        <w:rPr>
          <w:b/>
          <w:lang w:val="es-CL"/>
        </w:rPr>
        <w:t xml:space="preserve">royectos </w:t>
      </w:r>
      <w:r w:rsidR="00391408" w:rsidRPr="009809DA">
        <w:rPr>
          <w:b/>
          <w:lang w:val="es-CL"/>
        </w:rPr>
        <w:t>C</w:t>
      </w:r>
      <w:r w:rsidRPr="009809DA">
        <w:rPr>
          <w:b/>
          <w:lang w:val="es-CL"/>
        </w:rPr>
        <w:t xml:space="preserve">onsiderados en el </w:t>
      </w:r>
      <w:r w:rsidR="00391408" w:rsidRPr="009809DA">
        <w:rPr>
          <w:b/>
          <w:lang w:val="es-CL"/>
        </w:rPr>
        <w:t>P</w:t>
      </w:r>
      <w:r w:rsidRPr="009809DA">
        <w:rPr>
          <w:b/>
          <w:lang w:val="es-CL"/>
        </w:rPr>
        <w:t xml:space="preserve">resente </w:t>
      </w:r>
      <w:r w:rsidR="00391408" w:rsidRPr="009809DA">
        <w:rPr>
          <w:b/>
          <w:lang w:val="es-CL"/>
        </w:rPr>
        <w:t>A</w:t>
      </w:r>
      <w:r w:rsidRPr="009809DA">
        <w:rPr>
          <w:b/>
          <w:lang w:val="es-CL"/>
        </w:rPr>
        <w:t>nálisis</w:t>
      </w:r>
    </w:p>
    <w:tbl>
      <w:tblPr>
        <w:tblW w:w="8359" w:type="dxa"/>
        <w:jc w:val="center"/>
        <w:tblCellMar>
          <w:top w:w="15" w:type="dxa"/>
          <w:left w:w="70" w:type="dxa"/>
          <w:bottom w:w="15" w:type="dxa"/>
          <w:right w:w="70" w:type="dxa"/>
        </w:tblCellMar>
        <w:tblLook w:val="04A0" w:firstRow="1" w:lastRow="0" w:firstColumn="1" w:lastColumn="0" w:noHBand="0" w:noVBand="1"/>
      </w:tblPr>
      <w:tblGrid>
        <w:gridCol w:w="1413"/>
        <w:gridCol w:w="1559"/>
        <w:gridCol w:w="1701"/>
        <w:gridCol w:w="2126"/>
        <w:gridCol w:w="1560"/>
      </w:tblGrid>
      <w:tr w:rsidR="00814E69" w:rsidRPr="00814E69" w:rsidTr="00451BB9">
        <w:trPr>
          <w:trHeight w:val="317"/>
          <w:jc w:val="center"/>
        </w:trPr>
        <w:tc>
          <w:tcPr>
            <w:tcW w:w="141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814E69" w:rsidRPr="00814E69" w:rsidRDefault="00814E69" w:rsidP="00814E6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Componente</w:t>
            </w:r>
          </w:p>
        </w:tc>
        <w:tc>
          <w:tcPr>
            <w:tcW w:w="1559"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814E69" w:rsidRPr="00814E69" w:rsidRDefault="00814E69" w:rsidP="00814E6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Etapa Funcional</w:t>
            </w:r>
          </w:p>
        </w:tc>
        <w:tc>
          <w:tcPr>
            <w:tcW w:w="170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814E69" w:rsidRPr="00814E69" w:rsidRDefault="00814E69" w:rsidP="00814E6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Empresa</w:t>
            </w:r>
          </w:p>
        </w:tc>
        <w:tc>
          <w:tcPr>
            <w:tcW w:w="2126"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814E69" w:rsidRPr="00814E69" w:rsidRDefault="00391408" w:rsidP="00814E69">
            <w:pPr>
              <w:spacing w:after="0" w:line="240" w:lineRule="auto"/>
              <w:jc w:val="center"/>
              <w:rPr>
                <w:rFonts w:ascii="Calibri" w:eastAsia="Times New Roman" w:hAnsi="Calibri" w:cs="Calibri"/>
                <w:b/>
                <w:bCs/>
                <w:color w:val="000000"/>
                <w:sz w:val="16"/>
                <w:szCs w:val="16"/>
                <w:lang w:eastAsia="es-CR"/>
              </w:rPr>
            </w:pPr>
            <w:r w:rsidRPr="00391408">
              <w:rPr>
                <w:rFonts w:ascii="Calibri" w:eastAsia="Times New Roman" w:hAnsi="Calibri" w:cs="Calibri"/>
                <w:b/>
                <w:bCs/>
                <w:color w:val="000000"/>
                <w:sz w:val="16"/>
                <w:szCs w:val="16"/>
                <w:lang w:eastAsia="es-CR"/>
              </w:rPr>
              <w:t xml:space="preserve"># </w:t>
            </w:r>
            <w:r w:rsidR="00814E69" w:rsidRPr="00814E69">
              <w:rPr>
                <w:rFonts w:ascii="Calibri" w:eastAsia="Times New Roman" w:hAnsi="Calibri" w:cs="Calibri"/>
                <w:b/>
                <w:bCs/>
                <w:color w:val="000000"/>
                <w:sz w:val="16"/>
                <w:szCs w:val="16"/>
                <w:lang w:eastAsia="es-CR"/>
              </w:rPr>
              <w:t>Proyectos</w:t>
            </w:r>
          </w:p>
        </w:tc>
        <w:tc>
          <w:tcPr>
            <w:tcW w:w="156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391408" w:rsidRPr="00391408" w:rsidRDefault="00391408" w:rsidP="00814E69">
            <w:pPr>
              <w:spacing w:after="0" w:line="240" w:lineRule="auto"/>
              <w:jc w:val="center"/>
              <w:rPr>
                <w:rFonts w:ascii="Calibri" w:eastAsia="Times New Roman" w:hAnsi="Calibri" w:cs="Calibri"/>
                <w:b/>
                <w:bCs/>
                <w:color w:val="000000"/>
                <w:sz w:val="16"/>
                <w:szCs w:val="16"/>
                <w:lang w:eastAsia="es-CR"/>
              </w:rPr>
            </w:pPr>
            <w:r w:rsidRPr="00391408">
              <w:rPr>
                <w:rFonts w:ascii="Calibri" w:eastAsia="Times New Roman" w:hAnsi="Calibri" w:cs="Calibri"/>
                <w:b/>
                <w:bCs/>
                <w:color w:val="000000"/>
                <w:sz w:val="16"/>
                <w:szCs w:val="16"/>
                <w:lang w:eastAsia="es-CR"/>
              </w:rPr>
              <w:t>Inversión</w:t>
            </w:r>
          </w:p>
          <w:p w:rsidR="00814E69" w:rsidRPr="00814E69" w:rsidRDefault="00814E69" w:rsidP="00814E6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(US$ sin IVA)</w:t>
            </w:r>
          </w:p>
        </w:tc>
      </w:tr>
      <w:tr w:rsidR="00451BB9" w:rsidRPr="00814E69" w:rsidTr="00451BB9">
        <w:trPr>
          <w:trHeight w:val="28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451BB9" w:rsidRPr="00814E69" w:rsidRDefault="00451BB9" w:rsidP="00451BB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 I. Expansión y Reforzamiento del SNT</w:t>
            </w:r>
          </w:p>
        </w:tc>
        <w:tc>
          <w:tcPr>
            <w:tcW w:w="1559" w:type="dxa"/>
            <w:vMerge w:val="restart"/>
            <w:tcBorders>
              <w:top w:val="single" w:sz="4" w:space="0" w:color="auto"/>
              <w:left w:val="single" w:sz="4" w:space="0" w:color="auto"/>
              <w:bottom w:val="nil"/>
              <w:right w:val="single" w:sz="4" w:space="0" w:color="auto"/>
            </w:tcBorders>
            <w:shd w:val="clear" w:color="000000" w:fill="DDEBF7"/>
            <w:vAlign w:val="center"/>
            <w:hideMark/>
          </w:tcPr>
          <w:p w:rsidR="00451BB9" w:rsidRPr="00814E69" w:rsidRDefault="00451BB9" w:rsidP="00451BB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Transmisión</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51BB9" w:rsidRDefault="00451BB9" w:rsidP="00451BB9">
            <w:pPr>
              <w:spacing w:after="0" w:line="240" w:lineRule="auto"/>
              <w:jc w:val="center"/>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CELEC EP</w:t>
            </w:r>
          </w:p>
          <w:p w:rsidR="00451BB9" w:rsidRPr="00712118" w:rsidRDefault="00451BB9" w:rsidP="00451BB9">
            <w:pPr>
              <w:spacing w:after="0" w:line="240" w:lineRule="auto"/>
              <w:jc w:val="center"/>
              <w:rPr>
                <w:rFonts w:ascii="Calibri" w:eastAsia="Times New Roman" w:hAnsi="Calibri" w:cs="Calibri"/>
                <w:b/>
                <w:bCs/>
                <w:color w:val="000000"/>
                <w:sz w:val="16"/>
                <w:szCs w:val="16"/>
                <w:lang w:eastAsia="es-CR"/>
              </w:rPr>
            </w:pPr>
            <w:r w:rsidRPr="00712118">
              <w:rPr>
                <w:rFonts w:ascii="Calibri" w:eastAsia="Times New Roman" w:hAnsi="Calibri" w:cs="Calibri"/>
                <w:b/>
                <w:bCs/>
                <w:color w:val="000000"/>
                <w:sz w:val="16"/>
                <w:szCs w:val="16"/>
                <w:lang w:eastAsia="es-CR"/>
              </w:rPr>
              <w:t xml:space="preserve">TRANSELECTRIC </w:t>
            </w:r>
          </w:p>
        </w:tc>
        <w:tc>
          <w:tcPr>
            <w:tcW w:w="212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451BB9" w:rsidRPr="00814E69" w:rsidRDefault="00451BB9" w:rsidP="00451BB9">
            <w:pPr>
              <w:spacing w:after="0" w:line="240" w:lineRule="auto"/>
              <w:rPr>
                <w:rFonts w:ascii="Calibri" w:eastAsia="Times New Roman" w:hAnsi="Calibri" w:cs="Calibri"/>
                <w:color w:val="000000"/>
                <w:sz w:val="16"/>
                <w:szCs w:val="16"/>
                <w:lang w:eastAsia="es-CR"/>
              </w:rPr>
            </w:pPr>
            <w:r w:rsidRPr="00814E69">
              <w:rPr>
                <w:rFonts w:ascii="Calibri" w:eastAsia="Times New Roman" w:hAnsi="Calibri" w:cs="Calibri"/>
                <w:color w:val="000000"/>
                <w:sz w:val="16"/>
                <w:szCs w:val="16"/>
                <w:lang w:eastAsia="es-CR"/>
              </w:rPr>
              <w:t>Ampliación de la Subestación Posorja 138/69 kV</w:t>
            </w:r>
          </w:p>
        </w:tc>
        <w:tc>
          <w:tcPr>
            <w:tcW w:w="1560" w:type="dxa"/>
            <w:tcBorders>
              <w:top w:val="single" w:sz="4" w:space="0" w:color="auto"/>
              <w:bottom w:val="single" w:sz="4" w:space="0" w:color="auto"/>
              <w:right w:val="single" w:sz="4" w:space="0" w:color="auto"/>
            </w:tcBorders>
            <w:shd w:val="clear" w:color="auto" w:fill="DEEAF6" w:themeFill="accent5" w:themeFillTint="33"/>
            <w:vAlign w:val="center"/>
            <w:hideMark/>
          </w:tcPr>
          <w:p w:rsidR="00451BB9" w:rsidRPr="00451BB9" w:rsidRDefault="00451BB9" w:rsidP="00451BB9">
            <w:pPr>
              <w:spacing w:after="0" w:line="240" w:lineRule="auto"/>
              <w:jc w:val="right"/>
              <w:rPr>
                <w:rFonts w:ascii="Calibri" w:eastAsia="Times New Roman" w:hAnsi="Calibri" w:cs="Calibri"/>
                <w:color w:val="000000"/>
                <w:sz w:val="16"/>
                <w:szCs w:val="16"/>
                <w:lang w:eastAsia="es-CR"/>
              </w:rPr>
            </w:pPr>
            <w:r w:rsidRPr="00451BB9">
              <w:rPr>
                <w:rFonts w:ascii="Calibri" w:eastAsia="Times New Roman" w:hAnsi="Calibri" w:cs="Calibri"/>
                <w:color w:val="000000"/>
                <w:sz w:val="16"/>
                <w:szCs w:val="16"/>
                <w:lang w:eastAsia="es-CR"/>
              </w:rPr>
              <w:t>9.944.50</w:t>
            </w:r>
            <w:r w:rsidR="009867D8">
              <w:rPr>
                <w:rFonts w:ascii="Calibri" w:eastAsia="Times New Roman" w:hAnsi="Calibri" w:cs="Calibri"/>
                <w:color w:val="000000"/>
                <w:sz w:val="16"/>
                <w:szCs w:val="16"/>
                <w:lang w:eastAsia="es-CR"/>
              </w:rPr>
              <w:t>3</w:t>
            </w:r>
          </w:p>
        </w:tc>
      </w:tr>
      <w:tr w:rsidR="00451BB9" w:rsidRPr="00814E69" w:rsidTr="00451BB9">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nil"/>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701" w:type="dxa"/>
            <w:vMerge/>
            <w:tcBorders>
              <w:top w:val="single" w:sz="4" w:space="0" w:color="auto"/>
              <w:left w:val="single" w:sz="4" w:space="0" w:color="auto"/>
              <w:bottom w:val="single" w:sz="4" w:space="0" w:color="auto"/>
              <w:right w:val="single" w:sz="4" w:space="0" w:color="auto"/>
            </w:tcBorders>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212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451BB9" w:rsidRPr="00814E69" w:rsidRDefault="00451BB9" w:rsidP="00451BB9">
            <w:pPr>
              <w:spacing w:after="0" w:line="240" w:lineRule="auto"/>
              <w:rPr>
                <w:rFonts w:ascii="Calibri" w:eastAsia="Times New Roman" w:hAnsi="Calibri" w:cs="Calibri"/>
                <w:color w:val="000000"/>
                <w:sz w:val="16"/>
                <w:szCs w:val="16"/>
                <w:lang w:eastAsia="es-CR"/>
              </w:rPr>
            </w:pPr>
            <w:r w:rsidRPr="00814E69">
              <w:rPr>
                <w:rFonts w:ascii="Calibri" w:eastAsia="Times New Roman" w:hAnsi="Calibri" w:cs="Calibri"/>
                <w:color w:val="000000"/>
                <w:sz w:val="16"/>
                <w:szCs w:val="16"/>
                <w:lang w:eastAsia="es-CR"/>
              </w:rPr>
              <w:t>Sistema de Transmisión Las Orquídeas 230 kV, 225 MVA</w:t>
            </w:r>
          </w:p>
        </w:tc>
        <w:tc>
          <w:tcPr>
            <w:tcW w:w="1560" w:type="dxa"/>
            <w:tcBorders>
              <w:top w:val="single" w:sz="4" w:space="0" w:color="auto"/>
              <w:bottom w:val="single" w:sz="4" w:space="0" w:color="auto"/>
              <w:right w:val="single" w:sz="4" w:space="0" w:color="auto"/>
            </w:tcBorders>
            <w:shd w:val="clear" w:color="auto" w:fill="DEEAF6" w:themeFill="accent5" w:themeFillTint="33"/>
            <w:vAlign w:val="center"/>
            <w:hideMark/>
          </w:tcPr>
          <w:p w:rsidR="00451BB9" w:rsidRPr="00451BB9" w:rsidRDefault="00451BB9" w:rsidP="00451BB9">
            <w:pPr>
              <w:spacing w:after="0" w:line="240" w:lineRule="auto"/>
              <w:jc w:val="right"/>
              <w:rPr>
                <w:rFonts w:ascii="Calibri" w:eastAsia="Times New Roman" w:hAnsi="Calibri" w:cs="Calibri"/>
                <w:color w:val="000000"/>
                <w:sz w:val="16"/>
                <w:szCs w:val="16"/>
                <w:lang w:eastAsia="es-CR"/>
              </w:rPr>
            </w:pPr>
            <w:r w:rsidRPr="00451BB9">
              <w:rPr>
                <w:rFonts w:ascii="Calibri" w:eastAsia="Times New Roman" w:hAnsi="Calibri" w:cs="Calibri"/>
                <w:color w:val="000000"/>
                <w:sz w:val="16"/>
                <w:szCs w:val="16"/>
                <w:lang w:eastAsia="es-CR"/>
              </w:rPr>
              <w:t>27.582.136</w:t>
            </w:r>
          </w:p>
        </w:tc>
      </w:tr>
      <w:tr w:rsidR="00451BB9" w:rsidRPr="00814E69" w:rsidTr="00451BB9">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nil"/>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701" w:type="dxa"/>
            <w:vMerge/>
            <w:tcBorders>
              <w:top w:val="single" w:sz="4" w:space="0" w:color="auto"/>
              <w:left w:val="single" w:sz="4" w:space="0" w:color="auto"/>
              <w:bottom w:val="single" w:sz="4" w:space="0" w:color="auto"/>
              <w:right w:val="single" w:sz="4" w:space="0" w:color="auto"/>
            </w:tcBorders>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212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451BB9" w:rsidRPr="00814E69" w:rsidRDefault="00451BB9" w:rsidP="00451BB9">
            <w:pPr>
              <w:spacing w:after="0" w:line="240" w:lineRule="auto"/>
              <w:rPr>
                <w:rFonts w:ascii="Calibri" w:eastAsia="Times New Roman" w:hAnsi="Calibri" w:cs="Calibri"/>
                <w:color w:val="000000"/>
                <w:sz w:val="16"/>
                <w:szCs w:val="16"/>
                <w:lang w:eastAsia="es-CR"/>
              </w:rPr>
            </w:pPr>
            <w:r w:rsidRPr="00814E69">
              <w:rPr>
                <w:rFonts w:ascii="Calibri" w:eastAsia="Times New Roman" w:hAnsi="Calibri" w:cs="Calibri"/>
                <w:color w:val="000000"/>
                <w:sz w:val="16"/>
                <w:szCs w:val="16"/>
                <w:lang w:eastAsia="es-CR"/>
              </w:rPr>
              <w:t>Sistema de Transmisión Tanicuchí 230/138 kV</w:t>
            </w:r>
          </w:p>
        </w:tc>
        <w:tc>
          <w:tcPr>
            <w:tcW w:w="1560" w:type="dxa"/>
            <w:tcBorders>
              <w:top w:val="single" w:sz="4" w:space="0" w:color="auto"/>
              <w:bottom w:val="single" w:sz="4" w:space="0" w:color="auto"/>
              <w:right w:val="single" w:sz="4" w:space="0" w:color="auto"/>
            </w:tcBorders>
            <w:shd w:val="clear" w:color="auto" w:fill="DEEAF6" w:themeFill="accent5" w:themeFillTint="33"/>
            <w:vAlign w:val="center"/>
            <w:hideMark/>
          </w:tcPr>
          <w:p w:rsidR="00451BB9" w:rsidRPr="00451BB9" w:rsidRDefault="00451BB9" w:rsidP="00451BB9">
            <w:pPr>
              <w:spacing w:after="0" w:line="240" w:lineRule="auto"/>
              <w:jc w:val="right"/>
              <w:rPr>
                <w:rFonts w:ascii="Calibri" w:eastAsia="Times New Roman" w:hAnsi="Calibri" w:cs="Calibri"/>
                <w:color w:val="000000"/>
                <w:sz w:val="16"/>
                <w:szCs w:val="16"/>
                <w:lang w:eastAsia="es-CR"/>
              </w:rPr>
            </w:pPr>
            <w:r w:rsidRPr="00451BB9">
              <w:rPr>
                <w:rFonts w:ascii="Calibri" w:eastAsia="Times New Roman" w:hAnsi="Calibri" w:cs="Calibri"/>
                <w:color w:val="000000"/>
                <w:sz w:val="16"/>
                <w:szCs w:val="16"/>
                <w:lang w:eastAsia="es-CR"/>
              </w:rPr>
              <w:t>23.293.288</w:t>
            </w:r>
          </w:p>
        </w:tc>
      </w:tr>
      <w:tr w:rsidR="00451BB9" w:rsidRPr="00814E69" w:rsidTr="00451BB9">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nil"/>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701" w:type="dxa"/>
            <w:vMerge/>
            <w:tcBorders>
              <w:top w:val="single" w:sz="4" w:space="0" w:color="auto"/>
              <w:left w:val="single" w:sz="4" w:space="0" w:color="auto"/>
              <w:bottom w:val="single" w:sz="4" w:space="0" w:color="auto"/>
              <w:right w:val="single" w:sz="4" w:space="0" w:color="auto"/>
            </w:tcBorders>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212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451BB9" w:rsidRPr="00814E69" w:rsidRDefault="00451BB9" w:rsidP="00451BB9">
            <w:pPr>
              <w:spacing w:after="0" w:line="240" w:lineRule="auto"/>
              <w:rPr>
                <w:rFonts w:ascii="Calibri" w:eastAsia="Times New Roman" w:hAnsi="Calibri" w:cs="Calibri"/>
                <w:color w:val="000000"/>
                <w:sz w:val="16"/>
                <w:szCs w:val="16"/>
                <w:lang w:eastAsia="es-CR"/>
              </w:rPr>
            </w:pPr>
            <w:r w:rsidRPr="00814E69">
              <w:rPr>
                <w:rFonts w:ascii="Calibri" w:eastAsia="Times New Roman" w:hAnsi="Calibri" w:cs="Calibri"/>
                <w:color w:val="000000"/>
                <w:sz w:val="16"/>
                <w:szCs w:val="16"/>
                <w:lang w:eastAsia="es-CR"/>
              </w:rPr>
              <w:t>Sistema de Transmisión La Avanzada</w:t>
            </w:r>
            <w:r w:rsidR="009867D8">
              <w:rPr>
                <w:rStyle w:val="FootnoteReference"/>
                <w:rFonts w:ascii="Calibri" w:eastAsia="Times New Roman" w:hAnsi="Calibri" w:cs="Calibri"/>
                <w:color w:val="000000"/>
                <w:sz w:val="16"/>
                <w:szCs w:val="16"/>
                <w:lang w:eastAsia="es-CR"/>
              </w:rPr>
              <w:footnoteReference w:id="2"/>
            </w:r>
            <w:r w:rsidRPr="00814E69">
              <w:rPr>
                <w:rFonts w:ascii="Calibri" w:eastAsia="Times New Roman" w:hAnsi="Calibri" w:cs="Calibri"/>
                <w:color w:val="000000"/>
                <w:sz w:val="16"/>
                <w:szCs w:val="16"/>
                <w:lang w:eastAsia="es-CR"/>
              </w:rPr>
              <w:t xml:space="preserve"> 230 kV</w:t>
            </w:r>
          </w:p>
        </w:tc>
        <w:tc>
          <w:tcPr>
            <w:tcW w:w="1560" w:type="dxa"/>
            <w:tcBorders>
              <w:top w:val="single" w:sz="4" w:space="0" w:color="auto"/>
              <w:bottom w:val="single" w:sz="4" w:space="0" w:color="auto"/>
              <w:right w:val="single" w:sz="4" w:space="0" w:color="auto"/>
            </w:tcBorders>
            <w:shd w:val="clear" w:color="auto" w:fill="DEEAF6" w:themeFill="accent5" w:themeFillTint="33"/>
            <w:vAlign w:val="center"/>
            <w:hideMark/>
          </w:tcPr>
          <w:p w:rsidR="00451BB9" w:rsidRPr="00451BB9" w:rsidRDefault="009867D8" w:rsidP="00451BB9">
            <w:pPr>
              <w:spacing w:after="0" w:line="240" w:lineRule="auto"/>
              <w:jc w:val="righ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31.957.863</w:t>
            </w:r>
          </w:p>
        </w:tc>
      </w:tr>
      <w:tr w:rsidR="00451BB9" w:rsidRPr="00814E69" w:rsidTr="00451BB9">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nil"/>
              <w:right w:val="single" w:sz="4" w:space="0" w:color="auto"/>
            </w:tcBorders>
            <w:vAlign w:val="center"/>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1701" w:type="dxa"/>
            <w:vMerge/>
            <w:tcBorders>
              <w:top w:val="single" w:sz="4" w:space="0" w:color="auto"/>
              <w:left w:val="single" w:sz="4" w:space="0" w:color="auto"/>
              <w:bottom w:val="single" w:sz="4" w:space="0" w:color="auto"/>
              <w:right w:val="single" w:sz="4" w:space="0" w:color="auto"/>
            </w:tcBorders>
            <w:hideMark/>
          </w:tcPr>
          <w:p w:rsidR="00451BB9" w:rsidRPr="00814E69" w:rsidRDefault="00451BB9" w:rsidP="00451BB9">
            <w:pPr>
              <w:spacing w:after="0" w:line="240" w:lineRule="auto"/>
              <w:rPr>
                <w:rFonts w:ascii="Calibri" w:eastAsia="Times New Roman" w:hAnsi="Calibri" w:cs="Calibri"/>
                <w:b/>
                <w:bCs/>
                <w:color w:val="000000"/>
                <w:sz w:val="16"/>
                <w:szCs w:val="16"/>
                <w:lang w:eastAsia="es-CR"/>
              </w:rPr>
            </w:pPr>
          </w:p>
        </w:tc>
        <w:tc>
          <w:tcPr>
            <w:tcW w:w="212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451BB9" w:rsidRPr="00814E69" w:rsidRDefault="00451BB9" w:rsidP="00451BB9">
            <w:pPr>
              <w:spacing w:after="0" w:line="240" w:lineRule="auto"/>
              <w:rPr>
                <w:rFonts w:ascii="Calibri" w:eastAsia="Times New Roman" w:hAnsi="Calibri" w:cs="Calibri"/>
                <w:color w:val="000000"/>
                <w:sz w:val="16"/>
                <w:szCs w:val="16"/>
                <w:lang w:eastAsia="es-CR"/>
              </w:rPr>
            </w:pPr>
            <w:r w:rsidRPr="00814E69">
              <w:rPr>
                <w:rFonts w:ascii="Calibri" w:eastAsia="Times New Roman" w:hAnsi="Calibri" w:cs="Calibri"/>
                <w:color w:val="000000"/>
                <w:sz w:val="16"/>
                <w:szCs w:val="16"/>
                <w:lang w:eastAsia="es-CR"/>
              </w:rPr>
              <w:t>Construcción de la Sube</w:t>
            </w:r>
            <w:r w:rsidRPr="00391408">
              <w:rPr>
                <w:rFonts w:ascii="Calibri" w:eastAsia="Times New Roman" w:hAnsi="Calibri" w:cs="Calibri"/>
                <w:color w:val="000000"/>
                <w:sz w:val="16"/>
                <w:szCs w:val="16"/>
                <w:lang w:eastAsia="es-CR"/>
              </w:rPr>
              <w:t xml:space="preserve">stación Cajas </w:t>
            </w:r>
            <w:r>
              <w:rPr>
                <w:rFonts w:ascii="Calibri" w:eastAsia="Times New Roman" w:hAnsi="Calibri" w:cs="Calibri"/>
                <w:color w:val="000000"/>
                <w:sz w:val="16"/>
                <w:szCs w:val="16"/>
                <w:lang w:eastAsia="es-CR"/>
              </w:rPr>
              <w:t>138</w:t>
            </w:r>
            <w:r w:rsidRPr="00391408">
              <w:rPr>
                <w:rFonts w:ascii="Calibri" w:eastAsia="Times New Roman" w:hAnsi="Calibri" w:cs="Calibri"/>
                <w:color w:val="000000"/>
                <w:sz w:val="16"/>
                <w:szCs w:val="16"/>
                <w:lang w:eastAsia="es-CR"/>
              </w:rPr>
              <w:t>/69 kV</w:t>
            </w:r>
          </w:p>
        </w:tc>
        <w:tc>
          <w:tcPr>
            <w:tcW w:w="1560" w:type="dxa"/>
            <w:tcBorders>
              <w:top w:val="single" w:sz="4" w:space="0" w:color="auto"/>
              <w:bottom w:val="single" w:sz="4" w:space="0" w:color="auto"/>
              <w:right w:val="single" w:sz="4" w:space="0" w:color="auto"/>
            </w:tcBorders>
            <w:shd w:val="clear" w:color="auto" w:fill="DEEAF6" w:themeFill="accent5" w:themeFillTint="33"/>
            <w:vAlign w:val="center"/>
            <w:hideMark/>
          </w:tcPr>
          <w:p w:rsidR="00451BB9" w:rsidRPr="00451BB9" w:rsidRDefault="009867D8" w:rsidP="00451BB9">
            <w:pPr>
              <w:spacing w:after="0" w:line="240" w:lineRule="auto"/>
              <w:jc w:val="righ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21.099.000</w:t>
            </w:r>
          </w:p>
        </w:tc>
      </w:tr>
      <w:tr w:rsidR="00707FB2" w:rsidRPr="00814E69" w:rsidTr="00451BB9">
        <w:trPr>
          <w:trHeight w:val="285"/>
          <w:jc w:val="center"/>
        </w:trPr>
        <w:tc>
          <w:tcPr>
            <w:tcW w:w="4673" w:type="dxa"/>
            <w:gridSpan w:val="3"/>
            <w:tcBorders>
              <w:top w:val="single" w:sz="4" w:space="0" w:color="auto"/>
              <w:left w:val="single" w:sz="4" w:space="0" w:color="auto"/>
              <w:bottom w:val="single" w:sz="4" w:space="0" w:color="auto"/>
              <w:right w:val="nil"/>
            </w:tcBorders>
            <w:shd w:val="clear" w:color="000000" w:fill="9BC2E6"/>
            <w:noWrap/>
            <w:vAlign w:val="center"/>
            <w:hideMark/>
          </w:tcPr>
          <w:p w:rsidR="00707FB2" w:rsidRPr="00814E69" w:rsidRDefault="00707FB2" w:rsidP="00707FB2">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Total C I</w:t>
            </w:r>
            <w:r w:rsidRPr="00391408">
              <w:rPr>
                <w:rFonts w:ascii="Calibri" w:eastAsia="Times New Roman" w:hAnsi="Calibri" w:cs="Calibri"/>
                <w:b/>
                <w:bCs/>
                <w:color w:val="000000"/>
                <w:sz w:val="16"/>
                <w:szCs w:val="16"/>
                <w:lang w:eastAsia="es-CR"/>
              </w:rPr>
              <w:t xml:space="preserve">. </w:t>
            </w:r>
            <w:r w:rsidRPr="00814E69">
              <w:rPr>
                <w:rFonts w:ascii="Calibri" w:eastAsia="Times New Roman" w:hAnsi="Calibri" w:cs="Calibri"/>
                <w:b/>
                <w:bCs/>
                <w:color w:val="000000"/>
                <w:sz w:val="16"/>
                <w:szCs w:val="16"/>
                <w:lang w:eastAsia="es-CR"/>
              </w:rPr>
              <w:t>Transmisión</w:t>
            </w:r>
          </w:p>
        </w:tc>
        <w:tc>
          <w:tcPr>
            <w:tcW w:w="212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707FB2" w:rsidRPr="00814E69" w:rsidRDefault="00707FB2" w:rsidP="00707FB2">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5</w:t>
            </w:r>
          </w:p>
        </w:tc>
        <w:tc>
          <w:tcPr>
            <w:tcW w:w="156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707FB2" w:rsidRPr="00451BB9" w:rsidRDefault="00707FB2" w:rsidP="0043180A">
            <w:pPr>
              <w:spacing w:after="0" w:line="240" w:lineRule="auto"/>
              <w:jc w:val="right"/>
              <w:rPr>
                <w:rFonts w:ascii="Calibri" w:eastAsia="Times New Roman" w:hAnsi="Calibri" w:cs="Calibri"/>
                <w:b/>
                <w:bCs/>
                <w:color w:val="000000"/>
                <w:sz w:val="16"/>
                <w:szCs w:val="16"/>
                <w:highlight w:val="yellow"/>
                <w:lang w:eastAsia="es-CR"/>
              </w:rPr>
            </w:pPr>
            <w:r w:rsidRPr="00451BB9">
              <w:rPr>
                <w:rFonts w:ascii="Calibri" w:eastAsia="Times New Roman" w:hAnsi="Calibri" w:cs="Calibri"/>
                <w:b/>
                <w:bCs/>
                <w:color w:val="000000"/>
                <w:sz w:val="16"/>
                <w:szCs w:val="16"/>
                <w:lang w:eastAsia="es-CR"/>
              </w:rPr>
              <w:t>113.876.790</w:t>
            </w:r>
          </w:p>
        </w:tc>
      </w:tr>
      <w:tr w:rsidR="0043180A" w:rsidRPr="00814E69" w:rsidTr="00855FE6">
        <w:trPr>
          <w:trHeight w:val="28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43180A" w:rsidRPr="00814E69" w:rsidRDefault="0043180A" w:rsidP="0043180A">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 II. Expansión y Modernización del SND</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43180A" w:rsidRPr="00814E69" w:rsidRDefault="0043180A" w:rsidP="0043180A">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Transmisión</w:t>
            </w: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El Oro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2.729.598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Guayaquil</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2</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1.786.155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Guayas Los Ríos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2.351.664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Los Ríos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2</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5.426.719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Manabí</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1.567.789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Milagro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965.832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Cotopaxi</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8.574.516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Regional Norte</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2.450.000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Regional Sur</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2.252.415 </w:t>
            </w:r>
          </w:p>
        </w:tc>
      </w:tr>
      <w:tr w:rsidR="0043180A"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180A" w:rsidRPr="00814E69" w:rsidRDefault="0043180A" w:rsidP="0043180A">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E.E. Galápagos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center"/>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43180A" w:rsidRPr="0043180A" w:rsidRDefault="0043180A" w:rsidP="0043180A">
            <w:pPr>
              <w:spacing w:after="0" w:line="240" w:lineRule="auto"/>
              <w:jc w:val="right"/>
              <w:rPr>
                <w:rFonts w:ascii="Calibri" w:eastAsia="Times New Roman" w:hAnsi="Calibri" w:cs="Calibri"/>
                <w:color w:val="000000"/>
                <w:sz w:val="16"/>
                <w:szCs w:val="16"/>
                <w:lang w:eastAsia="es-CR"/>
              </w:rPr>
            </w:pPr>
            <w:r w:rsidRPr="0043180A">
              <w:rPr>
                <w:rFonts w:ascii="Calibri" w:eastAsia="Times New Roman" w:hAnsi="Calibri" w:cs="Calibri"/>
                <w:color w:val="000000"/>
                <w:sz w:val="16"/>
                <w:szCs w:val="16"/>
                <w:lang w:eastAsia="es-CR"/>
              </w:rPr>
              <w:t xml:space="preserve"> 2.463.046 </w:t>
            </w:r>
          </w:p>
        </w:tc>
      </w:tr>
      <w:tr w:rsidR="0043180A" w:rsidRPr="00814E69" w:rsidTr="00855FE6">
        <w:trPr>
          <w:trHeight w:val="285"/>
          <w:jc w:val="center"/>
        </w:trPr>
        <w:tc>
          <w:tcPr>
            <w:tcW w:w="4673" w:type="dxa"/>
            <w:gridSpan w:val="3"/>
            <w:tcBorders>
              <w:top w:val="single" w:sz="4" w:space="0" w:color="auto"/>
              <w:left w:val="single" w:sz="4" w:space="0" w:color="auto"/>
              <w:bottom w:val="single" w:sz="4" w:space="0" w:color="auto"/>
              <w:right w:val="nil"/>
            </w:tcBorders>
            <w:shd w:val="clear" w:color="000000" w:fill="9BC2E6"/>
            <w:noWrap/>
            <w:vAlign w:val="center"/>
            <w:hideMark/>
          </w:tcPr>
          <w:p w:rsidR="0043180A" w:rsidRPr="00814E69" w:rsidRDefault="0043180A" w:rsidP="0043180A">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Total C II</w:t>
            </w:r>
            <w:r w:rsidRPr="00391408">
              <w:rPr>
                <w:rFonts w:ascii="Calibri" w:eastAsia="Times New Roman" w:hAnsi="Calibri" w:cs="Calibri"/>
                <w:b/>
                <w:bCs/>
                <w:color w:val="000000"/>
                <w:sz w:val="16"/>
                <w:szCs w:val="16"/>
                <w:lang w:eastAsia="es-CR"/>
              </w:rPr>
              <w:t xml:space="preserve">. </w:t>
            </w:r>
            <w:r w:rsidRPr="00814E69">
              <w:rPr>
                <w:rFonts w:ascii="Calibri" w:eastAsia="Times New Roman" w:hAnsi="Calibri" w:cs="Calibri"/>
                <w:b/>
                <w:bCs/>
                <w:color w:val="000000"/>
                <w:sz w:val="16"/>
                <w:szCs w:val="16"/>
                <w:lang w:eastAsia="es-CR"/>
              </w:rPr>
              <w:t>Sub Transmisión</w:t>
            </w:r>
          </w:p>
        </w:tc>
        <w:tc>
          <w:tcPr>
            <w:tcW w:w="212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43180A" w:rsidRPr="00814E69" w:rsidRDefault="0043180A" w:rsidP="0043180A">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14</w:t>
            </w:r>
          </w:p>
        </w:tc>
        <w:tc>
          <w:tcPr>
            <w:tcW w:w="156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3180A" w:rsidRPr="00814E69" w:rsidRDefault="0043180A" w:rsidP="0043180A">
            <w:pPr>
              <w:spacing w:after="0" w:line="240" w:lineRule="auto"/>
              <w:jc w:val="right"/>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 xml:space="preserve"> 3</w:t>
            </w:r>
            <w:r>
              <w:rPr>
                <w:rFonts w:ascii="Calibri" w:eastAsia="Times New Roman" w:hAnsi="Calibri" w:cs="Calibri"/>
                <w:b/>
                <w:bCs/>
                <w:color w:val="000000"/>
                <w:sz w:val="16"/>
                <w:szCs w:val="16"/>
                <w:lang w:eastAsia="es-CR"/>
              </w:rPr>
              <w:t>0</w:t>
            </w:r>
            <w:r w:rsidRPr="00814E69">
              <w:rPr>
                <w:rFonts w:ascii="Calibri" w:eastAsia="Times New Roman" w:hAnsi="Calibri" w:cs="Calibri"/>
                <w:b/>
                <w:bCs/>
                <w:color w:val="000000"/>
                <w:sz w:val="16"/>
                <w:szCs w:val="16"/>
                <w:lang w:eastAsia="es-CR"/>
              </w:rPr>
              <w:t>.</w:t>
            </w:r>
            <w:r>
              <w:rPr>
                <w:rFonts w:ascii="Calibri" w:eastAsia="Times New Roman" w:hAnsi="Calibri" w:cs="Calibri"/>
                <w:b/>
                <w:bCs/>
                <w:color w:val="000000"/>
                <w:sz w:val="16"/>
                <w:szCs w:val="16"/>
                <w:lang w:eastAsia="es-CR"/>
              </w:rPr>
              <w:t>567</w:t>
            </w:r>
            <w:r w:rsidRPr="00814E69">
              <w:rPr>
                <w:rFonts w:ascii="Calibri" w:eastAsia="Times New Roman" w:hAnsi="Calibri" w:cs="Calibri"/>
                <w:b/>
                <w:bCs/>
                <w:color w:val="000000"/>
                <w:sz w:val="16"/>
                <w:szCs w:val="16"/>
                <w:lang w:eastAsia="es-CR"/>
              </w:rPr>
              <w:t>.</w:t>
            </w:r>
            <w:r>
              <w:rPr>
                <w:rFonts w:ascii="Calibri" w:eastAsia="Times New Roman" w:hAnsi="Calibri" w:cs="Calibri"/>
                <w:b/>
                <w:bCs/>
                <w:color w:val="000000"/>
                <w:sz w:val="16"/>
                <w:szCs w:val="16"/>
                <w:lang w:eastAsia="es-CR"/>
              </w:rPr>
              <w:t>733</w:t>
            </w:r>
            <w:r w:rsidRPr="00814E69">
              <w:rPr>
                <w:rFonts w:ascii="Calibri" w:eastAsia="Times New Roman" w:hAnsi="Calibri" w:cs="Calibri"/>
                <w:b/>
                <w:bCs/>
                <w:color w:val="000000"/>
                <w:sz w:val="16"/>
                <w:szCs w:val="16"/>
                <w:lang w:eastAsia="es-CR"/>
              </w:rPr>
              <w:t xml:space="preserve"> </w:t>
            </w:r>
          </w:p>
        </w:tc>
      </w:tr>
      <w:tr w:rsidR="001C1D06" w:rsidRPr="00814E69" w:rsidTr="00855FE6">
        <w:trPr>
          <w:trHeight w:val="28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C1D06" w:rsidRPr="00814E69" w:rsidRDefault="001C1D06" w:rsidP="001C1D06">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 II. Expansión y Modernización del SND</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C1D06" w:rsidRPr="00814E69" w:rsidRDefault="001C1D06" w:rsidP="001C1D06">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Distribución</w:t>
            </w: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Bolívar</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10</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1.614.461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El Oro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407.347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Esmeraldas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5</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1.315.275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Guayaquil</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332.394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Guayas Los Ríos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120.504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Santa Elena</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1.607.081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Santo Domingo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4</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1.972.877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Sucumbíos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1.167.660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 E. Ambato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2.562.509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 E. Azogues</w:t>
            </w:r>
          </w:p>
        </w:tc>
        <w:tc>
          <w:tcPr>
            <w:tcW w:w="2126" w:type="dxa"/>
            <w:tcBorders>
              <w:top w:val="single" w:sz="4" w:space="0" w:color="auto"/>
              <w:left w:val="single" w:sz="4" w:space="0" w:color="auto"/>
              <w:bottom w:val="single" w:sz="4" w:space="0" w:color="auto"/>
              <w:right w:val="single" w:sz="4" w:space="0" w:color="auto"/>
            </w:tcBorders>
            <w:shd w:val="clear" w:color="000000" w:fill="DDEBF7"/>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w:t>
            </w:r>
          </w:p>
        </w:tc>
        <w:tc>
          <w:tcPr>
            <w:tcW w:w="1560" w:type="dxa"/>
            <w:tcBorders>
              <w:top w:val="single" w:sz="4" w:space="0" w:color="auto"/>
              <w:left w:val="single" w:sz="4" w:space="0" w:color="auto"/>
              <w:bottom w:val="single" w:sz="4" w:space="0" w:color="auto"/>
              <w:right w:val="single" w:sz="4" w:space="0" w:color="auto"/>
            </w:tcBorders>
            <w:shd w:val="clear" w:color="000000" w:fill="DDEBF7"/>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234.204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 E. Cotopaxi</w:t>
            </w:r>
          </w:p>
        </w:tc>
        <w:tc>
          <w:tcPr>
            <w:tcW w:w="2126" w:type="dxa"/>
            <w:tcBorders>
              <w:top w:val="single" w:sz="4" w:space="0" w:color="auto"/>
              <w:left w:val="single" w:sz="4" w:space="0" w:color="auto"/>
              <w:bottom w:val="single" w:sz="4" w:space="0" w:color="auto"/>
              <w:right w:val="single" w:sz="4" w:space="0" w:color="auto"/>
            </w:tcBorders>
            <w:shd w:val="clear" w:color="000000" w:fill="DDEBF7"/>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w:t>
            </w:r>
          </w:p>
        </w:tc>
        <w:tc>
          <w:tcPr>
            <w:tcW w:w="1560" w:type="dxa"/>
            <w:tcBorders>
              <w:top w:val="single" w:sz="4" w:space="0" w:color="auto"/>
              <w:left w:val="single" w:sz="4" w:space="0" w:color="auto"/>
              <w:bottom w:val="single" w:sz="4" w:space="0" w:color="auto"/>
              <w:right w:val="single" w:sz="4" w:space="0" w:color="auto"/>
            </w:tcBorders>
            <w:shd w:val="clear" w:color="000000" w:fill="DDEBF7"/>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1.677.378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 E. Quito</w:t>
            </w:r>
          </w:p>
        </w:tc>
        <w:tc>
          <w:tcPr>
            <w:tcW w:w="2126" w:type="dxa"/>
            <w:tcBorders>
              <w:top w:val="single" w:sz="4" w:space="0" w:color="auto"/>
              <w:left w:val="single" w:sz="4" w:space="0" w:color="auto"/>
              <w:bottom w:val="single" w:sz="4" w:space="0" w:color="auto"/>
              <w:right w:val="single" w:sz="4" w:space="0" w:color="auto"/>
            </w:tcBorders>
            <w:shd w:val="clear" w:color="000000" w:fill="DDEBF7"/>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7</w:t>
            </w:r>
          </w:p>
        </w:tc>
        <w:tc>
          <w:tcPr>
            <w:tcW w:w="1560" w:type="dxa"/>
            <w:tcBorders>
              <w:top w:val="single" w:sz="4" w:space="0" w:color="auto"/>
              <w:left w:val="single" w:sz="4" w:space="0" w:color="auto"/>
              <w:bottom w:val="single" w:sz="4" w:space="0" w:color="auto"/>
              <w:right w:val="single" w:sz="4" w:space="0" w:color="auto"/>
            </w:tcBorders>
            <w:shd w:val="clear" w:color="000000" w:fill="DDEBF7"/>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1.452.134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 E. Riobamba</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6</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775.561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Centrosur</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7</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1.530.829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Galápagos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 xml:space="preserve"> 402.657 </w:t>
            </w:r>
          </w:p>
        </w:tc>
      </w:tr>
      <w:tr w:rsidR="00814E69" w:rsidRPr="00814E69" w:rsidTr="00855FE6">
        <w:trPr>
          <w:trHeight w:val="285"/>
          <w:jc w:val="center"/>
        </w:trPr>
        <w:tc>
          <w:tcPr>
            <w:tcW w:w="4673" w:type="dxa"/>
            <w:gridSpan w:val="3"/>
            <w:tcBorders>
              <w:top w:val="single" w:sz="4" w:space="0" w:color="auto"/>
              <w:left w:val="single" w:sz="4" w:space="0" w:color="auto"/>
              <w:bottom w:val="nil"/>
              <w:right w:val="nil"/>
            </w:tcBorders>
            <w:shd w:val="clear" w:color="000000" w:fill="9BC2E6"/>
            <w:noWrap/>
            <w:vAlign w:val="center"/>
            <w:hideMark/>
          </w:tcPr>
          <w:p w:rsidR="00814E69" w:rsidRPr="00814E69" w:rsidRDefault="00814E69" w:rsidP="00814E6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Total C II</w:t>
            </w:r>
            <w:r w:rsidR="00391408" w:rsidRPr="00391408">
              <w:rPr>
                <w:rFonts w:ascii="Calibri" w:eastAsia="Times New Roman" w:hAnsi="Calibri" w:cs="Calibri"/>
                <w:b/>
                <w:bCs/>
                <w:color w:val="000000"/>
                <w:sz w:val="16"/>
                <w:szCs w:val="16"/>
                <w:lang w:eastAsia="es-CR"/>
              </w:rPr>
              <w:t xml:space="preserve">. </w:t>
            </w:r>
            <w:r w:rsidRPr="00814E69">
              <w:rPr>
                <w:rFonts w:ascii="Calibri" w:eastAsia="Times New Roman" w:hAnsi="Calibri" w:cs="Calibri"/>
                <w:b/>
                <w:bCs/>
                <w:color w:val="000000"/>
                <w:sz w:val="16"/>
                <w:szCs w:val="16"/>
                <w:lang w:eastAsia="es-CR"/>
              </w:rPr>
              <w:t>Distribución</w:t>
            </w:r>
          </w:p>
        </w:tc>
        <w:tc>
          <w:tcPr>
            <w:tcW w:w="2126" w:type="dxa"/>
            <w:tcBorders>
              <w:top w:val="single" w:sz="4" w:space="0" w:color="auto"/>
              <w:left w:val="single" w:sz="4" w:space="0" w:color="auto"/>
              <w:bottom w:val="nil"/>
              <w:right w:val="single" w:sz="4" w:space="0" w:color="auto"/>
            </w:tcBorders>
            <w:shd w:val="clear" w:color="000000" w:fill="9BC2E6"/>
            <w:noWrap/>
            <w:vAlign w:val="center"/>
            <w:hideMark/>
          </w:tcPr>
          <w:p w:rsidR="00814E69" w:rsidRPr="00814E69" w:rsidRDefault="001C1D06" w:rsidP="00814E69">
            <w:pPr>
              <w:spacing w:after="0" w:line="240" w:lineRule="auto"/>
              <w:jc w:val="center"/>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65</w:t>
            </w:r>
          </w:p>
        </w:tc>
        <w:tc>
          <w:tcPr>
            <w:tcW w:w="1560" w:type="dxa"/>
            <w:tcBorders>
              <w:top w:val="single" w:sz="4" w:space="0" w:color="auto"/>
              <w:left w:val="single" w:sz="4" w:space="0" w:color="auto"/>
              <w:bottom w:val="nil"/>
              <w:right w:val="single" w:sz="4" w:space="0" w:color="auto"/>
            </w:tcBorders>
            <w:shd w:val="clear" w:color="000000" w:fill="9BC2E6"/>
            <w:vAlign w:val="center"/>
            <w:hideMark/>
          </w:tcPr>
          <w:p w:rsidR="00814E69" w:rsidRPr="00814E69" w:rsidRDefault="00814E69" w:rsidP="00814E69">
            <w:pPr>
              <w:spacing w:after="0" w:line="240" w:lineRule="auto"/>
              <w:jc w:val="right"/>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 xml:space="preserve"> 1</w:t>
            </w:r>
            <w:r w:rsidR="001C1D06">
              <w:rPr>
                <w:rFonts w:ascii="Calibri" w:eastAsia="Times New Roman" w:hAnsi="Calibri" w:cs="Calibri"/>
                <w:b/>
                <w:bCs/>
                <w:color w:val="000000"/>
                <w:sz w:val="16"/>
                <w:szCs w:val="16"/>
                <w:lang w:eastAsia="es-CR"/>
              </w:rPr>
              <w:t>7</w:t>
            </w:r>
            <w:r w:rsidRPr="00814E69">
              <w:rPr>
                <w:rFonts w:ascii="Calibri" w:eastAsia="Times New Roman" w:hAnsi="Calibri" w:cs="Calibri"/>
                <w:b/>
                <w:bCs/>
                <w:color w:val="000000"/>
                <w:sz w:val="16"/>
                <w:szCs w:val="16"/>
                <w:lang w:eastAsia="es-CR"/>
              </w:rPr>
              <w:t>.</w:t>
            </w:r>
            <w:r w:rsidR="001C1D06">
              <w:rPr>
                <w:rFonts w:ascii="Calibri" w:eastAsia="Times New Roman" w:hAnsi="Calibri" w:cs="Calibri"/>
                <w:b/>
                <w:bCs/>
                <w:color w:val="000000"/>
                <w:sz w:val="16"/>
                <w:szCs w:val="16"/>
                <w:lang w:eastAsia="es-CR"/>
              </w:rPr>
              <w:t>172</w:t>
            </w:r>
            <w:r w:rsidRPr="00814E69">
              <w:rPr>
                <w:rFonts w:ascii="Calibri" w:eastAsia="Times New Roman" w:hAnsi="Calibri" w:cs="Calibri"/>
                <w:b/>
                <w:bCs/>
                <w:color w:val="000000"/>
                <w:sz w:val="16"/>
                <w:szCs w:val="16"/>
                <w:lang w:eastAsia="es-CR"/>
              </w:rPr>
              <w:t>.</w:t>
            </w:r>
            <w:r w:rsidR="001C1D06">
              <w:rPr>
                <w:rFonts w:ascii="Calibri" w:eastAsia="Times New Roman" w:hAnsi="Calibri" w:cs="Calibri"/>
                <w:b/>
                <w:bCs/>
                <w:color w:val="000000"/>
                <w:sz w:val="16"/>
                <w:szCs w:val="16"/>
                <w:lang w:eastAsia="es-CR"/>
              </w:rPr>
              <w:t>871</w:t>
            </w:r>
            <w:r w:rsidRPr="00814E69">
              <w:rPr>
                <w:rFonts w:ascii="Calibri" w:eastAsia="Times New Roman" w:hAnsi="Calibri" w:cs="Calibri"/>
                <w:b/>
                <w:bCs/>
                <w:color w:val="000000"/>
                <w:sz w:val="16"/>
                <w:szCs w:val="16"/>
                <w:lang w:eastAsia="es-CR"/>
              </w:rPr>
              <w:t xml:space="preserve"> </w:t>
            </w:r>
          </w:p>
        </w:tc>
      </w:tr>
      <w:tr w:rsidR="001C1D06" w:rsidRPr="00814E69" w:rsidTr="00855FE6">
        <w:trPr>
          <w:trHeight w:val="28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C1D06" w:rsidRPr="00814E69" w:rsidRDefault="001C1D06" w:rsidP="001C1D06">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 II. Expansión y Modernización del SND</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C1D06" w:rsidRPr="00814E69" w:rsidRDefault="001C1D06" w:rsidP="001C1D06">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Distribución</w:t>
            </w:r>
            <w:r w:rsidRPr="00391408">
              <w:rPr>
                <w:rFonts w:ascii="Calibri" w:eastAsia="Times New Roman" w:hAnsi="Calibri" w:cs="Calibri"/>
                <w:b/>
                <w:bCs/>
                <w:color w:val="000000"/>
                <w:sz w:val="16"/>
                <w:szCs w:val="16"/>
                <w:lang w:eastAsia="es-CR"/>
              </w:rPr>
              <w:t xml:space="preserve"> </w:t>
            </w:r>
            <w:r w:rsidRPr="00814E69">
              <w:rPr>
                <w:rFonts w:ascii="Calibri" w:eastAsia="Times New Roman" w:hAnsi="Calibri" w:cs="Calibri"/>
                <w:b/>
                <w:bCs/>
                <w:color w:val="000000"/>
                <w:sz w:val="16"/>
                <w:szCs w:val="16"/>
                <w:lang w:eastAsia="es-CR"/>
              </w:rPr>
              <w:t>FERUM</w:t>
            </w: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Bolivar</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28</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1.254.042</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El Oro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24</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1.330.749</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Esmeraldas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25</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3.495.447</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Guayaquil</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8</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2.779.116</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Guayas Los Rios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34</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1.253.695</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Los Rios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61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2.238.402</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Manabi</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36</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1.917.244</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Milagro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36</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955.960</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Sta Elena</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44</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2.022.223</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Sto Domingo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42</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1.077.048</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CNEL Sucumbios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2.595.058</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Ambato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12</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1.193.215</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Azogues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199.850</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Centrosur</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22</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1.015.515</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Cotopaxi</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19</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616.671</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Galapagos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4</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243.353</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Norte</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1.167.465</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Quito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23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1.361.998</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Riobamba</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42</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621.434</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1C1D06" w:rsidRDefault="001C1D06" w:rsidP="001C1D06">
            <w:pPr>
              <w:spacing w:after="0" w:line="240" w:lineRule="auto"/>
              <w:rPr>
                <w:rFonts w:ascii="Calibri" w:eastAsia="Times New Roman" w:hAnsi="Calibri" w:cs="Calibri"/>
                <w:b/>
                <w:bCs/>
                <w:color w:val="000000"/>
                <w:sz w:val="16"/>
                <w:szCs w:val="16"/>
                <w:lang w:eastAsia="es-CR"/>
              </w:rPr>
            </w:pPr>
            <w:r w:rsidRPr="001C1D06">
              <w:rPr>
                <w:rFonts w:ascii="Calibri" w:eastAsia="Times New Roman" w:hAnsi="Calibri" w:cs="Calibri"/>
                <w:b/>
                <w:bCs/>
                <w:color w:val="000000"/>
                <w:sz w:val="16"/>
                <w:szCs w:val="16"/>
                <w:lang w:eastAsia="es-CR"/>
              </w:rPr>
              <w:t>E.E. Sur</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center"/>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71</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9867D8" w:rsidRDefault="001C1D06" w:rsidP="001C1D06">
            <w:pPr>
              <w:spacing w:after="0" w:line="240" w:lineRule="auto"/>
              <w:jc w:val="right"/>
              <w:rPr>
                <w:rFonts w:ascii="Calibri" w:eastAsia="Times New Roman" w:hAnsi="Calibri" w:cs="Calibri"/>
                <w:bCs/>
                <w:color w:val="000000"/>
                <w:sz w:val="16"/>
                <w:szCs w:val="16"/>
                <w:lang w:eastAsia="es-CR"/>
              </w:rPr>
            </w:pPr>
            <w:r w:rsidRPr="009867D8">
              <w:rPr>
                <w:rFonts w:ascii="Calibri" w:eastAsia="Times New Roman" w:hAnsi="Calibri" w:cs="Calibri"/>
                <w:bCs/>
                <w:color w:val="000000"/>
                <w:sz w:val="16"/>
                <w:szCs w:val="16"/>
                <w:lang w:eastAsia="es-CR"/>
              </w:rPr>
              <w:t>3.068.440</w:t>
            </w:r>
          </w:p>
        </w:tc>
      </w:tr>
      <w:tr w:rsidR="00814E69" w:rsidRPr="00814E69" w:rsidTr="00855FE6">
        <w:trPr>
          <w:trHeight w:val="285"/>
          <w:jc w:val="center"/>
        </w:trPr>
        <w:tc>
          <w:tcPr>
            <w:tcW w:w="4673" w:type="dxa"/>
            <w:gridSpan w:val="3"/>
            <w:tcBorders>
              <w:top w:val="single" w:sz="4" w:space="0" w:color="auto"/>
              <w:left w:val="single" w:sz="4" w:space="0" w:color="auto"/>
              <w:bottom w:val="single" w:sz="4" w:space="0" w:color="auto"/>
              <w:right w:val="nil"/>
            </w:tcBorders>
            <w:shd w:val="clear" w:color="000000" w:fill="9BC2E6"/>
            <w:noWrap/>
            <w:vAlign w:val="center"/>
            <w:hideMark/>
          </w:tcPr>
          <w:p w:rsidR="00814E69" w:rsidRPr="00814E69" w:rsidRDefault="00814E69" w:rsidP="00814E6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Total C II</w:t>
            </w:r>
            <w:r w:rsidR="00391408" w:rsidRPr="00391408">
              <w:rPr>
                <w:rFonts w:ascii="Calibri" w:eastAsia="Times New Roman" w:hAnsi="Calibri" w:cs="Calibri"/>
                <w:b/>
                <w:bCs/>
                <w:color w:val="000000"/>
                <w:sz w:val="16"/>
                <w:szCs w:val="16"/>
                <w:lang w:eastAsia="es-CR"/>
              </w:rPr>
              <w:t xml:space="preserve">. </w:t>
            </w:r>
            <w:r w:rsidRPr="00814E69">
              <w:rPr>
                <w:rFonts w:ascii="Calibri" w:eastAsia="Times New Roman" w:hAnsi="Calibri" w:cs="Calibri"/>
                <w:b/>
                <w:bCs/>
                <w:color w:val="000000"/>
                <w:sz w:val="16"/>
                <w:szCs w:val="16"/>
                <w:lang w:eastAsia="es-CR"/>
              </w:rPr>
              <w:t>Distribución FERUM</w:t>
            </w:r>
          </w:p>
        </w:tc>
        <w:tc>
          <w:tcPr>
            <w:tcW w:w="212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814E69" w:rsidRPr="00814E69" w:rsidRDefault="001C1D06" w:rsidP="00814E69">
            <w:pPr>
              <w:spacing w:after="0" w:line="240" w:lineRule="auto"/>
              <w:jc w:val="center"/>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568</w:t>
            </w:r>
          </w:p>
        </w:tc>
        <w:tc>
          <w:tcPr>
            <w:tcW w:w="156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814E69" w:rsidRPr="00814E69" w:rsidRDefault="00814E69" w:rsidP="00814E69">
            <w:pPr>
              <w:spacing w:after="0" w:line="240" w:lineRule="auto"/>
              <w:jc w:val="right"/>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 xml:space="preserve"> </w:t>
            </w:r>
            <w:r w:rsidR="001C1D06">
              <w:rPr>
                <w:rFonts w:ascii="Calibri" w:eastAsia="Times New Roman" w:hAnsi="Calibri" w:cs="Calibri"/>
                <w:b/>
                <w:bCs/>
                <w:color w:val="000000"/>
                <w:sz w:val="16"/>
                <w:szCs w:val="16"/>
                <w:lang w:eastAsia="es-CR"/>
              </w:rPr>
              <w:t>3</w:t>
            </w:r>
            <w:r w:rsidRPr="00814E69">
              <w:rPr>
                <w:rFonts w:ascii="Calibri" w:eastAsia="Times New Roman" w:hAnsi="Calibri" w:cs="Calibri"/>
                <w:b/>
                <w:bCs/>
                <w:color w:val="000000"/>
                <w:sz w:val="16"/>
                <w:szCs w:val="16"/>
                <w:lang w:eastAsia="es-CR"/>
              </w:rPr>
              <w:t>0.</w:t>
            </w:r>
            <w:r w:rsidR="001C1D06">
              <w:rPr>
                <w:rFonts w:ascii="Calibri" w:eastAsia="Times New Roman" w:hAnsi="Calibri" w:cs="Calibri"/>
                <w:b/>
                <w:bCs/>
                <w:color w:val="000000"/>
                <w:sz w:val="16"/>
                <w:szCs w:val="16"/>
                <w:lang w:eastAsia="es-CR"/>
              </w:rPr>
              <w:t>406</w:t>
            </w:r>
            <w:r w:rsidRPr="00814E69">
              <w:rPr>
                <w:rFonts w:ascii="Calibri" w:eastAsia="Times New Roman" w:hAnsi="Calibri" w:cs="Calibri"/>
                <w:b/>
                <w:bCs/>
                <w:color w:val="000000"/>
                <w:sz w:val="16"/>
                <w:szCs w:val="16"/>
                <w:lang w:eastAsia="es-CR"/>
              </w:rPr>
              <w:t>.</w:t>
            </w:r>
            <w:r w:rsidR="001C1D06">
              <w:rPr>
                <w:rFonts w:ascii="Calibri" w:eastAsia="Times New Roman" w:hAnsi="Calibri" w:cs="Calibri"/>
                <w:b/>
                <w:bCs/>
                <w:color w:val="000000"/>
                <w:sz w:val="16"/>
                <w:szCs w:val="16"/>
                <w:lang w:eastAsia="es-CR"/>
              </w:rPr>
              <w:t>927</w:t>
            </w:r>
            <w:r w:rsidRPr="00814E69">
              <w:rPr>
                <w:rFonts w:ascii="Calibri" w:eastAsia="Times New Roman" w:hAnsi="Calibri" w:cs="Calibri"/>
                <w:b/>
                <w:bCs/>
                <w:color w:val="000000"/>
                <w:sz w:val="16"/>
                <w:szCs w:val="16"/>
                <w:lang w:eastAsia="es-CR"/>
              </w:rPr>
              <w:t xml:space="preserve"> </w:t>
            </w:r>
          </w:p>
        </w:tc>
      </w:tr>
      <w:tr w:rsidR="001C1D06" w:rsidRPr="00814E69" w:rsidTr="00855FE6">
        <w:trPr>
          <w:trHeight w:val="28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C1D06" w:rsidRPr="00814E69" w:rsidRDefault="00826075" w:rsidP="001C1D06">
            <w:pPr>
              <w:spacing w:after="0" w:line="240" w:lineRule="auto"/>
              <w:jc w:val="center"/>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C II</w:t>
            </w:r>
            <w:r w:rsidR="001C1D06" w:rsidRPr="00814E69">
              <w:rPr>
                <w:rFonts w:ascii="Calibri" w:eastAsia="Times New Roman" w:hAnsi="Calibri" w:cs="Calibri"/>
                <w:b/>
                <w:bCs/>
                <w:color w:val="000000"/>
                <w:sz w:val="16"/>
                <w:szCs w:val="16"/>
                <w:lang w:eastAsia="es-CR"/>
              </w:rPr>
              <w:t xml:space="preserve">. </w:t>
            </w:r>
            <w:r w:rsidRPr="00814E69">
              <w:rPr>
                <w:rFonts w:ascii="Calibri" w:eastAsia="Times New Roman" w:hAnsi="Calibri" w:cs="Calibri"/>
                <w:b/>
                <w:bCs/>
                <w:color w:val="000000"/>
                <w:sz w:val="16"/>
                <w:szCs w:val="16"/>
                <w:lang w:eastAsia="es-CR"/>
              </w:rPr>
              <w:t>Expansión y Modernización del SND</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C1D06" w:rsidRPr="00826075" w:rsidRDefault="001C1D06" w:rsidP="001C1D06">
            <w:pPr>
              <w:spacing w:after="0" w:line="240" w:lineRule="auto"/>
              <w:jc w:val="center"/>
              <w:rPr>
                <w:rFonts w:ascii="Calibri" w:eastAsia="Times New Roman" w:hAnsi="Calibri" w:cs="Calibri"/>
                <w:b/>
                <w:color w:val="000000"/>
                <w:sz w:val="16"/>
                <w:szCs w:val="16"/>
                <w:lang w:eastAsia="es-CR"/>
              </w:rPr>
            </w:pPr>
            <w:r w:rsidRPr="00826075">
              <w:rPr>
                <w:rFonts w:ascii="Calibri" w:eastAsia="Times New Roman" w:hAnsi="Calibri" w:cs="Calibri"/>
                <w:b/>
                <w:color w:val="000000"/>
                <w:sz w:val="16"/>
                <w:szCs w:val="16"/>
                <w:lang w:eastAsia="es-CR"/>
              </w:rPr>
              <w:t>Distribución Agroindustria</w:t>
            </w: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El Oro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10</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3.744.851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26075" w:rsidRDefault="001C1D06" w:rsidP="001C1D06">
            <w:pPr>
              <w:spacing w:after="0" w:line="240" w:lineRule="auto"/>
              <w:rPr>
                <w:rFonts w:ascii="Calibri" w:eastAsia="Times New Roman" w:hAnsi="Calibri" w:cs="Calibri"/>
                <w:b/>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Esmeraldas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2</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2.064.506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26075" w:rsidRDefault="001C1D06" w:rsidP="001C1D06">
            <w:pPr>
              <w:spacing w:after="0" w:line="240" w:lineRule="auto"/>
              <w:rPr>
                <w:rFonts w:ascii="Calibri" w:eastAsia="Times New Roman" w:hAnsi="Calibri" w:cs="Calibri"/>
                <w:b/>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Guayaquil</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5</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3.099.165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26075" w:rsidRDefault="001C1D06" w:rsidP="001C1D06">
            <w:pPr>
              <w:spacing w:after="0" w:line="240" w:lineRule="auto"/>
              <w:rPr>
                <w:rFonts w:ascii="Calibri" w:eastAsia="Times New Roman" w:hAnsi="Calibri" w:cs="Calibri"/>
                <w:b/>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Guayas Los Rios</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13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2.278.567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26075" w:rsidRDefault="001C1D06" w:rsidP="001C1D06">
            <w:pPr>
              <w:spacing w:after="0" w:line="240" w:lineRule="auto"/>
              <w:rPr>
                <w:rFonts w:ascii="Calibri" w:eastAsia="Times New Roman" w:hAnsi="Calibri" w:cs="Calibri"/>
                <w:b/>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Manabi</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5</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1.768.770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26075" w:rsidRDefault="001C1D06" w:rsidP="001C1D06">
            <w:pPr>
              <w:spacing w:after="0" w:line="240" w:lineRule="auto"/>
              <w:rPr>
                <w:rFonts w:ascii="Calibri" w:eastAsia="Times New Roman" w:hAnsi="Calibri" w:cs="Calibri"/>
                <w:b/>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Milagro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6</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3.794.206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26075" w:rsidRDefault="001C1D06" w:rsidP="001C1D06">
            <w:pPr>
              <w:spacing w:after="0" w:line="240" w:lineRule="auto"/>
              <w:rPr>
                <w:rFonts w:ascii="Calibri" w:eastAsia="Times New Roman" w:hAnsi="Calibri" w:cs="Calibri"/>
                <w:b/>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Sta Elena</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3</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3.857.919 </w:t>
            </w:r>
          </w:p>
        </w:tc>
      </w:tr>
      <w:tr w:rsidR="001C1D06" w:rsidRPr="00814E69" w:rsidTr="00855FE6">
        <w:trPr>
          <w:trHeight w:val="28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C1D06" w:rsidRPr="00814E69" w:rsidRDefault="001C1D06" w:rsidP="001C1D06">
            <w:pPr>
              <w:spacing w:after="0" w:line="240" w:lineRule="auto"/>
              <w:rPr>
                <w:rFonts w:ascii="Calibri" w:eastAsia="Times New Roman" w:hAnsi="Calibri" w:cs="Calibri"/>
                <w:b/>
                <w:bCs/>
                <w:color w:val="000000"/>
                <w:sz w:val="16"/>
                <w:szCs w:val="16"/>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1D06" w:rsidRPr="00826075" w:rsidRDefault="001C1D06" w:rsidP="001C1D06">
            <w:pPr>
              <w:spacing w:after="0" w:line="240" w:lineRule="auto"/>
              <w:rPr>
                <w:rFonts w:ascii="Calibri" w:eastAsia="Times New Roman" w:hAnsi="Calibri" w:cs="Calibri"/>
                <w:b/>
                <w:color w:val="000000"/>
                <w:sz w:val="16"/>
                <w:szCs w:val="16"/>
                <w:lang w:eastAsia="es-CR"/>
              </w:rPr>
            </w:pPr>
          </w:p>
        </w:tc>
        <w:tc>
          <w:tcPr>
            <w:tcW w:w="1701" w:type="dxa"/>
            <w:tcBorders>
              <w:top w:val="single" w:sz="4" w:space="0" w:color="auto"/>
              <w:left w:val="single" w:sz="4" w:space="0" w:color="auto"/>
              <w:bottom w:val="single" w:sz="4" w:space="0" w:color="auto"/>
              <w:right w:val="single" w:sz="4" w:space="0" w:color="auto"/>
            </w:tcBorders>
            <w:shd w:val="clear" w:color="000000" w:fill="DDEBF7"/>
            <w:noWrap/>
            <w:hideMark/>
          </w:tcPr>
          <w:p w:rsidR="001C1D06" w:rsidRPr="00826075" w:rsidRDefault="001C1D06" w:rsidP="001C1D06">
            <w:pPr>
              <w:spacing w:after="0" w:line="240" w:lineRule="auto"/>
              <w:rPr>
                <w:rFonts w:ascii="Calibri" w:eastAsia="Times New Roman" w:hAnsi="Calibri" w:cs="Calibri"/>
                <w:b/>
                <w:bCs/>
                <w:color w:val="000000"/>
                <w:sz w:val="16"/>
                <w:szCs w:val="16"/>
                <w:lang w:eastAsia="es-CR"/>
              </w:rPr>
            </w:pPr>
            <w:r w:rsidRPr="00826075">
              <w:rPr>
                <w:rFonts w:ascii="Calibri" w:eastAsia="Times New Roman" w:hAnsi="Calibri" w:cs="Calibri"/>
                <w:b/>
                <w:bCs/>
                <w:color w:val="000000"/>
                <w:sz w:val="16"/>
                <w:szCs w:val="16"/>
                <w:lang w:eastAsia="es-CR"/>
              </w:rPr>
              <w:t>CNEL Sto Domingo</w:t>
            </w:r>
          </w:p>
        </w:tc>
        <w:tc>
          <w:tcPr>
            <w:tcW w:w="2126"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center"/>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5</w:t>
            </w:r>
          </w:p>
        </w:tc>
        <w:tc>
          <w:tcPr>
            <w:tcW w:w="1560" w:type="dxa"/>
            <w:tcBorders>
              <w:top w:val="single" w:sz="4" w:space="0" w:color="auto"/>
              <w:left w:val="single" w:sz="4" w:space="0" w:color="auto"/>
              <w:bottom w:val="single" w:sz="4" w:space="0" w:color="auto"/>
              <w:right w:val="single" w:sz="4" w:space="0" w:color="auto"/>
            </w:tcBorders>
            <w:shd w:val="clear" w:color="000000" w:fill="DDEBF7"/>
            <w:hideMark/>
          </w:tcPr>
          <w:p w:rsidR="001C1D06" w:rsidRPr="00826075" w:rsidRDefault="001C1D06" w:rsidP="001C1D06">
            <w:pPr>
              <w:spacing w:after="0" w:line="240" w:lineRule="auto"/>
              <w:jc w:val="right"/>
              <w:rPr>
                <w:rFonts w:ascii="Calibri" w:eastAsia="Times New Roman" w:hAnsi="Calibri" w:cs="Calibri"/>
                <w:bCs/>
                <w:color w:val="000000"/>
                <w:sz w:val="16"/>
                <w:szCs w:val="16"/>
                <w:lang w:eastAsia="es-CR"/>
              </w:rPr>
            </w:pPr>
            <w:r w:rsidRPr="00826075">
              <w:rPr>
                <w:rFonts w:ascii="Calibri" w:eastAsia="Times New Roman" w:hAnsi="Calibri" w:cs="Calibri"/>
                <w:bCs/>
                <w:color w:val="000000"/>
                <w:sz w:val="16"/>
                <w:szCs w:val="16"/>
                <w:lang w:eastAsia="es-CR"/>
              </w:rPr>
              <w:t xml:space="preserve"> 2.967.696 </w:t>
            </w:r>
          </w:p>
        </w:tc>
      </w:tr>
      <w:tr w:rsidR="00814E69" w:rsidRPr="00814E69" w:rsidTr="00855FE6">
        <w:trPr>
          <w:trHeight w:val="285"/>
          <w:jc w:val="center"/>
        </w:trPr>
        <w:tc>
          <w:tcPr>
            <w:tcW w:w="4673" w:type="dxa"/>
            <w:gridSpan w:val="3"/>
            <w:tcBorders>
              <w:top w:val="single" w:sz="4" w:space="0" w:color="auto"/>
              <w:left w:val="single" w:sz="4" w:space="0" w:color="auto"/>
              <w:bottom w:val="single" w:sz="4" w:space="0" w:color="auto"/>
              <w:right w:val="nil"/>
            </w:tcBorders>
            <w:shd w:val="clear" w:color="000000" w:fill="9BC2E6"/>
            <w:noWrap/>
            <w:vAlign w:val="center"/>
            <w:hideMark/>
          </w:tcPr>
          <w:p w:rsidR="00814E69" w:rsidRPr="00814E69" w:rsidRDefault="00814E69" w:rsidP="00814E69">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Total C II</w:t>
            </w:r>
            <w:r w:rsidR="00826075">
              <w:rPr>
                <w:rFonts w:ascii="Calibri" w:eastAsia="Times New Roman" w:hAnsi="Calibri" w:cs="Calibri"/>
                <w:b/>
                <w:bCs/>
                <w:color w:val="000000"/>
                <w:sz w:val="16"/>
                <w:szCs w:val="16"/>
                <w:lang w:eastAsia="es-CR"/>
              </w:rPr>
              <w:t>. Distribución Agroindustria</w:t>
            </w:r>
          </w:p>
        </w:tc>
        <w:tc>
          <w:tcPr>
            <w:tcW w:w="212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814E69" w:rsidRPr="00814E69" w:rsidRDefault="00826075" w:rsidP="00814E69">
            <w:pPr>
              <w:spacing w:after="0" w:line="240" w:lineRule="auto"/>
              <w:jc w:val="center"/>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49</w:t>
            </w:r>
          </w:p>
        </w:tc>
        <w:tc>
          <w:tcPr>
            <w:tcW w:w="156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814E69" w:rsidRPr="00814E69" w:rsidRDefault="00814E69" w:rsidP="00814E69">
            <w:pPr>
              <w:spacing w:after="0" w:line="240" w:lineRule="auto"/>
              <w:jc w:val="right"/>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 xml:space="preserve"> 2</w:t>
            </w:r>
            <w:r w:rsidR="00826075">
              <w:rPr>
                <w:rFonts w:ascii="Calibri" w:eastAsia="Times New Roman" w:hAnsi="Calibri" w:cs="Calibri"/>
                <w:b/>
                <w:bCs/>
                <w:color w:val="000000"/>
                <w:sz w:val="16"/>
                <w:szCs w:val="16"/>
                <w:lang w:eastAsia="es-CR"/>
              </w:rPr>
              <w:t>3</w:t>
            </w:r>
            <w:r w:rsidRPr="00814E69">
              <w:rPr>
                <w:rFonts w:ascii="Calibri" w:eastAsia="Times New Roman" w:hAnsi="Calibri" w:cs="Calibri"/>
                <w:b/>
                <w:bCs/>
                <w:color w:val="000000"/>
                <w:sz w:val="16"/>
                <w:szCs w:val="16"/>
                <w:lang w:eastAsia="es-CR"/>
              </w:rPr>
              <w:t>.</w:t>
            </w:r>
            <w:r w:rsidR="00826075">
              <w:rPr>
                <w:rFonts w:ascii="Calibri" w:eastAsia="Times New Roman" w:hAnsi="Calibri" w:cs="Calibri"/>
                <w:b/>
                <w:bCs/>
                <w:color w:val="000000"/>
                <w:sz w:val="16"/>
                <w:szCs w:val="16"/>
                <w:lang w:eastAsia="es-CR"/>
              </w:rPr>
              <w:t>5</w:t>
            </w:r>
            <w:r w:rsidR="001C1D06">
              <w:rPr>
                <w:rFonts w:ascii="Calibri" w:eastAsia="Times New Roman" w:hAnsi="Calibri" w:cs="Calibri"/>
                <w:b/>
                <w:bCs/>
                <w:color w:val="000000"/>
                <w:sz w:val="16"/>
                <w:szCs w:val="16"/>
                <w:lang w:eastAsia="es-CR"/>
              </w:rPr>
              <w:t>7</w:t>
            </w:r>
            <w:r w:rsidRPr="00814E69">
              <w:rPr>
                <w:rFonts w:ascii="Calibri" w:eastAsia="Times New Roman" w:hAnsi="Calibri" w:cs="Calibri"/>
                <w:b/>
                <w:bCs/>
                <w:color w:val="000000"/>
                <w:sz w:val="16"/>
                <w:szCs w:val="16"/>
                <w:lang w:eastAsia="es-CR"/>
              </w:rPr>
              <w:t>5.</w:t>
            </w:r>
            <w:r w:rsidR="001C1D06">
              <w:rPr>
                <w:rFonts w:ascii="Calibri" w:eastAsia="Times New Roman" w:hAnsi="Calibri" w:cs="Calibri"/>
                <w:b/>
                <w:bCs/>
                <w:color w:val="000000"/>
                <w:sz w:val="16"/>
                <w:szCs w:val="16"/>
                <w:lang w:eastAsia="es-CR"/>
              </w:rPr>
              <w:t>680</w:t>
            </w:r>
            <w:r w:rsidRPr="00814E69">
              <w:rPr>
                <w:rFonts w:ascii="Calibri" w:eastAsia="Times New Roman" w:hAnsi="Calibri" w:cs="Calibri"/>
                <w:b/>
                <w:bCs/>
                <w:color w:val="000000"/>
                <w:sz w:val="16"/>
                <w:szCs w:val="16"/>
                <w:lang w:eastAsia="es-CR"/>
              </w:rPr>
              <w:t xml:space="preserve"> </w:t>
            </w:r>
          </w:p>
        </w:tc>
      </w:tr>
      <w:tr w:rsidR="00826075" w:rsidRPr="00814E69" w:rsidTr="00826075">
        <w:trPr>
          <w:trHeight w:val="285"/>
          <w:jc w:val="center"/>
        </w:trPr>
        <w:tc>
          <w:tcPr>
            <w:tcW w:w="4673" w:type="dxa"/>
            <w:gridSpan w:val="3"/>
            <w:tcBorders>
              <w:top w:val="single" w:sz="4" w:space="0" w:color="auto"/>
              <w:left w:val="single" w:sz="4" w:space="0" w:color="auto"/>
              <w:bottom w:val="single" w:sz="4" w:space="0" w:color="auto"/>
              <w:right w:val="nil"/>
            </w:tcBorders>
            <w:shd w:val="clear" w:color="auto" w:fill="BDD6EE" w:themeFill="accent5" w:themeFillTint="66"/>
            <w:noWrap/>
            <w:vAlign w:val="center"/>
          </w:tcPr>
          <w:p w:rsidR="00826075" w:rsidRPr="00814E69" w:rsidRDefault="00826075" w:rsidP="00814E69">
            <w:pPr>
              <w:spacing w:after="0" w:line="240" w:lineRule="auto"/>
              <w:jc w:val="center"/>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C III. Eficiencia Energética Agroindustria</w:t>
            </w: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rsidR="00826075" w:rsidRDefault="00826075" w:rsidP="00814E69">
            <w:pPr>
              <w:spacing w:after="0" w:line="240" w:lineRule="auto"/>
              <w:jc w:val="center"/>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4</w:t>
            </w: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rsidR="00826075" w:rsidRPr="00814E69" w:rsidRDefault="00826075" w:rsidP="00814E69">
            <w:pPr>
              <w:spacing w:after="0" w:line="240" w:lineRule="auto"/>
              <w:jc w:val="right"/>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2.400.000</w:t>
            </w:r>
          </w:p>
        </w:tc>
      </w:tr>
      <w:tr w:rsidR="00814E69" w:rsidRPr="00814E69" w:rsidTr="00855FE6">
        <w:trPr>
          <w:trHeight w:val="285"/>
          <w:jc w:val="center"/>
        </w:trPr>
        <w:tc>
          <w:tcPr>
            <w:tcW w:w="4673" w:type="dxa"/>
            <w:gridSpan w:val="3"/>
            <w:tcBorders>
              <w:top w:val="single" w:sz="4" w:space="0" w:color="auto"/>
              <w:left w:val="single" w:sz="4" w:space="0" w:color="auto"/>
              <w:bottom w:val="single" w:sz="4" w:space="0" w:color="auto"/>
              <w:right w:val="nil"/>
            </w:tcBorders>
            <w:shd w:val="clear" w:color="000000" w:fill="2F75B5"/>
            <w:noWrap/>
            <w:vAlign w:val="center"/>
            <w:hideMark/>
          </w:tcPr>
          <w:p w:rsidR="00814E69" w:rsidRPr="00814E69" w:rsidRDefault="007A628D" w:rsidP="00814E69">
            <w:pPr>
              <w:spacing w:after="0" w:line="240" w:lineRule="auto"/>
              <w:jc w:val="center"/>
              <w:rPr>
                <w:rFonts w:ascii="Calibri" w:eastAsia="Times New Roman" w:hAnsi="Calibri" w:cs="Calibri"/>
                <w:b/>
                <w:bCs/>
                <w:color w:val="FFFFFF"/>
                <w:sz w:val="16"/>
                <w:szCs w:val="16"/>
                <w:lang w:eastAsia="es-CR"/>
              </w:rPr>
            </w:pPr>
            <w:r w:rsidRPr="00814E69">
              <w:rPr>
                <w:rFonts w:ascii="Calibri" w:eastAsia="Times New Roman" w:hAnsi="Calibri" w:cs="Calibri"/>
                <w:b/>
                <w:bCs/>
                <w:color w:val="FFFFFF"/>
                <w:sz w:val="16"/>
                <w:szCs w:val="16"/>
                <w:lang w:eastAsia="es-CR"/>
              </w:rPr>
              <w:t>TOTAL,</w:t>
            </w:r>
            <w:r w:rsidR="00814E69" w:rsidRPr="00814E69">
              <w:rPr>
                <w:rFonts w:ascii="Calibri" w:eastAsia="Times New Roman" w:hAnsi="Calibri" w:cs="Calibri"/>
                <w:b/>
                <w:bCs/>
                <w:color w:val="FFFFFF"/>
                <w:sz w:val="16"/>
                <w:szCs w:val="16"/>
                <w:lang w:eastAsia="es-CR"/>
              </w:rPr>
              <w:t xml:space="preserve"> Proyectos Evaluados</w:t>
            </w:r>
          </w:p>
        </w:tc>
        <w:tc>
          <w:tcPr>
            <w:tcW w:w="2126"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814E69" w:rsidRPr="00814E69" w:rsidRDefault="00814E69" w:rsidP="00814E69">
            <w:pPr>
              <w:spacing w:after="0" w:line="240" w:lineRule="auto"/>
              <w:jc w:val="center"/>
              <w:rPr>
                <w:rFonts w:ascii="Calibri" w:eastAsia="Times New Roman" w:hAnsi="Calibri" w:cs="Calibri"/>
                <w:b/>
                <w:bCs/>
                <w:color w:val="FFFFFF"/>
                <w:sz w:val="16"/>
                <w:szCs w:val="16"/>
                <w:lang w:eastAsia="es-CR"/>
              </w:rPr>
            </w:pPr>
            <w:r w:rsidRPr="00814E69">
              <w:rPr>
                <w:rFonts w:ascii="Calibri" w:eastAsia="Times New Roman" w:hAnsi="Calibri" w:cs="Calibri"/>
                <w:b/>
                <w:bCs/>
                <w:color w:val="FFFFFF"/>
                <w:sz w:val="16"/>
                <w:szCs w:val="16"/>
                <w:lang w:eastAsia="es-CR"/>
              </w:rPr>
              <w:t>583</w:t>
            </w:r>
          </w:p>
        </w:tc>
        <w:tc>
          <w:tcPr>
            <w:tcW w:w="1560"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814E69" w:rsidRPr="00814E69" w:rsidRDefault="00814E69" w:rsidP="00814E69">
            <w:pPr>
              <w:spacing w:after="0" w:line="240" w:lineRule="auto"/>
              <w:jc w:val="right"/>
              <w:rPr>
                <w:rFonts w:ascii="Calibri" w:eastAsia="Times New Roman" w:hAnsi="Calibri" w:cs="Calibri"/>
                <w:b/>
                <w:bCs/>
                <w:color w:val="FFFFFF"/>
                <w:sz w:val="16"/>
                <w:szCs w:val="16"/>
                <w:lang w:eastAsia="es-CR"/>
              </w:rPr>
            </w:pPr>
            <w:r w:rsidRPr="00814E69">
              <w:rPr>
                <w:rFonts w:ascii="Calibri" w:eastAsia="Times New Roman" w:hAnsi="Calibri" w:cs="Calibri"/>
                <w:b/>
                <w:bCs/>
                <w:color w:val="FFFFFF"/>
                <w:sz w:val="16"/>
                <w:szCs w:val="16"/>
                <w:lang w:eastAsia="es-CR"/>
              </w:rPr>
              <w:t xml:space="preserve"> 2</w:t>
            </w:r>
            <w:r w:rsidR="001C1D06">
              <w:rPr>
                <w:rFonts w:ascii="Calibri" w:eastAsia="Times New Roman" w:hAnsi="Calibri" w:cs="Calibri"/>
                <w:b/>
                <w:bCs/>
                <w:color w:val="FFFFFF"/>
                <w:sz w:val="16"/>
                <w:szCs w:val="16"/>
                <w:lang w:eastAsia="es-CR"/>
              </w:rPr>
              <w:t>18</w:t>
            </w:r>
            <w:r w:rsidRPr="00814E69">
              <w:rPr>
                <w:rFonts w:ascii="Calibri" w:eastAsia="Times New Roman" w:hAnsi="Calibri" w:cs="Calibri"/>
                <w:b/>
                <w:bCs/>
                <w:color w:val="FFFFFF"/>
                <w:sz w:val="16"/>
                <w:szCs w:val="16"/>
                <w:lang w:eastAsia="es-CR"/>
              </w:rPr>
              <w:t>.</w:t>
            </w:r>
            <w:r w:rsidR="001C1D06">
              <w:rPr>
                <w:rFonts w:ascii="Calibri" w:eastAsia="Times New Roman" w:hAnsi="Calibri" w:cs="Calibri"/>
                <w:b/>
                <w:bCs/>
                <w:color w:val="FFFFFF"/>
                <w:sz w:val="16"/>
                <w:szCs w:val="16"/>
                <w:lang w:eastAsia="es-CR"/>
              </w:rPr>
              <w:t>000</w:t>
            </w:r>
            <w:r w:rsidRPr="00814E69">
              <w:rPr>
                <w:rFonts w:ascii="Calibri" w:eastAsia="Times New Roman" w:hAnsi="Calibri" w:cs="Calibri"/>
                <w:b/>
                <w:bCs/>
                <w:color w:val="FFFFFF"/>
                <w:sz w:val="16"/>
                <w:szCs w:val="16"/>
                <w:lang w:eastAsia="es-CR"/>
              </w:rPr>
              <w:t>.</w:t>
            </w:r>
            <w:r w:rsidR="001C1D06">
              <w:rPr>
                <w:rFonts w:ascii="Calibri" w:eastAsia="Times New Roman" w:hAnsi="Calibri" w:cs="Calibri"/>
                <w:b/>
                <w:bCs/>
                <w:color w:val="FFFFFF"/>
                <w:sz w:val="16"/>
                <w:szCs w:val="16"/>
                <w:lang w:eastAsia="es-CR"/>
              </w:rPr>
              <w:t>000</w:t>
            </w:r>
            <w:r w:rsidRPr="00814E69">
              <w:rPr>
                <w:rFonts w:ascii="Calibri" w:eastAsia="Times New Roman" w:hAnsi="Calibri" w:cs="Calibri"/>
                <w:b/>
                <w:bCs/>
                <w:color w:val="FFFFFF"/>
                <w:sz w:val="16"/>
                <w:szCs w:val="16"/>
                <w:lang w:eastAsia="es-CR"/>
              </w:rPr>
              <w:t xml:space="preserve"> </w:t>
            </w:r>
          </w:p>
        </w:tc>
      </w:tr>
    </w:tbl>
    <w:p w:rsidR="00EA229A" w:rsidRDefault="00EA229A" w:rsidP="00EA229A">
      <w:pPr>
        <w:jc w:val="both"/>
        <w:rPr>
          <w:lang w:val="es-CL"/>
        </w:rPr>
      </w:pPr>
      <w:r w:rsidRPr="00EA229A">
        <w:rPr>
          <w:lang w:val="es-CL"/>
        </w:rPr>
        <w:t xml:space="preserve">Para alcanzar estas metas, el GdE ha solicitado apoyo del Banco Interamericano de Desarrollo (BID), a través del Programa “Apoyo al Avance del Cambio de la Matriz Energética del Ecuador EC-L1223”. </w:t>
      </w:r>
    </w:p>
    <w:p w:rsidR="00EA229A" w:rsidRPr="00EA229A" w:rsidRDefault="00EA229A" w:rsidP="00EA229A">
      <w:pPr>
        <w:jc w:val="both"/>
        <w:rPr>
          <w:lang w:val="es-CL"/>
        </w:rPr>
      </w:pPr>
    </w:p>
    <w:p w:rsidR="00EA229A" w:rsidRPr="00EA229A" w:rsidRDefault="00EA229A" w:rsidP="00EA229A">
      <w:pPr>
        <w:jc w:val="both"/>
        <w:rPr>
          <w:b/>
          <w:lang w:val="es-CL"/>
        </w:rPr>
      </w:pPr>
      <w:r w:rsidRPr="00EA229A">
        <w:rPr>
          <w:b/>
          <w:lang w:val="es-CL"/>
        </w:rPr>
        <w:t>Objetivo de la Consultoría</w:t>
      </w:r>
    </w:p>
    <w:p w:rsidR="00EA229A" w:rsidRPr="00EA229A" w:rsidRDefault="00EA229A" w:rsidP="00EA229A">
      <w:pPr>
        <w:jc w:val="both"/>
        <w:rPr>
          <w:lang w:val="es-CL"/>
        </w:rPr>
      </w:pPr>
    </w:p>
    <w:p w:rsidR="00EA229A" w:rsidRDefault="00EA229A" w:rsidP="00EA229A">
      <w:pPr>
        <w:jc w:val="both"/>
        <w:rPr>
          <w:lang w:val="es-CL"/>
        </w:rPr>
      </w:pPr>
      <w:r w:rsidRPr="00EA229A">
        <w:rPr>
          <w:lang w:val="es-CL"/>
        </w:rPr>
        <w:t xml:space="preserve">Llevar a cabo la evaluación económica y financiera del Programa - “Apoyo al Avance del Cambio de la Matriz Energética del Ecuador (EC-L1223)”, para determinar su viabilidad. Los objetivos específicos son: </w:t>
      </w:r>
    </w:p>
    <w:p w:rsidR="00EA229A" w:rsidRPr="00EA229A" w:rsidRDefault="00EA229A" w:rsidP="00EA229A">
      <w:pPr>
        <w:pStyle w:val="ListParagraph"/>
        <w:numPr>
          <w:ilvl w:val="0"/>
          <w:numId w:val="5"/>
        </w:numPr>
        <w:jc w:val="both"/>
        <w:rPr>
          <w:lang w:val="es-CL"/>
        </w:rPr>
      </w:pPr>
      <w:r>
        <w:rPr>
          <w:lang w:val="es-CL"/>
        </w:rPr>
        <w:t>A</w:t>
      </w:r>
      <w:r w:rsidRPr="00EA229A">
        <w:rPr>
          <w:lang w:val="es-CL"/>
        </w:rPr>
        <w:t xml:space="preserve">nálisis económico-financiero de los componentes I, II y III, y del programa en su conjunto, el cual es consistente con las acciones previstas para el Cambio de la Matriz Energética. Los componentes agrupan las inversiones en el sistema de transmisión, de distribución, y en la implementación del Plan Nacional de Eficiencia Energética PLANEE; </w:t>
      </w:r>
    </w:p>
    <w:p w:rsidR="00EA229A" w:rsidRPr="00EA229A" w:rsidRDefault="00EA229A" w:rsidP="00EA229A">
      <w:pPr>
        <w:pStyle w:val="ListParagraph"/>
        <w:numPr>
          <w:ilvl w:val="0"/>
          <w:numId w:val="5"/>
        </w:numPr>
        <w:jc w:val="both"/>
        <w:rPr>
          <w:lang w:val="es-CL"/>
        </w:rPr>
      </w:pPr>
      <w:r>
        <w:rPr>
          <w:lang w:val="es-CL"/>
        </w:rPr>
        <w:t>A</w:t>
      </w:r>
      <w:r w:rsidRPr="00EA229A">
        <w:rPr>
          <w:lang w:val="es-CL"/>
        </w:rPr>
        <w:t>nálisis de sensibilidad de los componentes I, II y III, y del Programa.</w:t>
      </w:r>
    </w:p>
    <w:p w:rsidR="00EA229A" w:rsidRDefault="00EA229A" w:rsidP="00F56913">
      <w:pPr>
        <w:jc w:val="both"/>
        <w:rPr>
          <w:lang w:val="es-CL"/>
        </w:rPr>
      </w:pPr>
    </w:p>
    <w:p w:rsidR="00EA229A" w:rsidRDefault="00EA229A" w:rsidP="00F56913">
      <w:pPr>
        <w:jc w:val="both"/>
        <w:rPr>
          <w:lang w:val="es-CL"/>
        </w:rPr>
      </w:pPr>
    </w:p>
    <w:p w:rsidR="00EA229A" w:rsidRDefault="00EA229A" w:rsidP="00F56913">
      <w:pPr>
        <w:jc w:val="both"/>
        <w:rPr>
          <w:lang w:val="es-CL"/>
        </w:rPr>
      </w:pPr>
    </w:p>
    <w:p w:rsidR="00EA229A" w:rsidRDefault="00EA229A" w:rsidP="00F56913">
      <w:pPr>
        <w:jc w:val="both"/>
        <w:rPr>
          <w:lang w:val="es-CL"/>
        </w:rPr>
      </w:pPr>
    </w:p>
    <w:p w:rsidR="00855FE6" w:rsidRDefault="00855FE6">
      <w:pPr>
        <w:rPr>
          <w:rFonts w:asciiTheme="majorHAnsi" w:eastAsiaTheme="majorEastAsia" w:hAnsiTheme="majorHAnsi" w:cstheme="majorBidi"/>
          <w:b/>
          <w:color w:val="2F5496" w:themeColor="accent1" w:themeShade="BF"/>
          <w:sz w:val="32"/>
          <w:szCs w:val="32"/>
          <w:lang w:val="es-CL"/>
        </w:rPr>
      </w:pPr>
      <w:r>
        <w:rPr>
          <w:lang w:val="es-CL"/>
        </w:rPr>
        <w:br w:type="page"/>
      </w:r>
    </w:p>
    <w:p w:rsidR="00AE477A" w:rsidRDefault="00AE477A" w:rsidP="00F00696">
      <w:pPr>
        <w:pStyle w:val="Heading1"/>
        <w:rPr>
          <w:lang w:val="es-CL"/>
        </w:rPr>
      </w:pPr>
      <w:bookmarkStart w:id="11" w:name="_Toc491617754"/>
      <w:r>
        <w:rPr>
          <w:lang w:val="es-CL"/>
        </w:rPr>
        <w:t>Metodología</w:t>
      </w:r>
      <w:r w:rsidR="00333DFC">
        <w:rPr>
          <w:lang w:val="es-CL"/>
        </w:rPr>
        <w:t>,</w:t>
      </w:r>
      <w:r w:rsidR="00E966BE">
        <w:rPr>
          <w:lang w:val="es-CL"/>
        </w:rPr>
        <w:t xml:space="preserve"> </w:t>
      </w:r>
      <w:r w:rsidR="00333DFC">
        <w:rPr>
          <w:lang w:val="es-CL"/>
        </w:rPr>
        <w:t xml:space="preserve">Evaluaciones </w:t>
      </w:r>
      <w:r w:rsidR="00E966BE">
        <w:rPr>
          <w:lang w:val="es-CL"/>
        </w:rPr>
        <w:t>y Resultados</w:t>
      </w:r>
      <w:r w:rsidR="00333DFC">
        <w:rPr>
          <w:lang w:val="es-CL"/>
        </w:rPr>
        <w:t xml:space="preserve"> por Componente</w:t>
      </w:r>
      <w:bookmarkEnd w:id="11"/>
    </w:p>
    <w:p w:rsidR="00F00696" w:rsidRDefault="00F00696" w:rsidP="00F00696">
      <w:pPr>
        <w:jc w:val="both"/>
        <w:rPr>
          <w:lang w:val="es-CL"/>
        </w:rPr>
      </w:pPr>
    </w:p>
    <w:p w:rsidR="00680F6F" w:rsidRDefault="00680F6F" w:rsidP="00680F6F">
      <w:pPr>
        <w:pStyle w:val="Heading2"/>
        <w:rPr>
          <w:lang w:val="es-CL"/>
        </w:rPr>
      </w:pPr>
      <w:bookmarkStart w:id="12" w:name="_Toc491617755"/>
      <w:r>
        <w:rPr>
          <w:lang w:val="es-CL"/>
        </w:rPr>
        <w:t>Generalidades</w:t>
      </w:r>
      <w:bookmarkEnd w:id="12"/>
    </w:p>
    <w:p w:rsidR="00680F6F" w:rsidRDefault="00680F6F" w:rsidP="00F00696">
      <w:pPr>
        <w:jc w:val="both"/>
        <w:rPr>
          <w:b/>
          <w:lang w:val="es-CL"/>
        </w:rPr>
      </w:pPr>
    </w:p>
    <w:p w:rsidR="00F00696" w:rsidRPr="008C3773" w:rsidRDefault="00F00696" w:rsidP="00F00696">
      <w:pPr>
        <w:jc w:val="both"/>
        <w:rPr>
          <w:b/>
          <w:lang w:val="es-CL"/>
        </w:rPr>
      </w:pPr>
      <w:r w:rsidRPr="008C3773">
        <w:rPr>
          <w:b/>
          <w:lang w:val="es-CL"/>
        </w:rPr>
        <w:t>BENEFICIOS Y COSTOS DEL PROYECTO</w:t>
      </w:r>
    </w:p>
    <w:p w:rsidR="00F00696" w:rsidRPr="00F00696" w:rsidRDefault="00F00696" w:rsidP="00F00696">
      <w:pPr>
        <w:jc w:val="both"/>
        <w:rPr>
          <w:lang w:val="es-CL"/>
        </w:rPr>
      </w:pPr>
      <w:r w:rsidRPr="00F00696">
        <w:rPr>
          <w:lang w:val="es-CL"/>
        </w:rPr>
        <w:t>Para cada uno de los proyectos del programa, se analiza la situación sin proyecto y se la compara con la situación con proyecto, de tal forma de determinar y cuantificar los principales beneficios y costos diferenciales atribuibles al proyecto.</w:t>
      </w:r>
    </w:p>
    <w:p w:rsidR="00F00696" w:rsidRPr="00F00696" w:rsidRDefault="00F00696" w:rsidP="00F00696">
      <w:pPr>
        <w:jc w:val="both"/>
        <w:rPr>
          <w:lang w:val="es-CL"/>
        </w:rPr>
      </w:pPr>
    </w:p>
    <w:p w:rsidR="00F00696" w:rsidRPr="00F00696" w:rsidRDefault="00F00696" w:rsidP="00F00696">
      <w:pPr>
        <w:jc w:val="both"/>
        <w:rPr>
          <w:b/>
          <w:lang w:val="es-CL"/>
        </w:rPr>
      </w:pPr>
      <w:r w:rsidRPr="00F00696">
        <w:rPr>
          <w:b/>
          <w:lang w:val="es-CL"/>
        </w:rPr>
        <w:t>Punto de vista Financiero:</w:t>
      </w:r>
    </w:p>
    <w:p w:rsidR="00F00696" w:rsidRPr="00F00696" w:rsidRDefault="00F00696" w:rsidP="00F00696">
      <w:pPr>
        <w:jc w:val="both"/>
        <w:rPr>
          <w:lang w:val="es-CL"/>
        </w:rPr>
      </w:pPr>
      <w:r w:rsidRPr="00F00696">
        <w:rPr>
          <w:lang w:val="es-CL"/>
        </w:rPr>
        <w:t>Será beneficio todo aquel aumento de ingresos o reducción de costos que, atribuidos al proyecto, se reflejen en los flujos de Caja de la entidad ejecutora del proyecto, entendiendo como tal a la Empresa Distribuidora de Energía, operada con capitales del Estado.</w:t>
      </w:r>
    </w:p>
    <w:p w:rsidR="00F00696" w:rsidRDefault="00F00696" w:rsidP="00F00696">
      <w:pPr>
        <w:jc w:val="both"/>
        <w:rPr>
          <w:lang w:val="es-CL"/>
        </w:rPr>
      </w:pPr>
      <w:r w:rsidRPr="00F00696">
        <w:rPr>
          <w:lang w:val="es-CL"/>
        </w:rPr>
        <w:t>Asimismo, todo incremento en los gastos, desde el punto de vista de los Flujos de Caja de la entidad ejecutora, son considerados como Costos atribuibles al proyecto.</w:t>
      </w:r>
    </w:p>
    <w:p w:rsidR="00F00696" w:rsidRPr="00F00696" w:rsidRDefault="00F00696" w:rsidP="00F00696">
      <w:pPr>
        <w:jc w:val="both"/>
        <w:rPr>
          <w:lang w:val="es-CL"/>
        </w:rPr>
      </w:pPr>
    </w:p>
    <w:p w:rsidR="00F00696" w:rsidRPr="00F00696" w:rsidRDefault="00F00696" w:rsidP="00F00696">
      <w:pPr>
        <w:jc w:val="both"/>
        <w:rPr>
          <w:b/>
          <w:lang w:val="es-CL"/>
        </w:rPr>
      </w:pPr>
      <w:r w:rsidRPr="00F00696">
        <w:rPr>
          <w:b/>
          <w:lang w:val="es-CL"/>
        </w:rPr>
        <w:t>Punto de vista Económico:</w:t>
      </w:r>
    </w:p>
    <w:p w:rsidR="00F00696" w:rsidRDefault="00F00696" w:rsidP="00F00696">
      <w:pPr>
        <w:jc w:val="both"/>
        <w:rPr>
          <w:lang w:val="es-CL"/>
        </w:rPr>
      </w:pPr>
      <w:r w:rsidRPr="00F00696">
        <w:rPr>
          <w:lang w:val="es-CL"/>
        </w:rPr>
        <w:t>A diferencia de la Entidad Ejecutora, son relevantes los flujos netos desde el punto de vista del Grupo Social en su conjunto, en este caso la suma de Gobierno, Clientes (directos e indirectos)</w:t>
      </w:r>
      <w:r>
        <w:rPr>
          <w:lang w:val="es-CL"/>
        </w:rPr>
        <w:t>, productores</w:t>
      </w:r>
      <w:r w:rsidRPr="00F00696">
        <w:rPr>
          <w:lang w:val="es-CL"/>
        </w:rPr>
        <w:t xml:space="preserve"> Empresa</w:t>
      </w:r>
      <w:r>
        <w:rPr>
          <w:lang w:val="es-CL"/>
        </w:rPr>
        <w:t>s</w:t>
      </w:r>
      <w:r w:rsidRPr="00F00696">
        <w:rPr>
          <w:lang w:val="es-CL"/>
        </w:rPr>
        <w:t xml:space="preserve"> </w:t>
      </w:r>
      <w:r>
        <w:rPr>
          <w:lang w:val="es-CL"/>
        </w:rPr>
        <w:t xml:space="preserve">de Generación, Transmisión y </w:t>
      </w:r>
      <w:r w:rsidRPr="00F00696">
        <w:rPr>
          <w:lang w:val="es-CL"/>
        </w:rPr>
        <w:t>Distribu</w:t>
      </w:r>
      <w:r>
        <w:rPr>
          <w:lang w:val="es-CL"/>
        </w:rPr>
        <w:t>ción</w:t>
      </w:r>
      <w:r w:rsidRPr="00F00696">
        <w:rPr>
          <w:lang w:val="es-CL"/>
        </w:rPr>
        <w:t>.</w:t>
      </w:r>
      <w:r>
        <w:rPr>
          <w:lang w:val="es-CL"/>
        </w:rPr>
        <w:t xml:space="preserve"> </w:t>
      </w:r>
    </w:p>
    <w:p w:rsidR="00F00696" w:rsidRPr="00F00696" w:rsidRDefault="00F00696" w:rsidP="00F00696">
      <w:pPr>
        <w:jc w:val="both"/>
        <w:rPr>
          <w:lang w:val="es-CL"/>
        </w:rPr>
      </w:pPr>
      <w:r>
        <w:rPr>
          <w:lang w:val="es-CL"/>
        </w:rPr>
        <w:t>Si un proyecto en particular involucra gastos provenientes del Presupuesto General del Estado (independiente de su fuente de financiamiento) esto es considerado como un Costo Social del Proyecto.</w:t>
      </w:r>
    </w:p>
    <w:p w:rsidR="00F00696" w:rsidRPr="00F00696" w:rsidRDefault="00F00696" w:rsidP="00F00696">
      <w:pPr>
        <w:jc w:val="both"/>
        <w:rPr>
          <w:lang w:val="es-CL"/>
        </w:rPr>
      </w:pPr>
      <w:r w:rsidRPr="00F00696">
        <w:rPr>
          <w:lang w:val="es-CL"/>
        </w:rPr>
        <w:t>Al igual que el punto de vista financiero, serán considerados beneficios los incrementos de ingresos o las reducciones de gastos que, atribuibles al proyecto, se reflejen en el bolsillo de la Sociedad en su conjunto. Dicho esto, toda transacción entre actores del Grupo social considerado se cancela a cero (por ejemplo: Los pagos por consumo eléctrico de clientes a la empresa distribuidora</w:t>
      </w:r>
      <w:r>
        <w:rPr>
          <w:lang w:val="es-CL"/>
        </w:rPr>
        <w:t>, o los pagos del cargo por transmisión de las distribuidoras a Transelectric</w:t>
      </w:r>
      <w:r w:rsidRPr="00F00696">
        <w:rPr>
          <w:lang w:val="es-CL"/>
        </w:rPr>
        <w:t>).</w:t>
      </w:r>
    </w:p>
    <w:p w:rsidR="00F00696" w:rsidRDefault="00F00696" w:rsidP="00F00696">
      <w:pPr>
        <w:jc w:val="both"/>
        <w:rPr>
          <w:lang w:val="es-CL"/>
        </w:rPr>
      </w:pPr>
      <w:r w:rsidRPr="00F00696">
        <w:rPr>
          <w:lang w:val="es-CL"/>
        </w:rPr>
        <w:t>También son beneficios económicos, aquellos derivables de la utilidad neta percibida por la sociedad al disponer de un determinado bien de consumo, como el Beneficio del Consumidor</w:t>
      </w:r>
      <w:r>
        <w:rPr>
          <w:lang w:val="es-CL"/>
        </w:rPr>
        <w:t xml:space="preserve"> o las el Excedente del Productor de agroindustrias que logran una mayor productividad atribuible al proyecto</w:t>
      </w:r>
      <w:r w:rsidRPr="00F00696">
        <w:rPr>
          <w:lang w:val="es-CL"/>
        </w:rPr>
        <w:t>.</w:t>
      </w:r>
    </w:p>
    <w:p w:rsidR="00333DFC" w:rsidRDefault="00333DFC" w:rsidP="00F00696">
      <w:pPr>
        <w:jc w:val="both"/>
        <w:rPr>
          <w:lang w:val="es-CL"/>
        </w:rPr>
      </w:pPr>
    </w:p>
    <w:p w:rsidR="00333DFC" w:rsidRPr="00F00696" w:rsidRDefault="00333DFC" w:rsidP="00F00696">
      <w:pPr>
        <w:jc w:val="both"/>
        <w:rPr>
          <w:lang w:val="es-CL"/>
        </w:rPr>
      </w:pPr>
    </w:p>
    <w:p w:rsidR="00F00696" w:rsidRPr="00F00696" w:rsidRDefault="00F00696" w:rsidP="00F00696">
      <w:pPr>
        <w:jc w:val="both"/>
        <w:rPr>
          <w:lang w:val="es-CL"/>
        </w:rPr>
      </w:pPr>
    </w:p>
    <w:p w:rsidR="00F00696" w:rsidRPr="008C3773" w:rsidRDefault="00F00696" w:rsidP="00F00696">
      <w:pPr>
        <w:jc w:val="both"/>
        <w:rPr>
          <w:b/>
          <w:lang w:val="es-CL"/>
        </w:rPr>
      </w:pPr>
      <w:r w:rsidRPr="008C3773">
        <w:rPr>
          <w:b/>
          <w:lang w:val="es-CL"/>
        </w:rPr>
        <w:t>Sobre los Indicadores de Factibilidad:</w:t>
      </w:r>
    </w:p>
    <w:p w:rsidR="00F00696" w:rsidRPr="00F00696" w:rsidRDefault="00F00696" w:rsidP="00F00696">
      <w:pPr>
        <w:jc w:val="both"/>
        <w:rPr>
          <w:lang w:val="es-CL"/>
        </w:rPr>
      </w:pPr>
      <w:r w:rsidRPr="00F00696">
        <w:rPr>
          <w:lang w:val="es-CL"/>
        </w:rPr>
        <w:t>Cada evaluación resulta en 2 indicadores: VAN (Valor Actual Neto) y TIR (Tasa Interna de Retorno). El primero refleja la utilidad neta del proyecto, en US$, considerando como referencia una tasa de rentabilidad mínima necesaria reflejada en la Tasa de Descuento (Costo alternativo del Capital) que, para efectos de esta consultoría se fija en 12%. Así, un proyecto con rentabilidad anual equivalente neta de 12%, tendrá un VAN=0, dando negativo para rentabilidades menores. Por su parte, la TIR es una expresión aproximada de la rentabilidad anual equivalente del proyecto, aunque carece de significado si el perfil de flujos netos proyectados no es “bien comportado” (Flujo negativo en años iniciales y positivo en años futuros).</w:t>
      </w:r>
    </w:p>
    <w:p w:rsidR="00F00696" w:rsidRPr="008C3773" w:rsidRDefault="00680F6F" w:rsidP="00F00696">
      <w:pPr>
        <w:jc w:val="both"/>
        <w:rPr>
          <w:b/>
          <w:lang w:val="es-CL"/>
        </w:rPr>
      </w:pPr>
      <w:r>
        <w:rPr>
          <w:b/>
          <w:lang w:val="es-CL"/>
        </w:rPr>
        <w:t>Horizonte de Análisis</w:t>
      </w:r>
    </w:p>
    <w:p w:rsidR="00F00696" w:rsidRPr="00F00696" w:rsidRDefault="00F00696" w:rsidP="00F00696">
      <w:pPr>
        <w:jc w:val="both"/>
        <w:rPr>
          <w:lang w:val="es-CL"/>
        </w:rPr>
      </w:pPr>
      <w:r w:rsidRPr="00F00696">
        <w:rPr>
          <w:lang w:val="es-CL"/>
        </w:rPr>
        <w:t xml:space="preserve">Se correlaciona el número de años proyectados con la vida útil contable estimada para los equipos principales implicados en cada iniciativa. En este caso, por tratarse de proyectos de </w:t>
      </w:r>
      <w:r>
        <w:rPr>
          <w:lang w:val="es-CL"/>
        </w:rPr>
        <w:t xml:space="preserve">transmisión, </w:t>
      </w:r>
      <w:r w:rsidRPr="00F00696">
        <w:rPr>
          <w:lang w:val="es-CL"/>
        </w:rPr>
        <w:t xml:space="preserve">Sub Transmisión, </w:t>
      </w:r>
      <w:r>
        <w:rPr>
          <w:lang w:val="es-CL"/>
        </w:rPr>
        <w:t xml:space="preserve">y Distribución, relacionados con inversiones del sector privado </w:t>
      </w:r>
      <w:r w:rsidRPr="00F00696">
        <w:rPr>
          <w:lang w:val="es-CL"/>
        </w:rPr>
        <w:t>este horizonte queda fijado en 2</w:t>
      </w:r>
      <w:r>
        <w:rPr>
          <w:lang w:val="es-CL"/>
        </w:rPr>
        <w:t>0</w:t>
      </w:r>
      <w:r w:rsidRPr="00F00696">
        <w:rPr>
          <w:lang w:val="es-CL"/>
        </w:rPr>
        <w:t xml:space="preserve"> años</w:t>
      </w:r>
      <w:r>
        <w:rPr>
          <w:lang w:val="es-CL"/>
        </w:rPr>
        <w:t>, para el caso de la evaluación integral</w:t>
      </w:r>
      <w:r w:rsidRPr="00F00696">
        <w:rPr>
          <w:lang w:val="es-CL"/>
        </w:rPr>
        <w:t>.</w:t>
      </w:r>
    </w:p>
    <w:p w:rsidR="00F00696" w:rsidRPr="00680F6F" w:rsidRDefault="00F00696" w:rsidP="00F00696">
      <w:pPr>
        <w:jc w:val="both"/>
        <w:rPr>
          <w:b/>
          <w:lang w:val="es-CL"/>
        </w:rPr>
      </w:pPr>
      <w:r w:rsidRPr="00680F6F">
        <w:rPr>
          <w:b/>
          <w:lang w:val="es-CL"/>
        </w:rPr>
        <w:t xml:space="preserve">Evaluación Integral </w:t>
      </w:r>
      <w:r w:rsidR="008C3773" w:rsidRPr="00680F6F">
        <w:rPr>
          <w:b/>
          <w:lang w:val="es-CL"/>
        </w:rPr>
        <w:t>del Programa</w:t>
      </w:r>
    </w:p>
    <w:p w:rsidR="00F00696" w:rsidRDefault="00F00696" w:rsidP="00F00696">
      <w:pPr>
        <w:jc w:val="both"/>
        <w:rPr>
          <w:lang w:val="es-CL"/>
        </w:rPr>
      </w:pPr>
      <w:r w:rsidRPr="00F00696">
        <w:rPr>
          <w:lang w:val="es-CL"/>
        </w:rPr>
        <w:t xml:space="preserve">Una vez practicada la metodología de proyección de beneficios-costos para cada uno de los proyectos, y habiendo obtenido sus respectivos indicadores de rentabilidad, tanto financieros como económicos, se procede a integrar los distintos flujos en un único Proyecto Integral, obteniéndose de ese modo los indicadores de factibilidad financiera y económica del programa total. </w:t>
      </w:r>
    </w:p>
    <w:p w:rsidR="003C75B0" w:rsidRDefault="003C75B0" w:rsidP="00F00696">
      <w:pPr>
        <w:jc w:val="both"/>
        <w:rPr>
          <w:lang w:val="es-CL"/>
        </w:rPr>
      </w:pPr>
      <w:r>
        <w:rPr>
          <w:lang w:val="es-CL"/>
        </w:rPr>
        <w:t>La integración de los flujos anuales tiene especial cuidado en evitar la duplicidad posible de costos y beneficios de proyectos que forman parte de la cadena Generación-Transmisión-Sub Transmisión -Distribución-Consumo final.</w:t>
      </w:r>
    </w:p>
    <w:p w:rsidR="003C75B0" w:rsidRDefault="003C75B0" w:rsidP="00F00696">
      <w:pPr>
        <w:jc w:val="both"/>
        <w:rPr>
          <w:lang w:val="es-CL"/>
        </w:rPr>
      </w:pPr>
    </w:p>
    <w:p w:rsidR="00333DFC" w:rsidRDefault="00333DFC" w:rsidP="00F00696">
      <w:pPr>
        <w:jc w:val="both"/>
        <w:rPr>
          <w:lang w:val="es-CL"/>
        </w:rPr>
      </w:pPr>
    </w:p>
    <w:p w:rsidR="003C75B0" w:rsidRDefault="003C75B0" w:rsidP="00680F6F">
      <w:pPr>
        <w:jc w:val="center"/>
        <w:rPr>
          <w:lang w:val="es-CL"/>
        </w:rPr>
      </w:pPr>
      <w:r>
        <w:rPr>
          <w:noProof/>
          <w:lang w:val="en-US"/>
        </w:rPr>
        <w:drawing>
          <wp:inline distT="0" distB="0" distL="0" distR="0" wp14:anchorId="7369E434">
            <wp:extent cx="4965120" cy="1830026"/>
            <wp:effectExtent l="19050" t="19050" r="2603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3024" cy="1836625"/>
                    </a:xfrm>
                    <a:prstGeom prst="rect">
                      <a:avLst/>
                    </a:prstGeom>
                    <a:noFill/>
                    <a:ln>
                      <a:solidFill>
                        <a:schemeClr val="bg2">
                          <a:lumMod val="75000"/>
                        </a:schemeClr>
                      </a:solidFill>
                    </a:ln>
                  </pic:spPr>
                </pic:pic>
              </a:graphicData>
            </a:graphic>
          </wp:inline>
        </w:drawing>
      </w:r>
    </w:p>
    <w:p w:rsidR="00680F6F" w:rsidRDefault="00680F6F" w:rsidP="00680F6F">
      <w:pPr>
        <w:jc w:val="center"/>
        <w:rPr>
          <w:lang w:val="es-CL"/>
        </w:rPr>
      </w:pPr>
      <w:r w:rsidRPr="00680F6F">
        <w:rPr>
          <w:b/>
          <w:lang w:val="es-CL"/>
        </w:rPr>
        <w:t>Figura 1.</w:t>
      </w:r>
      <w:r>
        <w:rPr>
          <w:lang w:val="es-CL"/>
        </w:rPr>
        <w:t xml:space="preserve"> Al evaluar de forma separada proyectos de distintas etapas de la cadena eléctrica se consideran los flujos de energía atribuibles al proyecto. Pero, al integrarlos, se debe considerar que un flujo de energía atribuido, por ejemplo, a un proyecto de distribución puede ser el mismo o una parte de otro proyecto de la etapa de transmisión.</w:t>
      </w:r>
    </w:p>
    <w:p w:rsidR="00F00696" w:rsidRPr="00680F6F" w:rsidRDefault="00F00696" w:rsidP="00F00696">
      <w:pPr>
        <w:jc w:val="both"/>
        <w:rPr>
          <w:b/>
          <w:lang w:val="es-CL"/>
        </w:rPr>
      </w:pPr>
      <w:r w:rsidRPr="00680F6F">
        <w:rPr>
          <w:b/>
          <w:lang w:val="es-CL"/>
        </w:rPr>
        <w:t>Análisis de Sensibilidad</w:t>
      </w:r>
      <w:r w:rsidR="006E20DC">
        <w:rPr>
          <w:b/>
          <w:lang w:val="es-CL"/>
        </w:rPr>
        <w:t xml:space="preserve"> de la Evaluación Integral del Programa</w:t>
      </w:r>
      <w:r w:rsidRPr="00680F6F">
        <w:rPr>
          <w:b/>
          <w:lang w:val="es-CL"/>
        </w:rPr>
        <w:t>:</w:t>
      </w:r>
    </w:p>
    <w:p w:rsidR="00F00696" w:rsidRDefault="00F00696" w:rsidP="00F00696">
      <w:pPr>
        <w:jc w:val="both"/>
        <w:rPr>
          <w:lang w:val="es-CL"/>
        </w:rPr>
      </w:pPr>
      <w:r w:rsidRPr="00F00696">
        <w:rPr>
          <w:lang w:val="es-CL"/>
        </w:rPr>
        <w:t>Habiendo establecido los principales parámetros en común a todos los proyectos, así como aquellos que, siendo propios de alguna iniciativa en particular, pudiesen tener incidencia relevante en los indicadores globales, se procede a experimentar con una variación típica de +/-15% respecto de su valor central, a ceteris paribus. Esto permite identificar cuáles de los parámetros y supuestos tienen mayor incidencia en el resultado final.</w:t>
      </w:r>
    </w:p>
    <w:p w:rsidR="00853F18" w:rsidRDefault="00853F18" w:rsidP="00F56913">
      <w:pPr>
        <w:jc w:val="both"/>
        <w:rPr>
          <w:lang w:val="es-CL"/>
        </w:rPr>
      </w:pPr>
    </w:p>
    <w:p w:rsidR="009D3D78" w:rsidRDefault="009D3D78" w:rsidP="00F56913">
      <w:pPr>
        <w:jc w:val="both"/>
        <w:rPr>
          <w:lang w:val="es-CL"/>
        </w:rPr>
      </w:pPr>
    </w:p>
    <w:p w:rsidR="00287848" w:rsidRPr="009D3D78" w:rsidRDefault="00287848" w:rsidP="006162CD">
      <w:pPr>
        <w:pStyle w:val="Heading2"/>
        <w:rPr>
          <w:lang w:val="es-CL"/>
        </w:rPr>
      </w:pPr>
      <w:bookmarkStart w:id="13" w:name="_Toc491617756"/>
      <w:r w:rsidRPr="009D3D78">
        <w:rPr>
          <w:lang w:val="es-CL"/>
        </w:rPr>
        <w:t>Situación Sin Proyecto</w:t>
      </w:r>
      <w:bookmarkEnd w:id="13"/>
    </w:p>
    <w:p w:rsidR="006162CD" w:rsidRPr="009D3D78" w:rsidRDefault="006162CD" w:rsidP="00F56913">
      <w:pPr>
        <w:jc w:val="both"/>
        <w:rPr>
          <w:lang w:val="es-CL"/>
        </w:rPr>
      </w:pPr>
      <w:r w:rsidRPr="009D3D78">
        <w:rPr>
          <w:lang w:val="es-CL"/>
        </w:rPr>
        <w:t>Cada parte del programa es evaluada de forma diferencial, respecto de la Situación Sin Proyecto, es decir, una proyección de las condiciones actuales y sus eventuales consecuencias</w:t>
      </w:r>
      <w:r w:rsidR="00782B9C" w:rsidRPr="009D3D78">
        <w:rPr>
          <w:lang w:val="es-CL"/>
        </w:rPr>
        <w:t xml:space="preserve"> en el corto y mediano plazo</w:t>
      </w:r>
      <w:r w:rsidRPr="009D3D78">
        <w:rPr>
          <w:lang w:val="es-CL"/>
        </w:rPr>
        <w:t>. Lo más relevante de esta condición y sus variables cuantitativas se resume a continuación (un mayor detalle se presenta en los párrafos dedicados y anexos respectivos):</w:t>
      </w:r>
    </w:p>
    <w:p w:rsidR="006162CD" w:rsidRPr="009D3D78" w:rsidRDefault="006162CD" w:rsidP="00F56913">
      <w:pPr>
        <w:jc w:val="both"/>
        <w:rPr>
          <w:lang w:val="es-CL"/>
        </w:rPr>
      </w:pPr>
    </w:p>
    <w:p w:rsidR="006162CD" w:rsidRPr="009D3D78" w:rsidRDefault="006162CD" w:rsidP="00F56913">
      <w:pPr>
        <w:jc w:val="both"/>
        <w:rPr>
          <w:b/>
          <w:lang w:val="es-CL"/>
        </w:rPr>
      </w:pPr>
      <w:r w:rsidRPr="009D3D78">
        <w:rPr>
          <w:b/>
          <w:lang w:val="es-CL"/>
        </w:rPr>
        <w:t>Relación Demanda/Capacidad</w:t>
      </w:r>
    </w:p>
    <w:p w:rsidR="0029588C" w:rsidRPr="009D3D78" w:rsidRDefault="0029588C" w:rsidP="0029588C">
      <w:pPr>
        <w:jc w:val="both"/>
        <w:rPr>
          <w:lang w:val="es-CL"/>
        </w:rPr>
      </w:pPr>
      <w:r w:rsidRPr="009D3D78">
        <w:rPr>
          <w:lang w:val="es-CL"/>
        </w:rPr>
        <w:t>La demanda por energía aumenta (por crecimiento de la población, aumento de la producción o Producto Interno Bruto), pero las instalaciones de abastecimiento eléctrico mantienen su actual capacidad y calidad. Se produce saturación paulatina de las instalaciones siendo incapaces de solventar la mayor demanda.</w:t>
      </w:r>
    </w:p>
    <w:p w:rsidR="00782B9C" w:rsidRPr="009D3D78" w:rsidRDefault="00782B9C" w:rsidP="00782B9C">
      <w:pPr>
        <w:pStyle w:val="ListParagraph"/>
        <w:numPr>
          <w:ilvl w:val="0"/>
          <w:numId w:val="25"/>
        </w:numPr>
        <w:jc w:val="both"/>
        <w:rPr>
          <w:b/>
          <w:lang w:val="es-CL"/>
        </w:rPr>
      </w:pPr>
      <w:r w:rsidRPr="009D3D78">
        <w:rPr>
          <w:b/>
          <w:lang w:val="es-CL"/>
        </w:rPr>
        <w:t xml:space="preserve">Transmisión: </w:t>
      </w:r>
    </w:p>
    <w:p w:rsidR="00782B9C" w:rsidRPr="009D3D78" w:rsidRDefault="00782B9C" w:rsidP="00782B9C">
      <w:pPr>
        <w:pStyle w:val="ListParagraph"/>
        <w:numPr>
          <w:ilvl w:val="1"/>
          <w:numId w:val="25"/>
        </w:numPr>
        <w:jc w:val="both"/>
        <w:rPr>
          <w:lang w:val="es-CL"/>
        </w:rPr>
      </w:pPr>
      <w:r w:rsidRPr="009D3D78">
        <w:rPr>
          <w:b/>
          <w:lang w:val="es-CL"/>
        </w:rPr>
        <w:t>La SE Ibarra</w:t>
      </w:r>
      <w:r w:rsidR="00865449" w:rsidRPr="009D3D78">
        <w:rPr>
          <w:lang w:val="es-CL"/>
        </w:rPr>
        <w:t xml:space="preserve"> (Emelnorte)</w:t>
      </w:r>
      <w:r w:rsidRPr="009D3D78">
        <w:rPr>
          <w:lang w:val="es-CL"/>
        </w:rPr>
        <w:t xml:space="preserve">, con una capacidad total de 133,4 MVA, presentó en 2016 una demanda de 90 MW (95 MVA). Se proyecta alcanzar </w:t>
      </w:r>
      <w:r w:rsidR="00865449" w:rsidRPr="009D3D78">
        <w:rPr>
          <w:lang w:val="es-CL"/>
        </w:rPr>
        <w:t>para</w:t>
      </w:r>
      <w:r w:rsidRPr="009D3D78">
        <w:rPr>
          <w:lang w:val="es-CL"/>
        </w:rPr>
        <w:t xml:space="preserve"> 2020 un</w:t>
      </w:r>
      <w:r w:rsidR="00865449" w:rsidRPr="009D3D78">
        <w:rPr>
          <w:lang w:val="es-CL"/>
        </w:rPr>
        <w:t xml:space="preserve"> nivel de demanda</w:t>
      </w:r>
      <w:r w:rsidRPr="009D3D78">
        <w:rPr>
          <w:lang w:val="es-CL"/>
        </w:rPr>
        <w:t xml:space="preserve"> de 98% de su capacidad</w:t>
      </w:r>
      <w:r w:rsidR="00865449" w:rsidRPr="009D3D78">
        <w:rPr>
          <w:lang w:val="es-CL"/>
        </w:rPr>
        <w:t>, consistentemente con ingresos de carga importante en 2018, 2020 y 2023.</w:t>
      </w:r>
      <w:r w:rsidR="008E2E46" w:rsidRPr="009D3D78">
        <w:rPr>
          <w:lang w:val="es-CL"/>
        </w:rPr>
        <w:t xml:space="preserve"> Además, la zona presenta problemas de nivel de tensión debido a la lejanía eléctrica relativa a los centros de carga</w:t>
      </w:r>
      <w:r w:rsidR="0005691F" w:rsidRPr="009D3D78">
        <w:rPr>
          <w:lang w:val="es-CL"/>
        </w:rPr>
        <w:t xml:space="preserve"> industrial</w:t>
      </w:r>
      <w:r w:rsidR="008E2E46" w:rsidRPr="009D3D78">
        <w:rPr>
          <w:lang w:val="es-CL"/>
        </w:rPr>
        <w:t>.</w:t>
      </w:r>
    </w:p>
    <w:p w:rsidR="00782B9C" w:rsidRPr="009D3D78" w:rsidRDefault="00865449" w:rsidP="00782B9C">
      <w:pPr>
        <w:pStyle w:val="ListParagraph"/>
        <w:numPr>
          <w:ilvl w:val="1"/>
          <w:numId w:val="25"/>
        </w:numPr>
        <w:jc w:val="both"/>
        <w:rPr>
          <w:lang w:val="es-CL"/>
        </w:rPr>
      </w:pPr>
      <w:r w:rsidRPr="009D3D78">
        <w:rPr>
          <w:b/>
          <w:lang w:val="es-CL"/>
        </w:rPr>
        <w:t>La SE Mulaló</w:t>
      </w:r>
      <w:r w:rsidRPr="009D3D78">
        <w:rPr>
          <w:lang w:val="es-CL"/>
        </w:rPr>
        <w:t xml:space="preserve"> (Cotopaxi), de 66,7 MVA, en 2016 presentó un 72% de carga y para 2019 alcanzará 86%, sobrepasando el 100% en 2020.</w:t>
      </w:r>
      <w:r w:rsidR="008E2E46" w:rsidRPr="009D3D78">
        <w:rPr>
          <w:lang w:val="es-CL"/>
        </w:rPr>
        <w:t xml:space="preserve"> Además, se está llegando al límite de cargabilidad de la línea de 138 kV que la alimenta, compitiendo el</w:t>
      </w:r>
      <w:r w:rsidR="0005691F" w:rsidRPr="009D3D78">
        <w:rPr>
          <w:lang w:val="es-CL"/>
        </w:rPr>
        <w:t xml:space="preserve"> abastecimiento de EE Cotopaxi desde esta subestación, c</w:t>
      </w:r>
      <w:r w:rsidR="008E2E46" w:rsidRPr="009D3D78">
        <w:rPr>
          <w:lang w:val="es-CL"/>
        </w:rPr>
        <w:t>on las Exportaciones a Colombia.</w:t>
      </w:r>
    </w:p>
    <w:p w:rsidR="00865449" w:rsidRPr="009D3D78" w:rsidRDefault="00865449" w:rsidP="00782B9C">
      <w:pPr>
        <w:pStyle w:val="ListParagraph"/>
        <w:numPr>
          <w:ilvl w:val="1"/>
          <w:numId w:val="25"/>
        </w:numPr>
        <w:jc w:val="both"/>
        <w:rPr>
          <w:lang w:val="es-CL"/>
        </w:rPr>
      </w:pPr>
      <w:r w:rsidRPr="009D3D78">
        <w:rPr>
          <w:b/>
          <w:lang w:val="es-CL"/>
        </w:rPr>
        <w:t>La SE Policentro</w:t>
      </w:r>
      <w:r w:rsidRPr="009D3D78">
        <w:rPr>
          <w:lang w:val="es-CL"/>
        </w:rPr>
        <w:t xml:space="preserve"> (Guayaquil), de 150 MVA, si bien presenta en 2016 una cargabilidad de 70%, a partir de 2018 superaría el 130%</w:t>
      </w:r>
      <w:r w:rsidR="008E2E46" w:rsidRPr="009D3D78">
        <w:rPr>
          <w:lang w:val="es-CL"/>
        </w:rPr>
        <w:t xml:space="preserve"> debido al cambio de generación térmica a hidráulica para abastecer la zona.</w:t>
      </w:r>
    </w:p>
    <w:p w:rsidR="008E2E46" w:rsidRPr="009D3D78" w:rsidRDefault="008E2E46" w:rsidP="00782B9C">
      <w:pPr>
        <w:pStyle w:val="ListParagraph"/>
        <w:numPr>
          <w:ilvl w:val="1"/>
          <w:numId w:val="25"/>
        </w:numPr>
        <w:jc w:val="both"/>
        <w:rPr>
          <w:lang w:val="es-CL"/>
        </w:rPr>
      </w:pPr>
      <w:r w:rsidRPr="009D3D78">
        <w:rPr>
          <w:b/>
          <w:lang w:val="es-CL"/>
        </w:rPr>
        <w:t>La SE Posorja</w:t>
      </w:r>
      <w:r w:rsidRPr="009D3D78">
        <w:rPr>
          <w:lang w:val="es-CL"/>
        </w:rPr>
        <w:t xml:space="preserve"> (Santa Elena), de </w:t>
      </w:r>
      <w:r w:rsidR="00BC1077" w:rsidRPr="009D3D78">
        <w:rPr>
          <w:lang w:val="es-CL"/>
        </w:rPr>
        <w:t>33 MVA, en 2016 ya está con nivel de carga de 101% y se esperan escalones importantes de incremento en 2017, 2019 y 2020, relacionados esencialmente con la construcción y puesta en operación del Astillero en Puerto Aguas Profundas, que se suma al incremento de la actividad turística y el ingreso paulatino de Cocinas Eléctricas de Inducción en la zona.</w:t>
      </w:r>
      <w:r w:rsidR="0005691F" w:rsidRPr="009D3D78">
        <w:rPr>
          <w:lang w:val="es-CL"/>
        </w:rPr>
        <w:t xml:space="preserve"> Esta situación demanda de forma permanente el apoyo de una SE Móvil en la zona.</w:t>
      </w:r>
    </w:p>
    <w:p w:rsidR="00BC1077" w:rsidRPr="009D3D78" w:rsidRDefault="00BC1077" w:rsidP="00782B9C">
      <w:pPr>
        <w:pStyle w:val="ListParagraph"/>
        <w:numPr>
          <w:ilvl w:val="1"/>
          <w:numId w:val="25"/>
        </w:numPr>
        <w:jc w:val="both"/>
        <w:rPr>
          <w:lang w:val="es-CL"/>
        </w:rPr>
      </w:pPr>
      <w:r w:rsidRPr="009D3D78">
        <w:rPr>
          <w:b/>
          <w:lang w:val="es-CL"/>
        </w:rPr>
        <w:t>La SE Machala</w:t>
      </w:r>
      <w:r w:rsidRPr="009D3D78">
        <w:rPr>
          <w:lang w:val="es-CL"/>
        </w:rPr>
        <w:t xml:space="preserve"> (El Oro), </w:t>
      </w:r>
      <w:r w:rsidR="00891A72" w:rsidRPr="009D3D78">
        <w:rPr>
          <w:lang w:val="es-CL"/>
        </w:rPr>
        <w:t>está limitada por la imposibilidad de reemplazo o refuerzo de sus alimentadores de 69 kV Emeloro 1 y 2, de tal forma que la eventual falla de uno, deja al otro sin capacidad para sustentar la demanda actual</w:t>
      </w:r>
      <w:r w:rsidR="0005691F" w:rsidRPr="009D3D78">
        <w:rPr>
          <w:lang w:val="es-CL"/>
        </w:rPr>
        <w:t>. Por otra parte, la cargabilidad de esta barra de 69 kV alcanzará un 101% en 2023.</w:t>
      </w:r>
    </w:p>
    <w:p w:rsidR="006F03A5" w:rsidRPr="009D3D78" w:rsidRDefault="006F03A5" w:rsidP="006F03A5">
      <w:pPr>
        <w:ind w:left="720"/>
        <w:jc w:val="both"/>
        <w:rPr>
          <w:lang w:val="es-CL"/>
        </w:rPr>
      </w:pPr>
    </w:p>
    <w:p w:rsidR="006F03A5" w:rsidRPr="009D3D78" w:rsidRDefault="006F03A5" w:rsidP="006F03A5">
      <w:pPr>
        <w:pStyle w:val="ListParagraph"/>
        <w:numPr>
          <w:ilvl w:val="0"/>
          <w:numId w:val="25"/>
        </w:numPr>
        <w:jc w:val="both"/>
        <w:rPr>
          <w:lang w:val="es-CL"/>
        </w:rPr>
      </w:pPr>
      <w:r w:rsidRPr="009D3D78">
        <w:rPr>
          <w:b/>
          <w:lang w:val="es-CL"/>
        </w:rPr>
        <w:t>Distribución</w:t>
      </w:r>
    </w:p>
    <w:p w:rsidR="006F03A5" w:rsidRPr="009D3D78" w:rsidRDefault="00406B2A" w:rsidP="006F03A5">
      <w:pPr>
        <w:pStyle w:val="ListParagraph"/>
        <w:numPr>
          <w:ilvl w:val="1"/>
          <w:numId w:val="25"/>
        </w:numPr>
        <w:jc w:val="both"/>
        <w:rPr>
          <w:lang w:val="es-CL"/>
        </w:rPr>
      </w:pPr>
      <w:r w:rsidRPr="009D3D78">
        <w:rPr>
          <w:lang w:val="es-CL"/>
        </w:rPr>
        <w:t>Para l</w:t>
      </w:r>
      <w:r w:rsidR="006F03A5" w:rsidRPr="009D3D78">
        <w:rPr>
          <w:lang w:val="es-CL"/>
        </w:rPr>
        <w:t xml:space="preserve">as zonas de influencia de los 79 proyectos evaluados, </w:t>
      </w:r>
      <w:r w:rsidRPr="009D3D78">
        <w:rPr>
          <w:lang w:val="es-CL"/>
        </w:rPr>
        <w:t>se proyecta</w:t>
      </w:r>
      <w:r w:rsidR="006F03A5" w:rsidRPr="009D3D78">
        <w:rPr>
          <w:lang w:val="es-CL"/>
        </w:rPr>
        <w:t xml:space="preserve"> una demanda </w:t>
      </w:r>
      <w:r w:rsidRPr="009D3D78">
        <w:rPr>
          <w:lang w:val="es-CL"/>
        </w:rPr>
        <w:t>total de 522 MVA en 2018 y alcanzaría unos 1740 MVA en 2048.</w:t>
      </w:r>
    </w:p>
    <w:p w:rsidR="00406B2A" w:rsidRPr="009D3D78" w:rsidRDefault="00406B2A" w:rsidP="00406B2A">
      <w:pPr>
        <w:pStyle w:val="ListParagraph"/>
        <w:numPr>
          <w:ilvl w:val="1"/>
          <w:numId w:val="25"/>
        </w:numPr>
        <w:jc w:val="both"/>
        <w:rPr>
          <w:lang w:val="es-CL"/>
        </w:rPr>
      </w:pPr>
      <w:r w:rsidRPr="009D3D78">
        <w:rPr>
          <w:lang w:val="es-CL"/>
        </w:rPr>
        <w:t>La capacidad instalada en los sistemas relevantes es de 863 MVA. No obstante, son varias las instalaciones que presentan un nivel de cargabilidad sobre 100% en el corto y mediano plazo</w:t>
      </w:r>
    </w:p>
    <w:p w:rsidR="00406B2A" w:rsidRPr="009D3D78" w:rsidRDefault="00406B2A" w:rsidP="009D3D78">
      <w:pPr>
        <w:pStyle w:val="ListParagraph"/>
        <w:numPr>
          <w:ilvl w:val="1"/>
          <w:numId w:val="25"/>
        </w:numPr>
        <w:jc w:val="both"/>
        <w:rPr>
          <w:lang w:val="es-CL"/>
        </w:rPr>
      </w:pPr>
      <w:r w:rsidRPr="009D3D78">
        <w:rPr>
          <w:lang w:val="es-CL"/>
        </w:rPr>
        <w:t>La demanda no servida</w:t>
      </w:r>
      <w:r w:rsidR="009D3D78" w:rsidRPr="009D3D78">
        <w:rPr>
          <w:lang w:val="es-CL"/>
        </w:rPr>
        <w:t>, inicia en 2018 con 36 GWh, presenta un punto de inflexión de crecimiento acelerado a partir del año 2022 con 170 GWh y creciendo sostenidamente hasta alcanzar en 2048 un nivel de demanda desabastecida de 1561 GWh.</w:t>
      </w:r>
    </w:p>
    <w:p w:rsidR="006162CD" w:rsidRPr="0029588C" w:rsidRDefault="006162CD" w:rsidP="0029588C">
      <w:pPr>
        <w:jc w:val="both"/>
        <w:rPr>
          <w:highlight w:val="yellow"/>
          <w:lang w:val="es-CL"/>
        </w:rPr>
      </w:pPr>
    </w:p>
    <w:p w:rsidR="0029588C" w:rsidRPr="00BE2B97" w:rsidRDefault="006162CD" w:rsidP="0029588C">
      <w:pPr>
        <w:jc w:val="both"/>
        <w:rPr>
          <w:b/>
          <w:lang w:val="es-CL"/>
        </w:rPr>
      </w:pPr>
      <w:r w:rsidRPr="00BE2B97">
        <w:rPr>
          <w:b/>
          <w:lang w:val="es-CL"/>
        </w:rPr>
        <w:t>Zonas Rurales y Urbano Marginales</w:t>
      </w:r>
    </w:p>
    <w:p w:rsidR="009D3D78" w:rsidRPr="00BE2B97" w:rsidRDefault="009D3D78" w:rsidP="0029588C">
      <w:pPr>
        <w:jc w:val="both"/>
        <w:rPr>
          <w:lang w:val="es-CL"/>
        </w:rPr>
      </w:pPr>
      <w:r w:rsidRPr="00BE2B97">
        <w:rPr>
          <w:lang w:val="es-CL"/>
        </w:rPr>
        <w:t>Como parte de este programa, se han catastrado un total de 14575 de Viviendas Sin Suministro (junto a otras 2105 con suministro), agrupadas en 568 zonas rurales o urbano marginales.</w:t>
      </w:r>
    </w:p>
    <w:p w:rsidR="009D3D78" w:rsidRPr="00BE2B97" w:rsidRDefault="009D3D78" w:rsidP="0029588C">
      <w:pPr>
        <w:jc w:val="both"/>
        <w:rPr>
          <w:lang w:val="es-CL"/>
        </w:rPr>
      </w:pPr>
      <w:r w:rsidRPr="00BE2B97">
        <w:rPr>
          <w:lang w:val="es-CL"/>
        </w:rPr>
        <w:t xml:space="preserve">Se estima que un 70% de estas viviendas consumen energía directa del sistema de distribución más cercano, especialmente en zonas de la Costa o cercanas a concentraciones urbanas. Este consumo, estimado en </w:t>
      </w:r>
      <w:r w:rsidR="00FB2DCF" w:rsidRPr="00BE2B97">
        <w:rPr>
          <w:lang w:val="es-CL"/>
        </w:rPr>
        <w:t xml:space="preserve">29.7 GWh anuales, se traduce en una compra de energía por parte de las EED´s de US$ 1.9 millones anuales. Esta situación se agrava pues las viviendas que consumen energía sin un registro ni </w:t>
      </w:r>
      <w:r w:rsidR="0035207B" w:rsidRPr="00BE2B97">
        <w:rPr>
          <w:lang w:val="es-CL"/>
        </w:rPr>
        <w:t>facturación</w:t>
      </w:r>
      <w:r w:rsidR="00FB2DCF" w:rsidRPr="00BE2B97">
        <w:rPr>
          <w:lang w:val="es-CL"/>
        </w:rPr>
        <w:t xml:space="preserve"> tienden a consumir en media más del doble que en una condición comercial normal.</w:t>
      </w:r>
    </w:p>
    <w:p w:rsidR="00FB2DCF" w:rsidRPr="00BE2B97" w:rsidRDefault="00FB2DCF" w:rsidP="0029588C">
      <w:pPr>
        <w:jc w:val="both"/>
        <w:rPr>
          <w:lang w:val="es-CL"/>
        </w:rPr>
      </w:pPr>
      <w:r w:rsidRPr="00BE2B97">
        <w:rPr>
          <w:lang w:val="es-CL"/>
        </w:rPr>
        <w:t>Además, el resto de viviendas sin suministro, efectivamente satisfacen sus necesidades energéticas</w:t>
      </w:r>
      <w:r w:rsidR="00BE2B97" w:rsidRPr="00BE2B97">
        <w:rPr>
          <w:lang w:val="es-CL"/>
        </w:rPr>
        <w:t xml:space="preserve"> con fuentes sustitutas (como velas y kerosene)</w:t>
      </w:r>
      <w:r w:rsidRPr="00BE2B97">
        <w:rPr>
          <w:lang w:val="es-CL"/>
        </w:rPr>
        <w:t xml:space="preserve"> que, siendo considerablemente más caras (</w:t>
      </w:r>
      <w:r w:rsidR="00BE2B97" w:rsidRPr="00BE2B97">
        <w:rPr>
          <w:lang w:val="es-CL"/>
        </w:rPr>
        <w:t xml:space="preserve">Po: </w:t>
      </w:r>
      <w:r w:rsidRPr="00BE2B97">
        <w:rPr>
          <w:lang w:val="es-CL"/>
        </w:rPr>
        <w:t>3.85 US$/kWh)</w:t>
      </w:r>
      <w:r w:rsidR="00BE2B97" w:rsidRPr="00BE2B97">
        <w:rPr>
          <w:lang w:val="es-CL"/>
        </w:rPr>
        <w:t xml:space="preserve"> les permiten un muy bajo nivel de consumo (Qo: 3.06 kWh/Mes)</w:t>
      </w:r>
    </w:p>
    <w:p w:rsidR="0029588C" w:rsidRPr="00BE2B97" w:rsidRDefault="0029588C" w:rsidP="0029588C">
      <w:pPr>
        <w:jc w:val="both"/>
        <w:rPr>
          <w:lang w:val="es-CL"/>
        </w:rPr>
      </w:pPr>
    </w:p>
    <w:p w:rsidR="00FB2DCF" w:rsidRPr="0029588C" w:rsidRDefault="00FB2DCF" w:rsidP="0029588C">
      <w:pPr>
        <w:jc w:val="both"/>
        <w:rPr>
          <w:highlight w:val="yellow"/>
          <w:lang w:val="es-CL"/>
        </w:rPr>
      </w:pPr>
    </w:p>
    <w:p w:rsidR="0005691F" w:rsidRPr="004E4264" w:rsidRDefault="0005691F" w:rsidP="0029588C">
      <w:pPr>
        <w:jc w:val="both"/>
        <w:rPr>
          <w:b/>
          <w:lang w:val="es-CL"/>
        </w:rPr>
      </w:pPr>
      <w:r w:rsidRPr="004E4264">
        <w:rPr>
          <w:b/>
          <w:lang w:val="es-CL"/>
        </w:rPr>
        <w:t>Volcán Cotopaxi</w:t>
      </w:r>
    </w:p>
    <w:p w:rsidR="003E5BAD" w:rsidRDefault="003E5BAD" w:rsidP="0029588C">
      <w:pPr>
        <w:jc w:val="both"/>
        <w:rPr>
          <w:highlight w:val="yellow"/>
          <w:lang w:val="es-CL"/>
        </w:rPr>
      </w:pPr>
      <w:r w:rsidRPr="004E4264">
        <w:rPr>
          <w:lang w:val="es-CL"/>
        </w:rPr>
        <w:t xml:space="preserve">El volcán Cotopaxi, hizo erupción por última vez en 1877 y su período medio, según </w:t>
      </w:r>
      <w:r w:rsidR="00BB5B0A" w:rsidRPr="004E4264">
        <w:rPr>
          <w:lang w:val="es-CL"/>
        </w:rPr>
        <w:t xml:space="preserve">los </w:t>
      </w:r>
      <w:r w:rsidRPr="004E4264">
        <w:rPr>
          <w:lang w:val="es-CL"/>
        </w:rPr>
        <w:t xml:space="preserve">últimos </w:t>
      </w:r>
      <w:r w:rsidR="00BB5B0A" w:rsidRPr="004E4264">
        <w:rPr>
          <w:lang w:val="es-CL"/>
        </w:rPr>
        <w:t>5</w:t>
      </w:r>
      <w:r w:rsidRPr="004E4264">
        <w:rPr>
          <w:lang w:val="es-CL"/>
        </w:rPr>
        <w:t xml:space="preserve"> eventos, es de 86</w:t>
      </w:r>
      <w:r w:rsidR="00BB5B0A" w:rsidRPr="004E4264">
        <w:rPr>
          <w:lang w:val="es-CL"/>
        </w:rPr>
        <w:t>.25</w:t>
      </w:r>
      <w:r w:rsidRPr="004E4264">
        <w:rPr>
          <w:lang w:val="es-CL"/>
        </w:rPr>
        <w:t xml:space="preserve"> años</w:t>
      </w:r>
      <w:r w:rsidR="00BB5B0A" w:rsidRPr="004E4264">
        <w:rPr>
          <w:lang w:val="es-CL"/>
        </w:rPr>
        <w:t>. Asumiendo un proceso de Poisson, la probabilidad de erupción dentro del horizonte de evaluación es de un 84.5%. Esto se vuelve relevante al considerar que la Subestación Mulaló de 66,7 MVA que abastece a la EE Cotopaxi, se encuentra en la zona de riesgo y, de acontecer el evento volcánico, podría perderse ese punto de entrega y toda la carga servida hasta la puesta en servicio de una SE Móvil de 60 MVA</w:t>
      </w:r>
      <w:r w:rsidR="004E4264" w:rsidRPr="004E4264">
        <w:rPr>
          <w:lang w:val="es-CL"/>
        </w:rPr>
        <w:t>, lo que implica de todas formas una pérdida de capacidad de 6.7 MVA luego de la puesta en marcha de la SE Móvil</w:t>
      </w:r>
      <w:r w:rsidR="00BB5B0A" w:rsidRPr="004E4264">
        <w:rPr>
          <w:lang w:val="es-CL"/>
        </w:rPr>
        <w:t>.</w:t>
      </w:r>
    </w:p>
    <w:p w:rsidR="003E5BAD" w:rsidRDefault="003E5BAD" w:rsidP="0029588C">
      <w:pPr>
        <w:jc w:val="both"/>
        <w:rPr>
          <w:highlight w:val="yellow"/>
          <w:lang w:val="es-CL"/>
        </w:rPr>
      </w:pPr>
    </w:p>
    <w:p w:rsidR="0005691F" w:rsidRPr="007574B2" w:rsidRDefault="0005691F" w:rsidP="0029588C">
      <w:pPr>
        <w:jc w:val="both"/>
        <w:rPr>
          <w:b/>
          <w:lang w:val="es-CL"/>
        </w:rPr>
      </w:pPr>
      <w:r w:rsidRPr="007574B2">
        <w:rPr>
          <w:b/>
          <w:lang w:val="es-CL"/>
        </w:rPr>
        <w:t>Posibilidades de Exportación de Energía Eléctrica</w:t>
      </w:r>
    </w:p>
    <w:p w:rsidR="004E4264" w:rsidRPr="007574B2" w:rsidRDefault="004E4264" w:rsidP="0029588C">
      <w:pPr>
        <w:jc w:val="both"/>
        <w:rPr>
          <w:lang w:val="es-CL"/>
        </w:rPr>
      </w:pPr>
      <w:r w:rsidRPr="007574B2">
        <w:rPr>
          <w:lang w:val="es-CL"/>
        </w:rPr>
        <w:t>Con la actual configuración de SE La Avanzada, las transferencias con Perú resultan difíciles</w:t>
      </w:r>
      <w:r w:rsidR="007574B2" w:rsidRPr="007574B2">
        <w:rPr>
          <w:lang w:val="es-CL"/>
        </w:rPr>
        <w:t xml:space="preserve"> y no se tienen las condiciones óptimas de voltaje.</w:t>
      </w:r>
      <w:r w:rsidRPr="007574B2">
        <w:rPr>
          <w:lang w:val="es-CL"/>
        </w:rPr>
        <w:t xml:space="preserve"> </w:t>
      </w:r>
      <w:r w:rsidR="007574B2" w:rsidRPr="007574B2">
        <w:rPr>
          <w:lang w:val="es-CL"/>
        </w:rPr>
        <w:t>Además,</w:t>
      </w:r>
      <w:r w:rsidRPr="007574B2">
        <w:rPr>
          <w:lang w:val="es-CL"/>
        </w:rPr>
        <w:t xml:space="preserve"> </w:t>
      </w:r>
      <w:r w:rsidR="007574B2" w:rsidRPr="007574B2">
        <w:rPr>
          <w:lang w:val="es-CL"/>
        </w:rPr>
        <w:t xml:space="preserve">en ese mismo sentido, </w:t>
      </w:r>
      <w:r w:rsidRPr="007574B2">
        <w:rPr>
          <w:lang w:val="es-CL"/>
        </w:rPr>
        <w:t>no es posible aprovechar la nueva generación como la de la Central Minas San Francisco y de Te</w:t>
      </w:r>
      <w:r w:rsidR="007574B2">
        <w:rPr>
          <w:lang w:val="es-CL"/>
        </w:rPr>
        <w:t>r</w:t>
      </w:r>
      <w:r w:rsidRPr="007574B2">
        <w:rPr>
          <w:lang w:val="es-CL"/>
        </w:rPr>
        <w:t>mogás de Machala</w:t>
      </w:r>
      <w:r w:rsidR="007574B2" w:rsidRPr="007574B2">
        <w:rPr>
          <w:lang w:val="es-CL"/>
        </w:rPr>
        <w:t>.</w:t>
      </w:r>
    </w:p>
    <w:p w:rsidR="007574B2" w:rsidRPr="007574B2" w:rsidRDefault="007574B2" w:rsidP="0029588C">
      <w:pPr>
        <w:jc w:val="both"/>
        <w:rPr>
          <w:lang w:val="es-CL"/>
        </w:rPr>
      </w:pPr>
      <w:r w:rsidRPr="007574B2">
        <w:rPr>
          <w:lang w:val="es-CL"/>
        </w:rPr>
        <w:t>Por otra parte, el corredor de 138 kV (Ambato-Pucará-Mulaló-Vicentina-Santa Rosa), al aumentar su cargabilidad por los cambios de flujo relacionados con el cambio de matriz energética que trae del nororiente grandes bloques de generación hidroeléctrica, está poniendo en riesgo las exportaciones al sector colombiano.</w:t>
      </w:r>
    </w:p>
    <w:p w:rsidR="0029588C" w:rsidRDefault="0029588C" w:rsidP="0029588C">
      <w:pPr>
        <w:jc w:val="both"/>
        <w:rPr>
          <w:highlight w:val="yellow"/>
          <w:lang w:val="es-CL"/>
        </w:rPr>
      </w:pPr>
    </w:p>
    <w:p w:rsidR="007574B2" w:rsidRPr="0029588C" w:rsidRDefault="007574B2" w:rsidP="0029588C">
      <w:pPr>
        <w:jc w:val="both"/>
        <w:rPr>
          <w:highlight w:val="yellow"/>
          <w:lang w:val="es-CL"/>
        </w:rPr>
      </w:pPr>
    </w:p>
    <w:p w:rsidR="004E4264" w:rsidRPr="00606C02" w:rsidRDefault="004E4264" w:rsidP="0029588C">
      <w:pPr>
        <w:jc w:val="both"/>
        <w:rPr>
          <w:b/>
          <w:lang w:val="es-CL"/>
        </w:rPr>
      </w:pPr>
      <w:r w:rsidRPr="00606C02">
        <w:rPr>
          <w:b/>
          <w:lang w:val="es-CL"/>
        </w:rPr>
        <w:t>Agroindustria dependiente de combustibles fósiles</w:t>
      </w:r>
    </w:p>
    <w:p w:rsidR="00287848" w:rsidRDefault="007574B2" w:rsidP="0029588C">
      <w:pPr>
        <w:jc w:val="both"/>
        <w:rPr>
          <w:lang w:val="es-CL"/>
        </w:rPr>
      </w:pPr>
      <w:r w:rsidRPr="00606C02">
        <w:rPr>
          <w:lang w:val="es-CL"/>
        </w:rPr>
        <w:t xml:space="preserve">La agroindustria y en especial las más de 55,000 hectáreas de cultivo del sector camaronero que son objeto de este estudio, dependen fuertemente de la fuerza motriz alimentada con diésel, para las funciones de bombeo y aireación del agua de las piscinas. Esto significa un consumo anual de </w:t>
      </w:r>
      <w:r w:rsidR="00606C02" w:rsidRPr="00606C02">
        <w:rPr>
          <w:lang w:val="es-CL"/>
        </w:rPr>
        <w:t xml:space="preserve">57.4 Millones de galones, con un costo para la agroindustria de US$ 52.6 millones y para el país de otros US$ 40.95 millones, por concepto de subsidio al combustible. </w:t>
      </w:r>
    </w:p>
    <w:p w:rsidR="00BC0DCB" w:rsidRDefault="00BC0DCB">
      <w:pPr>
        <w:rPr>
          <w:lang w:val="es-CL"/>
        </w:rPr>
      </w:pPr>
      <w:r>
        <w:rPr>
          <w:lang w:val="es-CL"/>
        </w:rPr>
        <w:br w:type="page"/>
      </w:r>
    </w:p>
    <w:p w:rsidR="001B743A" w:rsidRDefault="0019435C" w:rsidP="00E966BE">
      <w:pPr>
        <w:pStyle w:val="Heading2"/>
        <w:rPr>
          <w:lang w:val="es-CL"/>
        </w:rPr>
      </w:pPr>
      <w:bookmarkStart w:id="14" w:name="_Toc491617757"/>
      <w:r>
        <w:rPr>
          <w:lang w:val="es-CL"/>
        </w:rPr>
        <w:t xml:space="preserve">C.I: </w:t>
      </w:r>
      <w:r w:rsidR="00680F6F" w:rsidRPr="00680F6F">
        <w:rPr>
          <w:lang w:val="es-CL"/>
        </w:rPr>
        <w:t>Proyectos de Expansión y Reforzamiento del S</w:t>
      </w:r>
      <w:r w:rsidR="00680F6F">
        <w:rPr>
          <w:lang w:val="es-CL"/>
        </w:rPr>
        <w:t xml:space="preserve">istema Nacional de </w:t>
      </w:r>
      <w:r w:rsidR="00680F6F" w:rsidRPr="00680F6F">
        <w:rPr>
          <w:lang w:val="es-CL"/>
        </w:rPr>
        <w:t>T</w:t>
      </w:r>
      <w:r w:rsidR="00680F6F">
        <w:rPr>
          <w:lang w:val="es-CL"/>
        </w:rPr>
        <w:t>ransmisión</w:t>
      </w:r>
      <w:bookmarkEnd w:id="14"/>
    </w:p>
    <w:p w:rsidR="002C5E50" w:rsidRDefault="002C5E50" w:rsidP="00F56913">
      <w:pPr>
        <w:jc w:val="both"/>
        <w:rPr>
          <w:lang w:val="es-CL"/>
        </w:rPr>
      </w:pPr>
    </w:p>
    <w:p w:rsidR="00680F6F" w:rsidRDefault="00680F6F" w:rsidP="00F56913">
      <w:pPr>
        <w:jc w:val="both"/>
        <w:rPr>
          <w:lang w:val="es-CL"/>
        </w:rPr>
      </w:pPr>
      <w:r w:rsidRPr="00680F6F">
        <w:rPr>
          <w:lang w:val="es-CL"/>
        </w:rPr>
        <w:t xml:space="preserve">Los proyectos a desarrollar en el sub sistema de </w:t>
      </w:r>
      <w:r w:rsidR="00FD0E48">
        <w:rPr>
          <w:lang w:val="es-CL"/>
        </w:rPr>
        <w:t>T</w:t>
      </w:r>
      <w:r w:rsidRPr="00680F6F">
        <w:rPr>
          <w:lang w:val="es-CL"/>
        </w:rPr>
        <w:t>ransmisión, en general corresponden a una ampliación de capacidad y/o la habilitación de uno o más puntos de entrega de energía a las emp</w:t>
      </w:r>
      <w:r>
        <w:rPr>
          <w:lang w:val="es-CL"/>
        </w:rPr>
        <w:t>resas de distribución eléctrica, al mismo tiempo que permiten adecuar los flujos de potencia del Sistema Nacional Interconectado</w:t>
      </w:r>
      <w:r w:rsidR="00D26AE6">
        <w:rPr>
          <w:lang w:val="es-CL"/>
        </w:rPr>
        <w:t xml:space="preserve">, de forma consistente con el reciente cambio de la matriz energética </w:t>
      </w:r>
      <w:r w:rsidR="00FD0E48">
        <w:rPr>
          <w:lang w:val="es-CL"/>
        </w:rPr>
        <w:t>(</w:t>
      </w:r>
      <w:r w:rsidR="006F0FCD">
        <w:rPr>
          <w:lang w:val="es-CL"/>
        </w:rPr>
        <w:t xml:space="preserve">p.ej. </w:t>
      </w:r>
      <w:r w:rsidR="00FD0E48">
        <w:rPr>
          <w:lang w:val="es-CL"/>
        </w:rPr>
        <w:t xml:space="preserve">centrales térmicas </w:t>
      </w:r>
      <w:r w:rsidR="006F0FCD">
        <w:rPr>
          <w:lang w:val="es-CL"/>
        </w:rPr>
        <w:t xml:space="preserve">de Guayaquil </w:t>
      </w:r>
      <w:r w:rsidR="00FD0E48">
        <w:rPr>
          <w:lang w:val="es-CL"/>
        </w:rPr>
        <w:t>desplazadas por la nueva generación hídrica</w:t>
      </w:r>
      <w:r w:rsidR="006F0FCD">
        <w:rPr>
          <w:lang w:val="es-CL"/>
        </w:rPr>
        <w:t xml:space="preserve"> desde el Nororiente</w:t>
      </w:r>
      <w:r w:rsidR="00FD0E48">
        <w:rPr>
          <w:lang w:val="es-CL"/>
        </w:rPr>
        <w:t>)</w:t>
      </w:r>
      <w:r w:rsidR="006F0FCD">
        <w:rPr>
          <w:lang w:val="es-CL"/>
        </w:rPr>
        <w:t>, para facilitar el intercambio regional,</w:t>
      </w:r>
      <w:r w:rsidR="00FD0E48">
        <w:rPr>
          <w:lang w:val="es-CL"/>
        </w:rPr>
        <w:t xml:space="preserve"> </w:t>
      </w:r>
      <w:r w:rsidR="00D26AE6">
        <w:rPr>
          <w:lang w:val="es-CL"/>
        </w:rPr>
        <w:t>o para reducir condiciones de riesgo como la inminente erupción del Volcán Cotopaxi.</w:t>
      </w:r>
    </w:p>
    <w:p w:rsidR="00D26AE6" w:rsidRDefault="00FD0E48" w:rsidP="005622BB">
      <w:pPr>
        <w:jc w:val="center"/>
        <w:rPr>
          <w:lang w:val="es-CL"/>
        </w:rPr>
      </w:pPr>
      <w:r>
        <w:rPr>
          <w:noProof/>
          <w:lang w:val="en-US"/>
        </w:rPr>
        <w:drawing>
          <wp:inline distT="0" distB="0" distL="0" distR="0" wp14:anchorId="144A8E0D">
            <wp:extent cx="4114800" cy="3870115"/>
            <wp:effectExtent l="19050" t="19050" r="1905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6989" cy="3900390"/>
                    </a:xfrm>
                    <a:prstGeom prst="rect">
                      <a:avLst/>
                    </a:prstGeom>
                    <a:noFill/>
                    <a:ln>
                      <a:solidFill>
                        <a:schemeClr val="bg2">
                          <a:lumMod val="75000"/>
                        </a:schemeClr>
                      </a:solidFill>
                    </a:ln>
                  </pic:spPr>
                </pic:pic>
              </a:graphicData>
            </a:graphic>
          </wp:inline>
        </w:drawing>
      </w:r>
    </w:p>
    <w:p w:rsidR="00B82B4B" w:rsidRDefault="00FD0E48" w:rsidP="00F56913">
      <w:pPr>
        <w:jc w:val="both"/>
        <w:rPr>
          <w:lang w:val="es-CL"/>
        </w:rPr>
      </w:pPr>
      <w:r w:rsidRPr="00FD0E48">
        <w:rPr>
          <w:b/>
          <w:lang w:val="es-CL"/>
        </w:rPr>
        <w:t>Figura 2.</w:t>
      </w:r>
      <w:r>
        <w:rPr>
          <w:lang w:val="es-CL"/>
        </w:rPr>
        <w:t xml:space="preserve"> Ubicación de los proyectos de expansión y reforzamiento del SNT (mapa de fondo extraído del Atlas del Sector Eléctrico Ecuatoriano 2016, ARCONEL)</w:t>
      </w:r>
    </w:p>
    <w:p w:rsidR="00D26AE6" w:rsidRDefault="00D26AE6" w:rsidP="00F56913">
      <w:pPr>
        <w:jc w:val="both"/>
        <w:rPr>
          <w:lang w:val="es-CL"/>
        </w:rPr>
      </w:pPr>
    </w:p>
    <w:p w:rsidR="00D26AE6" w:rsidRPr="00FD0E48" w:rsidRDefault="00007032" w:rsidP="001B6BC2">
      <w:pPr>
        <w:pStyle w:val="Heading3"/>
        <w:rPr>
          <w:lang w:val="es-CL"/>
        </w:rPr>
      </w:pPr>
      <w:bookmarkStart w:id="15" w:name="_Toc491617758"/>
      <w:r>
        <w:rPr>
          <w:lang w:val="es-CL"/>
        </w:rPr>
        <w:t>Flujo de Potencia y Energía Relevante</w:t>
      </w:r>
      <w:bookmarkEnd w:id="15"/>
    </w:p>
    <w:p w:rsidR="00D26AE6" w:rsidRDefault="00D26AE6" w:rsidP="00F56913">
      <w:pPr>
        <w:jc w:val="both"/>
        <w:rPr>
          <w:lang w:val="es-CL"/>
        </w:rPr>
      </w:pPr>
      <w:r>
        <w:rPr>
          <w:lang w:val="es-CL"/>
        </w:rPr>
        <w:t>Se consideran las zonas de influencia de cada proyecto, la capacidad de transmisión disponible</w:t>
      </w:r>
      <w:r w:rsidR="00D414C4">
        <w:rPr>
          <w:lang w:val="es-CL"/>
        </w:rPr>
        <w:t xml:space="preserve"> en MW</w:t>
      </w:r>
      <w:r>
        <w:rPr>
          <w:lang w:val="es-CL"/>
        </w:rPr>
        <w:t xml:space="preserve"> (incluido el riesgo, de ser el caso) y, consider</w:t>
      </w:r>
      <w:r w:rsidR="002C5E50">
        <w:rPr>
          <w:lang w:val="es-CL"/>
        </w:rPr>
        <w:t>ando la demanda leída en 2016, é</w:t>
      </w:r>
      <w:r>
        <w:rPr>
          <w:lang w:val="es-CL"/>
        </w:rPr>
        <w:t>sta se proyecta</w:t>
      </w:r>
      <w:r w:rsidR="002C5E50">
        <w:rPr>
          <w:rStyle w:val="FootnoteReference"/>
          <w:lang w:val="es-CL"/>
        </w:rPr>
        <w:footnoteReference w:id="3"/>
      </w:r>
      <w:r>
        <w:rPr>
          <w:lang w:val="es-CL"/>
        </w:rPr>
        <w:t xml:space="preserve"> determinando toda la demanda </w:t>
      </w:r>
      <w:r w:rsidR="002C5E50">
        <w:rPr>
          <w:lang w:val="es-CL"/>
        </w:rPr>
        <w:t xml:space="preserve">de </w:t>
      </w:r>
      <w:r>
        <w:rPr>
          <w:lang w:val="es-CL"/>
        </w:rPr>
        <w:t>energía que es servible hacia el futuro c</w:t>
      </w:r>
      <w:r w:rsidR="00007032">
        <w:rPr>
          <w:lang w:val="es-CL"/>
        </w:rPr>
        <w:t>on las instalaciones existentes (situación sin proyecto) y con las nuevas instalaciones (situación con proyecto).</w:t>
      </w:r>
    </w:p>
    <w:p w:rsidR="00FD0E48" w:rsidRDefault="00FD0E48" w:rsidP="00F56913">
      <w:pPr>
        <w:jc w:val="both"/>
        <w:rPr>
          <w:lang w:val="es-CL"/>
        </w:rPr>
      </w:pPr>
      <w:r>
        <w:rPr>
          <w:lang w:val="es-CL"/>
        </w:rPr>
        <w:t xml:space="preserve">Los gráficos </w:t>
      </w:r>
      <w:r w:rsidR="000334B2">
        <w:rPr>
          <w:lang w:val="es-CL"/>
        </w:rPr>
        <w:t xml:space="preserve">de la Tabla N°3 </w:t>
      </w:r>
      <w:r>
        <w:rPr>
          <w:lang w:val="es-CL"/>
        </w:rPr>
        <w:t xml:space="preserve">resumen la situación proyectada </w:t>
      </w:r>
      <w:r w:rsidR="00820D42">
        <w:rPr>
          <w:lang w:val="es-CL"/>
        </w:rPr>
        <w:t xml:space="preserve">de energía anual servida, en GWh, </w:t>
      </w:r>
      <w:r>
        <w:rPr>
          <w:lang w:val="es-CL"/>
        </w:rPr>
        <w:t>en las 5 zonas de influencia de estos proyectos.</w:t>
      </w:r>
    </w:p>
    <w:p w:rsidR="00AF065F" w:rsidRDefault="00AF065F" w:rsidP="00F56913">
      <w:pPr>
        <w:jc w:val="both"/>
        <w:rPr>
          <w:lang w:val="es-CL"/>
        </w:rPr>
      </w:pPr>
    </w:p>
    <w:p w:rsidR="000334B2" w:rsidRDefault="000334B2" w:rsidP="000334B2">
      <w:pPr>
        <w:spacing w:after="0"/>
        <w:jc w:val="center"/>
        <w:rPr>
          <w:b/>
          <w:lang w:val="es-CL"/>
        </w:rPr>
      </w:pPr>
      <w:r w:rsidRPr="000334B2">
        <w:rPr>
          <w:b/>
          <w:lang w:val="es-CL"/>
        </w:rPr>
        <w:t>Tabla N°3. Demanda de Energía Anual servida (GWh) por cada proyecto</w:t>
      </w:r>
    </w:p>
    <w:p w:rsidR="000334B2" w:rsidRPr="000334B2" w:rsidRDefault="000334B2" w:rsidP="000334B2">
      <w:pPr>
        <w:spacing w:after="0"/>
        <w:jc w:val="center"/>
        <w:rPr>
          <w:b/>
          <w:lang w:val="es-CL"/>
        </w:rPr>
      </w:pPr>
      <w:r>
        <w:rPr>
          <w:b/>
          <w:lang w:val="es-CL"/>
        </w:rPr>
        <w:t>S</w:t>
      </w:r>
      <w:r w:rsidRPr="000334B2">
        <w:rPr>
          <w:b/>
          <w:lang w:val="es-CL"/>
        </w:rPr>
        <w:t xml:space="preserve">ituaciones </w:t>
      </w:r>
      <w:r>
        <w:rPr>
          <w:b/>
          <w:lang w:val="es-CL"/>
        </w:rPr>
        <w:t>Sin y Con P</w:t>
      </w:r>
      <w:r w:rsidRPr="000334B2">
        <w:rPr>
          <w:b/>
          <w:lang w:val="es-CL"/>
        </w:rPr>
        <w:t>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446"/>
      </w:tblGrid>
      <w:tr w:rsidR="0082763D" w:rsidTr="008F6340">
        <w:trPr>
          <w:trHeight w:val="1416"/>
        </w:trPr>
        <w:tc>
          <w:tcPr>
            <w:tcW w:w="5382" w:type="dxa"/>
            <w:vAlign w:val="center"/>
          </w:tcPr>
          <w:p w:rsidR="0082763D" w:rsidRDefault="0082763D" w:rsidP="000334B2">
            <w:pPr>
              <w:ind w:left="-116"/>
              <w:jc w:val="center"/>
              <w:rPr>
                <w:lang w:val="es-CL"/>
              </w:rPr>
            </w:pPr>
            <w:r>
              <w:rPr>
                <w:noProof/>
                <w:lang w:val="en-US"/>
              </w:rPr>
              <w:drawing>
                <wp:inline distT="0" distB="0" distL="0" distR="0" wp14:anchorId="639C3727" wp14:editId="7AFCCC2D">
                  <wp:extent cx="3261600" cy="83160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1600" cy="831600"/>
                          </a:xfrm>
                          <a:prstGeom prst="rect">
                            <a:avLst/>
                          </a:prstGeom>
                          <a:noFill/>
                        </pic:spPr>
                      </pic:pic>
                    </a:graphicData>
                  </a:graphic>
                </wp:inline>
              </w:drawing>
            </w:r>
          </w:p>
        </w:tc>
        <w:tc>
          <w:tcPr>
            <w:tcW w:w="3446" w:type="dxa"/>
            <w:vAlign w:val="center"/>
          </w:tcPr>
          <w:p w:rsidR="00C94615" w:rsidRPr="005C0032" w:rsidRDefault="00C94615" w:rsidP="000334B2">
            <w:pPr>
              <w:jc w:val="center"/>
              <w:rPr>
                <w:b/>
                <w:sz w:val="16"/>
                <w:u w:val="single"/>
                <w:lang w:val="es-CL"/>
              </w:rPr>
            </w:pPr>
            <w:r w:rsidRPr="005C0032">
              <w:rPr>
                <w:b/>
                <w:sz w:val="16"/>
                <w:u w:val="single"/>
                <w:lang w:val="es-CL"/>
              </w:rPr>
              <w:t>SE Las Orquídeas 138/69-13.8 kV 225 MVA</w:t>
            </w:r>
          </w:p>
          <w:p w:rsidR="00C94615" w:rsidRDefault="00C94615" w:rsidP="000334B2">
            <w:pPr>
              <w:jc w:val="center"/>
              <w:rPr>
                <w:sz w:val="16"/>
                <w:lang w:val="es-CL"/>
              </w:rPr>
            </w:pPr>
          </w:p>
          <w:p w:rsidR="0082763D" w:rsidRPr="00C94615" w:rsidRDefault="00C94615" w:rsidP="000334B2">
            <w:pPr>
              <w:jc w:val="center"/>
              <w:rPr>
                <w:sz w:val="16"/>
                <w:lang w:val="es-CL"/>
              </w:rPr>
            </w:pPr>
            <w:r w:rsidRPr="000334B2">
              <w:rPr>
                <w:b/>
                <w:sz w:val="16"/>
                <w:lang w:val="es-CL"/>
              </w:rPr>
              <w:t>S/Proyecto:</w:t>
            </w:r>
            <w:r w:rsidRPr="00C94615">
              <w:rPr>
                <w:sz w:val="16"/>
                <w:lang w:val="es-CL"/>
              </w:rPr>
              <w:t xml:space="preserve"> 150 MVA (SE Policentro)</w:t>
            </w:r>
          </w:p>
          <w:p w:rsidR="00C94615" w:rsidRDefault="00C94615" w:rsidP="000334B2">
            <w:pPr>
              <w:jc w:val="center"/>
              <w:rPr>
                <w:lang w:val="es-CL"/>
              </w:rPr>
            </w:pPr>
            <w:r w:rsidRPr="000334B2">
              <w:rPr>
                <w:b/>
                <w:sz w:val="16"/>
                <w:lang w:val="es-CL"/>
              </w:rPr>
              <w:t>C/Proyecto:</w:t>
            </w:r>
            <w:r w:rsidRPr="00C94615">
              <w:rPr>
                <w:sz w:val="16"/>
                <w:lang w:val="es-CL"/>
              </w:rPr>
              <w:t xml:space="preserve"> 150 + 225 MVA</w:t>
            </w:r>
          </w:p>
        </w:tc>
      </w:tr>
      <w:tr w:rsidR="0082763D" w:rsidTr="008F6340">
        <w:trPr>
          <w:trHeight w:val="1698"/>
        </w:trPr>
        <w:tc>
          <w:tcPr>
            <w:tcW w:w="5382" w:type="dxa"/>
            <w:vAlign w:val="center"/>
          </w:tcPr>
          <w:p w:rsidR="0082763D" w:rsidRDefault="0082763D" w:rsidP="000334B2">
            <w:pPr>
              <w:ind w:left="-116"/>
              <w:jc w:val="center"/>
              <w:rPr>
                <w:noProof/>
                <w:lang w:val="es-CL"/>
              </w:rPr>
            </w:pPr>
            <w:r>
              <w:rPr>
                <w:noProof/>
                <w:lang w:val="en-US"/>
              </w:rPr>
              <w:drawing>
                <wp:inline distT="0" distB="0" distL="0" distR="0" wp14:anchorId="63633D02" wp14:editId="71286AD6">
                  <wp:extent cx="3261600" cy="83160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1600" cy="831600"/>
                          </a:xfrm>
                          <a:prstGeom prst="rect">
                            <a:avLst/>
                          </a:prstGeom>
                          <a:noFill/>
                        </pic:spPr>
                      </pic:pic>
                    </a:graphicData>
                  </a:graphic>
                </wp:inline>
              </w:drawing>
            </w:r>
          </w:p>
        </w:tc>
        <w:tc>
          <w:tcPr>
            <w:tcW w:w="3446" w:type="dxa"/>
            <w:vAlign w:val="center"/>
          </w:tcPr>
          <w:p w:rsidR="00C94615" w:rsidRPr="005C0032" w:rsidRDefault="00C94615" w:rsidP="000334B2">
            <w:pPr>
              <w:jc w:val="center"/>
              <w:rPr>
                <w:b/>
                <w:sz w:val="16"/>
                <w:u w:val="single"/>
                <w:lang w:val="es-CL"/>
              </w:rPr>
            </w:pPr>
            <w:r w:rsidRPr="005C0032">
              <w:rPr>
                <w:b/>
                <w:sz w:val="16"/>
                <w:u w:val="single"/>
                <w:lang w:val="es-CL"/>
              </w:rPr>
              <w:t>SE Tanicuchí 230/138 kV 167 MVA</w:t>
            </w:r>
          </w:p>
          <w:p w:rsidR="00C94615" w:rsidRDefault="00C94615" w:rsidP="000334B2">
            <w:pPr>
              <w:jc w:val="center"/>
              <w:rPr>
                <w:sz w:val="16"/>
                <w:lang w:val="es-CL"/>
              </w:rPr>
            </w:pPr>
          </w:p>
          <w:p w:rsidR="00C94615" w:rsidRPr="00C94615" w:rsidRDefault="00C94615" w:rsidP="000334B2">
            <w:pPr>
              <w:jc w:val="center"/>
              <w:rPr>
                <w:sz w:val="16"/>
                <w:lang w:val="es-CL"/>
              </w:rPr>
            </w:pPr>
            <w:r w:rsidRPr="005F1FEB">
              <w:rPr>
                <w:b/>
                <w:sz w:val="16"/>
                <w:lang w:val="es-CL"/>
              </w:rPr>
              <w:t>S/Proyecto:</w:t>
            </w:r>
            <w:r w:rsidRPr="00C94615">
              <w:rPr>
                <w:sz w:val="16"/>
                <w:lang w:val="es-CL"/>
              </w:rPr>
              <w:t xml:space="preserve"> </w:t>
            </w:r>
            <w:r>
              <w:rPr>
                <w:sz w:val="16"/>
                <w:lang w:val="es-CL"/>
              </w:rPr>
              <w:t>66.7 MVA</w:t>
            </w:r>
            <w:r w:rsidRPr="00C94615">
              <w:rPr>
                <w:sz w:val="16"/>
                <w:lang w:val="es-CL"/>
              </w:rPr>
              <w:t xml:space="preserve"> (SE </w:t>
            </w:r>
            <w:r>
              <w:rPr>
                <w:sz w:val="16"/>
                <w:lang w:val="es-CL"/>
              </w:rPr>
              <w:t>Mulaló</w:t>
            </w:r>
            <w:r w:rsidRPr="00C94615">
              <w:rPr>
                <w:sz w:val="16"/>
                <w:lang w:val="es-CL"/>
              </w:rPr>
              <w:t>)</w:t>
            </w:r>
            <w:r>
              <w:rPr>
                <w:sz w:val="16"/>
                <w:lang w:val="es-CL"/>
              </w:rPr>
              <w:t xml:space="preserve"> ó 60 MVA (SE Móvil en caso de Erupción</w:t>
            </w:r>
            <w:r w:rsidR="005F1FEB">
              <w:rPr>
                <w:sz w:val="16"/>
                <w:lang w:val="es-CL"/>
              </w:rPr>
              <w:t>, 84.5% de probabilidad antes de 30 años</w:t>
            </w:r>
            <w:r w:rsidR="005F1FEB">
              <w:rPr>
                <w:rStyle w:val="FootnoteReference"/>
                <w:sz w:val="16"/>
                <w:lang w:val="es-CL"/>
              </w:rPr>
              <w:footnoteReference w:id="4"/>
            </w:r>
            <w:r>
              <w:rPr>
                <w:sz w:val="16"/>
                <w:lang w:val="es-CL"/>
              </w:rPr>
              <w:t>)</w:t>
            </w:r>
          </w:p>
          <w:p w:rsidR="0082763D" w:rsidRDefault="00C94615" w:rsidP="000334B2">
            <w:pPr>
              <w:jc w:val="center"/>
              <w:rPr>
                <w:lang w:val="es-CL"/>
              </w:rPr>
            </w:pPr>
            <w:r w:rsidRPr="005F1FEB">
              <w:rPr>
                <w:b/>
                <w:sz w:val="16"/>
                <w:lang w:val="es-CL"/>
              </w:rPr>
              <w:t>C/Proyecto:</w:t>
            </w:r>
            <w:r w:rsidRPr="00C94615">
              <w:rPr>
                <w:sz w:val="16"/>
                <w:lang w:val="es-CL"/>
              </w:rPr>
              <w:t xml:space="preserve"> </w:t>
            </w:r>
            <w:r w:rsidR="005F1FEB">
              <w:rPr>
                <w:sz w:val="16"/>
                <w:lang w:val="es-CL"/>
              </w:rPr>
              <w:t>66.7 + 167</w:t>
            </w:r>
            <w:r w:rsidRPr="00C94615">
              <w:rPr>
                <w:sz w:val="16"/>
                <w:lang w:val="es-CL"/>
              </w:rPr>
              <w:t xml:space="preserve"> MVA</w:t>
            </w:r>
            <w:r w:rsidR="005F1FEB">
              <w:rPr>
                <w:sz w:val="16"/>
                <w:lang w:val="es-CL"/>
              </w:rPr>
              <w:t>, hasta 2020. 167 MVA años siguientes, por desmontaje de SE Mulaló.</w:t>
            </w:r>
          </w:p>
        </w:tc>
      </w:tr>
      <w:tr w:rsidR="0082763D" w:rsidTr="008F6340">
        <w:trPr>
          <w:trHeight w:val="1694"/>
        </w:trPr>
        <w:tc>
          <w:tcPr>
            <w:tcW w:w="5382" w:type="dxa"/>
            <w:vAlign w:val="center"/>
          </w:tcPr>
          <w:p w:rsidR="0082763D" w:rsidRDefault="0082763D" w:rsidP="000334B2">
            <w:pPr>
              <w:ind w:left="-116"/>
              <w:jc w:val="center"/>
              <w:rPr>
                <w:noProof/>
                <w:lang w:val="es-CL"/>
              </w:rPr>
            </w:pPr>
            <w:r>
              <w:rPr>
                <w:noProof/>
                <w:lang w:val="en-US"/>
              </w:rPr>
              <w:drawing>
                <wp:inline distT="0" distB="0" distL="0" distR="0" wp14:anchorId="7E32203D" wp14:editId="640BBC6B">
                  <wp:extent cx="3261600" cy="83160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1600" cy="831600"/>
                          </a:xfrm>
                          <a:prstGeom prst="rect">
                            <a:avLst/>
                          </a:prstGeom>
                          <a:noFill/>
                        </pic:spPr>
                      </pic:pic>
                    </a:graphicData>
                  </a:graphic>
                </wp:inline>
              </w:drawing>
            </w:r>
          </w:p>
        </w:tc>
        <w:tc>
          <w:tcPr>
            <w:tcW w:w="3446" w:type="dxa"/>
            <w:vAlign w:val="center"/>
          </w:tcPr>
          <w:p w:rsidR="00C94615" w:rsidRPr="005622BB" w:rsidRDefault="00C94615" w:rsidP="000334B2">
            <w:pPr>
              <w:jc w:val="center"/>
              <w:rPr>
                <w:b/>
                <w:sz w:val="16"/>
                <w:u w:val="single"/>
                <w:lang w:val="es-CL"/>
              </w:rPr>
            </w:pPr>
            <w:r w:rsidRPr="005622BB">
              <w:rPr>
                <w:b/>
                <w:sz w:val="16"/>
                <w:u w:val="single"/>
                <w:lang w:val="es-CL"/>
              </w:rPr>
              <w:t>SE La</w:t>
            </w:r>
            <w:r w:rsidR="005F1FEB" w:rsidRPr="005622BB">
              <w:rPr>
                <w:b/>
                <w:sz w:val="16"/>
                <w:u w:val="single"/>
                <w:lang w:val="es-CL"/>
              </w:rPr>
              <w:t xml:space="preserve"> Avanzada</w:t>
            </w:r>
            <w:r w:rsidRPr="005622BB">
              <w:rPr>
                <w:b/>
                <w:sz w:val="16"/>
                <w:u w:val="single"/>
                <w:lang w:val="es-CL"/>
              </w:rPr>
              <w:t xml:space="preserve"> </w:t>
            </w:r>
            <w:r w:rsidR="005F1FEB" w:rsidRPr="005622BB">
              <w:rPr>
                <w:b/>
                <w:sz w:val="16"/>
                <w:u w:val="single"/>
                <w:lang w:val="es-CL"/>
              </w:rPr>
              <w:t>230/</w:t>
            </w:r>
            <w:r w:rsidRPr="005622BB">
              <w:rPr>
                <w:b/>
                <w:sz w:val="16"/>
                <w:u w:val="single"/>
                <w:lang w:val="es-CL"/>
              </w:rPr>
              <w:t xml:space="preserve">138 kV </w:t>
            </w:r>
            <w:r w:rsidR="005F1FEB" w:rsidRPr="005622BB">
              <w:rPr>
                <w:b/>
                <w:sz w:val="16"/>
                <w:u w:val="single"/>
                <w:lang w:val="es-CL"/>
              </w:rPr>
              <w:t>167</w:t>
            </w:r>
            <w:r w:rsidRPr="005622BB">
              <w:rPr>
                <w:b/>
                <w:sz w:val="16"/>
                <w:u w:val="single"/>
                <w:lang w:val="es-CL"/>
              </w:rPr>
              <w:t xml:space="preserve"> MVA</w:t>
            </w:r>
          </w:p>
          <w:p w:rsidR="00C94615" w:rsidRPr="005622BB" w:rsidRDefault="00C94615" w:rsidP="000334B2">
            <w:pPr>
              <w:jc w:val="center"/>
              <w:rPr>
                <w:sz w:val="16"/>
                <w:lang w:val="es-CL"/>
              </w:rPr>
            </w:pPr>
          </w:p>
          <w:p w:rsidR="00C94615" w:rsidRPr="005622BB" w:rsidRDefault="00C94615" w:rsidP="000334B2">
            <w:pPr>
              <w:jc w:val="center"/>
              <w:rPr>
                <w:sz w:val="16"/>
                <w:lang w:val="es-CL"/>
              </w:rPr>
            </w:pPr>
            <w:r w:rsidRPr="005622BB">
              <w:rPr>
                <w:b/>
                <w:sz w:val="16"/>
                <w:lang w:val="es-CL"/>
              </w:rPr>
              <w:t>S/Proyecto:</w:t>
            </w:r>
            <w:r w:rsidRPr="005622BB">
              <w:rPr>
                <w:sz w:val="16"/>
                <w:lang w:val="es-CL"/>
              </w:rPr>
              <w:t xml:space="preserve"> </w:t>
            </w:r>
            <w:r w:rsidR="005F1FEB" w:rsidRPr="005622BB">
              <w:rPr>
                <w:sz w:val="16"/>
                <w:lang w:val="es-CL"/>
              </w:rPr>
              <w:t>249.78 MVA (según Alims Emeloro 1</w:t>
            </w:r>
            <w:r w:rsidR="005C0032" w:rsidRPr="005622BB">
              <w:rPr>
                <w:sz w:val="16"/>
                <w:lang w:val="es-CL"/>
              </w:rPr>
              <w:t xml:space="preserve"> </w:t>
            </w:r>
            <w:r w:rsidR="005F1FEB" w:rsidRPr="005622BB">
              <w:rPr>
                <w:sz w:val="16"/>
                <w:lang w:val="es-CL"/>
              </w:rPr>
              <w:t>y 2</w:t>
            </w:r>
            <w:r w:rsidR="005C0032" w:rsidRPr="005622BB">
              <w:rPr>
                <w:sz w:val="16"/>
                <w:lang w:val="es-CL"/>
              </w:rPr>
              <w:t>,</w:t>
            </w:r>
            <w:r w:rsidR="005F1FEB" w:rsidRPr="005622BB">
              <w:rPr>
                <w:sz w:val="16"/>
                <w:lang w:val="es-CL"/>
              </w:rPr>
              <w:t xml:space="preserve"> 69 kV, en SE Machala, decrece por probabilidad de falla de alguno de ellos</w:t>
            </w:r>
            <w:r w:rsidR="005C0032" w:rsidRPr="005622BB">
              <w:rPr>
                <w:rStyle w:val="FootnoteReference"/>
                <w:sz w:val="16"/>
                <w:lang w:val="es-CL"/>
              </w:rPr>
              <w:footnoteReference w:id="5"/>
            </w:r>
            <w:r w:rsidR="005F1FEB" w:rsidRPr="005622BB">
              <w:rPr>
                <w:sz w:val="16"/>
                <w:lang w:val="es-CL"/>
              </w:rPr>
              <w:t>)</w:t>
            </w:r>
          </w:p>
          <w:p w:rsidR="0082763D" w:rsidRPr="00473D0F" w:rsidRDefault="00C94615" w:rsidP="000334B2">
            <w:pPr>
              <w:jc w:val="center"/>
              <w:rPr>
                <w:highlight w:val="yellow"/>
                <w:lang w:val="es-CL"/>
              </w:rPr>
            </w:pPr>
            <w:r w:rsidRPr="005622BB">
              <w:rPr>
                <w:b/>
                <w:sz w:val="16"/>
                <w:lang w:val="es-CL"/>
              </w:rPr>
              <w:t>C/Proyecto:</w:t>
            </w:r>
            <w:r w:rsidRPr="005622BB">
              <w:rPr>
                <w:sz w:val="16"/>
                <w:lang w:val="es-CL"/>
              </w:rPr>
              <w:t xml:space="preserve"> </w:t>
            </w:r>
            <w:r w:rsidR="005F1FEB" w:rsidRPr="005622BB">
              <w:rPr>
                <w:sz w:val="16"/>
                <w:lang w:val="es-CL"/>
              </w:rPr>
              <w:t>Se adicionan 167 MVA a la situación sin proyecto.</w:t>
            </w:r>
          </w:p>
        </w:tc>
      </w:tr>
      <w:tr w:rsidR="0082763D" w:rsidTr="008F6340">
        <w:trPr>
          <w:trHeight w:val="1528"/>
        </w:trPr>
        <w:tc>
          <w:tcPr>
            <w:tcW w:w="5382" w:type="dxa"/>
            <w:vAlign w:val="center"/>
          </w:tcPr>
          <w:p w:rsidR="0082763D" w:rsidRDefault="0082763D" w:rsidP="000334B2">
            <w:pPr>
              <w:ind w:left="-116"/>
              <w:jc w:val="center"/>
              <w:rPr>
                <w:noProof/>
                <w:lang w:val="es-CL"/>
              </w:rPr>
            </w:pPr>
            <w:r>
              <w:rPr>
                <w:noProof/>
                <w:lang w:val="en-US"/>
              </w:rPr>
              <w:drawing>
                <wp:inline distT="0" distB="0" distL="0" distR="0" wp14:anchorId="7BFA5A40" wp14:editId="4E654063">
                  <wp:extent cx="3261600" cy="83160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600" cy="831600"/>
                          </a:xfrm>
                          <a:prstGeom prst="rect">
                            <a:avLst/>
                          </a:prstGeom>
                          <a:noFill/>
                        </pic:spPr>
                      </pic:pic>
                    </a:graphicData>
                  </a:graphic>
                </wp:inline>
              </w:drawing>
            </w:r>
          </w:p>
        </w:tc>
        <w:tc>
          <w:tcPr>
            <w:tcW w:w="3446" w:type="dxa"/>
            <w:vAlign w:val="center"/>
          </w:tcPr>
          <w:p w:rsidR="00C94615" w:rsidRPr="005C0032" w:rsidRDefault="00C94615" w:rsidP="000334B2">
            <w:pPr>
              <w:jc w:val="center"/>
              <w:rPr>
                <w:b/>
                <w:sz w:val="16"/>
                <w:u w:val="single"/>
                <w:lang w:val="es-CL"/>
              </w:rPr>
            </w:pPr>
            <w:r w:rsidRPr="005C0032">
              <w:rPr>
                <w:b/>
                <w:sz w:val="16"/>
                <w:u w:val="single"/>
                <w:lang w:val="es-CL"/>
              </w:rPr>
              <w:t xml:space="preserve">SE </w:t>
            </w:r>
            <w:r w:rsidR="005C0032" w:rsidRPr="005C0032">
              <w:rPr>
                <w:b/>
                <w:sz w:val="16"/>
                <w:u w:val="single"/>
                <w:lang w:val="es-CL"/>
              </w:rPr>
              <w:t>Posorja</w:t>
            </w:r>
            <w:r w:rsidRPr="005C0032">
              <w:rPr>
                <w:b/>
                <w:sz w:val="16"/>
                <w:u w:val="single"/>
                <w:lang w:val="es-CL"/>
              </w:rPr>
              <w:t xml:space="preserve"> 138/69</w:t>
            </w:r>
            <w:r w:rsidR="005C0032" w:rsidRPr="005C0032">
              <w:rPr>
                <w:b/>
                <w:sz w:val="16"/>
                <w:u w:val="single"/>
                <w:lang w:val="es-CL"/>
              </w:rPr>
              <w:t xml:space="preserve"> </w:t>
            </w:r>
            <w:r w:rsidRPr="005C0032">
              <w:rPr>
                <w:b/>
                <w:sz w:val="16"/>
                <w:u w:val="single"/>
                <w:lang w:val="es-CL"/>
              </w:rPr>
              <w:t xml:space="preserve">kV </w:t>
            </w:r>
            <w:r w:rsidR="005C0032" w:rsidRPr="005C0032">
              <w:rPr>
                <w:b/>
                <w:sz w:val="16"/>
                <w:u w:val="single"/>
                <w:lang w:val="es-CL"/>
              </w:rPr>
              <w:t>67</w:t>
            </w:r>
            <w:r w:rsidRPr="005C0032">
              <w:rPr>
                <w:b/>
                <w:sz w:val="16"/>
                <w:u w:val="single"/>
                <w:lang w:val="es-CL"/>
              </w:rPr>
              <w:t xml:space="preserve"> MVA</w:t>
            </w:r>
          </w:p>
          <w:p w:rsidR="00C94615" w:rsidRDefault="00C94615" w:rsidP="000334B2">
            <w:pPr>
              <w:jc w:val="center"/>
              <w:rPr>
                <w:sz w:val="16"/>
                <w:lang w:val="es-CL"/>
              </w:rPr>
            </w:pPr>
          </w:p>
          <w:p w:rsidR="00C94615" w:rsidRPr="00C94615" w:rsidRDefault="00C94615" w:rsidP="000334B2">
            <w:pPr>
              <w:jc w:val="center"/>
              <w:rPr>
                <w:sz w:val="16"/>
                <w:lang w:val="es-CL"/>
              </w:rPr>
            </w:pPr>
            <w:r w:rsidRPr="005C0032">
              <w:rPr>
                <w:b/>
                <w:sz w:val="16"/>
                <w:lang w:val="es-CL"/>
              </w:rPr>
              <w:t>S/Proyecto:</w:t>
            </w:r>
            <w:r w:rsidRPr="00C94615">
              <w:rPr>
                <w:sz w:val="16"/>
                <w:lang w:val="es-CL"/>
              </w:rPr>
              <w:t xml:space="preserve"> </w:t>
            </w:r>
            <w:r w:rsidR="005C0032">
              <w:rPr>
                <w:sz w:val="16"/>
                <w:lang w:val="es-CL"/>
              </w:rPr>
              <w:t>33</w:t>
            </w:r>
            <w:r w:rsidRPr="00C94615">
              <w:rPr>
                <w:sz w:val="16"/>
                <w:lang w:val="es-CL"/>
              </w:rPr>
              <w:t xml:space="preserve"> MVA (</w:t>
            </w:r>
            <w:r w:rsidR="005C0032">
              <w:rPr>
                <w:sz w:val="16"/>
                <w:lang w:val="es-CL"/>
              </w:rPr>
              <w:t>hoy existe respaldo de una SE Móvil que se elimina para esta evaluación</w:t>
            </w:r>
            <w:r w:rsidRPr="00C94615">
              <w:rPr>
                <w:sz w:val="16"/>
                <w:lang w:val="es-CL"/>
              </w:rPr>
              <w:t>)</w:t>
            </w:r>
          </w:p>
          <w:p w:rsidR="0082763D" w:rsidRDefault="00C94615" w:rsidP="000334B2">
            <w:pPr>
              <w:jc w:val="center"/>
              <w:rPr>
                <w:lang w:val="es-CL"/>
              </w:rPr>
            </w:pPr>
            <w:r w:rsidRPr="005C0032">
              <w:rPr>
                <w:b/>
                <w:sz w:val="16"/>
                <w:lang w:val="es-CL"/>
              </w:rPr>
              <w:t>C/Proyecto:</w:t>
            </w:r>
            <w:r w:rsidRPr="00C94615">
              <w:rPr>
                <w:sz w:val="16"/>
                <w:lang w:val="es-CL"/>
              </w:rPr>
              <w:t xml:space="preserve"> </w:t>
            </w:r>
            <w:r w:rsidR="005C0032">
              <w:rPr>
                <w:sz w:val="16"/>
                <w:lang w:val="es-CL"/>
              </w:rPr>
              <w:t>33 + 67</w:t>
            </w:r>
            <w:r w:rsidRPr="00C94615">
              <w:rPr>
                <w:sz w:val="16"/>
                <w:lang w:val="es-CL"/>
              </w:rPr>
              <w:t xml:space="preserve"> MVA</w:t>
            </w:r>
          </w:p>
        </w:tc>
      </w:tr>
      <w:tr w:rsidR="0082763D" w:rsidTr="008F6340">
        <w:trPr>
          <w:trHeight w:val="1407"/>
        </w:trPr>
        <w:tc>
          <w:tcPr>
            <w:tcW w:w="5382" w:type="dxa"/>
            <w:vAlign w:val="center"/>
          </w:tcPr>
          <w:p w:rsidR="0082763D" w:rsidRDefault="0082763D" w:rsidP="000334B2">
            <w:pPr>
              <w:ind w:left="-116"/>
              <w:jc w:val="center"/>
              <w:rPr>
                <w:noProof/>
                <w:lang w:val="es-CL"/>
              </w:rPr>
            </w:pPr>
            <w:r>
              <w:rPr>
                <w:noProof/>
                <w:lang w:val="en-US"/>
              </w:rPr>
              <w:drawing>
                <wp:inline distT="0" distB="0" distL="0" distR="0" wp14:anchorId="76DC50C9" wp14:editId="7D141E36">
                  <wp:extent cx="3261600" cy="83160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1600" cy="831600"/>
                          </a:xfrm>
                          <a:prstGeom prst="rect">
                            <a:avLst/>
                          </a:prstGeom>
                          <a:noFill/>
                        </pic:spPr>
                      </pic:pic>
                    </a:graphicData>
                  </a:graphic>
                </wp:inline>
              </w:drawing>
            </w:r>
          </w:p>
        </w:tc>
        <w:tc>
          <w:tcPr>
            <w:tcW w:w="3446" w:type="dxa"/>
            <w:vAlign w:val="center"/>
          </w:tcPr>
          <w:p w:rsidR="00C94615" w:rsidRPr="00C94615" w:rsidRDefault="00C94615" w:rsidP="000334B2">
            <w:pPr>
              <w:jc w:val="center"/>
              <w:rPr>
                <w:b/>
                <w:sz w:val="16"/>
                <w:lang w:val="es-CL"/>
              </w:rPr>
            </w:pPr>
            <w:r w:rsidRPr="00C94615">
              <w:rPr>
                <w:b/>
                <w:sz w:val="16"/>
                <w:lang w:val="es-CL"/>
              </w:rPr>
              <w:t xml:space="preserve">SE </w:t>
            </w:r>
            <w:r w:rsidR="005C0032">
              <w:rPr>
                <w:b/>
                <w:sz w:val="16"/>
                <w:lang w:val="es-CL"/>
              </w:rPr>
              <w:t>Cajas</w:t>
            </w:r>
            <w:r w:rsidRPr="00C94615">
              <w:rPr>
                <w:b/>
                <w:sz w:val="16"/>
                <w:lang w:val="es-CL"/>
              </w:rPr>
              <w:t xml:space="preserve"> 138/69 kV </w:t>
            </w:r>
            <w:r w:rsidR="005C0032">
              <w:rPr>
                <w:b/>
                <w:sz w:val="16"/>
                <w:lang w:val="es-CL"/>
              </w:rPr>
              <w:t>167</w:t>
            </w:r>
            <w:r w:rsidRPr="00C94615">
              <w:rPr>
                <w:b/>
                <w:sz w:val="16"/>
                <w:lang w:val="es-CL"/>
              </w:rPr>
              <w:t xml:space="preserve"> MVA</w:t>
            </w:r>
          </w:p>
          <w:p w:rsidR="00C94615" w:rsidRDefault="00C94615" w:rsidP="000334B2">
            <w:pPr>
              <w:jc w:val="center"/>
              <w:rPr>
                <w:sz w:val="16"/>
                <w:lang w:val="es-CL"/>
              </w:rPr>
            </w:pPr>
          </w:p>
          <w:p w:rsidR="00C94615" w:rsidRPr="00C94615" w:rsidRDefault="00C94615" w:rsidP="000334B2">
            <w:pPr>
              <w:jc w:val="center"/>
              <w:rPr>
                <w:sz w:val="16"/>
                <w:lang w:val="es-CL"/>
              </w:rPr>
            </w:pPr>
            <w:r w:rsidRPr="005C0032">
              <w:rPr>
                <w:b/>
                <w:sz w:val="16"/>
                <w:lang w:val="es-CL"/>
              </w:rPr>
              <w:t>S/Proyecto:</w:t>
            </w:r>
            <w:r w:rsidRPr="00C94615">
              <w:rPr>
                <w:sz w:val="16"/>
                <w:lang w:val="es-CL"/>
              </w:rPr>
              <w:t xml:space="preserve"> </w:t>
            </w:r>
            <w:r w:rsidR="005C0032">
              <w:rPr>
                <w:sz w:val="16"/>
                <w:lang w:val="es-CL"/>
              </w:rPr>
              <w:t>2 x 66.7 MVA</w:t>
            </w:r>
          </w:p>
          <w:p w:rsidR="0082763D" w:rsidRDefault="00C94615" w:rsidP="000334B2">
            <w:pPr>
              <w:jc w:val="center"/>
              <w:rPr>
                <w:lang w:val="es-CL"/>
              </w:rPr>
            </w:pPr>
            <w:r w:rsidRPr="005C0032">
              <w:rPr>
                <w:b/>
                <w:sz w:val="16"/>
                <w:lang w:val="es-CL"/>
              </w:rPr>
              <w:t>C/Proyecto:</w:t>
            </w:r>
            <w:r w:rsidRPr="00C94615">
              <w:rPr>
                <w:sz w:val="16"/>
                <w:lang w:val="es-CL"/>
              </w:rPr>
              <w:t xml:space="preserve"> </w:t>
            </w:r>
            <w:r w:rsidR="005C0032">
              <w:rPr>
                <w:sz w:val="16"/>
                <w:lang w:val="es-CL"/>
              </w:rPr>
              <w:t>Se adicionan 167 MVA</w:t>
            </w:r>
          </w:p>
        </w:tc>
      </w:tr>
    </w:tbl>
    <w:p w:rsidR="00680F6F" w:rsidRDefault="00680F6F" w:rsidP="00F56913">
      <w:pPr>
        <w:jc w:val="both"/>
        <w:rPr>
          <w:lang w:val="es-CL"/>
        </w:rPr>
      </w:pPr>
    </w:p>
    <w:p w:rsidR="005C0032" w:rsidRDefault="005C0032" w:rsidP="00E966BE">
      <w:pPr>
        <w:pStyle w:val="Heading3"/>
        <w:rPr>
          <w:lang w:val="es-CL"/>
        </w:rPr>
      </w:pPr>
      <w:bookmarkStart w:id="16" w:name="_Toc491617759"/>
      <w:r>
        <w:rPr>
          <w:lang w:val="es-CL"/>
        </w:rPr>
        <w:t>Evaluación Financiera Proyectos SNT</w:t>
      </w:r>
      <w:bookmarkEnd w:id="16"/>
    </w:p>
    <w:p w:rsidR="005C0032" w:rsidRDefault="005C0032" w:rsidP="00F56913">
      <w:pPr>
        <w:jc w:val="both"/>
        <w:rPr>
          <w:lang w:val="es-CL"/>
        </w:rPr>
      </w:pPr>
      <w:r>
        <w:rPr>
          <w:lang w:val="es-CL"/>
        </w:rPr>
        <w:t xml:space="preserve">Desde el punto de vista financiero, es decir, </w:t>
      </w:r>
      <w:r w:rsidR="000334B2">
        <w:rPr>
          <w:lang w:val="es-CL"/>
        </w:rPr>
        <w:t xml:space="preserve">sólo </w:t>
      </w:r>
      <w:r>
        <w:rPr>
          <w:lang w:val="es-CL"/>
        </w:rPr>
        <w:t>bajo la perspectiva de ingresos y costos de la entidad ejecutora (CELEC EP TRANSELECTRIC), estos proyectos presentan las siguientes partidas a valorar:</w:t>
      </w:r>
    </w:p>
    <w:p w:rsidR="005C0032" w:rsidRDefault="005C0032" w:rsidP="005C0032">
      <w:pPr>
        <w:pStyle w:val="ListParagraph"/>
        <w:numPr>
          <w:ilvl w:val="0"/>
          <w:numId w:val="6"/>
        </w:numPr>
        <w:jc w:val="both"/>
        <w:rPr>
          <w:lang w:val="es-CL"/>
        </w:rPr>
      </w:pPr>
      <w:r>
        <w:rPr>
          <w:lang w:val="es-CL"/>
        </w:rPr>
        <w:t>Inversión</w:t>
      </w:r>
      <w:r w:rsidR="00A762F3">
        <w:rPr>
          <w:lang w:val="es-CL"/>
        </w:rPr>
        <w:t>: Según ya se ha especificado en la Tabla N°</w:t>
      </w:r>
      <w:r w:rsidR="000334B2">
        <w:rPr>
          <w:lang w:val="es-CL"/>
        </w:rPr>
        <w:t>2.</w:t>
      </w:r>
    </w:p>
    <w:p w:rsidR="005C0032" w:rsidRDefault="00A762F3" w:rsidP="005C0032">
      <w:pPr>
        <w:pStyle w:val="ListParagraph"/>
        <w:numPr>
          <w:ilvl w:val="0"/>
          <w:numId w:val="6"/>
        </w:numPr>
        <w:jc w:val="both"/>
        <w:rPr>
          <w:lang w:val="es-CL"/>
        </w:rPr>
      </w:pPr>
      <w:r>
        <w:rPr>
          <w:lang w:val="es-CL"/>
        </w:rPr>
        <w:t>Mayor Venta: Ingresos por Cargo de Transmisión cobrado a las EED’s</w:t>
      </w:r>
    </w:p>
    <w:p w:rsidR="00A762F3" w:rsidRDefault="00A762F3" w:rsidP="005C0032">
      <w:pPr>
        <w:pStyle w:val="ListParagraph"/>
        <w:numPr>
          <w:ilvl w:val="0"/>
          <w:numId w:val="6"/>
        </w:numPr>
        <w:jc w:val="both"/>
        <w:rPr>
          <w:lang w:val="es-CL"/>
        </w:rPr>
      </w:pPr>
      <w:r>
        <w:rPr>
          <w:lang w:val="es-CL"/>
        </w:rPr>
        <w:t xml:space="preserve">Costos de </w:t>
      </w:r>
      <w:r w:rsidR="00D82E2A">
        <w:rPr>
          <w:lang w:val="es-CL"/>
        </w:rPr>
        <w:t xml:space="preserve">Administración, </w:t>
      </w:r>
      <w:r>
        <w:rPr>
          <w:lang w:val="es-CL"/>
        </w:rPr>
        <w:t>Operación y Mantenimiento</w:t>
      </w:r>
    </w:p>
    <w:p w:rsidR="00A762F3" w:rsidRDefault="00A762F3" w:rsidP="00A762F3">
      <w:pPr>
        <w:jc w:val="both"/>
        <w:rPr>
          <w:lang w:val="es-CL"/>
        </w:rPr>
      </w:pPr>
    </w:p>
    <w:p w:rsidR="00A762F3" w:rsidRPr="00D82E2A" w:rsidRDefault="000334B2" w:rsidP="00A762F3">
      <w:pPr>
        <w:jc w:val="both"/>
        <w:rPr>
          <w:b/>
          <w:lang w:val="es-CL"/>
        </w:rPr>
      </w:pPr>
      <w:r w:rsidRPr="00D82E2A">
        <w:rPr>
          <w:b/>
          <w:lang w:val="es-CL"/>
        </w:rPr>
        <w:t>Mayor Venta:</w:t>
      </w:r>
    </w:p>
    <w:p w:rsidR="000334B2" w:rsidRDefault="00514FB0" w:rsidP="00A762F3">
      <w:pPr>
        <w:jc w:val="both"/>
        <w:rPr>
          <w:lang w:val="es-CL"/>
        </w:rPr>
      </w:pPr>
      <w:r>
        <w:rPr>
          <w:lang w:val="es-CL"/>
        </w:rPr>
        <w:t xml:space="preserve">La mayor venta, corresponde a la Potencia mensual adicional </w:t>
      </w:r>
      <w:r w:rsidR="00D82E2A">
        <w:rPr>
          <w:lang w:val="es-CL"/>
        </w:rPr>
        <w:t xml:space="preserve">abastecida con proyecto, </w:t>
      </w:r>
      <w:r>
        <w:rPr>
          <w:lang w:val="es-CL"/>
        </w:rPr>
        <w:t xml:space="preserve">por el Cargo por Transmisión según su cobro histórico (Estadística Multianual del Sector Eléctrico </w:t>
      </w:r>
      <w:r w:rsidR="0021708E">
        <w:rPr>
          <w:lang w:val="es-CL"/>
        </w:rPr>
        <w:t xml:space="preserve">del Ecuador </w:t>
      </w:r>
      <w:r>
        <w:rPr>
          <w:lang w:val="es-CL"/>
        </w:rPr>
        <w:t>2016) y proyectado según expectativas de crecimiento de los Costos medios de Transmisión determinadas en el Plan Maestro de Electricidad 2016-2025. La siguiente tabla resume los principales parámetros así determinados.</w:t>
      </w:r>
    </w:p>
    <w:p w:rsidR="00514FB0" w:rsidRDefault="00514FB0" w:rsidP="00A762F3">
      <w:pPr>
        <w:jc w:val="both"/>
        <w:rPr>
          <w:lang w:val="es-CL"/>
        </w:rPr>
      </w:pPr>
    </w:p>
    <w:p w:rsidR="00D82E2A" w:rsidRPr="00D82E2A" w:rsidRDefault="00D82E2A" w:rsidP="00D82E2A">
      <w:pPr>
        <w:spacing w:after="0"/>
        <w:jc w:val="center"/>
        <w:rPr>
          <w:b/>
          <w:lang w:val="es-CL"/>
        </w:rPr>
      </w:pPr>
      <w:r w:rsidRPr="00D82E2A">
        <w:rPr>
          <w:b/>
          <w:lang w:val="es-CL"/>
        </w:rPr>
        <w:t>Tabla N°4 Cargo Transmisión 2016 y proyección</w:t>
      </w:r>
      <w:r w:rsidR="006E20DC">
        <w:rPr>
          <w:b/>
          <w:lang w:val="es-CL"/>
        </w:rPr>
        <w:t xml:space="preserve"> a 2048</w:t>
      </w:r>
    </w:p>
    <w:tbl>
      <w:tblPr>
        <w:tblW w:w="0" w:type="auto"/>
        <w:tblLook w:val="04A0" w:firstRow="1" w:lastRow="0" w:firstColumn="1" w:lastColumn="0" w:noHBand="0" w:noVBand="1"/>
      </w:tblPr>
      <w:tblGrid>
        <w:gridCol w:w="2942"/>
        <w:gridCol w:w="2943"/>
        <w:gridCol w:w="2943"/>
      </w:tblGrid>
      <w:tr w:rsidR="00514FB0" w:rsidTr="008F6340">
        <w:tc>
          <w:tcPr>
            <w:tcW w:w="29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14FB0" w:rsidRPr="00D82E2A" w:rsidRDefault="00514FB0" w:rsidP="00D82E2A">
            <w:pPr>
              <w:jc w:val="center"/>
              <w:rPr>
                <w:b/>
                <w:lang w:val="es-CL"/>
              </w:rPr>
            </w:pPr>
            <w:r w:rsidRPr="00D82E2A">
              <w:rPr>
                <w:b/>
                <w:lang w:val="es-CL"/>
              </w:rPr>
              <w:t>Proyecto</w:t>
            </w:r>
          </w:p>
        </w:tc>
        <w:tc>
          <w:tcPr>
            <w:tcW w:w="29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14FB0" w:rsidRPr="00D82E2A" w:rsidRDefault="00514FB0" w:rsidP="00D82E2A">
            <w:pPr>
              <w:jc w:val="center"/>
              <w:rPr>
                <w:b/>
                <w:lang w:val="es-CL"/>
              </w:rPr>
            </w:pPr>
            <w:r w:rsidRPr="00D82E2A">
              <w:rPr>
                <w:b/>
                <w:lang w:val="es-CL"/>
              </w:rPr>
              <w:t>EED Abastecida</w:t>
            </w:r>
          </w:p>
        </w:tc>
        <w:tc>
          <w:tcPr>
            <w:tcW w:w="29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D82E2A" w:rsidRDefault="00D82E2A" w:rsidP="00D82E2A">
            <w:pPr>
              <w:jc w:val="center"/>
              <w:rPr>
                <w:b/>
                <w:lang w:val="es-CL"/>
              </w:rPr>
            </w:pPr>
            <w:r>
              <w:rPr>
                <w:b/>
                <w:lang w:val="es-CL"/>
              </w:rPr>
              <w:t>Cargo Transmisión Medio 2016 (</w:t>
            </w:r>
            <w:r w:rsidR="00514FB0" w:rsidRPr="00D82E2A">
              <w:rPr>
                <w:b/>
                <w:lang w:val="es-CL"/>
              </w:rPr>
              <w:t>US$/kW</w:t>
            </w:r>
            <w:r>
              <w:rPr>
                <w:b/>
                <w:lang w:val="es-CL"/>
              </w:rPr>
              <w:t>)</w:t>
            </w:r>
          </w:p>
          <w:p w:rsidR="00514FB0" w:rsidRPr="00D82E2A" w:rsidRDefault="00514FB0" w:rsidP="00D82E2A">
            <w:pPr>
              <w:jc w:val="center"/>
              <w:rPr>
                <w:b/>
                <w:lang w:val="es-CL"/>
              </w:rPr>
            </w:pPr>
            <w:r w:rsidRPr="00D82E2A">
              <w:rPr>
                <w:b/>
                <w:lang w:val="es-CL"/>
              </w:rPr>
              <w:t>Mensual</w:t>
            </w:r>
          </w:p>
        </w:tc>
      </w:tr>
      <w:tr w:rsidR="00514FB0" w:rsidTr="008F6340">
        <w:tc>
          <w:tcPr>
            <w:tcW w:w="2942"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SE Las Orquídeas</w:t>
            </w:r>
          </w:p>
        </w:tc>
        <w:tc>
          <w:tcPr>
            <w:tcW w:w="2943"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CNEL Guayaquil</w:t>
            </w:r>
          </w:p>
        </w:tc>
        <w:tc>
          <w:tcPr>
            <w:tcW w:w="2943" w:type="dxa"/>
            <w:vMerge w:val="restart"/>
            <w:tcBorders>
              <w:top w:val="single" w:sz="4" w:space="0" w:color="auto"/>
              <w:left w:val="single" w:sz="4" w:space="0" w:color="auto"/>
              <w:bottom w:val="single" w:sz="4" w:space="0" w:color="auto"/>
              <w:right w:val="single" w:sz="4" w:space="0" w:color="auto"/>
            </w:tcBorders>
            <w:vAlign w:val="center"/>
          </w:tcPr>
          <w:p w:rsidR="00514FB0" w:rsidRDefault="00514FB0" w:rsidP="00D82E2A">
            <w:pPr>
              <w:jc w:val="center"/>
              <w:rPr>
                <w:lang w:val="es-CL"/>
              </w:rPr>
            </w:pPr>
            <w:r>
              <w:rPr>
                <w:lang w:val="es-CL"/>
              </w:rPr>
              <w:t>1.77</w:t>
            </w:r>
          </w:p>
        </w:tc>
      </w:tr>
      <w:tr w:rsidR="00514FB0" w:rsidTr="008F6340">
        <w:tc>
          <w:tcPr>
            <w:tcW w:w="2942"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SE Tanicuchí</w:t>
            </w:r>
          </w:p>
        </w:tc>
        <w:tc>
          <w:tcPr>
            <w:tcW w:w="2943"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E.E. Cotopaxi</w:t>
            </w:r>
          </w:p>
        </w:tc>
        <w:tc>
          <w:tcPr>
            <w:tcW w:w="2943" w:type="dxa"/>
            <w:vMerge/>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p>
        </w:tc>
      </w:tr>
      <w:tr w:rsidR="00514FB0" w:rsidTr="008F6340">
        <w:tc>
          <w:tcPr>
            <w:tcW w:w="2942"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SE La Avanzada</w:t>
            </w:r>
          </w:p>
        </w:tc>
        <w:tc>
          <w:tcPr>
            <w:tcW w:w="2943"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CNEL El Oro</w:t>
            </w:r>
          </w:p>
        </w:tc>
        <w:tc>
          <w:tcPr>
            <w:tcW w:w="2943" w:type="dxa"/>
            <w:vMerge/>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p>
        </w:tc>
      </w:tr>
      <w:tr w:rsidR="00514FB0" w:rsidTr="008F6340">
        <w:tc>
          <w:tcPr>
            <w:tcW w:w="2942"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SE Posorja</w:t>
            </w:r>
          </w:p>
        </w:tc>
        <w:tc>
          <w:tcPr>
            <w:tcW w:w="2943"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CNEL Santa Elena</w:t>
            </w:r>
          </w:p>
        </w:tc>
        <w:tc>
          <w:tcPr>
            <w:tcW w:w="2943" w:type="dxa"/>
            <w:vMerge/>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p>
        </w:tc>
      </w:tr>
      <w:tr w:rsidR="00514FB0" w:rsidTr="008F6340">
        <w:tc>
          <w:tcPr>
            <w:tcW w:w="2942"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SE Cajas</w:t>
            </w:r>
          </w:p>
        </w:tc>
        <w:tc>
          <w:tcPr>
            <w:tcW w:w="2943" w:type="dxa"/>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r>
              <w:rPr>
                <w:lang w:val="es-CL"/>
              </w:rPr>
              <w:t>E.E. Regional Norte</w:t>
            </w:r>
          </w:p>
        </w:tc>
        <w:tc>
          <w:tcPr>
            <w:tcW w:w="2943" w:type="dxa"/>
            <w:vMerge/>
            <w:tcBorders>
              <w:top w:val="single" w:sz="4" w:space="0" w:color="auto"/>
              <w:left w:val="single" w:sz="4" w:space="0" w:color="auto"/>
              <w:bottom w:val="single" w:sz="4" w:space="0" w:color="auto"/>
              <w:right w:val="single" w:sz="4" w:space="0" w:color="auto"/>
            </w:tcBorders>
          </w:tcPr>
          <w:p w:rsidR="00514FB0" w:rsidRDefault="00514FB0" w:rsidP="00D82E2A">
            <w:pPr>
              <w:jc w:val="center"/>
              <w:rPr>
                <w:lang w:val="es-CL"/>
              </w:rPr>
            </w:pPr>
          </w:p>
        </w:tc>
      </w:tr>
    </w:tbl>
    <w:p w:rsidR="00A762F3" w:rsidRPr="006E20DC" w:rsidRDefault="00D82E2A" w:rsidP="006E20DC">
      <w:pPr>
        <w:spacing w:after="0"/>
        <w:jc w:val="both"/>
        <w:rPr>
          <w:b/>
          <w:i/>
          <w:lang w:val="es-CL"/>
        </w:rPr>
      </w:pPr>
      <w:r w:rsidRPr="006E20DC">
        <w:rPr>
          <w:b/>
          <w:i/>
          <w:lang w:val="es-CL"/>
        </w:rPr>
        <w:t>Proyección</w:t>
      </w:r>
      <w:r w:rsidR="006E20DC">
        <w:rPr>
          <w:b/>
          <w:i/>
          <w:lang w:val="es-CL"/>
        </w:rPr>
        <w:t xml:space="preserve"> (basada en PME 2016-2025)</w:t>
      </w:r>
      <w:r w:rsidRPr="006E20DC">
        <w:rPr>
          <w:b/>
          <w:i/>
          <w:lang w:val="es-C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882"/>
        <w:gridCol w:w="883"/>
        <w:gridCol w:w="883"/>
        <w:gridCol w:w="883"/>
        <w:gridCol w:w="883"/>
        <w:gridCol w:w="883"/>
        <w:gridCol w:w="883"/>
        <w:gridCol w:w="883"/>
        <w:gridCol w:w="883"/>
      </w:tblGrid>
      <w:tr w:rsidR="00D82E2A" w:rsidTr="008F6340">
        <w:tc>
          <w:tcPr>
            <w:tcW w:w="882" w:type="dxa"/>
            <w:shd w:val="clear" w:color="auto" w:fill="E7E6E6" w:themeFill="background2"/>
            <w:vAlign w:val="center"/>
          </w:tcPr>
          <w:p w:rsidR="00D82E2A" w:rsidRPr="00D82E2A" w:rsidRDefault="00D82E2A" w:rsidP="00D82E2A">
            <w:pPr>
              <w:jc w:val="center"/>
              <w:rPr>
                <w:b/>
              </w:rPr>
            </w:pPr>
            <w:r w:rsidRPr="00D82E2A">
              <w:rPr>
                <w:b/>
              </w:rPr>
              <w:t>2016</w:t>
            </w:r>
          </w:p>
        </w:tc>
        <w:tc>
          <w:tcPr>
            <w:tcW w:w="882" w:type="dxa"/>
            <w:shd w:val="clear" w:color="auto" w:fill="E7E6E6" w:themeFill="background2"/>
            <w:vAlign w:val="center"/>
          </w:tcPr>
          <w:p w:rsidR="00D82E2A" w:rsidRPr="00D82E2A" w:rsidRDefault="00D82E2A" w:rsidP="00D82E2A">
            <w:pPr>
              <w:jc w:val="center"/>
              <w:rPr>
                <w:b/>
              </w:rPr>
            </w:pPr>
            <w:r w:rsidRPr="00D82E2A">
              <w:rPr>
                <w:b/>
              </w:rPr>
              <w:t>2017</w:t>
            </w:r>
          </w:p>
        </w:tc>
        <w:tc>
          <w:tcPr>
            <w:tcW w:w="883" w:type="dxa"/>
            <w:shd w:val="clear" w:color="auto" w:fill="E7E6E6" w:themeFill="background2"/>
            <w:vAlign w:val="center"/>
          </w:tcPr>
          <w:p w:rsidR="00D82E2A" w:rsidRPr="00D82E2A" w:rsidRDefault="00D82E2A" w:rsidP="00D82E2A">
            <w:pPr>
              <w:jc w:val="center"/>
              <w:rPr>
                <w:b/>
              </w:rPr>
            </w:pPr>
            <w:r w:rsidRPr="00D82E2A">
              <w:rPr>
                <w:b/>
              </w:rPr>
              <w:t>2018</w:t>
            </w:r>
          </w:p>
        </w:tc>
        <w:tc>
          <w:tcPr>
            <w:tcW w:w="883" w:type="dxa"/>
            <w:shd w:val="clear" w:color="auto" w:fill="E7E6E6" w:themeFill="background2"/>
            <w:vAlign w:val="center"/>
          </w:tcPr>
          <w:p w:rsidR="00D82E2A" w:rsidRPr="00D82E2A" w:rsidRDefault="00D82E2A" w:rsidP="00D82E2A">
            <w:pPr>
              <w:jc w:val="center"/>
              <w:rPr>
                <w:b/>
              </w:rPr>
            </w:pPr>
            <w:r w:rsidRPr="00D82E2A">
              <w:rPr>
                <w:b/>
              </w:rPr>
              <w:t>2019</w:t>
            </w:r>
          </w:p>
        </w:tc>
        <w:tc>
          <w:tcPr>
            <w:tcW w:w="883" w:type="dxa"/>
            <w:shd w:val="clear" w:color="auto" w:fill="E7E6E6" w:themeFill="background2"/>
            <w:vAlign w:val="center"/>
          </w:tcPr>
          <w:p w:rsidR="00D82E2A" w:rsidRPr="00D82E2A" w:rsidRDefault="00D82E2A" w:rsidP="00D82E2A">
            <w:pPr>
              <w:jc w:val="center"/>
              <w:rPr>
                <w:b/>
              </w:rPr>
            </w:pPr>
            <w:r w:rsidRPr="00D82E2A">
              <w:rPr>
                <w:b/>
              </w:rPr>
              <w:t>2020</w:t>
            </w:r>
          </w:p>
        </w:tc>
        <w:tc>
          <w:tcPr>
            <w:tcW w:w="883" w:type="dxa"/>
            <w:shd w:val="clear" w:color="auto" w:fill="E7E6E6" w:themeFill="background2"/>
            <w:vAlign w:val="center"/>
          </w:tcPr>
          <w:p w:rsidR="00D82E2A" w:rsidRPr="00D82E2A" w:rsidRDefault="00D82E2A" w:rsidP="00D82E2A">
            <w:pPr>
              <w:jc w:val="center"/>
              <w:rPr>
                <w:b/>
              </w:rPr>
            </w:pPr>
            <w:r w:rsidRPr="00D82E2A">
              <w:rPr>
                <w:b/>
              </w:rPr>
              <w:t>2021</w:t>
            </w:r>
          </w:p>
        </w:tc>
        <w:tc>
          <w:tcPr>
            <w:tcW w:w="883" w:type="dxa"/>
            <w:shd w:val="clear" w:color="auto" w:fill="E7E6E6" w:themeFill="background2"/>
            <w:vAlign w:val="center"/>
          </w:tcPr>
          <w:p w:rsidR="00D82E2A" w:rsidRPr="00D82E2A" w:rsidRDefault="00D82E2A" w:rsidP="00D82E2A">
            <w:pPr>
              <w:jc w:val="center"/>
              <w:rPr>
                <w:b/>
              </w:rPr>
            </w:pPr>
            <w:r w:rsidRPr="00D82E2A">
              <w:rPr>
                <w:b/>
              </w:rPr>
              <w:t>2022</w:t>
            </w:r>
          </w:p>
        </w:tc>
        <w:tc>
          <w:tcPr>
            <w:tcW w:w="883" w:type="dxa"/>
            <w:shd w:val="clear" w:color="auto" w:fill="E7E6E6" w:themeFill="background2"/>
            <w:vAlign w:val="center"/>
          </w:tcPr>
          <w:p w:rsidR="00D82E2A" w:rsidRPr="00D82E2A" w:rsidRDefault="00D82E2A" w:rsidP="00D82E2A">
            <w:pPr>
              <w:jc w:val="center"/>
              <w:rPr>
                <w:b/>
              </w:rPr>
            </w:pPr>
            <w:r w:rsidRPr="00D82E2A">
              <w:rPr>
                <w:b/>
              </w:rPr>
              <w:t>2023</w:t>
            </w:r>
          </w:p>
        </w:tc>
        <w:tc>
          <w:tcPr>
            <w:tcW w:w="883" w:type="dxa"/>
            <w:shd w:val="clear" w:color="auto" w:fill="E7E6E6" w:themeFill="background2"/>
            <w:vAlign w:val="center"/>
          </w:tcPr>
          <w:p w:rsidR="00D82E2A" w:rsidRPr="00D82E2A" w:rsidRDefault="00D82E2A" w:rsidP="00D82E2A">
            <w:pPr>
              <w:jc w:val="center"/>
              <w:rPr>
                <w:b/>
              </w:rPr>
            </w:pPr>
            <w:r w:rsidRPr="00D82E2A">
              <w:rPr>
                <w:b/>
              </w:rPr>
              <w:t>2024</w:t>
            </w:r>
          </w:p>
        </w:tc>
        <w:tc>
          <w:tcPr>
            <w:tcW w:w="883" w:type="dxa"/>
            <w:shd w:val="clear" w:color="auto" w:fill="E7E6E6" w:themeFill="background2"/>
            <w:vAlign w:val="center"/>
          </w:tcPr>
          <w:p w:rsidR="00D82E2A" w:rsidRPr="00D82E2A" w:rsidRDefault="00D82E2A" w:rsidP="00D82E2A">
            <w:pPr>
              <w:jc w:val="center"/>
              <w:rPr>
                <w:b/>
              </w:rPr>
            </w:pPr>
            <w:r w:rsidRPr="00D82E2A">
              <w:rPr>
                <w:b/>
              </w:rPr>
              <w:t>2025</w:t>
            </w:r>
            <w:r>
              <w:rPr>
                <w:b/>
              </w:rPr>
              <w:t>-2048</w:t>
            </w:r>
          </w:p>
        </w:tc>
      </w:tr>
      <w:tr w:rsidR="00D82E2A" w:rsidTr="008F6340">
        <w:tc>
          <w:tcPr>
            <w:tcW w:w="882" w:type="dxa"/>
          </w:tcPr>
          <w:p w:rsidR="00D82E2A" w:rsidRPr="00892DC2" w:rsidRDefault="00D82E2A" w:rsidP="00D82E2A">
            <w:pPr>
              <w:jc w:val="center"/>
            </w:pPr>
            <w:r w:rsidRPr="00892DC2">
              <w:t>1,77</w:t>
            </w:r>
          </w:p>
        </w:tc>
        <w:tc>
          <w:tcPr>
            <w:tcW w:w="882" w:type="dxa"/>
          </w:tcPr>
          <w:p w:rsidR="00D82E2A" w:rsidRPr="00892DC2" w:rsidRDefault="00D82E2A" w:rsidP="00D82E2A">
            <w:pPr>
              <w:jc w:val="center"/>
            </w:pPr>
            <w:r w:rsidRPr="00892DC2">
              <w:t>2,01</w:t>
            </w:r>
          </w:p>
        </w:tc>
        <w:tc>
          <w:tcPr>
            <w:tcW w:w="883" w:type="dxa"/>
          </w:tcPr>
          <w:p w:rsidR="00D82E2A" w:rsidRPr="00892DC2" w:rsidRDefault="00D82E2A" w:rsidP="00D82E2A">
            <w:pPr>
              <w:jc w:val="center"/>
            </w:pPr>
            <w:r w:rsidRPr="00892DC2">
              <w:t>2,14</w:t>
            </w:r>
          </w:p>
        </w:tc>
        <w:tc>
          <w:tcPr>
            <w:tcW w:w="883" w:type="dxa"/>
          </w:tcPr>
          <w:p w:rsidR="00D82E2A" w:rsidRPr="00892DC2" w:rsidRDefault="00D82E2A" w:rsidP="00D82E2A">
            <w:pPr>
              <w:jc w:val="center"/>
            </w:pPr>
            <w:r w:rsidRPr="00892DC2">
              <w:t>2,20</w:t>
            </w:r>
          </w:p>
        </w:tc>
        <w:tc>
          <w:tcPr>
            <w:tcW w:w="883" w:type="dxa"/>
          </w:tcPr>
          <w:p w:rsidR="00D82E2A" w:rsidRPr="00892DC2" w:rsidRDefault="00D82E2A" w:rsidP="00D82E2A">
            <w:pPr>
              <w:jc w:val="center"/>
            </w:pPr>
            <w:r w:rsidRPr="00892DC2">
              <w:t>2,14</w:t>
            </w:r>
          </w:p>
        </w:tc>
        <w:tc>
          <w:tcPr>
            <w:tcW w:w="883" w:type="dxa"/>
          </w:tcPr>
          <w:p w:rsidR="00D82E2A" w:rsidRPr="00892DC2" w:rsidRDefault="00D82E2A" w:rsidP="00D82E2A">
            <w:pPr>
              <w:jc w:val="center"/>
            </w:pPr>
            <w:r w:rsidRPr="00892DC2">
              <w:t>1,95</w:t>
            </w:r>
          </w:p>
        </w:tc>
        <w:tc>
          <w:tcPr>
            <w:tcW w:w="883" w:type="dxa"/>
          </w:tcPr>
          <w:p w:rsidR="00D82E2A" w:rsidRPr="00892DC2" w:rsidRDefault="00D82E2A" w:rsidP="00D82E2A">
            <w:pPr>
              <w:jc w:val="center"/>
            </w:pPr>
            <w:r w:rsidRPr="00892DC2">
              <w:t>1,86</w:t>
            </w:r>
          </w:p>
        </w:tc>
        <w:tc>
          <w:tcPr>
            <w:tcW w:w="883" w:type="dxa"/>
          </w:tcPr>
          <w:p w:rsidR="00D82E2A" w:rsidRPr="00892DC2" w:rsidRDefault="00D82E2A" w:rsidP="00D82E2A">
            <w:pPr>
              <w:jc w:val="center"/>
            </w:pPr>
            <w:r w:rsidRPr="00892DC2">
              <w:t>1,80</w:t>
            </w:r>
          </w:p>
        </w:tc>
        <w:tc>
          <w:tcPr>
            <w:tcW w:w="883" w:type="dxa"/>
          </w:tcPr>
          <w:p w:rsidR="00D82E2A" w:rsidRPr="00892DC2" w:rsidRDefault="00D82E2A" w:rsidP="00D82E2A">
            <w:pPr>
              <w:jc w:val="center"/>
            </w:pPr>
            <w:r w:rsidRPr="00892DC2">
              <w:t>1,77</w:t>
            </w:r>
          </w:p>
        </w:tc>
        <w:tc>
          <w:tcPr>
            <w:tcW w:w="883" w:type="dxa"/>
          </w:tcPr>
          <w:p w:rsidR="00D82E2A" w:rsidRDefault="00D82E2A" w:rsidP="00D82E2A">
            <w:pPr>
              <w:jc w:val="center"/>
            </w:pPr>
            <w:r w:rsidRPr="00892DC2">
              <w:t>1,71</w:t>
            </w:r>
          </w:p>
        </w:tc>
      </w:tr>
    </w:tbl>
    <w:p w:rsidR="00D82E2A" w:rsidRDefault="00D82E2A" w:rsidP="00A762F3">
      <w:pPr>
        <w:jc w:val="both"/>
        <w:rPr>
          <w:lang w:val="es-CL"/>
        </w:rPr>
      </w:pPr>
    </w:p>
    <w:p w:rsidR="00D82E2A" w:rsidRPr="0021708E" w:rsidRDefault="00D82E2A" w:rsidP="00A762F3">
      <w:pPr>
        <w:jc w:val="both"/>
        <w:rPr>
          <w:b/>
          <w:lang w:val="es-CL"/>
        </w:rPr>
      </w:pPr>
      <w:r w:rsidRPr="0021708E">
        <w:rPr>
          <w:b/>
          <w:lang w:val="es-CL"/>
        </w:rPr>
        <w:t>Costos de Administración, Operación y Mantenimiento:</w:t>
      </w:r>
    </w:p>
    <w:p w:rsidR="00D82E2A" w:rsidRDefault="00D82E2A" w:rsidP="00A762F3">
      <w:pPr>
        <w:jc w:val="both"/>
        <w:rPr>
          <w:lang w:val="es-CL"/>
        </w:rPr>
      </w:pPr>
      <w:r>
        <w:rPr>
          <w:lang w:val="es-CL"/>
        </w:rPr>
        <w:t>Se estiman como un monto constante, a partir del año siguiente a la inversión, correspondiendo a un porcentaje de la inversión.</w:t>
      </w:r>
    </w:p>
    <w:p w:rsidR="00D82E2A" w:rsidRDefault="00D82E2A" w:rsidP="00A762F3">
      <w:pPr>
        <w:jc w:val="both"/>
        <w:rPr>
          <w:lang w:val="es-CL"/>
        </w:rPr>
      </w:pPr>
      <w:r>
        <w:rPr>
          <w:lang w:val="es-CL"/>
        </w:rPr>
        <w:t xml:space="preserve">Este porcentaje es derivado </w:t>
      </w:r>
      <w:r w:rsidR="0021708E">
        <w:rPr>
          <w:lang w:val="es-CL"/>
        </w:rPr>
        <w:t>como un promedio de la razón entre</w:t>
      </w:r>
      <w:r>
        <w:rPr>
          <w:lang w:val="es-CL"/>
        </w:rPr>
        <w:t xml:space="preserve"> 2 antecedentes del Plan Maestro de Electricidad 2016-2025</w:t>
      </w:r>
      <w:r w:rsidR="0021708E">
        <w:rPr>
          <w:lang w:val="es-CL"/>
        </w:rPr>
        <w:t>:</w:t>
      </w:r>
    </w:p>
    <w:p w:rsidR="0021708E" w:rsidRDefault="0021708E" w:rsidP="0021708E">
      <w:pPr>
        <w:pStyle w:val="ListParagraph"/>
        <w:numPr>
          <w:ilvl w:val="0"/>
          <w:numId w:val="7"/>
        </w:numPr>
        <w:jc w:val="both"/>
        <w:rPr>
          <w:lang w:val="es-CL"/>
        </w:rPr>
      </w:pPr>
      <w:r>
        <w:rPr>
          <w:lang w:val="es-CL"/>
        </w:rPr>
        <w:t>Proyección de los Activos del Sistema Nacional de Transmisión</w:t>
      </w:r>
    </w:p>
    <w:p w:rsidR="0021708E" w:rsidRPr="0021708E" w:rsidRDefault="0021708E" w:rsidP="0021708E">
      <w:pPr>
        <w:pStyle w:val="ListParagraph"/>
        <w:numPr>
          <w:ilvl w:val="0"/>
          <w:numId w:val="7"/>
        </w:numPr>
        <w:jc w:val="both"/>
        <w:rPr>
          <w:lang w:val="es-CL"/>
        </w:rPr>
      </w:pPr>
      <w:r>
        <w:rPr>
          <w:lang w:val="es-CL"/>
        </w:rPr>
        <w:t>Proyección de los Costos de Administración, Operación y Mantenimiento</w:t>
      </w:r>
    </w:p>
    <w:p w:rsidR="00D82E2A" w:rsidRDefault="00D82E2A" w:rsidP="00A762F3">
      <w:pPr>
        <w:jc w:val="both"/>
        <w:rPr>
          <w:lang w:val="es-CL"/>
        </w:rPr>
      </w:pPr>
    </w:p>
    <w:p w:rsidR="0021708E" w:rsidRPr="0021708E" w:rsidRDefault="0021708E" w:rsidP="0021708E">
      <w:pPr>
        <w:spacing w:after="0"/>
        <w:jc w:val="center"/>
        <w:rPr>
          <w:b/>
          <w:lang w:val="es-CL"/>
        </w:rPr>
      </w:pPr>
      <w:r w:rsidRPr="0021708E">
        <w:rPr>
          <w:b/>
          <w:lang w:val="es-CL"/>
        </w:rPr>
        <w:t>Tabla N°5 Relación entre COA&amp;M y Activos del Sistema de Transmisión.</w:t>
      </w:r>
    </w:p>
    <w:p w:rsidR="0021708E" w:rsidRPr="0021708E" w:rsidRDefault="0021708E" w:rsidP="0021708E">
      <w:pPr>
        <w:spacing w:after="0"/>
        <w:jc w:val="center"/>
        <w:rPr>
          <w:b/>
          <w:lang w:val="es-CL"/>
        </w:rPr>
      </w:pPr>
      <w:r w:rsidRPr="0021708E">
        <w:rPr>
          <w:b/>
          <w:lang w:val="es-CL"/>
        </w:rPr>
        <w:t>Según proyecciones del PME 2016-2025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8"/>
        <w:gridCol w:w="789"/>
        <w:gridCol w:w="790"/>
        <w:gridCol w:w="790"/>
        <w:gridCol w:w="790"/>
        <w:gridCol w:w="790"/>
        <w:gridCol w:w="790"/>
        <w:gridCol w:w="790"/>
        <w:gridCol w:w="790"/>
        <w:gridCol w:w="790"/>
      </w:tblGrid>
      <w:tr w:rsidR="0021708E" w:rsidTr="008F6340">
        <w:tc>
          <w:tcPr>
            <w:tcW w:w="801" w:type="dxa"/>
            <w:shd w:val="clear" w:color="auto" w:fill="D9E2F3" w:themeFill="accent1" w:themeFillTint="33"/>
          </w:tcPr>
          <w:p w:rsidR="0021708E" w:rsidRPr="0021708E" w:rsidRDefault="0021708E" w:rsidP="0021708E">
            <w:pPr>
              <w:jc w:val="center"/>
              <w:rPr>
                <w:sz w:val="18"/>
              </w:rPr>
            </w:pPr>
            <w:r w:rsidRPr="0021708E">
              <w:rPr>
                <w:sz w:val="18"/>
              </w:rPr>
              <w:t>US$</w:t>
            </w:r>
            <w:r>
              <w:rPr>
                <w:sz w:val="18"/>
              </w:rPr>
              <w:t xml:space="preserve"> x10</w:t>
            </w:r>
            <w:r w:rsidRPr="0021708E">
              <w:rPr>
                <w:sz w:val="18"/>
                <w:vertAlign w:val="superscript"/>
              </w:rPr>
              <w:t>6</w:t>
            </w:r>
          </w:p>
        </w:tc>
        <w:tc>
          <w:tcPr>
            <w:tcW w:w="801" w:type="dxa"/>
            <w:shd w:val="clear" w:color="auto" w:fill="E7E6E6" w:themeFill="background2"/>
          </w:tcPr>
          <w:p w:rsidR="0021708E" w:rsidRPr="0021708E" w:rsidRDefault="0021708E" w:rsidP="0021708E">
            <w:pPr>
              <w:jc w:val="center"/>
              <w:rPr>
                <w:b/>
                <w:sz w:val="18"/>
              </w:rPr>
            </w:pPr>
            <w:r w:rsidRPr="0021708E">
              <w:rPr>
                <w:b/>
                <w:sz w:val="18"/>
              </w:rPr>
              <w:t>2016</w:t>
            </w:r>
          </w:p>
        </w:tc>
        <w:tc>
          <w:tcPr>
            <w:tcW w:w="802" w:type="dxa"/>
            <w:shd w:val="clear" w:color="auto" w:fill="E7E6E6" w:themeFill="background2"/>
          </w:tcPr>
          <w:p w:rsidR="0021708E" w:rsidRPr="0021708E" w:rsidRDefault="0021708E" w:rsidP="0021708E">
            <w:pPr>
              <w:jc w:val="center"/>
              <w:rPr>
                <w:b/>
                <w:sz w:val="18"/>
              </w:rPr>
            </w:pPr>
            <w:r w:rsidRPr="0021708E">
              <w:rPr>
                <w:b/>
                <w:sz w:val="18"/>
              </w:rPr>
              <w:t>2017</w:t>
            </w:r>
          </w:p>
        </w:tc>
        <w:tc>
          <w:tcPr>
            <w:tcW w:w="803" w:type="dxa"/>
            <w:shd w:val="clear" w:color="auto" w:fill="E7E6E6" w:themeFill="background2"/>
          </w:tcPr>
          <w:p w:rsidR="0021708E" w:rsidRPr="0021708E" w:rsidRDefault="0021708E" w:rsidP="0021708E">
            <w:pPr>
              <w:jc w:val="center"/>
              <w:rPr>
                <w:b/>
                <w:sz w:val="18"/>
              </w:rPr>
            </w:pPr>
            <w:r w:rsidRPr="0021708E">
              <w:rPr>
                <w:b/>
                <w:sz w:val="18"/>
              </w:rPr>
              <w:t>2018</w:t>
            </w:r>
          </w:p>
        </w:tc>
        <w:tc>
          <w:tcPr>
            <w:tcW w:w="803" w:type="dxa"/>
            <w:shd w:val="clear" w:color="auto" w:fill="E7E6E6" w:themeFill="background2"/>
          </w:tcPr>
          <w:p w:rsidR="0021708E" w:rsidRPr="0021708E" w:rsidRDefault="0021708E" w:rsidP="0021708E">
            <w:pPr>
              <w:jc w:val="center"/>
              <w:rPr>
                <w:b/>
                <w:sz w:val="18"/>
              </w:rPr>
            </w:pPr>
            <w:r w:rsidRPr="0021708E">
              <w:rPr>
                <w:b/>
                <w:sz w:val="18"/>
              </w:rPr>
              <w:t>2019</w:t>
            </w:r>
          </w:p>
        </w:tc>
        <w:tc>
          <w:tcPr>
            <w:tcW w:w="803" w:type="dxa"/>
            <w:shd w:val="clear" w:color="auto" w:fill="E7E6E6" w:themeFill="background2"/>
          </w:tcPr>
          <w:p w:rsidR="0021708E" w:rsidRPr="0021708E" w:rsidRDefault="0021708E" w:rsidP="0021708E">
            <w:pPr>
              <w:jc w:val="center"/>
              <w:rPr>
                <w:b/>
                <w:sz w:val="18"/>
              </w:rPr>
            </w:pPr>
            <w:r w:rsidRPr="0021708E">
              <w:rPr>
                <w:b/>
                <w:sz w:val="18"/>
              </w:rPr>
              <w:t>2020</w:t>
            </w:r>
          </w:p>
        </w:tc>
        <w:tc>
          <w:tcPr>
            <w:tcW w:w="803" w:type="dxa"/>
            <w:shd w:val="clear" w:color="auto" w:fill="E7E6E6" w:themeFill="background2"/>
          </w:tcPr>
          <w:p w:rsidR="0021708E" w:rsidRPr="0021708E" w:rsidRDefault="0021708E" w:rsidP="0021708E">
            <w:pPr>
              <w:jc w:val="center"/>
              <w:rPr>
                <w:b/>
                <w:sz w:val="18"/>
              </w:rPr>
            </w:pPr>
            <w:r w:rsidRPr="0021708E">
              <w:rPr>
                <w:b/>
                <w:sz w:val="18"/>
              </w:rPr>
              <w:t>2021</w:t>
            </w:r>
          </w:p>
        </w:tc>
        <w:tc>
          <w:tcPr>
            <w:tcW w:w="803" w:type="dxa"/>
            <w:shd w:val="clear" w:color="auto" w:fill="E7E6E6" w:themeFill="background2"/>
          </w:tcPr>
          <w:p w:rsidR="0021708E" w:rsidRPr="0021708E" w:rsidRDefault="0021708E" w:rsidP="0021708E">
            <w:pPr>
              <w:jc w:val="center"/>
              <w:rPr>
                <w:b/>
                <w:sz w:val="18"/>
              </w:rPr>
            </w:pPr>
            <w:r w:rsidRPr="0021708E">
              <w:rPr>
                <w:b/>
                <w:sz w:val="18"/>
              </w:rPr>
              <w:t>2022</w:t>
            </w:r>
          </w:p>
        </w:tc>
        <w:tc>
          <w:tcPr>
            <w:tcW w:w="803" w:type="dxa"/>
            <w:shd w:val="clear" w:color="auto" w:fill="E7E6E6" w:themeFill="background2"/>
          </w:tcPr>
          <w:p w:rsidR="0021708E" w:rsidRPr="0021708E" w:rsidRDefault="0021708E" w:rsidP="0021708E">
            <w:pPr>
              <w:jc w:val="center"/>
              <w:rPr>
                <w:b/>
                <w:sz w:val="18"/>
              </w:rPr>
            </w:pPr>
            <w:r w:rsidRPr="0021708E">
              <w:rPr>
                <w:b/>
                <w:sz w:val="18"/>
              </w:rPr>
              <w:t>2023</w:t>
            </w:r>
          </w:p>
        </w:tc>
        <w:tc>
          <w:tcPr>
            <w:tcW w:w="803" w:type="dxa"/>
            <w:shd w:val="clear" w:color="auto" w:fill="E7E6E6" w:themeFill="background2"/>
          </w:tcPr>
          <w:p w:rsidR="0021708E" w:rsidRPr="0021708E" w:rsidRDefault="0021708E" w:rsidP="0021708E">
            <w:pPr>
              <w:jc w:val="center"/>
              <w:rPr>
                <w:b/>
                <w:sz w:val="18"/>
              </w:rPr>
            </w:pPr>
            <w:r w:rsidRPr="0021708E">
              <w:rPr>
                <w:b/>
                <w:sz w:val="18"/>
              </w:rPr>
              <w:t>2024</w:t>
            </w:r>
          </w:p>
        </w:tc>
        <w:tc>
          <w:tcPr>
            <w:tcW w:w="803" w:type="dxa"/>
            <w:shd w:val="clear" w:color="auto" w:fill="E7E6E6" w:themeFill="background2"/>
          </w:tcPr>
          <w:p w:rsidR="0021708E" w:rsidRPr="0021708E" w:rsidRDefault="0021708E" w:rsidP="0021708E">
            <w:pPr>
              <w:jc w:val="center"/>
              <w:rPr>
                <w:b/>
                <w:sz w:val="18"/>
              </w:rPr>
            </w:pPr>
            <w:r w:rsidRPr="0021708E">
              <w:rPr>
                <w:b/>
                <w:sz w:val="18"/>
              </w:rPr>
              <w:t>2025</w:t>
            </w:r>
          </w:p>
        </w:tc>
      </w:tr>
      <w:tr w:rsidR="0021708E" w:rsidTr="008F6340">
        <w:tc>
          <w:tcPr>
            <w:tcW w:w="801" w:type="dxa"/>
            <w:shd w:val="clear" w:color="auto" w:fill="E7E6E6" w:themeFill="background2"/>
          </w:tcPr>
          <w:p w:rsidR="0021708E" w:rsidRPr="0021708E" w:rsidRDefault="0021708E" w:rsidP="0021708E">
            <w:pPr>
              <w:jc w:val="center"/>
              <w:rPr>
                <w:b/>
                <w:sz w:val="18"/>
              </w:rPr>
            </w:pPr>
            <w:r w:rsidRPr="0021708E">
              <w:rPr>
                <w:b/>
                <w:sz w:val="18"/>
              </w:rPr>
              <w:t>Activos</w:t>
            </w:r>
          </w:p>
        </w:tc>
        <w:tc>
          <w:tcPr>
            <w:tcW w:w="801" w:type="dxa"/>
            <w:shd w:val="clear" w:color="auto" w:fill="D9E2F3" w:themeFill="accent1" w:themeFillTint="33"/>
          </w:tcPr>
          <w:p w:rsidR="0021708E" w:rsidRPr="0021708E" w:rsidRDefault="0021708E" w:rsidP="0021708E">
            <w:pPr>
              <w:jc w:val="center"/>
              <w:rPr>
                <w:sz w:val="18"/>
              </w:rPr>
            </w:pPr>
            <w:r w:rsidRPr="0021708E">
              <w:rPr>
                <w:sz w:val="18"/>
              </w:rPr>
              <w:t>1894</w:t>
            </w:r>
          </w:p>
        </w:tc>
        <w:tc>
          <w:tcPr>
            <w:tcW w:w="802" w:type="dxa"/>
            <w:shd w:val="clear" w:color="auto" w:fill="D9E2F3" w:themeFill="accent1" w:themeFillTint="33"/>
          </w:tcPr>
          <w:p w:rsidR="0021708E" w:rsidRPr="0021708E" w:rsidRDefault="0021708E" w:rsidP="0021708E">
            <w:pPr>
              <w:jc w:val="center"/>
              <w:rPr>
                <w:sz w:val="18"/>
              </w:rPr>
            </w:pPr>
            <w:r w:rsidRPr="0021708E">
              <w:rPr>
                <w:sz w:val="18"/>
              </w:rPr>
              <w:t>1991</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2393</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2709</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2808</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2963</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3078</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3190</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3286</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3398</w:t>
            </w:r>
          </w:p>
        </w:tc>
      </w:tr>
      <w:tr w:rsidR="0021708E" w:rsidTr="008F6340">
        <w:tc>
          <w:tcPr>
            <w:tcW w:w="801" w:type="dxa"/>
            <w:shd w:val="clear" w:color="auto" w:fill="E7E6E6" w:themeFill="background2"/>
          </w:tcPr>
          <w:p w:rsidR="0021708E" w:rsidRPr="0021708E" w:rsidRDefault="0021708E" w:rsidP="0021708E">
            <w:pPr>
              <w:jc w:val="center"/>
              <w:rPr>
                <w:b/>
                <w:sz w:val="18"/>
              </w:rPr>
            </w:pPr>
            <w:r w:rsidRPr="0021708E">
              <w:rPr>
                <w:b/>
                <w:sz w:val="18"/>
              </w:rPr>
              <w:t>CAO&amp;M</w:t>
            </w:r>
          </w:p>
        </w:tc>
        <w:tc>
          <w:tcPr>
            <w:tcW w:w="801" w:type="dxa"/>
            <w:shd w:val="clear" w:color="auto" w:fill="D9E2F3" w:themeFill="accent1" w:themeFillTint="33"/>
          </w:tcPr>
          <w:p w:rsidR="0021708E" w:rsidRPr="0021708E" w:rsidRDefault="0021708E" w:rsidP="0021708E">
            <w:pPr>
              <w:jc w:val="center"/>
              <w:rPr>
                <w:sz w:val="18"/>
              </w:rPr>
            </w:pPr>
            <w:r w:rsidRPr="0021708E">
              <w:rPr>
                <w:sz w:val="18"/>
              </w:rPr>
              <w:t>65</w:t>
            </w:r>
          </w:p>
        </w:tc>
        <w:tc>
          <w:tcPr>
            <w:tcW w:w="802" w:type="dxa"/>
            <w:shd w:val="clear" w:color="auto" w:fill="D9E2F3" w:themeFill="accent1" w:themeFillTint="33"/>
          </w:tcPr>
          <w:p w:rsidR="0021708E" w:rsidRPr="0021708E" w:rsidRDefault="0021708E" w:rsidP="0021708E">
            <w:pPr>
              <w:jc w:val="center"/>
              <w:rPr>
                <w:sz w:val="18"/>
              </w:rPr>
            </w:pPr>
            <w:r w:rsidRPr="0021708E">
              <w:rPr>
                <w:sz w:val="18"/>
              </w:rPr>
              <w:t>80</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90</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100</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103</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108</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113</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116</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120</w:t>
            </w:r>
          </w:p>
        </w:tc>
        <w:tc>
          <w:tcPr>
            <w:tcW w:w="803" w:type="dxa"/>
            <w:shd w:val="clear" w:color="auto" w:fill="D9E2F3" w:themeFill="accent1" w:themeFillTint="33"/>
          </w:tcPr>
          <w:p w:rsidR="0021708E" w:rsidRPr="0021708E" w:rsidRDefault="0021708E" w:rsidP="0021708E">
            <w:pPr>
              <w:jc w:val="center"/>
              <w:rPr>
                <w:sz w:val="18"/>
              </w:rPr>
            </w:pPr>
            <w:r w:rsidRPr="0021708E">
              <w:rPr>
                <w:sz w:val="18"/>
              </w:rPr>
              <w:t>124</w:t>
            </w:r>
          </w:p>
        </w:tc>
      </w:tr>
      <w:tr w:rsidR="0021708E" w:rsidTr="008F6340">
        <w:tc>
          <w:tcPr>
            <w:tcW w:w="801" w:type="dxa"/>
            <w:shd w:val="clear" w:color="auto" w:fill="FFF2CC" w:themeFill="accent4" w:themeFillTint="33"/>
          </w:tcPr>
          <w:p w:rsidR="0021708E" w:rsidRPr="0021708E" w:rsidRDefault="0021708E" w:rsidP="0021708E">
            <w:pPr>
              <w:jc w:val="center"/>
              <w:rPr>
                <w:b/>
                <w:i/>
                <w:sz w:val="16"/>
              </w:rPr>
            </w:pPr>
            <w:r w:rsidRPr="0021708E">
              <w:rPr>
                <w:b/>
                <w:i/>
                <w:sz w:val="16"/>
              </w:rPr>
              <w:t>Porcentaje</w:t>
            </w:r>
          </w:p>
        </w:tc>
        <w:tc>
          <w:tcPr>
            <w:tcW w:w="801" w:type="dxa"/>
            <w:shd w:val="clear" w:color="auto" w:fill="FFF2CC" w:themeFill="accent4" w:themeFillTint="33"/>
          </w:tcPr>
          <w:p w:rsidR="0021708E" w:rsidRPr="0021708E" w:rsidRDefault="0021708E" w:rsidP="0021708E">
            <w:pPr>
              <w:jc w:val="center"/>
              <w:rPr>
                <w:i/>
                <w:sz w:val="16"/>
              </w:rPr>
            </w:pPr>
            <w:r w:rsidRPr="0021708E">
              <w:rPr>
                <w:i/>
                <w:sz w:val="16"/>
              </w:rPr>
              <w:t>3,43%</w:t>
            </w:r>
          </w:p>
        </w:tc>
        <w:tc>
          <w:tcPr>
            <w:tcW w:w="802" w:type="dxa"/>
            <w:shd w:val="clear" w:color="auto" w:fill="FFF2CC" w:themeFill="accent4" w:themeFillTint="33"/>
          </w:tcPr>
          <w:p w:rsidR="0021708E" w:rsidRPr="0021708E" w:rsidRDefault="0021708E" w:rsidP="0021708E">
            <w:pPr>
              <w:jc w:val="center"/>
              <w:rPr>
                <w:i/>
                <w:sz w:val="16"/>
              </w:rPr>
            </w:pPr>
            <w:r w:rsidRPr="0021708E">
              <w:rPr>
                <w:i/>
                <w:sz w:val="16"/>
              </w:rPr>
              <w:t>4,02%</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3,76%</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3,69%</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3,67%</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3,64%</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3,67%</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3,64%</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3,65%</w:t>
            </w:r>
          </w:p>
        </w:tc>
        <w:tc>
          <w:tcPr>
            <w:tcW w:w="803" w:type="dxa"/>
            <w:shd w:val="clear" w:color="auto" w:fill="FFF2CC" w:themeFill="accent4" w:themeFillTint="33"/>
          </w:tcPr>
          <w:p w:rsidR="0021708E" w:rsidRPr="0021708E" w:rsidRDefault="0021708E" w:rsidP="0021708E">
            <w:pPr>
              <w:jc w:val="center"/>
              <w:rPr>
                <w:i/>
                <w:sz w:val="16"/>
              </w:rPr>
            </w:pPr>
            <w:r w:rsidRPr="0021708E">
              <w:rPr>
                <w:i/>
                <w:sz w:val="16"/>
              </w:rPr>
              <w:t>3,65%</w:t>
            </w:r>
          </w:p>
        </w:tc>
      </w:tr>
    </w:tbl>
    <w:p w:rsidR="00A762F3" w:rsidRDefault="00A762F3" w:rsidP="00A762F3">
      <w:pPr>
        <w:jc w:val="both"/>
        <w:rPr>
          <w:lang w:val="es-CL"/>
        </w:rPr>
      </w:pPr>
    </w:p>
    <w:p w:rsidR="0021708E" w:rsidRPr="00A762F3" w:rsidRDefault="0021708E" w:rsidP="00A762F3">
      <w:pPr>
        <w:jc w:val="both"/>
        <w:rPr>
          <w:lang w:val="es-CL"/>
        </w:rPr>
      </w:pPr>
      <w:r>
        <w:rPr>
          <w:lang w:val="es-CL"/>
        </w:rPr>
        <w:t xml:space="preserve">El valor promedio utilizado es: </w:t>
      </w:r>
      <w:r w:rsidRPr="006E20DC">
        <w:rPr>
          <w:b/>
          <w:lang w:val="es-CL"/>
        </w:rPr>
        <w:t>3.68%</w:t>
      </w:r>
    </w:p>
    <w:p w:rsidR="00680F6F" w:rsidRDefault="00680F6F" w:rsidP="00F56913">
      <w:pPr>
        <w:jc w:val="both"/>
        <w:rPr>
          <w:lang w:val="es-CL"/>
        </w:rPr>
      </w:pPr>
    </w:p>
    <w:p w:rsidR="0021708E" w:rsidRDefault="0021708E" w:rsidP="00F56913">
      <w:pPr>
        <w:jc w:val="both"/>
        <w:rPr>
          <w:lang w:val="es-CL"/>
        </w:rPr>
      </w:pPr>
      <w:r>
        <w:rPr>
          <w:lang w:val="es-CL"/>
        </w:rPr>
        <w:t>Con estos antecedentes, se obtienen los resultados que muestra la tabla siguiente:</w:t>
      </w:r>
    </w:p>
    <w:p w:rsidR="0019435C" w:rsidRDefault="0019435C" w:rsidP="00F56913">
      <w:pPr>
        <w:jc w:val="both"/>
        <w:rPr>
          <w:lang w:val="es-CL"/>
        </w:rPr>
      </w:pPr>
    </w:p>
    <w:p w:rsidR="0019435C" w:rsidRPr="0049138F" w:rsidRDefault="0019435C" w:rsidP="0019435C">
      <w:pPr>
        <w:spacing w:after="0"/>
        <w:jc w:val="center"/>
        <w:rPr>
          <w:b/>
          <w:lang w:val="es-CL"/>
        </w:rPr>
      </w:pPr>
      <w:r w:rsidRPr="0049138F">
        <w:rPr>
          <w:b/>
          <w:lang w:val="es-CL"/>
        </w:rPr>
        <w:t>Tabla N°6. Resultados Evaluación Financiera</w:t>
      </w:r>
    </w:p>
    <w:p w:rsidR="0019435C" w:rsidRPr="0019435C" w:rsidRDefault="0019435C" w:rsidP="0019435C">
      <w:pPr>
        <w:spacing w:after="0"/>
        <w:jc w:val="center"/>
        <w:rPr>
          <w:b/>
          <w:lang w:val="es-CL"/>
        </w:rPr>
      </w:pPr>
      <w:r w:rsidRPr="0049138F">
        <w:rPr>
          <w:b/>
          <w:lang w:val="es-CL"/>
        </w:rPr>
        <w:t>Proyectos del Componente I: Expansión y Reforzamiento del SNT</w:t>
      </w:r>
    </w:p>
    <w:tbl>
      <w:tblPr>
        <w:tblW w:w="0" w:type="auto"/>
        <w:jc w:val="center"/>
        <w:tblLayout w:type="fixed"/>
        <w:tblLook w:val="04A0" w:firstRow="1" w:lastRow="0" w:firstColumn="1" w:lastColumn="0" w:noHBand="0" w:noVBand="1"/>
      </w:tblPr>
      <w:tblGrid>
        <w:gridCol w:w="4121"/>
        <w:gridCol w:w="1276"/>
        <w:gridCol w:w="1418"/>
        <w:gridCol w:w="708"/>
      </w:tblGrid>
      <w:tr w:rsidR="0019435C" w:rsidRPr="00544D52" w:rsidTr="008F6340">
        <w:trPr>
          <w:jc w:val="center"/>
        </w:trPr>
        <w:tc>
          <w:tcPr>
            <w:tcW w:w="412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19435C" w:rsidRPr="00544D52" w:rsidRDefault="0019435C" w:rsidP="0019435C">
            <w:pPr>
              <w:jc w:val="center"/>
              <w:rPr>
                <w:b/>
                <w:sz w:val="16"/>
                <w:lang w:val="es-CL"/>
              </w:rPr>
            </w:pPr>
            <w:r w:rsidRPr="00544D52">
              <w:rPr>
                <w:b/>
                <w:sz w:val="16"/>
                <w:lang w:val="es-CL"/>
              </w:rPr>
              <w:t>Proyectos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19435C" w:rsidRPr="00544D52" w:rsidRDefault="0019435C" w:rsidP="0019435C">
            <w:pPr>
              <w:jc w:val="center"/>
              <w:rPr>
                <w:b/>
                <w:sz w:val="16"/>
                <w:lang w:val="es-CL"/>
              </w:rPr>
            </w:pPr>
            <w:r w:rsidRPr="00544D52">
              <w:rPr>
                <w:b/>
                <w:sz w:val="16"/>
                <w:lang w:val="es-CL"/>
              </w:rPr>
              <w:t xml:space="preserve">Inversión </w:t>
            </w:r>
            <w:r>
              <w:rPr>
                <w:b/>
                <w:sz w:val="16"/>
                <w:lang w:val="es-CL"/>
              </w:rPr>
              <w:t xml:space="preserve">US$ </w:t>
            </w:r>
            <w:r w:rsidRPr="00544D52">
              <w:rPr>
                <w:b/>
                <w:sz w:val="16"/>
                <w:lang w:val="es-CL"/>
              </w:rPr>
              <w:t>(sin IVA)</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19435C" w:rsidRPr="00544D52" w:rsidRDefault="0019435C" w:rsidP="0019435C">
            <w:pPr>
              <w:jc w:val="center"/>
              <w:rPr>
                <w:b/>
                <w:sz w:val="16"/>
                <w:lang w:val="es-CL"/>
              </w:rPr>
            </w:pPr>
            <w:r>
              <w:rPr>
                <w:b/>
                <w:sz w:val="16"/>
                <w:lang w:val="es-CL"/>
              </w:rPr>
              <w:t>Indicadores Financieros</w:t>
            </w:r>
          </w:p>
        </w:tc>
      </w:tr>
      <w:tr w:rsidR="0019435C" w:rsidRPr="00544D52" w:rsidTr="008F6340">
        <w:trPr>
          <w:jc w:val="center"/>
        </w:trPr>
        <w:tc>
          <w:tcPr>
            <w:tcW w:w="412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19435C" w:rsidRPr="00544D52" w:rsidRDefault="0019435C" w:rsidP="0019435C">
            <w:pPr>
              <w:jc w:val="center"/>
              <w:rPr>
                <w:b/>
                <w:sz w:val="16"/>
                <w:lang w:val="es-CL"/>
              </w:rPr>
            </w:pPr>
          </w:p>
        </w:tc>
        <w:tc>
          <w:tcPr>
            <w:tcW w:w="1276"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19435C" w:rsidRPr="00544D52" w:rsidRDefault="0019435C" w:rsidP="0019435C">
            <w:pPr>
              <w:jc w:val="center"/>
              <w:rPr>
                <w:b/>
                <w:sz w:val="16"/>
                <w:lang w:val="es-CL"/>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19435C" w:rsidRPr="00544D52" w:rsidRDefault="0019435C" w:rsidP="0019435C">
            <w:pPr>
              <w:jc w:val="center"/>
              <w:rPr>
                <w:b/>
                <w:sz w:val="16"/>
                <w:lang w:val="es-CL"/>
              </w:rPr>
            </w:pPr>
            <w:r w:rsidRPr="00544D52">
              <w:rPr>
                <w:b/>
                <w:sz w:val="16"/>
                <w:lang w:val="es-CL"/>
              </w:rPr>
              <w:t>VAN F</w:t>
            </w:r>
            <w:r>
              <w:rPr>
                <w:b/>
                <w:sz w:val="16"/>
                <w:lang w:val="es-CL"/>
              </w:rPr>
              <w:t xml:space="preserve"> (US$)</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19435C" w:rsidRPr="00544D52" w:rsidRDefault="0019435C" w:rsidP="0019435C">
            <w:pPr>
              <w:jc w:val="center"/>
              <w:rPr>
                <w:b/>
                <w:sz w:val="16"/>
                <w:lang w:val="es-CL"/>
              </w:rPr>
            </w:pPr>
            <w:r w:rsidRPr="00544D52">
              <w:rPr>
                <w:b/>
                <w:sz w:val="16"/>
                <w:lang w:val="es-CL"/>
              </w:rPr>
              <w:t>TIR F</w:t>
            </w:r>
          </w:p>
        </w:tc>
      </w:tr>
      <w:tr w:rsidR="0019435C" w:rsidRPr="00544D52" w:rsidTr="008F6340">
        <w:trPr>
          <w:jc w:val="center"/>
        </w:trPr>
        <w:tc>
          <w:tcPr>
            <w:tcW w:w="4121"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sidRPr="00544D52">
              <w:rPr>
                <w:sz w:val="16"/>
                <w:lang w:val="es-CL"/>
              </w:rPr>
              <w:t>Ampliación de la Subestación Posorja 138/69 kV</w:t>
            </w:r>
          </w:p>
        </w:tc>
        <w:tc>
          <w:tcPr>
            <w:tcW w:w="1276" w:type="dxa"/>
            <w:tcBorders>
              <w:top w:val="single" w:sz="4" w:space="0" w:color="auto"/>
              <w:left w:val="single" w:sz="4" w:space="0" w:color="auto"/>
              <w:bottom w:val="single" w:sz="4" w:space="0" w:color="auto"/>
              <w:right w:val="single" w:sz="4" w:space="0" w:color="auto"/>
            </w:tcBorders>
            <w:vAlign w:val="center"/>
          </w:tcPr>
          <w:p w:rsidR="0019435C" w:rsidRPr="0049138F" w:rsidRDefault="005622BB" w:rsidP="0019435C">
            <w:pPr>
              <w:jc w:val="center"/>
              <w:rPr>
                <w:sz w:val="16"/>
                <w:lang w:val="es-CL"/>
              </w:rPr>
            </w:pPr>
            <w:r w:rsidRPr="0049138F">
              <w:rPr>
                <w:sz w:val="16"/>
                <w:lang w:val="es-CL"/>
              </w:rPr>
              <w:t>9.944.502,7</w:t>
            </w:r>
          </w:p>
        </w:tc>
        <w:tc>
          <w:tcPr>
            <w:tcW w:w="1418" w:type="dxa"/>
            <w:tcBorders>
              <w:top w:val="single" w:sz="4" w:space="0" w:color="auto"/>
              <w:left w:val="single" w:sz="4" w:space="0" w:color="auto"/>
              <w:bottom w:val="single" w:sz="4" w:space="0" w:color="auto"/>
              <w:right w:val="single" w:sz="4" w:space="0" w:color="auto"/>
            </w:tcBorders>
            <w:vAlign w:val="center"/>
          </w:tcPr>
          <w:p w:rsidR="0019435C" w:rsidRPr="0049138F" w:rsidRDefault="005622BB" w:rsidP="0019435C">
            <w:pPr>
              <w:jc w:val="center"/>
              <w:rPr>
                <w:sz w:val="16"/>
                <w:lang w:val="es-CL"/>
              </w:rPr>
            </w:pPr>
            <w:r w:rsidRPr="0049138F">
              <w:rPr>
                <w:color w:val="FF0000"/>
                <w:sz w:val="16"/>
                <w:lang w:val="es-CL"/>
              </w:rPr>
              <w:t>-5.634.951,4</w:t>
            </w:r>
          </w:p>
        </w:tc>
        <w:tc>
          <w:tcPr>
            <w:tcW w:w="708" w:type="dxa"/>
            <w:tcBorders>
              <w:top w:val="single" w:sz="4" w:space="0" w:color="auto"/>
              <w:left w:val="single" w:sz="4" w:space="0" w:color="auto"/>
              <w:bottom w:val="single" w:sz="4" w:space="0" w:color="auto"/>
              <w:right w:val="single" w:sz="4" w:space="0" w:color="auto"/>
            </w:tcBorders>
            <w:vAlign w:val="center"/>
          </w:tcPr>
          <w:p w:rsidR="0019435C" w:rsidRPr="0049138F" w:rsidRDefault="005622BB" w:rsidP="0019435C">
            <w:pPr>
              <w:jc w:val="center"/>
              <w:rPr>
                <w:sz w:val="16"/>
                <w:lang w:val="es-CL"/>
              </w:rPr>
            </w:pPr>
            <w:r w:rsidRPr="0049138F">
              <w:rPr>
                <w:sz w:val="16"/>
                <w:lang w:val="es-CL"/>
              </w:rPr>
              <w:t>5,2</w:t>
            </w:r>
            <w:r w:rsidR="0019435C" w:rsidRPr="0049138F">
              <w:rPr>
                <w:sz w:val="16"/>
                <w:lang w:val="es-CL"/>
              </w:rPr>
              <w:t>%</w:t>
            </w:r>
          </w:p>
        </w:tc>
      </w:tr>
      <w:tr w:rsidR="0019435C" w:rsidRPr="00544D52" w:rsidTr="008F6340">
        <w:trPr>
          <w:jc w:val="center"/>
        </w:trPr>
        <w:tc>
          <w:tcPr>
            <w:tcW w:w="4121"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sidRPr="00AC6630">
              <w:rPr>
                <w:sz w:val="16"/>
                <w:lang w:val="es-CL"/>
              </w:rPr>
              <w:t>Sistema de Transmisión Las Orquídeas 230 kV, 225 MVA</w:t>
            </w:r>
          </w:p>
        </w:tc>
        <w:tc>
          <w:tcPr>
            <w:tcW w:w="1276" w:type="dxa"/>
            <w:tcBorders>
              <w:top w:val="single" w:sz="4" w:space="0" w:color="auto"/>
              <w:left w:val="single" w:sz="4" w:space="0" w:color="auto"/>
              <w:bottom w:val="single" w:sz="4" w:space="0" w:color="auto"/>
              <w:right w:val="single" w:sz="4" w:space="0" w:color="auto"/>
            </w:tcBorders>
            <w:vAlign w:val="center"/>
          </w:tcPr>
          <w:p w:rsidR="0019435C" w:rsidRPr="0049138F" w:rsidRDefault="0019435C" w:rsidP="0019435C">
            <w:pPr>
              <w:jc w:val="center"/>
              <w:rPr>
                <w:sz w:val="16"/>
                <w:lang w:val="es-CL"/>
              </w:rPr>
            </w:pPr>
            <w:r w:rsidRPr="0049138F">
              <w:rPr>
                <w:sz w:val="16"/>
                <w:lang w:val="es-CL"/>
              </w:rPr>
              <w:t>27</w:t>
            </w:r>
            <w:r w:rsidR="005622BB" w:rsidRPr="0049138F">
              <w:rPr>
                <w:sz w:val="16"/>
                <w:lang w:val="es-CL"/>
              </w:rPr>
              <w:t>.</w:t>
            </w:r>
            <w:r w:rsidRPr="0049138F">
              <w:rPr>
                <w:sz w:val="16"/>
                <w:lang w:val="es-CL"/>
              </w:rPr>
              <w:t>582</w:t>
            </w:r>
            <w:r w:rsidR="005622BB" w:rsidRPr="0049138F">
              <w:rPr>
                <w:sz w:val="16"/>
                <w:lang w:val="es-CL"/>
              </w:rPr>
              <w:t>.</w:t>
            </w:r>
            <w:r w:rsidRPr="0049138F">
              <w:rPr>
                <w:sz w:val="16"/>
                <w:lang w:val="es-CL"/>
              </w:rPr>
              <w:t>136</w:t>
            </w:r>
            <w:r w:rsidR="005622BB" w:rsidRPr="0049138F">
              <w:rPr>
                <w:sz w:val="16"/>
                <w:lang w:val="es-CL"/>
              </w:rPr>
              <w:t>,</w:t>
            </w:r>
            <w:r w:rsidRPr="0049138F">
              <w:rPr>
                <w:sz w:val="16"/>
                <w:lang w:val="es-CL"/>
              </w:rPr>
              <w:t>48</w:t>
            </w:r>
          </w:p>
        </w:tc>
        <w:tc>
          <w:tcPr>
            <w:tcW w:w="1418" w:type="dxa"/>
            <w:tcBorders>
              <w:top w:val="single" w:sz="4" w:space="0" w:color="auto"/>
              <w:left w:val="single" w:sz="4" w:space="0" w:color="auto"/>
              <w:bottom w:val="single" w:sz="4" w:space="0" w:color="auto"/>
              <w:right w:val="single" w:sz="4" w:space="0" w:color="auto"/>
            </w:tcBorders>
            <w:vAlign w:val="center"/>
          </w:tcPr>
          <w:p w:rsidR="0019435C" w:rsidRPr="0049138F" w:rsidRDefault="0019435C" w:rsidP="0019435C">
            <w:pPr>
              <w:jc w:val="center"/>
              <w:rPr>
                <w:sz w:val="16"/>
                <w:lang w:val="es-CL"/>
              </w:rPr>
            </w:pPr>
            <w:r w:rsidRPr="0049138F">
              <w:rPr>
                <w:color w:val="FF0000"/>
                <w:sz w:val="16"/>
                <w:lang w:val="es-CL"/>
              </w:rPr>
              <w:t>-16</w:t>
            </w:r>
            <w:r w:rsidR="005622BB" w:rsidRPr="0049138F">
              <w:rPr>
                <w:color w:val="FF0000"/>
                <w:sz w:val="16"/>
                <w:lang w:val="es-CL"/>
              </w:rPr>
              <w:t>.</w:t>
            </w:r>
            <w:r w:rsidRPr="0049138F">
              <w:rPr>
                <w:color w:val="FF0000"/>
                <w:sz w:val="16"/>
                <w:lang w:val="es-CL"/>
              </w:rPr>
              <w:t>723</w:t>
            </w:r>
            <w:r w:rsidR="005622BB" w:rsidRPr="0049138F">
              <w:rPr>
                <w:color w:val="FF0000"/>
                <w:sz w:val="16"/>
                <w:lang w:val="es-CL"/>
              </w:rPr>
              <w:t>.</w:t>
            </w:r>
            <w:r w:rsidRPr="0049138F">
              <w:rPr>
                <w:color w:val="FF0000"/>
                <w:sz w:val="16"/>
                <w:lang w:val="es-CL"/>
              </w:rPr>
              <w:t>509</w:t>
            </w:r>
            <w:r w:rsidR="005622BB" w:rsidRPr="0049138F">
              <w:rPr>
                <w:color w:val="FF0000"/>
                <w:sz w:val="16"/>
                <w:lang w:val="es-CL"/>
              </w:rPr>
              <w:t>,</w:t>
            </w:r>
            <w:r w:rsidRPr="0049138F">
              <w:rPr>
                <w:color w:val="FF0000"/>
                <w:sz w:val="16"/>
                <w:lang w:val="es-CL"/>
              </w:rPr>
              <w:t>5</w:t>
            </w:r>
          </w:p>
        </w:tc>
        <w:tc>
          <w:tcPr>
            <w:tcW w:w="708" w:type="dxa"/>
            <w:tcBorders>
              <w:top w:val="single" w:sz="4" w:space="0" w:color="auto"/>
              <w:left w:val="single" w:sz="4" w:space="0" w:color="auto"/>
              <w:bottom w:val="single" w:sz="4" w:space="0" w:color="auto"/>
              <w:right w:val="single" w:sz="4" w:space="0" w:color="auto"/>
            </w:tcBorders>
            <w:vAlign w:val="center"/>
          </w:tcPr>
          <w:p w:rsidR="0019435C" w:rsidRPr="0049138F" w:rsidRDefault="0019435C" w:rsidP="0019435C">
            <w:pPr>
              <w:jc w:val="center"/>
              <w:rPr>
                <w:sz w:val="16"/>
                <w:lang w:val="es-CL"/>
              </w:rPr>
            </w:pPr>
            <w:r w:rsidRPr="0049138F">
              <w:rPr>
                <w:sz w:val="16"/>
                <w:lang w:val="es-CL"/>
              </w:rPr>
              <w:t>5</w:t>
            </w:r>
            <w:r w:rsidR="005622BB" w:rsidRPr="0049138F">
              <w:rPr>
                <w:sz w:val="16"/>
                <w:lang w:val="es-CL"/>
              </w:rPr>
              <w:t>,</w:t>
            </w:r>
            <w:r w:rsidRPr="0049138F">
              <w:rPr>
                <w:sz w:val="16"/>
                <w:lang w:val="es-CL"/>
              </w:rPr>
              <w:t>4%</w:t>
            </w:r>
          </w:p>
        </w:tc>
      </w:tr>
      <w:tr w:rsidR="0019435C" w:rsidRPr="00544D52" w:rsidTr="008F6340">
        <w:trPr>
          <w:jc w:val="center"/>
        </w:trPr>
        <w:tc>
          <w:tcPr>
            <w:tcW w:w="4121"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sidRPr="00AC6630">
              <w:rPr>
                <w:sz w:val="16"/>
                <w:lang w:val="es-CL"/>
              </w:rPr>
              <w:t>Sistema de Transmisión Tanicuchí 230/138 kV</w:t>
            </w:r>
          </w:p>
        </w:tc>
        <w:tc>
          <w:tcPr>
            <w:tcW w:w="1276" w:type="dxa"/>
            <w:tcBorders>
              <w:top w:val="single" w:sz="4" w:space="0" w:color="auto"/>
              <w:left w:val="single" w:sz="4" w:space="0" w:color="auto"/>
              <w:bottom w:val="single" w:sz="4" w:space="0" w:color="auto"/>
              <w:right w:val="single" w:sz="4" w:space="0" w:color="auto"/>
            </w:tcBorders>
            <w:vAlign w:val="center"/>
          </w:tcPr>
          <w:p w:rsidR="0019435C" w:rsidRPr="0049138F" w:rsidRDefault="0019435C" w:rsidP="0019435C">
            <w:pPr>
              <w:jc w:val="center"/>
              <w:rPr>
                <w:sz w:val="16"/>
                <w:lang w:val="es-CL"/>
              </w:rPr>
            </w:pPr>
            <w:r w:rsidRPr="0049138F">
              <w:rPr>
                <w:sz w:val="16"/>
                <w:lang w:val="es-CL"/>
              </w:rPr>
              <w:t>23</w:t>
            </w:r>
            <w:r w:rsidR="005622BB" w:rsidRPr="0049138F">
              <w:rPr>
                <w:sz w:val="16"/>
                <w:lang w:val="es-CL"/>
              </w:rPr>
              <w:t>.</w:t>
            </w:r>
            <w:r w:rsidRPr="0049138F">
              <w:rPr>
                <w:sz w:val="16"/>
                <w:lang w:val="es-CL"/>
              </w:rPr>
              <w:t>293</w:t>
            </w:r>
            <w:r w:rsidR="005622BB" w:rsidRPr="0049138F">
              <w:rPr>
                <w:sz w:val="16"/>
                <w:lang w:val="es-CL"/>
              </w:rPr>
              <w:t>.</w:t>
            </w:r>
            <w:r w:rsidRPr="0049138F">
              <w:rPr>
                <w:sz w:val="16"/>
                <w:lang w:val="es-CL"/>
              </w:rPr>
              <w:t>288</w:t>
            </w:r>
            <w:r w:rsidR="005622BB" w:rsidRPr="0049138F">
              <w:rPr>
                <w:sz w:val="16"/>
                <w:lang w:val="es-CL"/>
              </w:rPr>
              <w:t>,</w:t>
            </w:r>
            <w:r w:rsidRPr="0049138F">
              <w:rPr>
                <w:sz w:val="16"/>
                <w:lang w:val="es-CL"/>
              </w:rPr>
              <w:t>26</w:t>
            </w:r>
          </w:p>
        </w:tc>
        <w:tc>
          <w:tcPr>
            <w:tcW w:w="1418" w:type="dxa"/>
            <w:tcBorders>
              <w:top w:val="single" w:sz="4" w:space="0" w:color="auto"/>
              <w:left w:val="single" w:sz="4" w:space="0" w:color="auto"/>
              <w:bottom w:val="single" w:sz="4" w:space="0" w:color="auto"/>
              <w:right w:val="single" w:sz="4" w:space="0" w:color="auto"/>
            </w:tcBorders>
            <w:vAlign w:val="center"/>
          </w:tcPr>
          <w:p w:rsidR="0019435C" w:rsidRPr="0049138F" w:rsidRDefault="0019435C" w:rsidP="0019435C">
            <w:pPr>
              <w:jc w:val="center"/>
              <w:rPr>
                <w:sz w:val="16"/>
                <w:lang w:val="es-CL"/>
              </w:rPr>
            </w:pPr>
            <w:r w:rsidRPr="0049138F">
              <w:rPr>
                <w:color w:val="FF0000"/>
                <w:sz w:val="16"/>
                <w:lang w:val="es-CL"/>
              </w:rPr>
              <w:t>-26</w:t>
            </w:r>
            <w:r w:rsidR="005622BB" w:rsidRPr="0049138F">
              <w:rPr>
                <w:color w:val="FF0000"/>
                <w:sz w:val="16"/>
                <w:lang w:val="es-CL"/>
              </w:rPr>
              <w:t>.</w:t>
            </w:r>
            <w:r w:rsidRPr="0049138F">
              <w:rPr>
                <w:color w:val="FF0000"/>
                <w:sz w:val="16"/>
                <w:lang w:val="es-CL"/>
              </w:rPr>
              <w:t>733</w:t>
            </w:r>
            <w:r w:rsidR="005622BB" w:rsidRPr="0049138F">
              <w:rPr>
                <w:color w:val="FF0000"/>
                <w:sz w:val="16"/>
                <w:lang w:val="es-CL"/>
              </w:rPr>
              <w:t>.</w:t>
            </w:r>
            <w:r w:rsidRPr="0049138F">
              <w:rPr>
                <w:color w:val="FF0000"/>
                <w:sz w:val="16"/>
                <w:lang w:val="es-CL"/>
              </w:rPr>
              <w:t>482</w:t>
            </w:r>
            <w:r w:rsidR="005622BB" w:rsidRPr="0049138F">
              <w:rPr>
                <w:color w:val="FF0000"/>
                <w:sz w:val="16"/>
                <w:lang w:val="es-CL"/>
              </w:rPr>
              <w:t>,</w:t>
            </w:r>
            <w:r w:rsidRPr="0049138F">
              <w:rPr>
                <w:color w:val="FF0000"/>
                <w:sz w:val="16"/>
                <w:lang w:val="es-CL"/>
              </w:rPr>
              <w:t>9</w:t>
            </w:r>
          </w:p>
        </w:tc>
        <w:tc>
          <w:tcPr>
            <w:tcW w:w="708" w:type="dxa"/>
            <w:tcBorders>
              <w:top w:val="single" w:sz="4" w:space="0" w:color="auto"/>
              <w:left w:val="single" w:sz="4" w:space="0" w:color="auto"/>
              <w:bottom w:val="single" w:sz="4" w:space="0" w:color="auto"/>
              <w:right w:val="single" w:sz="4" w:space="0" w:color="auto"/>
            </w:tcBorders>
            <w:vAlign w:val="center"/>
          </w:tcPr>
          <w:p w:rsidR="0019435C" w:rsidRPr="0049138F" w:rsidRDefault="0019435C" w:rsidP="0019435C">
            <w:pPr>
              <w:jc w:val="center"/>
              <w:rPr>
                <w:sz w:val="16"/>
                <w:lang w:val="es-CL"/>
              </w:rPr>
            </w:pPr>
            <w:r w:rsidRPr="0049138F">
              <w:rPr>
                <w:color w:val="FF0000"/>
                <w:sz w:val="16"/>
                <w:lang w:val="es-CL"/>
              </w:rPr>
              <w:t>-3</w:t>
            </w:r>
            <w:r w:rsidR="005622BB" w:rsidRPr="0049138F">
              <w:rPr>
                <w:color w:val="FF0000"/>
                <w:sz w:val="16"/>
                <w:lang w:val="es-CL"/>
              </w:rPr>
              <w:t>,</w:t>
            </w:r>
            <w:r w:rsidRPr="0049138F">
              <w:rPr>
                <w:color w:val="FF0000"/>
                <w:sz w:val="16"/>
                <w:lang w:val="es-CL"/>
              </w:rPr>
              <w:t>4%</w:t>
            </w:r>
          </w:p>
        </w:tc>
      </w:tr>
      <w:tr w:rsidR="0019435C" w:rsidRPr="00544D52" w:rsidTr="008F6340">
        <w:trPr>
          <w:jc w:val="center"/>
        </w:trPr>
        <w:tc>
          <w:tcPr>
            <w:tcW w:w="4121"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sidRPr="00AC6630">
              <w:rPr>
                <w:sz w:val="16"/>
                <w:lang w:val="es-CL"/>
              </w:rPr>
              <w:t>Sistema de Transmisión La Avanzada 230 kV</w:t>
            </w:r>
          </w:p>
        </w:tc>
        <w:tc>
          <w:tcPr>
            <w:tcW w:w="1276" w:type="dxa"/>
            <w:tcBorders>
              <w:top w:val="single" w:sz="4" w:space="0" w:color="auto"/>
              <w:left w:val="single" w:sz="4" w:space="0" w:color="auto"/>
              <w:bottom w:val="single" w:sz="4" w:space="0" w:color="auto"/>
              <w:right w:val="single" w:sz="4" w:space="0" w:color="auto"/>
            </w:tcBorders>
            <w:vAlign w:val="center"/>
          </w:tcPr>
          <w:p w:rsidR="0019435C" w:rsidRPr="0049138F" w:rsidRDefault="005622BB" w:rsidP="0019435C">
            <w:pPr>
              <w:jc w:val="center"/>
              <w:rPr>
                <w:sz w:val="16"/>
                <w:lang w:val="es-CL"/>
              </w:rPr>
            </w:pPr>
            <w:r w:rsidRPr="0049138F">
              <w:rPr>
                <w:sz w:val="16"/>
                <w:lang w:val="es-CL"/>
              </w:rPr>
              <w:t>31.957.862,5</w:t>
            </w:r>
          </w:p>
        </w:tc>
        <w:tc>
          <w:tcPr>
            <w:tcW w:w="1418" w:type="dxa"/>
            <w:tcBorders>
              <w:top w:val="single" w:sz="4" w:space="0" w:color="auto"/>
              <w:left w:val="single" w:sz="4" w:space="0" w:color="auto"/>
              <w:bottom w:val="single" w:sz="4" w:space="0" w:color="auto"/>
              <w:right w:val="single" w:sz="4" w:space="0" w:color="auto"/>
            </w:tcBorders>
            <w:vAlign w:val="center"/>
          </w:tcPr>
          <w:p w:rsidR="0019435C" w:rsidRPr="0049138F" w:rsidRDefault="005622BB" w:rsidP="0019435C">
            <w:pPr>
              <w:jc w:val="center"/>
              <w:rPr>
                <w:sz w:val="16"/>
                <w:lang w:val="es-CL"/>
              </w:rPr>
            </w:pPr>
            <w:r w:rsidRPr="0049138F">
              <w:rPr>
                <w:color w:val="FF0000"/>
                <w:sz w:val="16"/>
                <w:lang w:val="es-CL"/>
              </w:rPr>
              <w:t>-36.328.094,0</w:t>
            </w:r>
          </w:p>
        </w:tc>
        <w:tc>
          <w:tcPr>
            <w:tcW w:w="708" w:type="dxa"/>
            <w:tcBorders>
              <w:top w:val="single" w:sz="4" w:space="0" w:color="auto"/>
              <w:left w:val="single" w:sz="4" w:space="0" w:color="auto"/>
              <w:bottom w:val="single" w:sz="4" w:space="0" w:color="auto"/>
              <w:right w:val="single" w:sz="4" w:space="0" w:color="auto"/>
            </w:tcBorders>
            <w:vAlign w:val="center"/>
          </w:tcPr>
          <w:p w:rsidR="0019435C" w:rsidRPr="0049138F" w:rsidRDefault="005622BB" w:rsidP="0019435C">
            <w:pPr>
              <w:jc w:val="center"/>
              <w:rPr>
                <w:sz w:val="16"/>
                <w:lang w:val="es-CL"/>
              </w:rPr>
            </w:pPr>
            <w:r w:rsidRPr="0049138F">
              <w:rPr>
                <w:sz w:val="16"/>
                <w:lang w:val="es-CL"/>
              </w:rPr>
              <w:t>2,0</w:t>
            </w:r>
            <w:r w:rsidR="0019435C" w:rsidRPr="0049138F">
              <w:rPr>
                <w:sz w:val="16"/>
                <w:lang w:val="es-CL"/>
              </w:rPr>
              <w:t>%</w:t>
            </w:r>
          </w:p>
        </w:tc>
      </w:tr>
      <w:tr w:rsidR="0019435C" w:rsidRPr="00544D52" w:rsidTr="008F6340">
        <w:trPr>
          <w:jc w:val="center"/>
        </w:trPr>
        <w:tc>
          <w:tcPr>
            <w:tcW w:w="4121"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sidRPr="00AC6630">
              <w:rPr>
                <w:sz w:val="16"/>
                <w:lang w:val="es-CL"/>
              </w:rPr>
              <w:t>Construcción de la Subestación Cajas 230/69 kV, 167 MVA</w:t>
            </w:r>
          </w:p>
        </w:tc>
        <w:tc>
          <w:tcPr>
            <w:tcW w:w="1276"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Pr>
                <w:sz w:val="16"/>
                <w:lang w:val="es-CL"/>
              </w:rPr>
              <w:t>21,099,000.00</w:t>
            </w:r>
          </w:p>
        </w:tc>
        <w:tc>
          <w:tcPr>
            <w:tcW w:w="1418"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sidRPr="00686802">
              <w:rPr>
                <w:color w:val="FF0000"/>
                <w:sz w:val="16"/>
                <w:lang w:val="es-CL"/>
              </w:rPr>
              <w:t>-21,742,997.0</w:t>
            </w:r>
          </w:p>
        </w:tc>
        <w:tc>
          <w:tcPr>
            <w:tcW w:w="708" w:type="dxa"/>
            <w:tcBorders>
              <w:top w:val="single" w:sz="4" w:space="0" w:color="auto"/>
              <w:left w:val="single" w:sz="4" w:space="0" w:color="auto"/>
              <w:bottom w:val="single" w:sz="4" w:space="0" w:color="auto"/>
              <w:right w:val="single" w:sz="4" w:space="0" w:color="auto"/>
            </w:tcBorders>
            <w:vAlign w:val="center"/>
          </w:tcPr>
          <w:p w:rsidR="0019435C" w:rsidRPr="00544D52" w:rsidRDefault="0019435C" w:rsidP="0019435C">
            <w:pPr>
              <w:jc w:val="center"/>
              <w:rPr>
                <w:sz w:val="16"/>
                <w:lang w:val="es-CL"/>
              </w:rPr>
            </w:pPr>
            <w:r>
              <w:rPr>
                <w:sz w:val="16"/>
                <w:lang w:val="es-CL"/>
              </w:rPr>
              <w:t>1.1%</w:t>
            </w:r>
          </w:p>
        </w:tc>
      </w:tr>
    </w:tbl>
    <w:p w:rsidR="0021708E" w:rsidRDefault="0021708E" w:rsidP="00F56913">
      <w:pPr>
        <w:jc w:val="both"/>
        <w:rPr>
          <w:lang w:val="es-CL"/>
        </w:rPr>
      </w:pPr>
    </w:p>
    <w:p w:rsidR="00820D42" w:rsidRDefault="00820D42" w:rsidP="00F56913">
      <w:pPr>
        <w:jc w:val="both"/>
        <w:rPr>
          <w:lang w:val="es-CL"/>
        </w:rPr>
      </w:pPr>
    </w:p>
    <w:p w:rsidR="00E11B7F" w:rsidRDefault="00E11B7F" w:rsidP="000B7DDE">
      <w:pPr>
        <w:pStyle w:val="Heading3"/>
        <w:rPr>
          <w:lang w:val="es-CL"/>
        </w:rPr>
      </w:pPr>
    </w:p>
    <w:p w:rsidR="00E11B7F" w:rsidRDefault="00E11B7F" w:rsidP="000B7DDE">
      <w:pPr>
        <w:pStyle w:val="Heading3"/>
        <w:rPr>
          <w:lang w:val="es-CL"/>
        </w:rPr>
      </w:pPr>
    </w:p>
    <w:p w:rsidR="0082763D" w:rsidRDefault="000B7DDE" w:rsidP="000B7DDE">
      <w:pPr>
        <w:pStyle w:val="Heading3"/>
        <w:rPr>
          <w:lang w:val="es-CL"/>
        </w:rPr>
      </w:pPr>
      <w:bookmarkStart w:id="17" w:name="_Toc491617760"/>
      <w:r>
        <w:rPr>
          <w:lang w:val="es-CL"/>
        </w:rPr>
        <w:t>Evaluación Económica Proyectos SNT</w:t>
      </w:r>
      <w:bookmarkEnd w:id="17"/>
    </w:p>
    <w:p w:rsidR="000B7DDE" w:rsidRDefault="000B7DDE" w:rsidP="00F56913">
      <w:pPr>
        <w:jc w:val="both"/>
        <w:rPr>
          <w:lang w:val="es-CL"/>
        </w:rPr>
      </w:pPr>
    </w:p>
    <w:p w:rsidR="000B7DDE" w:rsidRDefault="008C4496" w:rsidP="00F56913">
      <w:pPr>
        <w:jc w:val="both"/>
        <w:rPr>
          <w:lang w:val="es-CL"/>
        </w:rPr>
      </w:pPr>
      <w:r>
        <w:rPr>
          <w:lang w:val="es-CL"/>
        </w:rPr>
        <w:t xml:space="preserve">Para una evaluación económica de estos proyectos, se debe considerar que el flujo adicional de </w:t>
      </w:r>
      <w:r w:rsidR="00AC30D4">
        <w:rPr>
          <w:lang w:val="es-CL"/>
        </w:rPr>
        <w:t>energía llegará hasta los consumidores finales del sistema eléctrico por medio de las empresas de distribución y, a su vez, proviene desde las centrales de generación. Si bien, el consumidor final experimentará un beneficio asociado al consumo mediante las curvas de demanda del mercado, también debe considerarse que los otros actores implicados, Distribuidoras y Generadores, también deberán incurrir en un desembolso, para reforzar y operar redes adicionales (los primeros) y para generar energía adicional (los segundos).</w:t>
      </w:r>
    </w:p>
    <w:p w:rsidR="00AC30D4" w:rsidRDefault="00AC30D4" w:rsidP="00F56913">
      <w:pPr>
        <w:jc w:val="both"/>
        <w:rPr>
          <w:lang w:val="es-CL"/>
        </w:rPr>
      </w:pPr>
      <w:r>
        <w:rPr>
          <w:lang w:val="es-CL"/>
        </w:rPr>
        <w:t>Por otra parte, todo intercambio monetario entre los actores considerados se ve anulado, pues lo que es un cargo para unos, resulta en un ingreso para los otros.</w:t>
      </w:r>
    </w:p>
    <w:p w:rsidR="00AC30D4" w:rsidRDefault="00D1259A" w:rsidP="00F56913">
      <w:pPr>
        <w:jc w:val="both"/>
        <w:rPr>
          <w:lang w:val="es-CL"/>
        </w:rPr>
      </w:pPr>
      <w:r>
        <w:rPr>
          <w:noProof/>
          <w:lang w:val="en-US"/>
        </w:rPr>
        <w:drawing>
          <wp:inline distT="0" distB="0" distL="0" distR="0" wp14:anchorId="11943FE1">
            <wp:extent cx="5343244" cy="21300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4037" cy="2134380"/>
                    </a:xfrm>
                    <a:prstGeom prst="rect">
                      <a:avLst/>
                    </a:prstGeom>
                    <a:noFill/>
                    <a:ln>
                      <a:noFill/>
                    </a:ln>
                  </pic:spPr>
                </pic:pic>
              </a:graphicData>
            </a:graphic>
          </wp:inline>
        </w:drawing>
      </w:r>
    </w:p>
    <w:p w:rsidR="00D76FFF" w:rsidRDefault="00D76FFF" w:rsidP="00F56913">
      <w:pPr>
        <w:jc w:val="both"/>
        <w:rPr>
          <w:lang w:val="es-CL"/>
        </w:rPr>
      </w:pPr>
      <w:r w:rsidRPr="00647D2A">
        <w:rPr>
          <w:b/>
          <w:lang w:val="es-CL"/>
        </w:rPr>
        <w:t>Figura 3. Flujos relevantes para una evaluación económica de los proyectos de expansión y reforzamiento del SNT</w:t>
      </w:r>
      <w:r>
        <w:rPr>
          <w:lang w:val="es-CL"/>
        </w:rPr>
        <w:t xml:space="preserve">. La energía transportada adicional (Et) relacionada con el proyecto, se refleja en una mayor Energía generada (Eg) y en un mayor flujo de energía (Ed) que llega al consumidor final. Los intercambios monetarios entre actores sociales se tornan irrelevantes al cancelarse mutuamente, quedando sólo por valorar el </w:t>
      </w:r>
      <w:r w:rsidRPr="00647D2A">
        <w:rPr>
          <w:b/>
          <w:lang w:val="es-CL"/>
        </w:rPr>
        <w:t>Beneficio del Consumidor</w:t>
      </w:r>
      <w:r>
        <w:rPr>
          <w:lang w:val="es-CL"/>
        </w:rPr>
        <w:t xml:space="preserve">, los </w:t>
      </w:r>
      <w:r w:rsidRPr="00647D2A">
        <w:rPr>
          <w:b/>
          <w:lang w:val="es-CL"/>
        </w:rPr>
        <w:t>costos variables por generación</w:t>
      </w:r>
      <w:r>
        <w:rPr>
          <w:lang w:val="es-CL"/>
        </w:rPr>
        <w:t xml:space="preserve"> adicional</w:t>
      </w:r>
      <w:r w:rsidR="00616D34">
        <w:rPr>
          <w:lang w:val="es-CL"/>
        </w:rPr>
        <w:t xml:space="preserve">, el </w:t>
      </w:r>
      <w:r w:rsidR="00616D34">
        <w:rPr>
          <w:b/>
          <w:lang w:val="es-CL"/>
        </w:rPr>
        <w:t>Subsidio</w:t>
      </w:r>
      <w:r w:rsidR="00616D34" w:rsidRPr="00616D34">
        <w:rPr>
          <w:b/>
          <w:lang w:val="es-CL"/>
        </w:rPr>
        <w:t xml:space="preserve"> al Combustible por generación adicional</w:t>
      </w:r>
      <w:r>
        <w:rPr>
          <w:lang w:val="es-CL"/>
        </w:rPr>
        <w:t xml:space="preserve"> y el </w:t>
      </w:r>
      <w:r w:rsidRPr="00647D2A">
        <w:rPr>
          <w:b/>
          <w:lang w:val="es-CL"/>
        </w:rPr>
        <w:t>reforzamiento/operación</w:t>
      </w:r>
      <w:r w:rsidR="00151DFC">
        <w:rPr>
          <w:b/>
          <w:lang w:val="es-CL"/>
        </w:rPr>
        <w:t>/mantenimiento</w:t>
      </w:r>
      <w:r w:rsidRPr="00647D2A">
        <w:rPr>
          <w:b/>
          <w:lang w:val="es-CL"/>
        </w:rPr>
        <w:t xml:space="preserve"> del sistema de distribución</w:t>
      </w:r>
      <w:r>
        <w:rPr>
          <w:lang w:val="es-CL"/>
        </w:rPr>
        <w:t xml:space="preserve"> que permitiría el flujo adecuado de</w:t>
      </w:r>
      <w:r w:rsidR="00647D2A">
        <w:rPr>
          <w:lang w:val="es-CL"/>
        </w:rPr>
        <w:t xml:space="preserve"> estos bloques adicionales de</w:t>
      </w:r>
      <w:r>
        <w:rPr>
          <w:lang w:val="es-CL"/>
        </w:rPr>
        <w:t xml:space="preserve"> energía desde la transmisión hasta el cliente final.</w:t>
      </w:r>
    </w:p>
    <w:p w:rsidR="00647D2A" w:rsidRPr="00647D2A" w:rsidRDefault="00D76FFF" w:rsidP="00F56913">
      <w:pPr>
        <w:jc w:val="both"/>
        <w:rPr>
          <w:i/>
          <w:lang w:val="es-CL"/>
        </w:rPr>
      </w:pPr>
      <w:r w:rsidRPr="00647D2A">
        <w:rPr>
          <w:i/>
          <w:sz w:val="18"/>
          <w:lang w:val="es-CL"/>
        </w:rPr>
        <w:t xml:space="preserve">Nota: En rigor, este tipo de análisis también considera la recaudación de impuestos que ingresaría a las arcas fiscales. Sin embargo, por tratarse de un mercado liderado desde el mismo Estado, dichos flujos </w:t>
      </w:r>
      <w:r w:rsidR="00647D2A" w:rsidRPr="00647D2A">
        <w:rPr>
          <w:i/>
          <w:sz w:val="18"/>
          <w:lang w:val="es-CL"/>
        </w:rPr>
        <w:t>también se cancelan (lo que para los clientes es un egreso, resulta en un ingreso para el Estado)</w:t>
      </w:r>
    </w:p>
    <w:p w:rsidR="00647D2A" w:rsidRDefault="00647D2A" w:rsidP="00F56913">
      <w:pPr>
        <w:jc w:val="both"/>
        <w:rPr>
          <w:lang w:val="es-CL"/>
        </w:rPr>
      </w:pPr>
    </w:p>
    <w:p w:rsidR="00223BC5" w:rsidRDefault="00223BC5" w:rsidP="00F56913">
      <w:pPr>
        <w:jc w:val="both"/>
        <w:rPr>
          <w:lang w:val="es-CL"/>
        </w:rPr>
      </w:pPr>
    </w:p>
    <w:p w:rsidR="00A33C63" w:rsidRPr="008D4342" w:rsidRDefault="00BD55F4" w:rsidP="00F56913">
      <w:pPr>
        <w:jc w:val="both"/>
        <w:rPr>
          <w:b/>
          <w:lang w:val="es-CL"/>
        </w:rPr>
      </w:pPr>
      <w:r w:rsidRPr="008D4342">
        <w:rPr>
          <w:b/>
          <w:lang w:val="es-CL"/>
        </w:rPr>
        <w:t>Inversión y Costos de Operación y Mantenimiento valorados a Precios Sombra</w:t>
      </w:r>
    </w:p>
    <w:p w:rsidR="00A33C63" w:rsidRDefault="00223BC5" w:rsidP="00F56913">
      <w:pPr>
        <w:jc w:val="both"/>
        <w:rPr>
          <w:lang w:val="es-CL"/>
        </w:rPr>
      </w:pPr>
      <w:r w:rsidRPr="008D4342">
        <w:rPr>
          <w:lang w:val="es-CL"/>
        </w:rPr>
        <w:t>La inversión es expresa como valor social, ponderando sus partidas de equipamiento y mano de obra, por las Razones de Precio Cuenta</w:t>
      </w:r>
      <w:r w:rsidRPr="008D4342">
        <w:rPr>
          <w:rStyle w:val="FootnoteReference"/>
          <w:lang w:val="es-CL"/>
        </w:rPr>
        <w:footnoteReference w:id="6"/>
      </w:r>
      <w:r w:rsidRPr="008D4342">
        <w:rPr>
          <w:lang w:val="es-CL"/>
        </w:rPr>
        <w:t xml:space="preserve"> de Obras AT, Mano de Obra Calificada y Mano de Obra No Calificada, según se resume en el Cuadro </w:t>
      </w:r>
      <w:r w:rsidR="008D4342" w:rsidRPr="008D4342">
        <w:rPr>
          <w:lang w:val="es-CL"/>
        </w:rPr>
        <w:t>A</w:t>
      </w:r>
      <w:r w:rsidRPr="008D4342">
        <w:rPr>
          <w:lang w:val="es-CL"/>
        </w:rPr>
        <w:t>.</w:t>
      </w:r>
    </w:p>
    <w:p w:rsidR="00223BC5" w:rsidRDefault="00223BC5" w:rsidP="00F56913">
      <w:pPr>
        <w:jc w:val="both"/>
        <w:rPr>
          <w:lang w:val="es-CL"/>
        </w:rPr>
      </w:pPr>
    </w:p>
    <w:p w:rsidR="00223BC5" w:rsidRDefault="00223BC5" w:rsidP="00F56913">
      <w:pPr>
        <w:jc w:val="both"/>
        <w:rPr>
          <w:lang w:val="es-CL"/>
        </w:rPr>
      </w:pPr>
    </w:p>
    <w:p w:rsidR="00223BC5" w:rsidRDefault="00223BC5" w:rsidP="00F56913">
      <w:pPr>
        <w:jc w:val="both"/>
        <w:rPr>
          <w:lang w:val="es-CL"/>
        </w:rPr>
      </w:pPr>
    </w:p>
    <w:p w:rsidR="00223BC5" w:rsidRPr="0026406B" w:rsidRDefault="00223BC5" w:rsidP="00F56913">
      <w:pPr>
        <w:jc w:val="both"/>
        <w:rPr>
          <w:b/>
          <w:lang w:val="es-CL"/>
        </w:rPr>
      </w:pPr>
      <w:r w:rsidRPr="0026406B">
        <w:rPr>
          <w:b/>
          <w:lang w:val="es-CL"/>
        </w:rPr>
        <w:t xml:space="preserve">Cuadro </w:t>
      </w:r>
      <w:r w:rsidR="008D4342">
        <w:rPr>
          <w:b/>
          <w:lang w:val="es-CL"/>
        </w:rPr>
        <w:t>A</w:t>
      </w:r>
      <w:r w:rsidRPr="0026406B">
        <w:rPr>
          <w:b/>
          <w:lang w:val="es-CL"/>
        </w:rPr>
        <w:t>. Valoración Social de las Inversiones</w:t>
      </w:r>
      <w:r w:rsidR="0026406B" w:rsidRPr="0026406B">
        <w:rPr>
          <w:b/>
          <w:lang w:val="es-CL"/>
        </w:rPr>
        <w:t xml:space="preserve"> (US$)</w:t>
      </w:r>
    </w:p>
    <w:tbl>
      <w:tblPr>
        <w:tblStyle w:val="TableGrid"/>
        <w:tblW w:w="9237" w:type="dxa"/>
        <w:tblLook w:val="04A0" w:firstRow="1" w:lastRow="0" w:firstColumn="1" w:lastColumn="0" w:noHBand="0" w:noVBand="1"/>
      </w:tblPr>
      <w:tblGrid>
        <w:gridCol w:w="1696"/>
        <w:gridCol w:w="1560"/>
        <w:gridCol w:w="1559"/>
        <w:gridCol w:w="1276"/>
        <w:gridCol w:w="1635"/>
        <w:gridCol w:w="1511"/>
      </w:tblGrid>
      <w:tr w:rsidR="00223BC5" w:rsidTr="008276BC">
        <w:trPr>
          <w:trHeight w:val="925"/>
        </w:trPr>
        <w:tc>
          <w:tcPr>
            <w:tcW w:w="1696" w:type="dxa"/>
            <w:shd w:val="clear" w:color="auto" w:fill="E7E6E6" w:themeFill="background2"/>
            <w:vAlign w:val="center"/>
          </w:tcPr>
          <w:p w:rsidR="00223BC5" w:rsidRPr="0026406B" w:rsidRDefault="00223BC5" w:rsidP="0026406B">
            <w:pPr>
              <w:jc w:val="center"/>
              <w:rPr>
                <w:b/>
                <w:lang w:val="es-CL"/>
              </w:rPr>
            </w:pPr>
            <w:r w:rsidRPr="0026406B">
              <w:rPr>
                <w:b/>
                <w:lang w:val="es-CL"/>
              </w:rPr>
              <w:t>Proyecto</w:t>
            </w:r>
          </w:p>
        </w:tc>
        <w:tc>
          <w:tcPr>
            <w:tcW w:w="1560" w:type="dxa"/>
            <w:shd w:val="clear" w:color="auto" w:fill="E7E6E6" w:themeFill="background2"/>
            <w:vAlign w:val="center"/>
          </w:tcPr>
          <w:p w:rsidR="00223BC5" w:rsidRPr="0026406B" w:rsidRDefault="00223BC5" w:rsidP="0026406B">
            <w:pPr>
              <w:jc w:val="center"/>
              <w:rPr>
                <w:b/>
                <w:lang w:val="es-CL"/>
              </w:rPr>
            </w:pPr>
            <w:r w:rsidRPr="0026406B">
              <w:rPr>
                <w:b/>
                <w:lang w:val="es-CL"/>
              </w:rPr>
              <w:t xml:space="preserve">Inversión </w:t>
            </w:r>
            <w:r w:rsidR="0026406B" w:rsidRPr="0026406B">
              <w:rPr>
                <w:b/>
                <w:lang w:val="es-CL"/>
              </w:rPr>
              <w:t>Equipamiento</w:t>
            </w:r>
          </w:p>
        </w:tc>
        <w:tc>
          <w:tcPr>
            <w:tcW w:w="1559" w:type="dxa"/>
            <w:shd w:val="clear" w:color="auto" w:fill="E7E6E6" w:themeFill="background2"/>
            <w:vAlign w:val="center"/>
          </w:tcPr>
          <w:p w:rsidR="00223BC5" w:rsidRPr="0026406B" w:rsidRDefault="00223BC5" w:rsidP="0026406B">
            <w:pPr>
              <w:jc w:val="center"/>
              <w:rPr>
                <w:b/>
                <w:lang w:val="es-CL"/>
              </w:rPr>
            </w:pPr>
            <w:r w:rsidRPr="0026406B">
              <w:rPr>
                <w:b/>
                <w:lang w:val="es-CL"/>
              </w:rPr>
              <w:t>Inversión Mano de Obra</w:t>
            </w:r>
            <w:r w:rsidR="0026406B">
              <w:rPr>
                <w:rStyle w:val="FootnoteReference"/>
                <w:b/>
                <w:lang w:val="es-CL"/>
              </w:rPr>
              <w:footnoteReference w:id="7"/>
            </w:r>
          </w:p>
        </w:tc>
        <w:tc>
          <w:tcPr>
            <w:tcW w:w="1276" w:type="dxa"/>
            <w:shd w:val="clear" w:color="auto" w:fill="E7E6E6" w:themeFill="background2"/>
            <w:vAlign w:val="center"/>
          </w:tcPr>
          <w:p w:rsidR="0026406B" w:rsidRDefault="00223BC5" w:rsidP="0026406B">
            <w:pPr>
              <w:jc w:val="center"/>
              <w:rPr>
                <w:b/>
                <w:lang w:val="es-CL"/>
              </w:rPr>
            </w:pPr>
            <w:r w:rsidRPr="0026406B">
              <w:rPr>
                <w:b/>
                <w:lang w:val="es-CL"/>
              </w:rPr>
              <w:t>RPC</w:t>
            </w:r>
          </w:p>
          <w:p w:rsidR="00223BC5" w:rsidRPr="0026406B" w:rsidRDefault="00223BC5" w:rsidP="0026406B">
            <w:pPr>
              <w:jc w:val="center"/>
              <w:rPr>
                <w:b/>
                <w:lang w:val="es-CL"/>
              </w:rPr>
            </w:pPr>
            <w:r w:rsidRPr="0026406B">
              <w:rPr>
                <w:b/>
                <w:lang w:val="es-CL"/>
              </w:rPr>
              <w:t>Materiales</w:t>
            </w:r>
          </w:p>
        </w:tc>
        <w:tc>
          <w:tcPr>
            <w:tcW w:w="1635" w:type="dxa"/>
            <w:shd w:val="clear" w:color="auto" w:fill="E7E6E6" w:themeFill="background2"/>
            <w:vAlign w:val="center"/>
          </w:tcPr>
          <w:p w:rsidR="00223BC5" w:rsidRPr="0026406B" w:rsidRDefault="00223BC5" w:rsidP="0026406B">
            <w:pPr>
              <w:jc w:val="center"/>
              <w:rPr>
                <w:b/>
                <w:lang w:val="es-CL"/>
              </w:rPr>
            </w:pPr>
            <w:r w:rsidRPr="0026406B">
              <w:rPr>
                <w:b/>
                <w:lang w:val="es-CL"/>
              </w:rPr>
              <w:t>RPC Promedio Mano de Obra</w:t>
            </w:r>
            <w:r w:rsidRPr="0026406B">
              <w:rPr>
                <w:rStyle w:val="FootnoteReference"/>
                <w:b/>
                <w:lang w:val="es-CL"/>
              </w:rPr>
              <w:footnoteReference w:id="8"/>
            </w:r>
          </w:p>
        </w:tc>
        <w:tc>
          <w:tcPr>
            <w:tcW w:w="1511" w:type="dxa"/>
            <w:shd w:val="clear" w:color="auto" w:fill="E7E6E6" w:themeFill="background2"/>
            <w:vAlign w:val="center"/>
          </w:tcPr>
          <w:p w:rsidR="00223BC5" w:rsidRPr="0026406B" w:rsidRDefault="00223BC5" w:rsidP="0026406B">
            <w:pPr>
              <w:jc w:val="center"/>
              <w:rPr>
                <w:b/>
                <w:lang w:val="es-CL"/>
              </w:rPr>
            </w:pPr>
            <w:r w:rsidRPr="0026406B">
              <w:rPr>
                <w:b/>
                <w:lang w:val="es-CL"/>
              </w:rPr>
              <w:t>Inversión Social</w:t>
            </w:r>
          </w:p>
        </w:tc>
      </w:tr>
      <w:tr w:rsidR="0026406B" w:rsidTr="0026406B">
        <w:trPr>
          <w:trHeight w:val="458"/>
        </w:trPr>
        <w:tc>
          <w:tcPr>
            <w:tcW w:w="1696" w:type="dxa"/>
            <w:vAlign w:val="center"/>
          </w:tcPr>
          <w:p w:rsidR="0026406B" w:rsidRDefault="0026406B" w:rsidP="00F56913">
            <w:pPr>
              <w:jc w:val="both"/>
              <w:rPr>
                <w:lang w:val="es-CL"/>
              </w:rPr>
            </w:pPr>
            <w:r>
              <w:rPr>
                <w:lang w:val="es-CL"/>
              </w:rPr>
              <w:t>SE Posorja</w:t>
            </w:r>
          </w:p>
        </w:tc>
        <w:tc>
          <w:tcPr>
            <w:tcW w:w="1560" w:type="dxa"/>
            <w:vAlign w:val="center"/>
          </w:tcPr>
          <w:p w:rsidR="0026406B" w:rsidRDefault="00D12ECB" w:rsidP="00B83B58">
            <w:pPr>
              <w:jc w:val="right"/>
              <w:rPr>
                <w:lang w:val="es-CL"/>
              </w:rPr>
            </w:pPr>
            <w:r>
              <w:rPr>
                <w:lang w:val="es-CL"/>
              </w:rPr>
              <w:t>8,950,052.5</w:t>
            </w:r>
          </w:p>
        </w:tc>
        <w:tc>
          <w:tcPr>
            <w:tcW w:w="1559" w:type="dxa"/>
            <w:vAlign w:val="center"/>
          </w:tcPr>
          <w:p w:rsidR="0026406B" w:rsidRDefault="00D12ECB" w:rsidP="00B83B58">
            <w:pPr>
              <w:jc w:val="right"/>
              <w:rPr>
                <w:lang w:val="es-CL"/>
              </w:rPr>
            </w:pPr>
            <w:r>
              <w:rPr>
                <w:lang w:val="es-CL"/>
              </w:rPr>
              <w:t>994,450.3</w:t>
            </w:r>
          </w:p>
        </w:tc>
        <w:tc>
          <w:tcPr>
            <w:tcW w:w="1276" w:type="dxa"/>
            <w:vMerge w:val="restart"/>
            <w:vAlign w:val="center"/>
          </w:tcPr>
          <w:p w:rsidR="0026406B" w:rsidRDefault="0026406B" w:rsidP="0026406B">
            <w:pPr>
              <w:jc w:val="center"/>
              <w:rPr>
                <w:lang w:val="es-CL"/>
              </w:rPr>
            </w:pPr>
            <w:r>
              <w:rPr>
                <w:lang w:val="es-CL"/>
              </w:rPr>
              <w:t>0.803</w:t>
            </w:r>
          </w:p>
        </w:tc>
        <w:tc>
          <w:tcPr>
            <w:tcW w:w="1635" w:type="dxa"/>
            <w:vMerge w:val="restart"/>
            <w:vAlign w:val="center"/>
          </w:tcPr>
          <w:p w:rsidR="0026406B" w:rsidRDefault="0026406B" w:rsidP="0026406B">
            <w:pPr>
              <w:jc w:val="center"/>
              <w:rPr>
                <w:lang w:val="es-CL"/>
              </w:rPr>
            </w:pPr>
            <w:r>
              <w:rPr>
                <w:lang w:val="es-CL"/>
              </w:rPr>
              <w:t>0.756</w:t>
            </w:r>
          </w:p>
        </w:tc>
        <w:tc>
          <w:tcPr>
            <w:tcW w:w="1511" w:type="dxa"/>
            <w:vAlign w:val="center"/>
          </w:tcPr>
          <w:p w:rsidR="0026406B" w:rsidRDefault="00D12ECB" w:rsidP="00B83B58">
            <w:pPr>
              <w:jc w:val="right"/>
              <w:rPr>
                <w:lang w:val="es-CL"/>
              </w:rPr>
            </w:pPr>
            <w:r>
              <w:rPr>
                <w:lang w:val="es-CL"/>
              </w:rPr>
              <w:t>7,938,796.0</w:t>
            </w:r>
          </w:p>
        </w:tc>
      </w:tr>
      <w:tr w:rsidR="0026406B" w:rsidTr="0026406B">
        <w:trPr>
          <w:trHeight w:val="407"/>
        </w:trPr>
        <w:tc>
          <w:tcPr>
            <w:tcW w:w="1696" w:type="dxa"/>
            <w:vAlign w:val="center"/>
          </w:tcPr>
          <w:p w:rsidR="0026406B" w:rsidRDefault="0026406B" w:rsidP="00F56913">
            <w:pPr>
              <w:jc w:val="both"/>
              <w:rPr>
                <w:lang w:val="es-CL"/>
              </w:rPr>
            </w:pPr>
            <w:r>
              <w:rPr>
                <w:lang w:val="es-CL"/>
              </w:rPr>
              <w:t>SE Orquídeas</w:t>
            </w:r>
          </w:p>
        </w:tc>
        <w:tc>
          <w:tcPr>
            <w:tcW w:w="1560" w:type="dxa"/>
            <w:vAlign w:val="center"/>
          </w:tcPr>
          <w:p w:rsidR="0026406B" w:rsidRDefault="00B83B58" w:rsidP="00B83B58">
            <w:pPr>
              <w:jc w:val="right"/>
              <w:rPr>
                <w:lang w:val="es-CL"/>
              </w:rPr>
            </w:pPr>
            <w:r>
              <w:rPr>
                <w:lang w:val="es-CL"/>
              </w:rPr>
              <w:t>24,823,922.8</w:t>
            </w:r>
          </w:p>
        </w:tc>
        <w:tc>
          <w:tcPr>
            <w:tcW w:w="1559" w:type="dxa"/>
            <w:vAlign w:val="center"/>
          </w:tcPr>
          <w:p w:rsidR="0026406B" w:rsidRDefault="00B83B58" w:rsidP="00B83B58">
            <w:pPr>
              <w:jc w:val="right"/>
              <w:rPr>
                <w:lang w:val="es-CL"/>
              </w:rPr>
            </w:pPr>
            <w:r>
              <w:rPr>
                <w:lang w:val="es-CL"/>
              </w:rPr>
              <w:t>2,758,213.6</w:t>
            </w:r>
          </w:p>
        </w:tc>
        <w:tc>
          <w:tcPr>
            <w:tcW w:w="1276" w:type="dxa"/>
            <w:vMerge/>
            <w:vAlign w:val="center"/>
          </w:tcPr>
          <w:p w:rsidR="0026406B" w:rsidRDefault="0026406B" w:rsidP="00F56913">
            <w:pPr>
              <w:jc w:val="both"/>
              <w:rPr>
                <w:lang w:val="es-CL"/>
              </w:rPr>
            </w:pPr>
          </w:p>
        </w:tc>
        <w:tc>
          <w:tcPr>
            <w:tcW w:w="1635" w:type="dxa"/>
            <w:vMerge/>
            <w:vAlign w:val="center"/>
          </w:tcPr>
          <w:p w:rsidR="0026406B" w:rsidRDefault="0026406B" w:rsidP="00F56913">
            <w:pPr>
              <w:jc w:val="both"/>
              <w:rPr>
                <w:lang w:val="es-CL"/>
              </w:rPr>
            </w:pPr>
          </w:p>
        </w:tc>
        <w:tc>
          <w:tcPr>
            <w:tcW w:w="1511" w:type="dxa"/>
            <w:vAlign w:val="center"/>
          </w:tcPr>
          <w:p w:rsidR="0026406B" w:rsidRDefault="00B83B58" w:rsidP="00B83B58">
            <w:pPr>
              <w:jc w:val="right"/>
              <w:rPr>
                <w:lang w:val="es-CL"/>
              </w:rPr>
            </w:pPr>
            <w:r>
              <w:rPr>
                <w:lang w:val="es-CL"/>
              </w:rPr>
              <w:t>22,019,095.4</w:t>
            </w:r>
          </w:p>
        </w:tc>
      </w:tr>
      <w:tr w:rsidR="0026406B" w:rsidTr="0026406B">
        <w:trPr>
          <w:trHeight w:val="414"/>
        </w:trPr>
        <w:tc>
          <w:tcPr>
            <w:tcW w:w="1696" w:type="dxa"/>
            <w:vAlign w:val="center"/>
          </w:tcPr>
          <w:p w:rsidR="0026406B" w:rsidRDefault="0026406B" w:rsidP="00F56913">
            <w:pPr>
              <w:jc w:val="both"/>
              <w:rPr>
                <w:lang w:val="es-CL"/>
              </w:rPr>
            </w:pPr>
            <w:r>
              <w:rPr>
                <w:lang w:val="es-CL"/>
              </w:rPr>
              <w:t>SE Tanicuchí</w:t>
            </w:r>
          </w:p>
        </w:tc>
        <w:tc>
          <w:tcPr>
            <w:tcW w:w="1560" w:type="dxa"/>
            <w:vAlign w:val="center"/>
          </w:tcPr>
          <w:p w:rsidR="0026406B" w:rsidRDefault="0026406B" w:rsidP="00B83B58">
            <w:pPr>
              <w:jc w:val="right"/>
              <w:rPr>
                <w:lang w:val="es-CL"/>
              </w:rPr>
            </w:pPr>
            <w:r>
              <w:rPr>
                <w:lang w:val="es-CL"/>
              </w:rPr>
              <w:t>20,963,959.4</w:t>
            </w:r>
          </w:p>
        </w:tc>
        <w:tc>
          <w:tcPr>
            <w:tcW w:w="1559" w:type="dxa"/>
            <w:vAlign w:val="center"/>
          </w:tcPr>
          <w:p w:rsidR="0026406B" w:rsidRDefault="0026406B" w:rsidP="00B83B58">
            <w:pPr>
              <w:jc w:val="right"/>
              <w:rPr>
                <w:lang w:val="es-CL"/>
              </w:rPr>
            </w:pPr>
            <w:r>
              <w:rPr>
                <w:lang w:val="es-CL"/>
              </w:rPr>
              <w:t>2,329,328.8</w:t>
            </w:r>
          </w:p>
        </w:tc>
        <w:tc>
          <w:tcPr>
            <w:tcW w:w="1276" w:type="dxa"/>
            <w:vMerge/>
            <w:vAlign w:val="center"/>
          </w:tcPr>
          <w:p w:rsidR="0026406B" w:rsidRDefault="0026406B" w:rsidP="00F56913">
            <w:pPr>
              <w:jc w:val="both"/>
              <w:rPr>
                <w:lang w:val="es-CL"/>
              </w:rPr>
            </w:pPr>
          </w:p>
        </w:tc>
        <w:tc>
          <w:tcPr>
            <w:tcW w:w="1635" w:type="dxa"/>
            <w:vMerge/>
            <w:vAlign w:val="center"/>
          </w:tcPr>
          <w:p w:rsidR="0026406B" w:rsidRDefault="0026406B" w:rsidP="00F56913">
            <w:pPr>
              <w:jc w:val="both"/>
              <w:rPr>
                <w:lang w:val="es-CL"/>
              </w:rPr>
            </w:pPr>
          </w:p>
        </w:tc>
        <w:tc>
          <w:tcPr>
            <w:tcW w:w="1511" w:type="dxa"/>
            <w:vAlign w:val="center"/>
          </w:tcPr>
          <w:p w:rsidR="0026406B" w:rsidRDefault="0026406B" w:rsidP="00B83B58">
            <w:pPr>
              <w:jc w:val="right"/>
              <w:rPr>
                <w:lang w:val="es-CL"/>
              </w:rPr>
            </w:pPr>
            <w:r>
              <w:rPr>
                <w:lang w:val="es-CL"/>
              </w:rPr>
              <w:t>18,595,264.9</w:t>
            </w:r>
          </w:p>
        </w:tc>
      </w:tr>
      <w:tr w:rsidR="0026406B" w:rsidTr="0026406B">
        <w:trPr>
          <w:trHeight w:val="420"/>
        </w:trPr>
        <w:tc>
          <w:tcPr>
            <w:tcW w:w="1696" w:type="dxa"/>
            <w:vAlign w:val="center"/>
          </w:tcPr>
          <w:p w:rsidR="0026406B" w:rsidRDefault="0026406B" w:rsidP="00F56913">
            <w:pPr>
              <w:jc w:val="both"/>
              <w:rPr>
                <w:lang w:val="es-CL"/>
              </w:rPr>
            </w:pPr>
            <w:r>
              <w:rPr>
                <w:lang w:val="es-CL"/>
              </w:rPr>
              <w:t>SE La Avanzada</w:t>
            </w:r>
          </w:p>
        </w:tc>
        <w:tc>
          <w:tcPr>
            <w:tcW w:w="1560" w:type="dxa"/>
            <w:vAlign w:val="center"/>
          </w:tcPr>
          <w:p w:rsidR="0026406B" w:rsidRDefault="000C18EC" w:rsidP="00B83B58">
            <w:pPr>
              <w:jc w:val="right"/>
              <w:rPr>
                <w:lang w:val="es-CL"/>
              </w:rPr>
            </w:pPr>
            <w:r>
              <w:rPr>
                <w:lang w:val="es-CL"/>
              </w:rPr>
              <w:t>28,762,076.3</w:t>
            </w:r>
          </w:p>
        </w:tc>
        <w:tc>
          <w:tcPr>
            <w:tcW w:w="1559" w:type="dxa"/>
            <w:vAlign w:val="center"/>
          </w:tcPr>
          <w:p w:rsidR="0026406B" w:rsidRDefault="000C18EC" w:rsidP="00B83B58">
            <w:pPr>
              <w:jc w:val="right"/>
              <w:rPr>
                <w:lang w:val="es-CL"/>
              </w:rPr>
            </w:pPr>
            <w:r>
              <w:rPr>
                <w:lang w:val="es-CL"/>
              </w:rPr>
              <w:t>3,195,786.3</w:t>
            </w:r>
          </w:p>
        </w:tc>
        <w:tc>
          <w:tcPr>
            <w:tcW w:w="1276" w:type="dxa"/>
            <w:vMerge/>
            <w:vAlign w:val="center"/>
          </w:tcPr>
          <w:p w:rsidR="0026406B" w:rsidRDefault="0026406B" w:rsidP="00F56913">
            <w:pPr>
              <w:jc w:val="both"/>
              <w:rPr>
                <w:lang w:val="es-CL"/>
              </w:rPr>
            </w:pPr>
          </w:p>
        </w:tc>
        <w:tc>
          <w:tcPr>
            <w:tcW w:w="1635" w:type="dxa"/>
            <w:vMerge/>
            <w:vAlign w:val="center"/>
          </w:tcPr>
          <w:p w:rsidR="0026406B" w:rsidRDefault="0026406B" w:rsidP="00F56913">
            <w:pPr>
              <w:jc w:val="both"/>
              <w:rPr>
                <w:lang w:val="es-CL"/>
              </w:rPr>
            </w:pPr>
          </w:p>
        </w:tc>
        <w:tc>
          <w:tcPr>
            <w:tcW w:w="1511" w:type="dxa"/>
            <w:vAlign w:val="center"/>
          </w:tcPr>
          <w:p w:rsidR="0026406B" w:rsidRDefault="000C18EC" w:rsidP="00B83B58">
            <w:pPr>
              <w:jc w:val="right"/>
              <w:rPr>
                <w:lang w:val="es-CL"/>
              </w:rPr>
            </w:pPr>
            <w:r>
              <w:rPr>
                <w:lang w:val="es-CL"/>
              </w:rPr>
              <w:t>25,512,281.2</w:t>
            </w:r>
          </w:p>
        </w:tc>
      </w:tr>
      <w:tr w:rsidR="0026406B" w:rsidTr="0026406B">
        <w:trPr>
          <w:trHeight w:val="412"/>
        </w:trPr>
        <w:tc>
          <w:tcPr>
            <w:tcW w:w="1696" w:type="dxa"/>
            <w:vAlign w:val="center"/>
          </w:tcPr>
          <w:p w:rsidR="0026406B" w:rsidRDefault="0026406B" w:rsidP="00F56913">
            <w:pPr>
              <w:jc w:val="both"/>
              <w:rPr>
                <w:lang w:val="es-CL"/>
              </w:rPr>
            </w:pPr>
            <w:r>
              <w:rPr>
                <w:lang w:val="es-CL"/>
              </w:rPr>
              <w:t>SE Cajas</w:t>
            </w:r>
          </w:p>
        </w:tc>
        <w:tc>
          <w:tcPr>
            <w:tcW w:w="1560" w:type="dxa"/>
            <w:vAlign w:val="center"/>
          </w:tcPr>
          <w:p w:rsidR="0026406B" w:rsidRDefault="0026406B" w:rsidP="00B83B58">
            <w:pPr>
              <w:jc w:val="right"/>
              <w:rPr>
                <w:lang w:val="es-CL"/>
              </w:rPr>
            </w:pPr>
            <w:r>
              <w:rPr>
                <w:lang w:val="es-CL"/>
              </w:rPr>
              <w:t>18,989,100.0</w:t>
            </w:r>
          </w:p>
        </w:tc>
        <w:tc>
          <w:tcPr>
            <w:tcW w:w="1559" w:type="dxa"/>
            <w:vAlign w:val="center"/>
          </w:tcPr>
          <w:p w:rsidR="0026406B" w:rsidRDefault="0026406B" w:rsidP="00B83B58">
            <w:pPr>
              <w:jc w:val="right"/>
              <w:rPr>
                <w:lang w:val="es-CL"/>
              </w:rPr>
            </w:pPr>
            <w:r>
              <w:rPr>
                <w:lang w:val="es-CL"/>
              </w:rPr>
              <w:t>2,109,900</w:t>
            </w:r>
          </w:p>
        </w:tc>
        <w:tc>
          <w:tcPr>
            <w:tcW w:w="1276" w:type="dxa"/>
            <w:vMerge/>
            <w:vAlign w:val="center"/>
          </w:tcPr>
          <w:p w:rsidR="0026406B" w:rsidRDefault="0026406B" w:rsidP="00F56913">
            <w:pPr>
              <w:jc w:val="both"/>
              <w:rPr>
                <w:lang w:val="es-CL"/>
              </w:rPr>
            </w:pPr>
          </w:p>
        </w:tc>
        <w:tc>
          <w:tcPr>
            <w:tcW w:w="1635" w:type="dxa"/>
            <w:vMerge/>
            <w:vAlign w:val="center"/>
          </w:tcPr>
          <w:p w:rsidR="0026406B" w:rsidRDefault="0026406B" w:rsidP="00F56913">
            <w:pPr>
              <w:jc w:val="both"/>
              <w:rPr>
                <w:lang w:val="es-CL"/>
              </w:rPr>
            </w:pPr>
          </w:p>
        </w:tc>
        <w:tc>
          <w:tcPr>
            <w:tcW w:w="1511" w:type="dxa"/>
            <w:vAlign w:val="center"/>
          </w:tcPr>
          <w:p w:rsidR="0026406B" w:rsidRDefault="0026406B" w:rsidP="00B83B58">
            <w:pPr>
              <w:jc w:val="right"/>
              <w:rPr>
                <w:lang w:val="es-CL"/>
              </w:rPr>
            </w:pPr>
            <w:r>
              <w:rPr>
                <w:lang w:val="es-CL"/>
              </w:rPr>
              <w:t>16,843,542.7</w:t>
            </w:r>
          </w:p>
        </w:tc>
      </w:tr>
      <w:tr w:rsidR="0026406B" w:rsidTr="0026406B">
        <w:trPr>
          <w:trHeight w:val="418"/>
        </w:trPr>
        <w:tc>
          <w:tcPr>
            <w:tcW w:w="1696" w:type="dxa"/>
            <w:vAlign w:val="center"/>
          </w:tcPr>
          <w:p w:rsidR="0026406B" w:rsidRPr="0026406B" w:rsidRDefault="0026406B" w:rsidP="00F56913">
            <w:pPr>
              <w:jc w:val="both"/>
              <w:rPr>
                <w:b/>
                <w:lang w:val="es-CL"/>
              </w:rPr>
            </w:pPr>
            <w:r w:rsidRPr="0026406B">
              <w:rPr>
                <w:b/>
                <w:lang w:val="es-CL"/>
              </w:rPr>
              <w:t>TOTAL</w:t>
            </w:r>
          </w:p>
        </w:tc>
        <w:tc>
          <w:tcPr>
            <w:tcW w:w="1560" w:type="dxa"/>
            <w:vAlign w:val="center"/>
          </w:tcPr>
          <w:p w:rsidR="0026406B" w:rsidRPr="0026406B" w:rsidRDefault="00D02C30" w:rsidP="00B83B58">
            <w:pPr>
              <w:jc w:val="right"/>
              <w:rPr>
                <w:b/>
                <w:lang w:val="es-CL"/>
              </w:rPr>
            </w:pPr>
            <w:r>
              <w:rPr>
                <w:b/>
                <w:lang w:val="es-CL"/>
              </w:rPr>
              <w:t>102,489,111</w:t>
            </w:r>
          </w:p>
        </w:tc>
        <w:tc>
          <w:tcPr>
            <w:tcW w:w="1559" w:type="dxa"/>
            <w:vAlign w:val="center"/>
          </w:tcPr>
          <w:p w:rsidR="0026406B" w:rsidRPr="0026406B" w:rsidRDefault="00D02C30" w:rsidP="00B83B58">
            <w:pPr>
              <w:jc w:val="right"/>
              <w:rPr>
                <w:b/>
                <w:lang w:val="es-CL"/>
              </w:rPr>
            </w:pPr>
            <w:r>
              <w:rPr>
                <w:b/>
                <w:lang w:val="es-CL"/>
              </w:rPr>
              <w:t>11,387,679</w:t>
            </w:r>
          </w:p>
        </w:tc>
        <w:tc>
          <w:tcPr>
            <w:tcW w:w="1276" w:type="dxa"/>
            <w:vMerge/>
            <w:vAlign w:val="center"/>
          </w:tcPr>
          <w:p w:rsidR="0026406B" w:rsidRDefault="0026406B" w:rsidP="00F56913">
            <w:pPr>
              <w:jc w:val="both"/>
              <w:rPr>
                <w:lang w:val="es-CL"/>
              </w:rPr>
            </w:pPr>
          </w:p>
        </w:tc>
        <w:tc>
          <w:tcPr>
            <w:tcW w:w="1635" w:type="dxa"/>
            <w:vMerge/>
            <w:vAlign w:val="center"/>
          </w:tcPr>
          <w:p w:rsidR="0026406B" w:rsidRDefault="0026406B" w:rsidP="00F56913">
            <w:pPr>
              <w:jc w:val="both"/>
              <w:rPr>
                <w:lang w:val="es-CL"/>
              </w:rPr>
            </w:pPr>
          </w:p>
        </w:tc>
        <w:tc>
          <w:tcPr>
            <w:tcW w:w="1511" w:type="dxa"/>
            <w:vAlign w:val="center"/>
          </w:tcPr>
          <w:p w:rsidR="0026406B" w:rsidRPr="0026406B" w:rsidRDefault="008D4342" w:rsidP="00B83B58">
            <w:pPr>
              <w:jc w:val="right"/>
              <w:rPr>
                <w:b/>
                <w:lang w:val="es-CL"/>
              </w:rPr>
            </w:pPr>
            <w:r>
              <w:rPr>
                <w:b/>
                <w:lang w:val="es-CL"/>
              </w:rPr>
              <w:t>90,908,980</w:t>
            </w:r>
          </w:p>
        </w:tc>
      </w:tr>
    </w:tbl>
    <w:p w:rsidR="00223BC5" w:rsidRDefault="00223BC5" w:rsidP="00F56913">
      <w:pPr>
        <w:jc w:val="both"/>
        <w:rPr>
          <w:lang w:val="es-CL"/>
        </w:rPr>
      </w:pPr>
    </w:p>
    <w:p w:rsidR="008D4342" w:rsidRDefault="008D4342" w:rsidP="00F56913">
      <w:pPr>
        <w:jc w:val="both"/>
        <w:rPr>
          <w:lang w:val="es-CL"/>
        </w:rPr>
      </w:pPr>
      <w:r>
        <w:rPr>
          <w:lang w:val="es-CL"/>
        </w:rPr>
        <w:t>Los Costos de Operación y Mantenimiento, desde el punto de vista social se obtienen como un porcentaje constante de la Inversión Social (ver Tabla N°5)</w:t>
      </w:r>
    </w:p>
    <w:p w:rsidR="00223BC5" w:rsidRDefault="00223BC5" w:rsidP="00F56913">
      <w:pPr>
        <w:jc w:val="both"/>
        <w:rPr>
          <w:lang w:val="es-CL"/>
        </w:rPr>
      </w:pPr>
    </w:p>
    <w:p w:rsidR="00647D2A" w:rsidRPr="00647D2A" w:rsidRDefault="00647D2A" w:rsidP="00F56913">
      <w:pPr>
        <w:jc w:val="both"/>
        <w:rPr>
          <w:b/>
          <w:lang w:val="es-CL"/>
        </w:rPr>
      </w:pPr>
      <w:r w:rsidRPr="00647D2A">
        <w:rPr>
          <w:b/>
          <w:lang w:val="es-CL"/>
        </w:rPr>
        <w:t>Beneficio del Consumidor</w:t>
      </w:r>
    </w:p>
    <w:p w:rsidR="00647D2A" w:rsidRPr="00647D2A" w:rsidRDefault="00647D2A" w:rsidP="00647D2A">
      <w:pPr>
        <w:jc w:val="both"/>
        <w:rPr>
          <w:rFonts w:cstheme="minorHAnsi"/>
          <w:lang w:val="es-DO" w:eastAsia="es-CO"/>
        </w:rPr>
      </w:pPr>
      <w:r w:rsidRPr="00647D2A">
        <w:rPr>
          <w:rFonts w:cstheme="minorHAnsi"/>
          <w:lang w:val="es-DO" w:eastAsia="es-CO"/>
        </w:rPr>
        <w:t xml:space="preserve">Desde la perspectiva económica, todo nivel de consumo de un bien o </w:t>
      </w:r>
      <w:r w:rsidR="00223BC5" w:rsidRPr="00647D2A">
        <w:rPr>
          <w:rFonts w:cstheme="minorHAnsi"/>
          <w:lang w:val="es-DO" w:eastAsia="es-CO"/>
        </w:rPr>
        <w:t>servicio</w:t>
      </w:r>
      <w:r w:rsidRPr="00647D2A">
        <w:rPr>
          <w:rFonts w:cstheme="minorHAnsi"/>
          <w:lang w:val="es-DO" w:eastAsia="es-CO"/>
        </w:rPr>
        <w:t xml:space="preserve"> tiene asociada una percepción de beneficio por parte del consumidor (que es mayor que lo pagado por el bien transado) y, en este caso, al asegurar con el proyecto un transporte confiable de energía demandada, es necesario valorar el aumento de esta percepción social de beneficio e incorporarlo a la Evaluación Económica del mismo.</w:t>
      </w:r>
    </w:p>
    <w:p w:rsidR="00647D2A" w:rsidRPr="00647D2A" w:rsidRDefault="00647D2A" w:rsidP="00647D2A">
      <w:pPr>
        <w:jc w:val="both"/>
        <w:rPr>
          <w:rFonts w:cstheme="minorHAnsi"/>
          <w:lang w:val="es-DO" w:eastAsia="es-CO"/>
        </w:rPr>
      </w:pPr>
      <w:r w:rsidRPr="00647D2A">
        <w:rPr>
          <w:rFonts w:cstheme="minorHAnsi"/>
          <w:lang w:val="es-DO" w:eastAsia="es-CO"/>
        </w:rPr>
        <w:t>Para efectos de valorar el Beneficio Social percibido por los clientes (o Beneficio del Consumidor) al tener acceso a una determinada cantidad de energía (Q) a un precio (P), según la teoría económica, se calcula como el área bajo la curva de demanda desde, hasta el nivel de consumo para el que se busca estimar este beneficio.</w:t>
      </w:r>
    </w:p>
    <w:p w:rsidR="00647D2A" w:rsidRPr="00647D2A" w:rsidRDefault="00647D2A" w:rsidP="00647D2A">
      <w:pPr>
        <w:jc w:val="both"/>
        <w:rPr>
          <w:rFonts w:cstheme="minorHAnsi"/>
          <w:lang w:val="es-DO" w:eastAsia="es-CO"/>
        </w:rPr>
      </w:pPr>
      <w:r w:rsidRPr="00647D2A">
        <w:rPr>
          <w:rFonts w:cstheme="minorHAnsi"/>
          <w:lang w:val="es-DO" w:eastAsia="es-CO"/>
        </w:rPr>
        <w:t>Primero, y con fines meramente ilustrativos considérese la siguiente figura, así como la expresión para determinar el beneficio de un único cliente promedio (i), cuando consume una cantidad de energía “q</w:t>
      </w:r>
      <w:r w:rsidRPr="00647D2A">
        <w:rPr>
          <w:rFonts w:cstheme="minorHAnsi"/>
          <w:vertAlign w:val="subscript"/>
          <w:lang w:val="es-DO" w:eastAsia="es-CO"/>
        </w:rPr>
        <w:t>i</w:t>
      </w:r>
      <w:r w:rsidRPr="00647D2A">
        <w:rPr>
          <w:rFonts w:cstheme="minorHAnsi"/>
          <w:lang w:val="es-DO" w:eastAsia="es-CO"/>
        </w:rPr>
        <w:t>” la cual ha pagado a la EED, al precio de mercado “P”. Se utiliza como parámetro una Elasticidad Precio de la Demanda</w:t>
      </w:r>
      <w:r w:rsidRPr="00647D2A">
        <w:rPr>
          <w:rStyle w:val="FootnoteReference"/>
          <w:rFonts w:cstheme="minorHAnsi"/>
          <w:lang w:val="es-DO" w:eastAsia="es-CO"/>
        </w:rPr>
        <w:footnoteReference w:id="9"/>
      </w:r>
      <w:r w:rsidRPr="00647D2A">
        <w:rPr>
          <w:rFonts w:cstheme="minorHAnsi"/>
          <w:lang w:val="es-DO" w:eastAsia="es-CO"/>
        </w:rPr>
        <w:t xml:space="preserve">, </w:t>
      </w:r>
      <w:r w:rsidRPr="00647D2A">
        <w:rPr>
          <w:rFonts w:ascii="Symbol" w:hAnsi="Symbol" w:cstheme="minorHAnsi"/>
          <w:b/>
          <w:sz w:val="28"/>
          <w:lang w:val="es-DO" w:eastAsia="es-CO"/>
        </w:rPr>
        <w:t></w:t>
      </w:r>
      <w:r w:rsidRPr="00647D2A">
        <w:rPr>
          <w:rFonts w:cstheme="minorHAnsi"/>
          <w:lang w:val="es-DO" w:eastAsia="es-CO"/>
        </w:rPr>
        <w:t xml:space="preserve"> = -0.2.</w:t>
      </w:r>
    </w:p>
    <w:p w:rsidR="00647D2A" w:rsidRPr="00647D2A" w:rsidRDefault="00647D2A" w:rsidP="00647D2A">
      <w:pPr>
        <w:jc w:val="both"/>
        <w:rPr>
          <w:rFonts w:cstheme="minorHAnsi"/>
          <w:lang w:val="es-DO" w:eastAsia="es-CO"/>
        </w:rPr>
      </w:pPr>
    </w:p>
    <w:p w:rsidR="00647D2A" w:rsidRPr="00647D2A" w:rsidRDefault="00647D2A" w:rsidP="00647D2A">
      <w:pPr>
        <w:jc w:val="center"/>
        <w:rPr>
          <w:rFonts w:cstheme="minorHAnsi"/>
          <w:lang w:val="es-DO" w:eastAsia="es-CO"/>
        </w:rPr>
      </w:pPr>
      <w:r w:rsidRPr="00647D2A">
        <w:rPr>
          <w:rFonts w:cstheme="minorHAnsi"/>
          <w:noProof/>
          <w:lang w:val="en-US"/>
        </w:rPr>
        <w:drawing>
          <wp:inline distT="0" distB="0" distL="0" distR="0" wp14:anchorId="0D13C7C4" wp14:editId="4AE354E9">
            <wp:extent cx="4360004" cy="2659681"/>
            <wp:effectExtent l="0" t="0" r="254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3626" cy="2661890"/>
                    </a:xfrm>
                    <a:prstGeom prst="rect">
                      <a:avLst/>
                    </a:prstGeom>
                    <a:noFill/>
                  </pic:spPr>
                </pic:pic>
              </a:graphicData>
            </a:graphic>
          </wp:inline>
        </w:drawing>
      </w:r>
    </w:p>
    <w:p w:rsidR="00647D2A" w:rsidRPr="00647D2A" w:rsidRDefault="00647D2A" w:rsidP="00647D2A">
      <w:pPr>
        <w:jc w:val="center"/>
        <w:rPr>
          <w:rFonts w:cstheme="minorHAnsi"/>
          <w:lang w:val="es-DO" w:eastAsia="es-CO"/>
        </w:rPr>
      </w:pPr>
      <w:r w:rsidRPr="00647D2A">
        <w:rPr>
          <w:rFonts w:cstheme="minorHAnsi"/>
          <w:b/>
          <w:lang w:val="es-DO" w:eastAsia="es-CO"/>
        </w:rPr>
        <w:t xml:space="preserve">Figura </w:t>
      </w:r>
      <w:r>
        <w:rPr>
          <w:rFonts w:cstheme="minorHAnsi"/>
          <w:b/>
          <w:lang w:val="es-DO" w:eastAsia="es-CO"/>
        </w:rPr>
        <w:t>4</w:t>
      </w:r>
      <w:r w:rsidRPr="00647D2A">
        <w:rPr>
          <w:rFonts w:cstheme="minorHAnsi"/>
          <w:lang w:val="es-DO" w:eastAsia="es-CO"/>
        </w:rPr>
        <w:t>. Beneficio del Consumidor calculado para un cliente promedio i.</w:t>
      </w:r>
    </w:p>
    <w:p w:rsidR="00647D2A" w:rsidRPr="00647D2A" w:rsidRDefault="00647D2A" w:rsidP="00647D2A">
      <w:pPr>
        <w:jc w:val="both"/>
        <w:rPr>
          <w:rFonts w:cstheme="minorHAnsi"/>
          <w:lang w:val="es-DO" w:eastAsia="es-CO"/>
        </w:rPr>
      </w:pPr>
    </w:p>
    <w:p w:rsidR="00647D2A" w:rsidRPr="00647D2A" w:rsidRDefault="00647D2A" w:rsidP="00647D2A">
      <w:pPr>
        <w:jc w:val="both"/>
        <w:rPr>
          <w:rFonts w:cstheme="minorHAnsi"/>
          <w:lang w:val="es-DO" w:eastAsia="es-CO"/>
        </w:rPr>
      </w:pPr>
      <w:r w:rsidRPr="00647D2A">
        <w:rPr>
          <w:rFonts w:cstheme="minorHAnsi"/>
          <w:lang w:val="es-DO" w:eastAsia="es-CO"/>
        </w:rPr>
        <w:t>El beneficio del consumidor (</w:t>
      </w:r>
      <w:r w:rsidRPr="00647D2A">
        <w:rPr>
          <w:rFonts w:cstheme="minorHAnsi"/>
          <w:b/>
          <w:lang w:val="es-DO" w:eastAsia="es-CO"/>
        </w:rPr>
        <w:t>B</w:t>
      </w:r>
      <w:r w:rsidRPr="00647D2A">
        <w:rPr>
          <w:rFonts w:cstheme="minorHAnsi"/>
          <w:b/>
          <w:vertAlign w:val="subscript"/>
          <w:lang w:val="es-DO" w:eastAsia="es-CO"/>
        </w:rPr>
        <w:t>C</w:t>
      </w:r>
      <w:r w:rsidRPr="00647D2A">
        <w:rPr>
          <w:rFonts w:cstheme="minorHAnsi"/>
          <w:lang w:val="es-DO" w:eastAsia="es-CO"/>
        </w:rPr>
        <w:t>), que naturalmente resulta mayor que lo que el cliente ha pagado por la energía (P*qi), es determinado por el área destacada bajo la curva y su fórmula depende sólo de tres variables conocidas: El precio de intercambio (P), la cantidad de energía consumida (qi) y la elasticidad precio de la demanda (</w:t>
      </w:r>
      <w:r w:rsidRPr="00647D2A">
        <w:rPr>
          <w:rFonts w:ascii="Symbol" w:hAnsi="Symbol" w:cstheme="minorHAnsi"/>
          <w:lang w:val="es-DO" w:eastAsia="es-CO"/>
        </w:rPr>
        <w:t></w:t>
      </w:r>
      <w:r w:rsidRPr="00647D2A">
        <w:rPr>
          <w:rFonts w:cstheme="minorHAnsi"/>
          <w:lang w:val="es-DO" w:eastAsia="es-CO"/>
        </w:rPr>
        <w:t>).</w:t>
      </w:r>
    </w:p>
    <w:p w:rsidR="00647D2A" w:rsidRPr="00647D2A" w:rsidRDefault="00647D2A" w:rsidP="00F56913">
      <w:pPr>
        <w:jc w:val="both"/>
        <w:rPr>
          <w:lang w:val="es-DO"/>
        </w:rPr>
      </w:pPr>
    </w:p>
    <w:p w:rsidR="00151DFC" w:rsidRDefault="00151DFC" w:rsidP="00F56913">
      <w:pPr>
        <w:jc w:val="both"/>
        <w:rPr>
          <w:lang w:val="es-CL"/>
        </w:rPr>
      </w:pPr>
      <w:r w:rsidRPr="00670A3E">
        <w:rPr>
          <w:lang w:val="es-CL"/>
        </w:rPr>
        <w:t>Con el fin de valorar el Beneficio del Consumidor final de cada proyecto, se estima el nivel de precios P, en función de</w:t>
      </w:r>
      <w:r w:rsidR="00F4574F">
        <w:rPr>
          <w:lang w:val="es-CL"/>
        </w:rPr>
        <w:t xml:space="preserve"> los costos medios de Generación, Transmisión y Distribución proyectados por el Plan Maestro de Electricidad 2016-2025, conservando constante su valor para los años siguientes del horizonte de evaluación.</w:t>
      </w:r>
      <w:r>
        <w:rPr>
          <w:lang w:val="es-CL"/>
        </w:rPr>
        <w:t xml:space="preserve"> </w:t>
      </w:r>
    </w:p>
    <w:p w:rsidR="00647D2A" w:rsidRDefault="00151DFC" w:rsidP="00F56913">
      <w:pPr>
        <w:jc w:val="both"/>
        <w:rPr>
          <w:lang w:val="es-CL"/>
        </w:rPr>
      </w:pPr>
      <w:r w:rsidRPr="00151DFC">
        <w:rPr>
          <w:noProof/>
          <w:lang w:val="en-US"/>
        </w:rPr>
        <w:drawing>
          <wp:inline distT="0" distB="0" distL="0" distR="0">
            <wp:extent cx="5330674" cy="2189964"/>
            <wp:effectExtent l="0" t="0" r="381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5092" cy="2195887"/>
                    </a:xfrm>
                    <a:prstGeom prst="rect">
                      <a:avLst/>
                    </a:prstGeom>
                    <a:noFill/>
                    <a:ln>
                      <a:noFill/>
                    </a:ln>
                  </pic:spPr>
                </pic:pic>
              </a:graphicData>
            </a:graphic>
          </wp:inline>
        </w:drawing>
      </w:r>
    </w:p>
    <w:p w:rsidR="00647D2A" w:rsidRDefault="00670A3E" w:rsidP="00670A3E">
      <w:pPr>
        <w:jc w:val="center"/>
        <w:rPr>
          <w:lang w:val="es-CL"/>
        </w:rPr>
      </w:pPr>
      <w:r w:rsidRPr="00670A3E">
        <w:rPr>
          <w:b/>
          <w:lang w:val="es-CL"/>
        </w:rPr>
        <w:t>Figura 5.</w:t>
      </w:r>
      <w:r>
        <w:rPr>
          <w:lang w:val="es-CL"/>
        </w:rPr>
        <w:t xml:space="preserve"> Proyección de Costos Medios del Sector Eléctrico</w:t>
      </w:r>
      <w:r w:rsidR="00CE0B44">
        <w:rPr>
          <w:lang w:val="es-CL"/>
        </w:rPr>
        <w:t xml:space="preserve"> (¢US$/kWh)</w:t>
      </w:r>
      <w:r>
        <w:rPr>
          <w:lang w:val="es-CL"/>
        </w:rPr>
        <w:t>. PME 2016-2025</w:t>
      </w:r>
    </w:p>
    <w:p w:rsidR="00E11B7F" w:rsidRDefault="00E11B7F">
      <w:pPr>
        <w:rPr>
          <w:b/>
          <w:lang w:val="es-CL"/>
        </w:rPr>
      </w:pPr>
    </w:p>
    <w:p w:rsidR="00F352FB" w:rsidRDefault="00F352FB">
      <w:pPr>
        <w:rPr>
          <w:b/>
          <w:lang w:val="es-CL"/>
        </w:rPr>
      </w:pPr>
      <w:r>
        <w:rPr>
          <w:b/>
          <w:lang w:val="es-CL"/>
        </w:rPr>
        <w:t>Mayor Exportación Regional de Energía</w:t>
      </w:r>
    </w:p>
    <w:p w:rsidR="00FA767E" w:rsidRDefault="0041058A" w:rsidP="00DF5EF3">
      <w:pPr>
        <w:jc w:val="both"/>
        <w:rPr>
          <w:lang w:val="es-CL"/>
        </w:rPr>
      </w:pPr>
      <w:r w:rsidRPr="00FA767E">
        <w:rPr>
          <w:lang w:val="es-CL"/>
        </w:rPr>
        <w:t xml:space="preserve">Las obras en </w:t>
      </w:r>
      <w:r w:rsidR="00FA767E">
        <w:rPr>
          <w:lang w:val="es-CL"/>
        </w:rPr>
        <w:t xml:space="preserve">el sistema de </w:t>
      </w:r>
      <w:r w:rsidRPr="00FA767E">
        <w:rPr>
          <w:lang w:val="es-CL"/>
        </w:rPr>
        <w:t>transmisión</w:t>
      </w:r>
      <w:r w:rsidR="00FA767E" w:rsidRPr="00FA767E">
        <w:rPr>
          <w:lang w:val="es-CL"/>
        </w:rPr>
        <w:t xml:space="preserve"> </w:t>
      </w:r>
      <w:r w:rsidR="00FA767E">
        <w:rPr>
          <w:lang w:val="es-CL"/>
        </w:rPr>
        <w:t>permiten disponer de mayor capacidad, así como facilitar las maniobras de interconexión para la exportación de energía a Colombia y Perú.</w:t>
      </w:r>
    </w:p>
    <w:p w:rsidR="00E11B7F" w:rsidRDefault="00E11B7F" w:rsidP="00DF5EF3">
      <w:pPr>
        <w:jc w:val="both"/>
        <w:rPr>
          <w:lang w:val="es-CL"/>
        </w:rPr>
      </w:pPr>
    </w:p>
    <w:p w:rsidR="00FA767E" w:rsidRPr="00DF5EF3" w:rsidRDefault="00DF5EF3" w:rsidP="00DF5EF3">
      <w:pPr>
        <w:shd w:val="clear" w:color="auto" w:fill="FFF2CC" w:themeFill="accent4" w:themeFillTint="33"/>
        <w:jc w:val="both"/>
        <w:rPr>
          <w:i/>
          <w:sz w:val="18"/>
          <w:lang w:val="es-CL"/>
        </w:rPr>
      </w:pPr>
      <w:r w:rsidRPr="00DF5EF3">
        <w:rPr>
          <w:i/>
          <w:sz w:val="18"/>
          <w:lang w:val="es-CL"/>
        </w:rPr>
        <w:t>“</w:t>
      </w:r>
      <w:r w:rsidR="00FA767E" w:rsidRPr="00DF5EF3">
        <w:rPr>
          <w:i/>
          <w:sz w:val="18"/>
          <w:lang w:val="es-CL"/>
        </w:rPr>
        <w:t xml:space="preserve">Subestación Tanicuchí 230/138 kV: </w:t>
      </w:r>
    </w:p>
    <w:p w:rsidR="00FA767E" w:rsidRPr="00DF5EF3" w:rsidRDefault="00FA767E" w:rsidP="00DF5EF3">
      <w:pPr>
        <w:shd w:val="clear" w:color="auto" w:fill="FFF2CC" w:themeFill="accent4" w:themeFillTint="33"/>
        <w:jc w:val="both"/>
        <w:rPr>
          <w:i/>
          <w:sz w:val="18"/>
          <w:lang w:val="es-CL"/>
        </w:rPr>
      </w:pPr>
      <w:r w:rsidRPr="00DF5EF3">
        <w:rPr>
          <w:i/>
          <w:sz w:val="18"/>
          <w:lang w:val="es-CL"/>
        </w:rPr>
        <w:t xml:space="preserve">Por efecto de las exportaciones de energía eléctrica al sistema </w:t>
      </w:r>
      <w:r w:rsidR="00DF5EF3" w:rsidRPr="00DF5EF3">
        <w:rPr>
          <w:i/>
          <w:sz w:val="18"/>
          <w:lang w:val="es-CL"/>
        </w:rPr>
        <w:t>colombiano, el</w:t>
      </w:r>
      <w:r w:rsidRPr="00DF5EF3">
        <w:rPr>
          <w:i/>
          <w:sz w:val="18"/>
          <w:lang w:val="es-CL"/>
        </w:rPr>
        <w:t xml:space="preserve"> corredor de 138 kV (Ambato – Pucará – Mulaló – Vicentina – Santa Rosa) aumentará su cargabilidad, poniendo en riesgo la exportación de energía; de ahí la importancia de contar con el nuevo sistema Tanicuchí que descongestionará el corredor de 138 kV. </w:t>
      </w:r>
    </w:p>
    <w:p w:rsidR="00AE3BA7" w:rsidRPr="00DF5EF3" w:rsidRDefault="00FA767E" w:rsidP="00DF5EF3">
      <w:pPr>
        <w:shd w:val="clear" w:color="auto" w:fill="FFF2CC" w:themeFill="accent4" w:themeFillTint="33"/>
        <w:jc w:val="both"/>
        <w:rPr>
          <w:i/>
          <w:sz w:val="18"/>
          <w:lang w:val="es-CL"/>
        </w:rPr>
      </w:pPr>
      <w:r w:rsidRPr="00DF5EF3">
        <w:rPr>
          <w:i/>
          <w:sz w:val="18"/>
          <w:lang w:val="es-CL"/>
        </w:rPr>
        <w:t>Subestación La Avanzada 230 kV</w:t>
      </w:r>
      <w:r w:rsidR="00DF5EF3" w:rsidRPr="00DF5EF3">
        <w:rPr>
          <w:i/>
          <w:sz w:val="18"/>
          <w:lang w:val="es-CL"/>
        </w:rPr>
        <w:t>:</w:t>
      </w:r>
    </w:p>
    <w:p w:rsidR="00DF5EF3" w:rsidRPr="00DF5EF3" w:rsidRDefault="00AE3BA7" w:rsidP="00DF5EF3">
      <w:pPr>
        <w:shd w:val="clear" w:color="auto" w:fill="FFF2CC" w:themeFill="accent4" w:themeFillTint="33"/>
        <w:jc w:val="both"/>
        <w:rPr>
          <w:i/>
          <w:sz w:val="18"/>
          <w:lang w:val="es-CL"/>
        </w:rPr>
      </w:pPr>
      <w:r w:rsidRPr="00DF5EF3">
        <w:rPr>
          <w:i/>
          <w:sz w:val="18"/>
          <w:lang w:val="es-CL"/>
        </w:rPr>
        <w:t xml:space="preserve">La implementación de la SE La Avanzada facilitará las transferencias internacionales con Perú, aprovechando también el despacho de nueva generación, como la de la central Minas San Francisco y de Termogas Machala. En el sistema eléctrico ecuatoriano, la demanda se abastece actualmente con el 85% de aporte de energía hidroeléctrica. Con los excedentes de energía hidroeléctrica se procura mejorar las exportaciones hacia Perú, con lo cual la subestación Avanzada mejoraría las condiciones de voltaje para las </w:t>
      </w:r>
      <w:r w:rsidR="00DF5EF3" w:rsidRPr="00DF5EF3">
        <w:rPr>
          <w:i/>
          <w:sz w:val="18"/>
          <w:lang w:val="es-CL"/>
        </w:rPr>
        <w:t>transferencias internacionales.”</w:t>
      </w:r>
    </w:p>
    <w:p w:rsidR="00DF5EF3" w:rsidRDefault="00DF5EF3" w:rsidP="00DF5EF3">
      <w:pPr>
        <w:shd w:val="clear" w:color="auto" w:fill="FFF2CC" w:themeFill="accent4" w:themeFillTint="33"/>
        <w:jc w:val="right"/>
        <w:rPr>
          <w:lang w:val="es-CL"/>
        </w:rPr>
      </w:pPr>
      <w:r w:rsidRPr="00DF5EF3">
        <w:rPr>
          <w:i/>
          <w:sz w:val="18"/>
          <w:lang w:val="es-CL"/>
        </w:rPr>
        <w:t>Cita de Presentación de TRANSELECTRIC al BID. Reunión 14 de junio de 2017</w:t>
      </w:r>
    </w:p>
    <w:p w:rsidR="00E11B7F" w:rsidRDefault="00E11B7F" w:rsidP="00DF5EF3">
      <w:pPr>
        <w:jc w:val="both"/>
        <w:rPr>
          <w:b/>
          <w:lang w:val="es-CL"/>
        </w:rPr>
      </w:pPr>
    </w:p>
    <w:p w:rsidR="00DF5EF3" w:rsidRPr="00303241" w:rsidRDefault="00DF5EF3" w:rsidP="00DF5EF3">
      <w:pPr>
        <w:jc w:val="both"/>
        <w:rPr>
          <w:b/>
          <w:lang w:val="es-CL"/>
        </w:rPr>
      </w:pPr>
      <w:r w:rsidRPr="00303241">
        <w:rPr>
          <w:b/>
          <w:lang w:val="es-CL"/>
        </w:rPr>
        <w:t>Datos de Exportaciones 2016</w:t>
      </w:r>
      <w:r w:rsidRPr="00303241">
        <w:rPr>
          <w:rStyle w:val="FootnoteReference"/>
          <w:b/>
          <w:lang w:val="es-CL"/>
        </w:rPr>
        <w:footnoteReference w:id="10"/>
      </w:r>
      <w:r w:rsidRPr="00303241">
        <w:rPr>
          <w:b/>
          <w:lang w:val="es-C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65"/>
        <w:gridCol w:w="1766"/>
        <w:gridCol w:w="1766"/>
        <w:gridCol w:w="1766"/>
      </w:tblGrid>
      <w:tr w:rsidR="00BF3C6B" w:rsidTr="00E11B7F">
        <w:tc>
          <w:tcPr>
            <w:tcW w:w="1765" w:type="dxa"/>
            <w:vMerge w:val="restart"/>
            <w:shd w:val="clear" w:color="auto" w:fill="E7E6E6" w:themeFill="background2"/>
            <w:vAlign w:val="center"/>
          </w:tcPr>
          <w:p w:rsidR="00BF3C6B" w:rsidRPr="00303241" w:rsidRDefault="00BF3C6B" w:rsidP="00BF3C6B">
            <w:pPr>
              <w:jc w:val="center"/>
              <w:rPr>
                <w:b/>
                <w:sz w:val="20"/>
                <w:lang w:val="es-CL"/>
              </w:rPr>
            </w:pPr>
            <w:r w:rsidRPr="00303241">
              <w:rPr>
                <w:b/>
                <w:sz w:val="20"/>
                <w:lang w:val="es-CL"/>
              </w:rPr>
              <w:t>Mes</w:t>
            </w:r>
          </w:p>
        </w:tc>
        <w:tc>
          <w:tcPr>
            <w:tcW w:w="3531" w:type="dxa"/>
            <w:gridSpan w:val="2"/>
            <w:shd w:val="clear" w:color="auto" w:fill="E7E6E6" w:themeFill="background2"/>
            <w:vAlign w:val="center"/>
          </w:tcPr>
          <w:p w:rsidR="00BF3C6B" w:rsidRPr="00303241" w:rsidRDefault="00BF3C6B" w:rsidP="00BF3C6B">
            <w:pPr>
              <w:jc w:val="center"/>
              <w:rPr>
                <w:b/>
                <w:sz w:val="20"/>
                <w:lang w:val="es-CL"/>
              </w:rPr>
            </w:pPr>
            <w:r w:rsidRPr="00303241">
              <w:rPr>
                <w:b/>
                <w:sz w:val="20"/>
                <w:lang w:val="es-CL"/>
              </w:rPr>
              <w:t>Exportaciones a Perú</w:t>
            </w:r>
          </w:p>
        </w:tc>
        <w:tc>
          <w:tcPr>
            <w:tcW w:w="3532" w:type="dxa"/>
            <w:gridSpan w:val="2"/>
            <w:shd w:val="clear" w:color="auto" w:fill="E7E6E6" w:themeFill="background2"/>
            <w:vAlign w:val="center"/>
          </w:tcPr>
          <w:p w:rsidR="00BF3C6B" w:rsidRPr="00303241" w:rsidRDefault="00BF3C6B" w:rsidP="00BF3C6B">
            <w:pPr>
              <w:jc w:val="center"/>
              <w:rPr>
                <w:b/>
                <w:sz w:val="20"/>
                <w:lang w:val="es-CL"/>
              </w:rPr>
            </w:pPr>
            <w:r w:rsidRPr="00303241">
              <w:rPr>
                <w:b/>
                <w:sz w:val="20"/>
                <w:lang w:val="es-CL"/>
              </w:rPr>
              <w:t>Exportaciones a Colombia</w:t>
            </w:r>
          </w:p>
        </w:tc>
      </w:tr>
      <w:tr w:rsidR="00BF3C6B" w:rsidTr="00E11B7F">
        <w:tc>
          <w:tcPr>
            <w:tcW w:w="1765" w:type="dxa"/>
            <w:vMerge/>
            <w:shd w:val="clear" w:color="auto" w:fill="E7E6E6" w:themeFill="background2"/>
            <w:vAlign w:val="center"/>
          </w:tcPr>
          <w:p w:rsidR="00BF3C6B" w:rsidRPr="00303241" w:rsidRDefault="00BF3C6B" w:rsidP="00BF3C6B">
            <w:pPr>
              <w:jc w:val="center"/>
              <w:rPr>
                <w:b/>
                <w:sz w:val="20"/>
                <w:lang w:val="es-CL"/>
              </w:rPr>
            </w:pPr>
          </w:p>
        </w:tc>
        <w:tc>
          <w:tcPr>
            <w:tcW w:w="1765" w:type="dxa"/>
            <w:shd w:val="clear" w:color="auto" w:fill="E7E6E6" w:themeFill="background2"/>
            <w:vAlign w:val="center"/>
          </w:tcPr>
          <w:p w:rsidR="00BF3C6B" w:rsidRPr="00303241" w:rsidRDefault="00BF3C6B" w:rsidP="00BF3C6B">
            <w:pPr>
              <w:jc w:val="center"/>
              <w:rPr>
                <w:b/>
                <w:sz w:val="20"/>
                <w:lang w:val="es-CL"/>
              </w:rPr>
            </w:pPr>
            <w:r w:rsidRPr="00303241">
              <w:rPr>
                <w:b/>
                <w:sz w:val="20"/>
                <w:lang w:val="es-CL"/>
              </w:rPr>
              <w:t>Precio cUS$/kWh</w:t>
            </w:r>
          </w:p>
        </w:tc>
        <w:tc>
          <w:tcPr>
            <w:tcW w:w="1766" w:type="dxa"/>
            <w:shd w:val="clear" w:color="auto" w:fill="E7E6E6" w:themeFill="background2"/>
            <w:vAlign w:val="center"/>
          </w:tcPr>
          <w:p w:rsidR="00BF3C6B" w:rsidRPr="00303241" w:rsidRDefault="00BF3C6B" w:rsidP="00BF3C6B">
            <w:pPr>
              <w:jc w:val="center"/>
              <w:rPr>
                <w:b/>
                <w:sz w:val="20"/>
                <w:lang w:val="es-CL"/>
              </w:rPr>
            </w:pPr>
            <w:r w:rsidRPr="00303241">
              <w:rPr>
                <w:b/>
                <w:sz w:val="20"/>
                <w:lang w:val="es-CL"/>
              </w:rPr>
              <w:t>kWh</w:t>
            </w:r>
          </w:p>
        </w:tc>
        <w:tc>
          <w:tcPr>
            <w:tcW w:w="1766" w:type="dxa"/>
            <w:shd w:val="clear" w:color="auto" w:fill="E7E6E6" w:themeFill="background2"/>
            <w:vAlign w:val="center"/>
          </w:tcPr>
          <w:p w:rsidR="00BF3C6B" w:rsidRPr="00303241" w:rsidRDefault="00BF3C6B" w:rsidP="00BF3C6B">
            <w:pPr>
              <w:jc w:val="center"/>
              <w:rPr>
                <w:b/>
                <w:sz w:val="20"/>
                <w:lang w:val="es-CL"/>
              </w:rPr>
            </w:pPr>
            <w:r w:rsidRPr="00303241">
              <w:rPr>
                <w:b/>
                <w:sz w:val="20"/>
                <w:lang w:val="es-CL"/>
              </w:rPr>
              <w:t>Precio cUS$/kWh</w:t>
            </w:r>
          </w:p>
        </w:tc>
        <w:tc>
          <w:tcPr>
            <w:tcW w:w="1766" w:type="dxa"/>
            <w:shd w:val="clear" w:color="auto" w:fill="E7E6E6" w:themeFill="background2"/>
            <w:vAlign w:val="center"/>
          </w:tcPr>
          <w:p w:rsidR="00BF3C6B" w:rsidRPr="00303241" w:rsidRDefault="00BF3C6B" w:rsidP="00BF3C6B">
            <w:pPr>
              <w:jc w:val="center"/>
              <w:rPr>
                <w:b/>
                <w:sz w:val="20"/>
                <w:lang w:val="es-CL"/>
              </w:rPr>
            </w:pPr>
            <w:r w:rsidRPr="00303241">
              <w:rPr>
                <w:b/>
                <w:sz w:val="20"/>
                <w:lang w:val="es-CL"/>
              </w:rPr>
              <w:t>kWh</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Enero</w:t>
            </w:r>
          </w:p>
        </w:tc>
        <w:tc>
          <w:tcPr>
            <w:tcW w:w="1765" w:type="dxa"/>
          </w:tcPr>
          <w:p w:rsidR="00303241" w:rsidRPr="00303241" w:rsidRDefault="00303241" w:rsidP="00303241">
            <w:pPr>
              <w:jc w:val="right"/>
              <w:rPr>
                <w:sz w:val="20"/>
              </w:rPr>
            </w:pPr>
            <w:r w:rsidRPr="00303241">
              <w:rPr>
                <w:sz w:val="20"/>
              </w:rPr>
              <w:t>11,56</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50.000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17,76</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70.000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Febrero</w:t>
            </w:r>
          </w:p>
        </w:tc>
        <w:tc>
          <w:tcPr>
            <w:tcW w:w="1765" w:type="dxa"/>
          </w:tcPr>
          <w:p w:rsidR="00303241" w:rsidRPr="00303241" w:rsidRDefault="00303241" w:rsidP="00303241">
            <w:pPr>
              <w:jc w:val="right"/>
              <w:rPr>
                <w:sz w:val="20"/>
              </w:rPr>
            </w:pPr>
            <w:r w:rsidRPr="00303241">
              <w:rPr>
                <w:sz w:val="20"/>
              </w:rPr>
              <w:t>11,16</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60.000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20,35</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13.420.000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Marzo</w:t>
            </w:r>
          </w:p>
        </w:tc>
        <w:tc>
          <w:tcPr>
            <w:tcW w:w="1765" w:type="dxa"/>
          </w:tcPr>
          <w:p w:rsidR="00303241" w:rsidRPr="00303241" w:rsidRDefault="00303241" w:rsidP="00303241">
            <w:pPr>
              <w:jc w:val="right"/>
              <w:rPr>
                <w:sz w:val="20"/>
              </w:rPr>
            </w:pPr>
            <w:r w:rsidRPr="00303241">
              <w:rPr>
                <w:sz w:val="20"/>
              </w:rPr>
              <w:t>11,66</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50.000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17,05</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142.090.000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Abril</w:t>
            </w:r>
          </w:p>
        </w:tc>
        <w:tc>
          <w:tcPr>
            <w:tcW w:w="1765" w:type="dxa"/>
          </w:tcPr>
          <w:p w:rsidR="00303241" w:rsidRPr="00303241" w:rsidRDefault="00303241" w:rsidP="00303241">
            <w:pPr>
              <w:jc w:val="right"/>
              <w:rPr>
                <w:sz w:val="20"/>
              </w:rPr>
            </w:pPr>
            <w:r w:rsidRPr="00303241">
              <w:rPr>
                <w:sz w:val="20"/>
              </w:rPr>
              <w:t>11,81</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50.000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9,67</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66.430.000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Mayo</w:t>
            </w:r>
          </w:p>
        </w:tc>
        <w:tc>
          <w:tcPr>
            <w:tcW w:w="1765" w:type="dxa"/>
          </w:tcPr>
          <w:p w:rsidR="00303241" w:rsidRPr="00303241" w:rsidRDefault="00303241" w:rsidP="00303241">
            <w:pPr>
              <w:jc w:val="right"/>
              <w:rPr>
                <w:sz w:val="20"/>
              </w:rPr>
            </w:pPr>
            <w:r w:rsidRPr="00303241">
              <w:rPr>
                <w:sz w:val="20"/>
              </w:rPr>
              <w:t>1,21</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2.670.000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1,44</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63.630.000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Junio</w:t>
            </w:r>
          </w:p>
        </w:tc>
        <w:tc>
          <w:tcPr>
            <w:tcW w:w="1765" w:type="dxa"/>
          </w:tcPr>
          <w:p w:rsidR="00303241" w:rsidRPr="00303241" w:rsidRDefault="00303241" w:rsidP="00303241">
            <w:pPr>
              <w:jc w:val="right"/>
              <w:rPr>
                <w:sz w:val="20"/>
              </w:rPr>
            </w:pPr>
            <w:r w:rsidRPr="00303241">
              <w:rPr>
                <w:sz w:val="20"/>
              </w:rPr>
              <w:t>1,23</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10.390.000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1,83</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40.320.000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Julio</w:t>
            </w:r>
          </w:p>
        </w:tc>
        <w:tc>
          <w:tcPr>
            <w:tcW w:w="1765" w:type="dxa"/>
          </w:tcPr>
          <w:p w:rsidR="00303241" w:rsidRPr="00303241" w:rsidRDefault="00303241" w:rsidP="00303241">
            <w:pPr>
              <w:jc w:val="right"/>
              <w:rPr>
                <w:sz w:val="20"/>
              </w:rPr>
            </w:pPr>
            <w:r w:rsidRPr="00303241">
              <w:rPr>
                <w:sz w:val="20"/>
              </w:rPr>
              <w:t>1,48</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3.120.000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2,24</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15.970.000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Agosto</w:t>
            </w:r>
          </w:p>
        </w:tc>
        <w:tc>
          <w:tcPr>
            <w:tcW w:w="1765" w:type="dxa"/>
          </w:tcPr>
          <w:p w:rsidR="00303241" w:rsidRPr="00303241" w:rsidRDefault="00303241" w:rsidP="00303241">
            <w:pPr>
              <w:jc w:val="right"/>
              <w:rPr>
                <w:sz w:val="20"/>
              </w:rPr>
            </w:pPr>
            <w:r w:rsidRPr="00303241">
              <w:rPr>
                <w:sz w:val="20"/>
              </w:rPr>
              <w:t>1,50</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5.520.000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3,33</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23.620.000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Septiembre</w:t>
            </w:r>
          </w:p>
        </w:tc>
        <w:tc>
          <w:tcPr>
            <w:tcW w:w="1765" w:type="dxa"/>
          </w:tcPr>
          <w:p w:rsidR="00303241" w:rsidRPr="00303241" w:rsidRDefault="00303241" w:rsidP="00303241">
            <w:pPr>
              <w:jc w:val="right"/>
              <w:rPr>
                <w:sz w:val="20"/>
              </w:rPr>
            </w:pPr>
            <w:r w:rsidRPr="00303241">
              <w:rPr>
                <w:sz w:val="20"/>
              </w:rPr>
              <w:t>1,92</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1.220.000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4,07</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6.290.000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Octubre</w:t>
            </w:r>
          </w:p>
        </w:tc>
        <w:tc>
          <w:tcPr>
            <w:tcW w:w="1765" w:type="dxa"/>
          </w:tcPr>
          <w:p w:rsidR="00303241" w:rsidRPr="00303241" w:rsidRDefault="00303241" w:rsidP="00303241">
            <w:pPr>
              <w:jc w:val="right"/>
              <w:rPr>
                <w:sz w:val="20"/>
              </w:rPr>
            </w:pPr>
            <w:r w:rsidRPr="00303241">
              <w:rPr>
                <w:sz w:val="20"/>
              </w:rPr>
              <w:t>11,75</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50.000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7,54</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2.550.000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Noviembre</w:t>
            </w:r>
          </w:p>
        </w:tc>
        <w:tc>
          <w:tcPr>
            <w:tcW w:w="1765" w:type="dxa"/>
          </w:tcPr>
          <w:p w:rsidR="00303241" w:rsidRPr="00303241" w:rsidRDefault="00303241" w:rsidP="00303241">
            <w:pPr>
              <w:jc w:val="right"/>
              <w:rPr>
                <w:sz w:val="20"/>
              </w:rPr>
            </w:pPr>
            <w:r w:rsidRPr="00303241">
              <w:rPr>
                <w:sz w:val="20"/>
              </w:rPr>
              <w:t>11,75</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50.000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9,26</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2.340.000 </w:t>
            </w:r>
          </w:p>
        </w:tc>
      </w:tr>
      <w:tr w:rsidR="00303241" w:rsidTr="00E11B7F">
        <w:tc>
          <w:tcPr>
            <w:tcW w:w="1765" w:type="dxa"/>
          </w:tcPr>
          <w:p w:rsidR="00303241" w:rsidRPr="00303241" w:rsidRDefault="00303241" w:rsidP="00303241">
            <w:pPr>
              <w:jc w:val="both"/>
              <w:rPr>
                <w:b/>
                <w:sz w:val="20"/>
                <w:lang w:val="es-CL"/>
              </w:rPr>
            </w:pPr>
            <w:r w:rsidRPr="00303241">
              <w:rPr>
                <w:b/>
                <w:sz w:val="20"/>
                <w:lang w:val="es-CL"/>
              </w:rPr>
              <w:t>Diciembre</w:t>
            </w:r>
          </w:p>
        </w:tc>
        <w:tc>
          <w:tcPr>
            <w:tcW w:w="1765" w:type="dxa"/>
          </w:tcPr>
          <w:p w:rsidR="00303241" w:rsidRPr="00303241" w:rsidRDefault="00303241" w:rsidP="00303241">
            <w:pPr>
              <w:jc w:val="right"/>
              <w:rPr>
                <w:sz w:val="20"/>
              </w:rPr>
            </w:pPr>
            <w:r w:rsidRPr="00303241">
              <w:rPr>
                <w:sz w:val="20"/>
              </w:rPr>
              <w:t>11,75</w:t>
            </w:r>
          </w:p>
        </w:tc>
        <w:tc>
          <w:tcPr>
            <w:tcW w:w="1766" w:type="dxa"/>
            <w:shd w:val="clear" w:color="auto" w:fill="auto"/>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50.000 </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17,76</w:t>
            </w:r>
          </w:p>
        </w:tc>
        <w:tc>
          <w:tcPr>
            <w:tcW w:w="1766" w:type="dxa"/>
            <w:vAlign w:val="bottom"/>
          </w:tcPr>
          <w:p w:rsidR="00303241" w:rsidRPr="00303241" w:rsidRDefault="00303241" w:rsidP="00303241">
            <w:pPr>
              <w:jc w:val="right"/>
              <w:rPr>
                <w:rFonts w:ascii="Calibri" w:hAnsi="Calibri" w:cs="Calibri"/>
                <w:color w:val="000000"/>
                <w:sz w:val="20"/>
              </w:rPr>
            </w:pPr>
            <w:r w:rsidRPr="00303241">
              <w:rPr>
                <w:rFonts w:ascii="Calibri" w:hAnsi="Calibri" w:cs="Calibri"/>
                <w:color w:val="000000"/>
                <w:sz w:val="20"/>
              </w:rPr>
              <w:t xml:space="preserve"> 1.530.000 </w:t>
            </w:r>
          </w:p>
        </w:tc>
      </w:tr>
    </w:tbl>
    <w:p w:rsidR="00DF5EF3" w:rsidRDefault="00DF5EF3" w:rsidP="00DF5EF3">
      <w:pPr>
        <w:jc w:val="both"/>
        <w:rPr>
          <w:lang w:val="es-CL"/>
        </w:rPr>
      </w:pPr>
    </w:p>
    <w:p w:rsidR="00303241" w:rsidRDefault="00303241" w:rsidP="00DF5EF3">
      <w:pPr>
        <w:jc w:val="both"/>
        <w:rPr>
          <w:lang w:val="es-CL"/>
        </w:rPr>
      </w:pPr>
      <w:r>
        <w:rPr>
          <w:lang w:val="es-CL"/>
        </w:rPr>
        <w:t>Se asume que los proyectos señalados, permitirán incrementar</w:t>
      </w:r>
      <w:r w:rsidR="00770FC0">
        <w:rPr>
          <w:rStyle w:val="FootnoteReference"/>
          <w:lang w:val="es-CL"/>
        </w:rPr>
        <w:footnoteReference w:id="11"/>
      </w:r>
      <w:r>
        <w:rPr>
          <w:lang w:val="es-CL"/>
        </w:rPr>
        <w:t xml:space="preserve"> las exportaciones:</w:t>
      </w:r>
    </w:p>
    <w:p w:rsidR="00303241" w:rsidRDefault="00303241" w:rsidP="00303241">
      <w:pPr>
        <w:pStyle w:val="ListParagraph"/>
        <w:numPr>
          <w:ilvl w:val="0"/>
          <w:numId w:val="23"/>
        </w:numPr>
        <w:jc w:val="both"/>
        <w:rPr>
          <w:lang w:val="es-CL"/>
        </w:rPr>
      </w:pPr>
      <w:r>
        <w:rPr>
          <w:lang w:val="es-CL"/>
        </w:rPr>
        <w:t>A Colombia, en un 10% del incremento de capacidad de 66 MVA (liberación subestación Mulaló), se traduce en un incremento anual de las exportaciones de 54 GWh.</w:t>
      </w:r>
    </w:p>
    <w:p w:rsidR="00303241" w:rsidRDefault="00303241" w:rsidP="00303241">
      <w:pPr>
        <w:pStyle w:val="ListParagraph"/>
        <w:numPr>
          <w:ilvl w:val="0"/>
          <w:numId w:val="23"/>
        </w:numPr>
        <w:jc w:val="both"/>
        <w:rPr>
          <w:lang w:val="es-CL"/>
        </w:rPr>
      </w:pPr>
      <w:r>
        <w:rPr>
          <w:lang w:val="es-CL"/>
        </w:rPr>
        <w:t>A Perú, se espera incrementar en 3 veces el nivel de exportaciones 2016. Unos 46,6 GWh adicionales por Año</w:t>
      </w:r>
      <w:r w:rsidR="00770FC0">
        <w:rPr>
          <w:lang w:val="es-CL"/>
        </w:rPr>
        <w:t>.</w:t>
      </w:r>
    </w:p>
    <w:p w:rsidR="00770FC0" w:rsidRPr="00770FC0" w:rsidRDefault="00770FC0" w:rsidP="00770FC0">
      <w:pPr>
        <w:jc w:val="both"/>
        <w:rPr>
          <w:lang w:val="es-CL"/>
        </w:rPr>
      </w:pPr>
      <w:r>
        <w:rPr>
          <w:lang w:val="es-CL"/>
        </w:rPr>
        <w:t xml:space="preserve">Esto tiene un valor neto a nivel país de hasta </w:t>
      </w:r>
      <w:r w:rsidRPr="009867D8">
        <w:rPr>
          <w:b/>
          <w:lang w:val="es-CL"/>
        </w:rPr>
        <w:t>US$ 5 Millones anuales</w:t>
      </w:r>
      <w:r>
        <w:rPr>
          <w:lang w:val="es-CL"/>
        </w:rPr>
        <w:t>, luego de que se desmantele la S/E Mulaló en 2021.</w:t>
      </w:r>
    </w:p>
    <w:p w:rsidR="00D76FFF" w:rsidRPr="005C527E" w:rsidRDefault="00670A3E" w:rsidP="00F56913">
      <w:pPr>
        <w:jc w:val="both"/>
        <w:rPr>
          <w:b/>
          <w:lang w:val="es-CL"/>
        </w:rPr>
      </w:pPr>
      <w:r w:rsidRPr="005C527E">
        <w:rPr>
          <w:b/>
          <w:lang w:val="es-CL"/>
        </w:rPr>
        <w:t>Costos Variables por Generación Adicional</w:t>
      </w:r>
    </w:p>
    <w:p w:rsidR="00670A3E" w:rsidRDefault="00670A3E" w:rsidP="00F56913">
      <w:pPr>
        <w:jc w:val="both"/>
        <w:rPr>
          <w:lang w:val="es-CL"/>
        </w:rPr>
      </w:pPr>
      <w:r>
        <w:rPr>
          <w:lang w:val="es-CL"/>
        </w:rPr>
        <w:t>La mayor cantidad de energía que fluye por el sistema eléctrico, gracias a cada proyecto, es generada desde la matriz energética de cada año. Esto es valorado según los costos variables de generación proyectados por el PME 2016-2025.</w:t>
      </w:r>
    </w:p>
    <w:p w:rsidR="005C527E" w:rsidRDefault="005C527E" w:rsidP="00F56913">
      <w:pPr>
        <w:jc w:val="both"/>
        <w:rPr>
          <w:lang w:val="es-CL"/>
        </w:rPr>
      </w:pPr>
    </w:p>
    <w:p w:rsidR="00670A3E" w:rsidRDefault="00670A3E" w:rsidP="00F56913">
      <w:pPr>
        <w:jc w:val="both"/>
        <w:rPr>
          <w:lang w:val="es-CL"/>
        </w:rPr>
      </w:pPr>
      <w:r>
        <w:rPr>
          <w:noProof/>
          <w:lang w:val="en-US"/>
        </w:rPr>
        <w:drawing>
          <wp:inline distT="0" distB="0" distL="0" distR="0" wp14:anchorId="5C8441AC">
            <wp:extent cx="5467437" cy="1464629"/>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2823" cy="1471429"/>
                    </a:xfrm>
                    <a:prstGeom prst="rect">
                      <a:avLst/>
                    </a:prstGeom>
                    <a:noFill/>
                  </pic:spPr>
                </pic:pic>
              </a:graphicData>
            </a:graphic>
          </wp:inline>
        </w:drawing>
      </w:r>
    </w:p>
    <w:p w:rsidR="005C527E" w:rsidRDefault="005C527E" w:rsidP="00F56913">
      <w:pPr>
        <w:jc w:val="both"/>
        <w:rPr>
          <w:lang w:val="es-CL"/>
        </w:rPr>
      </w:pPr>
      <w:r w:rsidRPr="005C527E">
        <w:rPr>
          <w:b/>
          <w:lang w:val="es-CL"/>
        </w:rPr>
        <w:t>Figura 6</w:t>
      </w:r>
      <w:r>
        <w:rPr>
          <w:lang w:val="es-CL"/>
        </w:rPr>
        <w:t>. Proyección de Costos Variables de Generación</w:t>
      </w:r>
      <w:r w:rsidR="00CE0B44">
        <w:rPr>
          <w:lang w:val="es-CL"/>
        </w:rPr>
        <w:t xml:space="preserve"> (¢US$/kWh)</w:t>
      </w:r>
      <w:r>
        <w:rPr>
          <w:lang w:val="es-CL"/>
        </w:rPr>
        <w:t>, sobre la base del Plan Maestro de Electricidad 2016-2025. Los años siguientes se mantiene constante.</w:t>
      </w:r>
    </w:p>
    <w:p w:rsidR="00AC30D4" w:rsidRDefault="00AC30D4" w:rsidP="00F56913">
      <w:pPr>
        <w:jc w:val="both"/>
        <w:rPr>
          <w:lang w:val="es-CL"/>
        </w:rPr>
      </w:pPr>
    </w:p>
    <w:p w:rsidR="00616D34" w:rsidRDefault="00616D34" w:rsidP="00F56913">
      <w:pPr>
        <w:jc w:val="both"/>
        <w:rPr>
          <w:lang w:val="es-CL"/>
        </w:rPr>
      </w:pPr>
    </w:p>
    <w:p w:rsidR="00616D34" w:rsidRPr="00616D34" w:rsidRDefault="00616D34" w:rsidP="00F56913">
      <w:pPr>
        <w:jc w:val="both"/>
        <w:rPr>
          <w:b/>
          <w:lang w:val="es-CL"/>
        </w:rPr>
      </w:pPr>
      <w:r w:rsidRPr="00616D34">
        <w:rPr>
          <w:b/>
          <w:lang w:val="es-CL"/>
        </w:rPr>
        <w:t>Subsidio al Combustible por la Generación Adicional</w:t>
      </w:r>
    </w:p>
    <w:p w:rsidR="00616D34" w:rsidRDefault="00616D34" w:rsidP="00F56913">
      <w:pPr>
        <w:jc w:val="both"/>
        <w:rPr>
          <w:lang w:val="es-CL"/>
        </w:rPr>
      </w:pPr>
      <w:r>
        <w:rPr>
          <w:lang w:val="es-CL"/>
        </w:rPr>
        <w:t>Si bien la matriz energética del Ecuador ha cambiado, llevando la porción necesaria de generación térmica al 20% del total, toda vez que un proyecto favorezca un aumento del flujo energético hacia los consumidores finales, dicha energía adicional debe generarse y, por supuesto, una parte de ella sigue siendo térmica y los combustibles fósiles empleados siguen teniendo un subsidio estatal, en tanto no cambien las premisas económicas actuales.</w:t>
      </w:r>
    </w:p>
    <w:p w:rsidR="00616D34" w:rsidRDefault="007C2512" w:rsidP="00F56913">
      <w:pPr>
        <w:jc w:val="both"/>
        <w:rPr>
          <w:lang w:val="es-CL"/>
        </w:rPr>
      </w:pPr>
      <w:r>
        <w:rPr>
          <w:lang w:val="es-CL"/>
        </w:rPr>
        <w:t>De esta forma, habiendo dimensionado la energía adicional a generar con ocasión de cada proyecto (Eg)</w:t>
      </w:r>
      <w:r w:rsidR="00E13EE2">
        <w:rPr>
          <w:lang w:val="es-CL"/>
        </w:rPr>
        <w:t>,</w:t>
      </w:r>
      <w:r>
        <w:rPr>
          <w:lang w:val="es-CL"/>
        </w:rPr>
        <w:t xml:space="preserve"> se determinan las cantidades de combustible fósil empleado en dicha energía sobre la base de las proyecciones de este insumo planteadas en el PME 2016-2025.</w:t>
      </w:r>
    </w:p>
    <w:p w:rsidR="007C2512" w:rsidRDefault="007C2512" w:rsidP="0014510F">
      <w:pPr>
        <w:jc w:val="center"/>
        <w:rPr>
          <w:lang w:val="es-CL"/>
        </w:rPr>
      </w:pPr>
      <w:r>
        <w:rPr>
          <w:noProof/>
          <w:lang w:val="en-US"/>
        </w:rPr>
        <w:drawing>
          <wp:inline distT="0" distB="0" distL="0" distR="0" wp14:anchorId="3C8A1205">
            <wp:extent cx="3817641" cy="176932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4028" cy="1781555"/>
                    </a:xfrm>
                    <a:prstGeom prst="rect">
                      <a:avLst/>
                    </a:prstGeom>
                    <a:noFill/>
                  </pic:spPr>
                </pic:pic>
              </a:graphicData>
            </a:graphic>
          </wp:inline>
        </w:drawing>
      </w:r>
    </w:p>
    <w:p w:rsidR="0014510F" w:rsidRDefault="0014510F" w:rsidP="0014510F">
      <w:pPr>
        <w:jc w:val="center"/>
        <w:rPr>
          <w:lang w:val="es-CL"/>
        </w:rPr>
      </w:pPr>
      <w:r w:rsidRPr="0014510F">
        <w:rPr>
          <w:b/>
          <w:lang w:val="es-CL"/>
        </w:rPr>
        <w:t>Figura 7</w:t>
      </w:r>
      <w:r>
        <w:rPr>
          <w:lang w:val="es-CL"/>
        </w:rPr>
        <w:t>. Proyección del empleo de combustibles fósiles en la generación de energía eléctrica</w:t>
      </w:r>
    </w:p>
    <w:p w:rsidR="00616D34" w:rsidRDefault="00616D34" w:rsidP="00F56913">
      <w:pPr>
        <w:jc w:val="both"/>
        <w:rPr>
          <w:lang w:val="es-CL"/>
        </w:rPr>
      </w:pPr>
    </w:p>
    <w:p w:rsidR="00616D34" w:rsidRDefault="0014510F" w:rsidP="00F56913">
      <w:pPr>
        <w:jc w:val="both"/>
        <w:rPr>
          <w:lang w:val="es-CL"/>
        </w:rPr>
      </w:pPr>
      <m:oMathPara>
        <m:oMath>
          <m:r>
            <w:rPr>
              <w:rFonts w:ascii="Cambria Math" w:hAnsi="Cambria Math"/>
              <w:lang w:val="es-CL"/>
            </w:rPr>
            <m:t>Subsidio=</m:t>
          </m:r>
          <m:nary>
            <m:naryPr>
              <m:chr m:val="∑"/>
              <m:limLoc m:val="undOvr"/>
              <m:ctrlPr>
                <w:rPr>
                  <w:rFonts w:ascii="Cambria Math" w:hAnsi="Cambria Math"/>
                  <w:i/>
                  <w:lang w:val="es-CL"/>
                </w:rPr>
              </m:ctrlPr>
            </m:naryPr>
            <m:sub>
              <m:r>
                <w:rPr>
                  <w:rFonts w:ascii="Cambria Math" w:hAnsi="Cambria Math"/>
                  <w:lang w:val="es-CL"/>
                </w:rPr>
                <m:t>i=1</m:t>
              </m:r>
            </m:sub>
            <m:sup>
              <m:r>
                <w:rPr>
                  <w:rFonts w:ascii="Cambria Math" w:hAnsi="Cambria Math"/>
                  <w:lang w:val="es-CL"/>
                </w:rPr>
                <m:t>NComb</m:t>
              </m:r>
            </m:sup>
            <m:e>
              <m:r>
                <w:rPr>
                  <w:rFonts w:ascii="Cambria Math" w:hAnsi="Cambria Math"/>
                  <w:lang w:val="es-CL"/>
                </w:rPr>
                <m:t>Eg*</m:t>
              </m:r>
              <m:sSub>
                <m:sSubPr>
                  <m:ctrlPr>
                    <w:rPr>
                      <w:rFonts w:ascii="Cambria Math" w:hAnsi="Cambria Math"/>
                      <w:i/>
                      <w:lang w:val="es-CL"/>
                    </w:rPr>
                  </m:ctrlPr>
                </m:sSubPr>
                <m:e>
                  <m:r>
                    <w:rPr>
                      <w:rFonts w:ascii="Cambria Math" w:hAnsi="Cambria Math"/>
                      <w:lang w:val="es-CL"/>
                    </w:rPr>
                    <m:t>H</m:t>
                  </m:r>
                </m:e>
                <m:sub>
                  <m:r>
                    <w:rPr>
                      <w:rFonts w:ascii="Cambria Math" w:hAnsi="Cambria Math"/>
                      <w:lang w:val="es-CL"/>
                    </w:rPr>
                    <m:t>i</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Pint</m:t>
                  </m:r>
                </m:e>
                <m:sub>
                  <m:r>
                    <w:rPr>
                      <w:rFonts w:ascii="Cambria Math" w:hAnsi="Cambria Math"/>
                      <w:lang w:val="es-CL"/>
                    </w:rPr>
                    <m:t>i</m:t>
                  </m:r>
                </m:sub>
              </m:sSub>
              <m:r>
                <w:rPr>
                  <w:rFonts w:ascii="Cambria Math" w:hAnsi="Cambria Math"/>
                  <w:lang w:val="es-CL"/>
                </w:rPr>
                <m:t>-P</m:t>
              </m:r>
              <m:sSub>
                <m:sSubPr>
                  <m:ctrlPr>
                    <w:rPr>
                      <w:rFonts w:ascii="Cambria Math" w:hAnsi="Cambria Math"/>
                      <w:i/>
                      <w:lang w:val="es-CL"/>
                    </w:rPr>
                  </m:ctrlPr>
                </m:sSubPr>
                <m:e>
                  <m:r>
                    <w:rPr>
                      <w:rFonts w:ascii="Cambria Math" w:hAnsi="Cambria Math"/>
                      <w:lang w:val="es-CL"/>
                    </w:rPr>
                    <m:t>loc</m:t>
                  </m:r>
                </m:e>
                <m:sub>
                  <m:r>
                    <w:rPr>
                      <w:rFonts w:ascii="Cambria Math" w:hAnsi="Cambria Math"/>
                      <w:lang w:val="es-CL"/>
                    </w:rPr>
                    <m:t>i</m:t>
                  </m:r>
                </m:sub>
              </m:sSub>
              <m:r>
                <w:rPr>
                  <w:rFonts w:ascii="Cambria Math" w:hAnsi="Cambria Math"/>
                  <w:lang w:val="es-CL"/>
                </w:rPr>
                <m:t>)</m:t>
              </m:r>
            </m:e>
          </m:nary>
        </m:oMath>
      </m:oMathPara>
    </w:p>
    <w:p w:rsidR="0014510F" w:rsidRDefault="0014510F" w:rsidP="00F56913">
      <w:pPr>
        <w:jc w:val="both"/>
        <w:rPr>
          <w:lang w:val="es-CL"/>
        </w:rPr>
      </w:pPr>
      <w:r>
        <w:rPr>
          <w:lang w:val="es-CL"/>
        </w:rPr>
        <w:t>Donde:</w:t>
      </w:r>
    </w:p>
    <w:p w:rsidR="0014510F" w:rsidRDefault="0014510F" w:rsidP="0014510F">
      <w:pPr>
        <w:ind w:left="708"/>
        <w:jc w:val="both"/>
        <w:rPr>
          <w:lang w:val="es-CL"/>
        </w:rPr>
      </w:pPr>
      <w:r w:rsidRPr="0014510F">
        <w:rPr>
          <w:b/>
          <w:lang w:val="es-CL"/>
        </w:rPr>
        <w:t>Eg:</w:t>
      </w:r>
      <w:r>
        <w:rPr>
          <w:lang w:val="es-CL"/>
        </w:rPr>
        <w:t xml:space="preserve"> Energía generada adicional total, con ocasión del proyecto</w:t>
      </w:r>
    </w:p>
    <w:p w:rsidR="0014510F" w:rsidRDefault="0014510F" w:rsidP="0014510F">
      <w:pPr>
        <w:ind w:left="708"/>
        <w:jc w:val="both"/>
        <w:rPr>
          <w:lang w:val="es-CL"/>
        </w:rPr>
      </w:pPr>
      <w:r w:rsidRPr="0014510F">
        <w:rPr>
          <w:b/>
          <w:lang w:val="es-CL"/>
        </w:rPr>
        <w:t>NComb:</w:t>
      </w:r>
      <w:r>
        <w:rPr>
          <w:lang w:val="es-CL"/>
        </w:rPr>
        <w:t xml:space="preserve"> Cantidad de tipos de combustible empleado en la generación térmica.</w:t>
      </w:r>
    </w:p>
    <w:p w:rsidR="0014510F" w:rsidRDefault="0014510F" w:rsidP="0014510F">
      <w:pPr>
        <w:ind w:left="708"/>
        <w:jc w:val="both"/>
        <w:rPr>
          <w:lang w:val="es-CL"/>
        </w:rPr>
      </w:pPr>
      <w:r w:rsidRPr="0014510F">
        <w:rPr>
          <w:b/>
          <w:lang w:val="es-CL"/>
        </w:rPr>
        <w:t>H</w:t>
      </w:r>
      <w:r w:rsidRPr="0014510F">
        <w:rPr>
          <w:b/>
          <w:vertAlign w:val="subscript"/>
          <w:lang w:val="es-CL"/>
        </w:rPr>
        <w:t>i</w:t>
      </w:r>
      <w:r w:rsidRPr="0014510F">
        <w:rPr>
          <w:b/>
          <w:lang w:val="es-CL"/>
        </w:rPr>
        <w:t>:</w:t>
      </w:r>
      <w:r>
        <w:rPr>
          <w:lang w:val="es-CL"/>
        </w:rPr>
        <w:t xml:space="preserve"> Cantidad del combustible del tipo i, empleado en la generación total de cada MWh de energía por la matriz energética de Ecuador (Galones/MWh).</w:t>
      </w:r>
    </w:p>
    <w:p w:rsidR="0014510F" w:rsidRDefault="0014510F" w:rsidP="0014510F">
      <w:pPr>
        <w:ind w:left="708"/>
        <w:jc w:val="both"/>
        <w:rPr>
          <w:lang w:val="es-CL"/>
        </w:rPr>
      </w:pPr>
      <w:r w:rsidRPr="0014510F">
        <w:rPr>
          <w:b/>
          <w:lang w:val="es-CL"/>
        </w:rPr>
        <w:t>Pint</w:t>
      </w:r>
      <w:r w:rsidRPr="0014510F">
        <w:rPr>
          <w:b/>
          <w:vertAlign w:val="subscript"/>
          <w:lang w:val="es-CL"/>
        </w:rPr>
        <w:t>i</w:t>
      </w:r>
      <w:r w:rsidRPr="0014510F">
        <w:rPr>
          <w:b/>
          <w:lang w:val="es-CL"/>
        </w:rPr>
        <w:t>:</w:t>
      </w:r>
      <w:r>
        <w:rPr>
          <w:lang w:val="es-CL"/>
        </w:rPr>
        <w:t xml:space="preserve"> Precio internacional del combustible tipo i. (US$/Galón)</w:t>
      </w:r>
    </w:p>
    <w:p w:rsidR="0014510F" w:rsidRDefault="0014510F" w:rsidP="0014510F">
      <w:pPr>
        <w:ind w:left="708"/>
        <w:jc w:val="both"/>
        <w:rPr>
          <w:lang w:val="es-CL"/>
        </w:rPr>
      </w:pPr>
      <w:r w:rsidRPr="0014510F">
        <w:rPr>
          <w:b/>
          <w:lang w:val="es-CL"/>
        </w:rPr>
        <w:t>Ploc</w:t>
      </w:r>
      <w:r w:rsidRPr="0014510F">
        <w:rPr>
          <w:b/>
          <w:vertAlign w:val="subscript"/>
          <w:lang w:val="es-CL"/>
        </w:rPr>
        <w:t>i</w:t>
      </w:r>
      <w:r w:rsidRPr="0014510F">
        <w:rPr>
          <w:b/>
          <w:lang w:val="es-CL"/>
        </w:rPr>
        <w:t>:</w:t>
      </w:r>
      <w:r>
        <w:rPr>
          <w:lang w:val="es-CL"/>
        </w:rPr>
        <w:t xml:space="preserve"> Precio local del combustible tipo i. (US$/Galón)</w:t>
      </w:r>
    </w:p>
    <w:p w:rsidR="0014510F" w:rsidRDefault="0014510F" w:rsidP="00F56913">
      <w:pPr>
        <w:jc w:val="both"/>
        <w:rPr>
          <w:lang w:val="es-CL"/>
        </w:rPr>
      </w:pPr>
    </w:p>
    <w:p w:rsidR="0014510F" w:rsidRDefault="00012A22" w:rsidP="00F56913">
      <w:pPr>
        <w:jc w:val="both"/>
        <w:rPr>
          <w:lang w:val="es-CL"/>
        </w:rPr>
      </w:pPr>
      <w:r>
        <w:rPr>
          <w:lang w:val="es-CL"/>
        </w:rPr>
        <w:t>El precio internacional del Diésel considerado para esta evaluación es de 1,63 US$/Galón</w:t>
      </w:r>
      <w:r>
        <w:rPr>
          <w:rStyle w:val="FootnoteReference"/>
          <w:lang w:val="es-CL"/>
        </w:rPr>
        <w:footnoteReference w:id="12"/>
      </w:r>
      <w:r>
        <w:rPr>
          <w:lang w:val="es-CL"/>
        </w:rPr>
        <w:t>, mientras el valor local subsidiado es de 0,9168</w:t>
      </w:r>
      <w:r>
        <w:rPr>
          <w:rStyle w:val="FootnoteReference"/>
          <w:lang w:val="es-CL"/>
        </w:rPr>
        <w:footnoteReference w:id="13"/>
      </w:r>
      <w:r>
        <w:rPr>
          <w:lang w:val="es-CL"/>
        </w:rPr>
        <w:t xml:space="preserve"> US$/Galón.</w:t>
      </w:r>
    </w:p>
    <w:p w:rsidR="0014510F" w:rsidRDefault="0014510F" w:rsidP="00F56913">
      <w:pPr>
        <w:jc w:val="both"/>
        <w:rPr>
          <w:lang w:val="es-CL"/>
        </w:rPr>
      </w:pPr>
    </w:p>
    <w:p w:rsidR="00AC30D4" w:rsidRPr="00EA5D23" w:rsidRDefault="00EA5D23" w:rsidP="00F56913">
      <w:pPr>
        <w:jc w:val="both"/>
        <w:rPr>
          <w:b/>
          <w:lang w:val="es-CL"/>
        </w:rPr>
      </w:pPr>
      <w:r w:rsidRPr="00EA5D23">
        <w:rPr>
          <w:b/>
          <w:lang w:val="es-CL"/>
        </w:rPr>
        <w:t>Reforzamiento, Operación y Mantenimiento del Sistema de Distribución</w:t>
      </w:r>
    </w:p>
    <w:p w:rsidR="00EA5D23" w:rsidRDefault="00EA5D23" w:rsidP="00F56913">
      <w:pPr>
        <w:jc w:val="both"/>
        <w:rPr>
          <w:lang w:val="es-CL"/>
        </w:rPr>
      </w:pPr>
      <w:r>
        <w:rPr>
          <w:lang w:val="es-CL"/>
        </w:rPr>
        <w:t>Si bien los proyectos de transmisión permiten transportar grandes bloques adicionales de energía, para llevar dicha energía hasta el consumidor final y materializar su beneficio, ésta debe pasar por las redes de Distribución (Sub Transmisión incluida). Con esto, es preciso considerar los mayores costos de Inversión, Administración, Operación y Mantenimiento en que deberían incurrir las Empresas Eléctricas de Distribución.</w:t>
      </w:r>
    </w:p>
    <w:p w:rsidR="00EA5D23" w:rsidRDefault="00EA5D23" w:rsidP="00F56913">
      <w:pPr>
        <w:jc w:val="both"/>
        <w:rPr>
          <w:lang w:val="es-CL"/>
        </w:rPr>
      </w:pPr>
      <w:r>
        <w:rPr>
          <w:lang w:val="es-CL"/>
        </w:rPr>
        <w:t>En ese nivel de análisis se recurre a costos medios por kWh, derivados a partir de los antecedentes de proyección del Plan Maestro de Electricidad 2016-2025.</w:t>
      </w:r>
    </w:p>
    <w:p w:rsidR="00EA5D23" w:rsidRDefault="00EA5D23" w:rsidP="00F56913">
      <w:pPr>
        <w:jc w:val="both"/>
        <w:rPr>
          <w:lang w:val="es-CL"/>
        </w:rPr>
      </w:pPr>
    </w:p>
    <w:p w:rsidR="008A2787" w:rsidRDefault="00EA5D23" w:rsidP="008A2787">
      <w:pPr>
        <w:spacing w:after="0"/>
        <w:jc w:val="center"/>
        <w:rPr>
          <w:b/>
          <w:lang w:val="es-CL"/>
        </w:rPr>
      </w:pPr>
      <w:r w:rsidRPr="008A2787">
        <w:rPr>
          <w:b/>
          <w:lang w:val="es-CL"/>
        </w:rPr>
        <w:t>Tabla N°7 Estimación de Costos de Inversión de las EED relevantes,</w:t>
      </w:r>
    </w:p>
    <w:p w:rsidR="00EA5D23" w:rsidRPr="008A2787" w:rsidRDefault="00EA5D23" w:rsidP="008A2787">
      <w:pPr>
        <w:spacing w:after="0"/>
        <w:jc w:val="center"/>
        <w:rPr>
          <w:b/>
          <w:lang w:val="es-CL"/>
        </w:rPr>
      </w:pPr>
      <w:r w:rsidRPr="008A2787">
        <w:rPr>
          <w:b/>
          <w:lang w:val="es-CL"/>
        </w:rPr>
        <w:t>sobre la base del PME 2016-2025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107"/>
        <w:gridCol w:w="1417"/>
        <w:gridCol w:w="1276"/>
        <w:gridCol w:w="2004"/>
        <w:gridCol w:w="1584"/>
      </w:tblGrid>
      <w:tr w:rsidR="007333F2" w:rsidTr="00E11B7F">
        <w:tc>
          <w:tcPr>
            <w:tcW w:w="440" w:type="dxa"/>
            <w:shd w:val="clear" w:color="auto" w:fill="D9E2F3" w:themeFill="accent1" w:themeFillTint="33"/>
            <w:vAlign w:val="center"/>
          </w:tcPr>
          <w:p w:rsidR="007333F2" w:rsidRPr="007333F2" w:rsidRDefault="007333F2" w:rsidP="007333F2">
            <w:pPr>
              <w:jc w:val="center"/>
              <w:rPr>
                <w:b/>
                <w:lang w:val="es-CL"/>
              </w:rPr>
            </w:pPr>
            <w:r>
              <w:rPr>
                <w:b/>
                <w:lang w:val="es-CL"/>
              </w:rPr>
              <w:t>Id</w:t>
            </w:r>
          </w:p>
        </w:tc>
        <w:tc>
          <w:tcPr>
            <w:tcW w:w="2107" w:type="dxa"/>
            <w:shd w:val="clear" w:color="auto" w:fill="D9E2F3" w:themeFill="accent1" w:themeFillTint="33"/>
            <w:vAlign w:val="center"/>
          </w:tcPr>
          <w:p w:rsidR="007333F2" w:rsidRPr="007333F2" w:rsidRDefault="007333F2" w:rsidP="007333F2">
            <w:pPr>
              <w:jc w:val="center"/>
              <w:rPr>
                <w:b/>
                <w:lang w:val="es-CL"/>
              </w:rPr>
            </w:pPr>
            <w:r w:rsidRPr="007333F2">
              <w:rPr>
                <w:b/>
                <w:lang w:val="es-CL"/>
              </w:rPr>
              <w:t>Empresa</w:t>
            </w:r>
          </w:p>
        </w:tc>
        <w:tc>
          <w:tcPr>
            <w:tcW w:w="1417" w:type="dxa"/>
            <w:shd w:val="clear" w:color="auto" w:fill="D9E2F3" w:themeFill="accent1" w:themeFillTint="33"/>
            <w:vAlign w:val="center"/>
          </w:tcPr>
          <w:p w:rsidR="007333F2" w:rsidRPr="007333F2" w:rsidRDefault="007333F2" w:rsidP="007333F2">
            <w:pPr>
              <w:jc w:val="center"/>
              <w:rPr>
                <w:b/>
                <w:lang w:val="es-CL"/>
              </w:rPr>
            </w:pPr>
            <w:r w:rsidRPr="007333F2">
              <w:rPr>
                <w:b/>
                <w:lang w:val="es-CL"/>
              </w:rPr>
              <w:t>GWh 2016</w:t>
            </w:r>
          </w:p>
        </w:tc>
        <w:tc>
          <w:tcPr>
            <w:tcW w:w="1276" w:type="dxa"/>
            <w:shd w:val="clear" w:color="auto" w:fill="D9E2F3" w:themeFill="accent1" w:themeFillTint="33"/>
            <w:vAlign w:val="center"/>
          </w:tcPr>
          <w:p w:rsidR="007333F2" w:rsidRPr="007333F2" w:rsidRDefault="007333F2" w:rsidP="007333F2">
            <w:pPr>
              <w:jc w:val="center"/>
              <w:rPr>
                <w:b/>
                <w:lang w:val="es-CL"/>
              </w:rPr>
            </w:pPr>
            <w:r w:rsidRPr="007333F2">
              <w:rPr>
                <w:b/>
                <w:lang w:val="es-CL"/>
              </w:rPr>
              <w:t>GWh 2025</w:t>
            </w:r>
          </w:p>
        </w:tc>
        <w:tc>
          <w:tcPr>
            <w:tcW w:w="2004" w:type="dxa"/>
            <w:shd w:val="clear" w:color="auto" w:fill="D9E2F3" w:themeFill="accent1" w:themeFillTint="33"/>
            <w:vAlign w:val="center"/>
          </w:tcPr>
          <w:p w:rsidR="007333F2" w:rsidRPr="007333F2" w:rsidRDefault="007333F2" w:rsidP="007333F2">
            <w:pPr>
              <w:jc w:val="center"/>
              <w:rPr>
                <w:b/>
                <w:lang w:val="es-CL"/>
              </w:rPr>
            </w:pPr>
            <w:r w:rsidRPr="007333F2">
              <w:rPr>
                <w:b/>
                <w:lang w:val="es-CL"/>
              </w:rPr>
              <w:t>I</w:t>
            </w:r>
            <w:r w:rsidR="00DD2D9F">
              <w:rPr>
                <w:b/>
                <w:lang w:val="es-CL"/>
              </w:rPr>
              <w:t>nversión</w:t>
            </w:r>
          </w:p>
          <w:p w:rsidR="007333F2" w:rsidRPr="007333F2" w:rsidRDefault="007333F2" w:rsidP="007333F2">
            <w:pPr>
              <w:jc w:val="center"/>
              <w:rPr>
                <w:b/>
                <w:lang w:val="es-CL"/>
              </w:rPr>
            </w:pPr>
            <w:r w:rsidRPr="007333F2">
              <w:rPr>
                <w:b/>
                <w:lang w:val="es-CL"/>
              </w:rPr>
              <w:t>(Millones US$)</w:t>
            </w:r>
          </w:p>
        </w:tc>
        <w:tc>
          <w:tcPr>
            <w:tcW w:w="1584" w:type="dxa"/>
            <w:shd w:val="clear" w:color="auto" w:fill="D9E2F3" w:themeFill="accent1" w:themeFillTint="33"/>
            <w:vAlign w:val="center"/>
          </w:tcPr>
          <w:p w:rsidR="007333F2" w:rsidRPr="007333F2" w:rsidRDefault="007333F2" w:rsidP="007333F2">
            <w:pPr>
              <w:jc w:val="center"/>
              <w:rPr>
                <w:b/>
                <w:lang w:val="es-CL"/>
              </w:rPr>
            </w:pPr>
            <w:r w:rsidRPr="007333F2">
              <w:rPr>
                <w:b/>
                <w:lang w:val="es-CL"/>
              </w:rPr>
              <w:t>I</w:t>
            </w:r>
            <w:r w:rsidR="00DD2D9F">
              <w:rPr>
                <w:b/>
                <w:lang w:val="es-CL"/>
              </w:rPr>
              <w:t>nversión</w:t>
            </w:r>
          </w:p>
          <w:p w:rsidR="007333F2" w:rsidRPr="007333F2" w:rsidRDefault="007333F2" w:rsidP="007333F2">
            <w:pPr>
              <w:jc w:val="center"/>
              <w:rPr>
                <w:b/>
                <w:lang w:val="es-CL"/>
              </w:rPr>
            </w:pPr>
            <w:r w:rsidRPr="007333F2">
              <w:rPr>
                <w:b/>
                <w:lang w:val="es-CL"/>
              </w:rPr>
              <w:t>(US$/kWh)</w:t>
            </w:r>
          </w:p>
        </w:tc>
      </w:tr>
      <w:tr w:rsidR="007333F2" w:rsidTr="00E11B7F">
        <w:tc>
          <w:tcPr>
            <w:tcW w:w="440" w:type="dxa"/>
            <w:vAlign w:val="center"/>
          </w:tcPr>
          <w:p w:rsidR="007333F2" w:rsidRDefault="007333F2" w:rsidP="00F56913">
            <w:pPr>
              <w:jc w:val="both"/>
              <w:rPr>
                <w:lang w:val="es-CL"/>
              </w:rPr>
            </w:pPr>
            <w:r>
              <w:rPr>
                <w:lang w:val="es-CL"/>
              </w:rPr>
              <w:t>01</w:t>
            </w:r>
          </w:p>
        </w:tc>
        <w:tc>
          <w:tcPr>
            <w:tcW w:w="2107" w:type="dxa"/>
          </w:tcPr>
          <w:p w:rsidR="007333F2" w:rsidRDefault="007333F2" w:rsidP="00F56913">
            <w:pPr>
              <w:jc w:val="both"/>
              <w:rPr>
                <w:lang w:val="es-CL"/>
              </w:rPr>
            </w:pPr>
            <w:r>
              <w:rPr>
                <w:lang w:val="es-CL"/>
              </w:rPr>
              <w:t>EE Regional Norte</w:t>
            </w:r>
          </w:p>
        </w:tc>
        <w:tc>
          <w:tcPr>
            <w:tcW w:w="1417" w:type="dxa"/>
          </w:tcPr>
          <w:p w:rsidR="007333F2" w:rsidRDefault="007333F2" w:rsidP="007333F2">
            <w:pPr>
              <w:jc w:val="center"/>
              <w:rPr>
                <w:lang w:val="es-CL"/>
              </w:rPr>
            </w:pPr>
            <w:r>
              <w:rPr>
                <w:lang w:val="es-CL"/>
              </w:rPr>
              <w:t>519</w:t>
            </w:r>
          </w:p>
        </w:tc>
        <w:tc>
          <w:tcPr>
            <w:tcW w:w="1276" w:type="dxa"/>
          </w:tcPr>
          <w:p w:rsidR="007333F2" w:rsidRDefault="007333F2" w:rsidP="007333F2">
            <w:pPr>
              <w:jc w:val="center"/>
              <w:rPr>
                <w:lang w:val="es-CL"/>
              </w:rPr>
            </w:pPr>
            <w:r>
              <w:rPr>
                <w:lang w:val="es-CL"/>
              </w:rPr>
              <w:t>720</w:t>
            </w:r>
          </w:p>
        </w:tc>
        <w:tc>
          <w:tcPr>
            <w:tcW w:w="2004" w:type="dxa"/>
          </w:tcPr>
          <w:p w:rsidR="007333F2" w:rsidRDefault="007333F2" w:rsidP="007333F2">
            <w:pPr>
              <w:jc w:val="center"/>
              <w:rPr>
                <w:lang w:val="es-CL"/>
              </w:rPr>
            </w:pPr>
            <w:r>
              <w:rPr>
                <w:lang w:val="es-CL"/>
              </w:rPr>
              <w:t>87.17</w:t>
            </w:r>
          </w:p>
        </w:tc>
        <w:tc>
          <w:tcPr>
            <w:tcW w:w="1584" w:type="dxa"/>
          </w:tcPr>
          <w:p w:rsidR="007333F2" w:rsidRDefault="007333F2" w:rsidP="007333F2">
            <w:pPr>
              <w:jc w:val="center"/>
              <w:rPr>
                <w:lang w:val="es-CL"/>
              </w:rPr>
            </w:pPr>
            <w:r>
              <w:rPr>
                <w:lang w:val="es-CL"/>
              </w:rPr>
              <w:t>0.43</w:t>
            </w:r>
          </w:p>
        </w:tc>
      </w:tr>
      <w:tr w:rsidR="007333F2" w:rsidTr="00E11B7F">
        <w:tc>
          <w:tcPr>
            <w:tcW w:w="440" w:type="dxa"/>
            <w:vAlign w:val="center"/>
          </w:tcPr>
          <w:p w:rsidR="007333F2" w:rsidRDefault="007333F2" w:rsidP="00F56913">
            <w:pPr>
              <w:jc w:val="both"/>
              <w:rPr>
                <w:lang w:val="es-CL"/>
              </w:rPr>
            </w:pPr>
            <w:r>
              <w:rPr>
                <w:lang w:val="es-CL"/>
              </w:rPr>
              <w:t>02</w:t>
            </w:r>
          </w:p>
        </w:tc>
        <w:tc>
          <w:tcPr>
            <w:tcW w:w="2107" w:type="dxa"/>
          </w:tcPr>
          <w:p w:rsidR="007333F2" w:rsidRDefault="007333F2" w:rsidP="00F56913">
            <w:pPr>
              <w:jc w:val="both"/>
              <w:rPr>
                <w:lang w:val="es-CL"/>
              </w:rPr>
            </w:pPr>
            <w:r>
              <w:rPr>
                <w:lang w:val="es-CL"/>
              </w:rPr>
              <w:t>CNEL El Oro</w:t>
            </w:r>
          </w:p>
        </w:tc>
        <w:tc>
          <w:tcPr>
            <w:tcW w:w="1417" w:type="dxa"/>
          </w:tcPr>
          <w:p w:rsidR="007333F2" w:rsidRDefault="007333F2" w:rsidP="007333F2">
            <w:pPr>
              <w:jc w:val="center"/>
              <w:rPr>
                <w:lang w:val="es-CL"/>
              </w:rPr>
            </w:pPr>
            <w:r>
              <w:rPr>
                <w:lang w:val="es-CL"/>
              </w:rPr>
              <w:t>937</w:t>
            </w:r>
          </w:p>
        </w:tc>
        <w:tc>
          <w:tcPr>
            <w:tcW w:w="1276" w:type="dxa"/>
          </w:tcPr>
          <w:p w:rsidR="007333F2" w:rsidRDefault="007333F2" w:rsidP="007333F2">
            <w:pPr>
              <w:jc w:val="center"/>
              <w:rPr>
                <w:lang w:val="es-CL"/>
              </w:rPr>
            </w:pPr>
            <w:r>
              <w:rPr>
                <w:lang w:val="es-CL"/>
              </w:rPr>
              <w:t>1376</w:t>
            </w:r>
          </w:p>
        </w:tc>
        <w:tc>
          <w:tcPr>
            <w:tcW w:w="2004" w:type="dxa"/>
          </w:tcPr>
          <w:p w:rsidR="007333F2" w:rsidRDefault="007333F2" w:rsidP="007333F2">
            <w:pPr>
              <w:jc w:val="center"/>
              <w:rPr>
                <w:lang w:val="es-CL"/>
              </w:rPr>
            </w:pPr>
            <w:r>
              <w:rPr>
                <w:lang w:val="es-CL"/>
              </w:rPr>
              <w:t>151.57</w:t>
            </w:r>
          </w:p>
        </w:tc>
        <w:tc>
          <w:tcPr>
            <w:tcW w:w="1584" w:type="dxa"/>
          </w:tcPr>
          <w:p w:rsidR="007333F2" w:rsidRDefault="007333F2" w:rsidP="007333F2">
            <w:pPr>
              <w:jc w:val="center"/>
              <w:rPr>
                <w:lang w:val="es-CL"/>
              </w:rPr>
            </w:pPr>
            <w:r>
              <w:rPr>
                <w:lang w:val="es-CL"/>
              </w:rPr>
              <w:t>0.35</w:t>
            </w:r>
          </w:p>
        </w:tc>
      </w:tr>
      <w:tr w:rsidR="007333F2" w:rsidTr="00E11B7F">
        <w:tc>
          <w:tcPr>
            <w:tcW w:w="440" w:type="dxa"/>
            <w:vAlign w:val="center"/>
          </w:tcPr>
          <w:p w:rsidR="007333F2" w:rsidRDefault="007333F2" w:rsidP="00F56913">
            <w:pPr>
              <w:jc w:val="both"/>
              <w:rPr>
                <w:lang w:val="es-CL"/>
              </w:rPr>
            </w:pPr>
            <w:r>
              <w:rPr>
                <w:lang w:val="es-CL"/>
              </w:rPr>
              <w:t>03</w:t>
            </w:r>
          </w:p>
        </w:tc>
        <w:tc>
          <w:tcPr>
            <w:tcW w:w="2107" w:type="dxa"/>
          </w:tcPr>
          <w:p w:rsidR="007333F2" w:rsidRDefault="007333F2" w:rsidP="00F56913">
            <w:pPr>
              <w:jc w:val="both"/>
              <w:rPr>
                <w:lang w:val="es-CL"/>
              </w:rPr>
            </w:pPr>
            <w:r>
              <w:rPr>
                <w:lang w:val="es-CL"/>
              </w:rPr>
              <w:t>CNEL Guayaquil</w:t>
            </w:r>
          </w:p>
        </w:tc>
        <w:tc>
          <w:tcPr>
            <w:tcW w:w="1417" w:type="dxa"/>
          </w:tcPr>
          <w:p w:rsidR="007333F2" w:rsidRDefault="007333F2" w:rsidP="007333F2">
            <w:pPr>
              <w:jc w:val="center"/>
              <w:rPr>
                <w:lang w:val="es-CL"/>
              </w:rPr>
            </w:pPr>
            <w:r>
              <w:rPr>
                <w:lang w:val="es-CL"/>
              </w:rPr>
              <w:t>4751</w:t>
            </w:r>
          </w:p>
        </w:tc>
        <w:tc>
          <w:tcPr>
            <w:tcW w:w="1276" w:type="dxa"/>
          </w:tcPr>
          <w:p w:rsidR="007333F2" w:rsidRDefault="007333F2" w:rsidP="007333F2">
            <w:pPr>
              <w:jc w:val="center"/>
              <w:rPr>
                <w:lang w:val="es-CL"/>
              </w:rPr>
            </w:pPr>
            <w:r>
              <w:rPr>
                <w:lang w:val="es-CL"/>
              </w:rPr>
              <w:t>7427</w:t>
            </w:r>
          </w:p>
        </w:tc>
        <w:tc>
          <w:tcPr>
            <w:tcW w:w="2004" w:type="dxa"/>
          </w:tcPr>
          <w:p w:rsidR="007333F2" w:rsidRDefault="007333F2" w:rsidP="007333F2">
            <w:pPr>
              <w:jc w:val="center"/>
              <w:rPr>
                <w:lang w:val="es-CL"/>
              </w:rPr>
            </w:pPr>
            <w:r>
              <w:rPr>
                <w:lang w:val="es-CL"/>
              </w:rPr>
              <w:t>236.97</w:t>
            </w:r>
          </w:p>
        </w:tc>
        <w:tc>
          <w:tcPr>
            <w:tcW w:w="1584" w:type="dxa"/>
          </w:tcPr>
          <w:p w:rsidR="007333F2" w:rsidRDefault="007333F2" w:rsidP="007333F2">
            <w:pPr>
              <w:jc w:val="center"/>
              <w:rPr>
                <w:lang w:val="es-CL"/>
              </w:rPr>
            </w:pPr>
            <w:r>
              <w:rPr>
                <w:lang w:val="es-CL"/>
              </w:rPr>
              <w:t>0.09</w:t>
            </w:r>
          </w:p>
        </w:tc>
      </w:tr>
      <w:tr w:rsidR="007333F2" w:rsidTr="00E11B7F">
        <w:tc>
          <w:tcPr>
            <w:tcW w:w="440" w:type="dxa"/>
            <w:vAlign w:val="center"/>
          </w:tcPr>
          <w:p w:rsidR="007333F2" w:rsidRDefault="007333F2" w:rsidP="00F56913">
            <w:pPr>
              <w:jc w:val="both"/>
              <w:rPr>
                <w:lang w:val="es-CL"/>
              </w:rPr>
            </w:pPr>
            <w:r>
              <w:rPr>
                <w:lang w:val="es-CL"/>
              </w:rPr>
              <w:t>04</w:t>
            </w:r>
          </w:p>
        </w:tc>
        <w:tc>
          <w:tcPr>
            <w:tcW w:w="2107" w:type="dxa"/>
          </w:tcPr>
          <w:p w:rsidR="007333F2" w:rsidRDefault="007333F2" w:rsidP="00F56913">
            <w:pPr>
              <w:jc w:val="both"/>
              <w:rPr>
                <w:lang w:val="es-CL"/>
              </w:rPr>
            </w:pPr>
            <w:r>
              <w:rPr>
                <w:lang w:val="es-CL"/>
              </w:rPr>
              <w:t>CNEL Santa Elena</w:t>
            </w:r>
          </w:p>
        </w:tc>
        <w:tc>
          <w:tcPr>
            <w:tcW w:w="1417" w:type="dxa"/>
          </w:tcPr>
          <w:p w:rsidR="007333F2" w:rsidRDefault="007333F2" w:rsidP="007333F2">
            <w:pPr>
              <w:jc w:val="center"/>
              <w:rPr>
                <w:lang w:val="es-CL"/>
              </w:rPr>
            </w:pPr>
            <w:r>
              <w:rPr>
                <w:lang w:val="es-CL"/>
              </w:rPr>
              <w:t>552</w:t>
            </w:r>
          </w:p>
        </w:tc>
        <w:tc>
          <w:tcPr>
            <w:tcW w:w="1276" w:type="dxa"/>
          </w:tcPr>
          <w:p w:rsidR="007333F2" w:rsidRDefault="007333F2" w:rsidP="007333F2">
            <w:pPr>
              <w:jc w:val="center"/>
              <w:rPr>
                <w:lang w:val="es-CL"/>
              </w:rPr>
            </w:pPr>
            <w:r>
              <w:rPr>
                <w:lang w:val="es-CL"/>
              </w:rPr>
              <w:t>805</w:t>
            </w:r>
          </w:p>
        </w:tc>
        <w:tc>
          <w:tcPr>
            <w:tcW w:w="2004" w:type="dxa"/>
          </w:tcPr>
          <w:p w:rsidR="007333F2" w:rsidRDefault="007333F2" w:rsidP="007333F2">
            <w:pPr>
              <w:jc w:val="center"/>
              <w:rPr>
                <w:lang w:val="es-CL"/>
              </w:rPr>
            </w:pPr>
            <w:r>
              <w:rPr>
                <w:lang w:val="es-CL"/>
              </w:rPr>
              <w:t>150.47</w:t>
            </w:r>
          </w:p>
        </w:tc>
        <w:tc>
          <w:tcPr>
            <w:tcW w:w="1584" w:type="dxa"/>
          </w:tcPr>
          <w:p w:rsidR="007333F2" w:rsidRDefault="007333F2" w:rsidP="007333F2">
            <w:pPr>
              <w:jc w:val="center"/>
              <w:rPr>
                <w:lang w:val="es-CL"/>
              </w:rPr>
            </w:pPr>
            <w:r>
              <w:rPr>
                <w:lang w:val="es-CL"/>
              </w:rPr>
              <w:t>0.59</w:t>
            </w:r>
          </w:p>
        </w:tc>
      </w:tr>
      <w:tr w:rsidR="007333F2" w:rsidTr="00E11B7F">
        <w:tc>
          <w:tcPr>
            <w:tcW w:w="440" w:type="dxa"/>
            <w:vAlign w:val="center"/>
          </w:tcPr>
          <w:p w:rsidR="007333F2" w:rsidRDefault="007333F2" w:rsidP="00F56913">
            <w:pPr>
              <w:jc w:val="both"/>
              <w:rPr>
                <w:lang w:val="es-CL"/>
              </w:rPr>
            </w:pPr>
            <w:r>
              <w:rPr>
                <w:lang w:val="es-CL"/>
              </w:rPr>
              <w:t>05</w:t>
            </w:r>
          </w:p>
        </w:tc>
        <w:tc>
          <w:tcPr>
            <w:tcW w:w="2107" w:type="dxa"/>
          </w:tcPr>
          <w:p w:rsidR="007333F2" w:rsidRDefault="007333F2" w:rsidP="00F56913">
            <w:pPr>
              <w:jc w:val="both"/>
              <w:rPr>
                <w:lang w:val="es-CL"/>
              </w:rPr>
            </w:pPr>
            <w:r>
              <w:rPr>
                <w:lang w:val="es-CL"/>
              </w:rPr>
              <w:t>EE Cotopaxi</w:t>
            </w:r>
          </w:p>
        </w:tc>
        <w:tc>
          <w:tcPr>
            <w:tcW w:w="1417" w:type="dxa"/>
          </w:tcPr>
          <w:p w:rsidR="007333F2" w:rsidRDefault="007333F2" w:rsidP="007333F2">
            <w:pPr>
              <w:jc w:val="center"/>
              <w:rPr>
                <w:lang w:val="es-CL"/>
              </w:rPr>
            </w:pPr>
            <w:r>
              <w:rPr>
                <w:lang w:val="es-CL"/>
              </w:rPr>
              <w:t>424</w:t>
            </w:r>
          </w:p>
        </w:tc>
        <w:tc>
          <w:tcPr>
            <w:tcW w:w="1276" w:type="dxa"/>
          </w:tcPr>
          <w:p w:rsidR="007333F2" w:rsidRDefault="007333F2" w:rsidP="007333F2">
            <w:pPr>
              <w:jc w:val="center"/>
              <w:rPr>
                <w:lang w:val="es-CL"/>
              </w:rPr>
            </w:pPr>
            <w:r>
              <w:rPr>
                <w:lang w:val="es-CL"/>
              </w:rPr>
              <w:t>616</w:t>
            </w:r>
          </w:p>
        </w:tc>
        <w:tc>
          <w:tcPr>
            <w:tcW w:w="2004" w:type="dxa"/>
          </w:tcPr>
          <w:p w:rsidR="007333F2" w:rsidRDefault="007333F2" w:rsidP="007333F2">
            <w:pPr>
              <w:jc w:val="center"/>
              <w:rPr>
                <w:lang w:val="es-CL"/>
              </w:rPr>
            </w:pPr>
            <w:r>
              <w:rPr>
                <w:lang w:val="es-CL"/>
              </w:rPr>
              <w:t>104.63</w:t>
            </w:r>
          </w:p>
        </w:tc>
        <w:tc>
          <w:tcPr>
            <w:tcW w:w="1584" w:type="dxa"/>
          </w:tcPr>
          <w:p w:rsidR="007333F2" w:rsidRDefault="007333F2" w:rsidP="007333F2">
            <w:pPr>
              <w:jc w:val="center"/>
              <w:rPr>
                <w:lang w:val="es-CL"/>
              </w:rPr>
            </w:pPr>
            <w:r>
              <w:rPr>
                <w:lang w:val="es-CL"/>
              </w:rPr>
              <w:t>0.54</w:t>
            </w:r>
          </w:p>
        </w:tc>
      </w:tr>
    </w:tbl>
    <w:p w:rsidR="007333F2" w:rsidRDefault="007333F2" w:rsidP="00F56913">
      <w:pPr>
        <w:jc w:val="both"/>
        <w:rPr>
          <w:lang w:val="es-CL"/>
        </w:rPr>
      </w:pPr>
    </w:p>
    <w:p w:rsidR="008A2787" w:rsidRPr="008A2787" w:rsidRDefault="007333F2" w:rsidP="008A2787">
      <w:pPr>
        <w:spacing w:after="0"/>
        <w:jc w:val="center"/>
        <w:rPr>
          <w:b/>
          <w:lang w:val="es-CL"/>
        </w:rPr>
      </w:pPr>
      <w:r w:rsidRPr="008A2787">
        <w:rPr>
          <w:b/>
          <w:lang w:val="es-CL"/>
        </w:rPr>
        <w:t xml:space="preserve">Tabla N°8 Proyección CAO&amp;M de Empresas Distribuidoras </w:t>
      </w:r>
      <w:r w:rsidR="008A2787" w:rsidRPr="008A2787">
        <w:rPr>
          <w:b/>
          <w:lang w:val="es-CL"/>
        </w:rPr>
        <w:t>(</w:t>
      </w:r>
      <w:r w:rsidR="00DD2D9F">
        <w:rPr>
          <w:b/>
          <w:lang w:val="es-CL"/>
        </w:rPr>
        <w:t>¢</w:t>
      </w:r>
      <w:r w:rsidR="008A2787" w:rsidRPr="008A2787">
        <w:rPr>
          <w:b/>
          <w:lang w:val="es-CL"/>
        </w:rPr>
        <w:t>US$/kWh)</w:t>
      </w:r>
    </w:p>
    <w:p w:rsidR="007333F2" w:rsidRPr="008A2787" w:rsidRDefault="008A2787" w:rsidP="008A2787">
      <w:pPr>
        <w:spacing w:after="0"/>
        <w:jc w:val="center"/>
        <w:rPr>
          <w:b/>
          <w:lang w:val="es-CL"/>
        </w:rPr>
      </w:pPr>
      <w:r w:rsidRPr="008A2787">
        <w:rPr>
          <w:b/>
          <w:lang w:val="es-CL"/>
        </w:rPr>
        <w:t>S</w:t>
      </w:r>
      <w:r w:rsidR="007333F2" w:rsidRPr="008A2787">
        <w:rPr>
          <w:b/>
          <w:lang w:val="es-CL"/>
        </w:rPr>
        <w:t>egún PME 2016-2025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711"/>
        <w:gridCol w:w="711"/>
        <w:gridCol w:w="710"/>
        <w:gridCol w:w="710"/>
        <w:gridCol w:w="710"/>
        <w:gridCol w:w="710"/>
        <w:gridCol w:w="710"/>
        <w:gridCol w:w="710"/>
        <w:gridCol w:w="730"/>
      </w:tblGrid>
      <w:tr w:rsidR="008A2787" w:rsidTr="00E11B7F">
        <w:trPr>
          <w:jc w:val="center"/>
        </w:trPr>
        <w:tc>
          <w:tcPr>
            <w:tcW w:w="711" w:type="dxa"/>
            <w:shd w:val="clear" w:color="auto" w:fill="D9E2F3" w:themeFill="accent1" w:themeFillTint="33"/>
          </w:tcPr>
          <w:p w:rsidR="008A2787" w:rsidRPr="008A2787" w:rsidRDefault="008A2787" w:rsidP="008A2787">
            <w:pPr>
              <w:jc w:val="both"/>
              <w:rPr>
                <w:b/>
                <w:lang w:val="es-CL"/>
              </w:rPr>
            </w:pPr>
            <w:r w:rsidRPr="008A2787">
              <w:rPr>
                <w:b/>
                <w:lang w:val="es-CL"/>
              </w:rPr>
              <w:t>2016</w:t>
            </w:r>
          </w:p>
        </w:tc>
        <w:tc>
          <w:tcPr>
            <w:tcW w:w="711" w:type="dxa"/>
            <w:shd w:val="clear" w:color="auto" w:fill="D9E2F3" w:themeFill="accent1" w:themeFillTint="33"/>
          </w:tcPr>
          <w:p w:rsidR="008A2787" w:rsidRPr="008A2787" w:rsidRDefault="008A2787" w:rsidP="008A2787">
            <w:pPr>
              <w:jc w:val="both"/>
              <w:rPr>
                <w:b/>
                <w:lang w:val="es-CL"/>
              </w:rPr>
            </w:pPr>
            <w:r w:rsidRPr="008A2787">
              <w:rPr>
                <w:b/>
                <w:lang w:val="es-CL"/>
              </w:rPr>
              <w:t>2017</w:t>
            </w:r>
          </w:p>
        </w:tc>
        <w:tc>
          <w:tcPr>
            <w:tcW w:w="711" w:type="dxa"/>
            <w:shd w:val="clear" w:color="auto" w:fill="D9E2F3" w:themeFill="accent1" w:themeFillTint="33"/>
          </w:tcPr>
          <w:p w:rsidR="008A2787" w:rsidRPr="008A2787" w:rsidRDefault="008A2787" w:rsidP="008A2787">
            <w:pPr>
              <w:jc w:val="both"/>
              <w:rPr>
                <w:b/>
                <w:lang w:val="es-CL"/>
              </w:rPr>
            </w:pPr>
            <w:r w:rsidRPr="008A2787">
              <w:rPr>
                <w:b/>
                <w:lang w:val="es-CL"/>
              </w:rPr>
              <w:t>2018</w:t>
            </w:r>
          </w:p>
        </w:tc>
        <w:tc>
          <w:tcPr>
            <w:tcW w:w="710" w:type="dxa"/>
            <w:shd w:val="clear" w:color="auto" w:fill="D9E2F3" w:themeFill="accent1" w:themeFillTint="33"/>
          </w:tcPr>
          <w:p w:rsidR="008A2787" w:rsidRPr="008A2787" w:rsidRDefault="008A2787" w:rsidP="008A2787">
            <w:pPr>
              <w:jc w:val="both"/>
              <w:rPr>
                <w:b/>
                <w:lang w:val="es-CL"/>
              </w:rPr>
            </w:pPr>
            <w:r w:rsidRPr="008A2787">
              <w:rPr>
                <w:b/>
                <w:lang w:val="es-CL"/>
              </w:rPr>
              <w:t>2019</w:t>
            </w:r>
          </w:p>
        </w:tc>
        <w:tc>
          <w:tcPr>
            <w:tcW w:w="710" w:type="dxa"/>
            <w:shd w:val="clear" w:color="auto" w:fill="D9E2F3" w:themeFill="accent1" w:themeFillTint="33"/>
          </w:tcPr>
          <w:p w:rsidR="008A2787" w:rsidRPr="008A2787" w:rsidRDefault="008A2787" w:rsidP="008A2787">
            <w:pPr>
              <w:jc w:val="both"/>
              <w:rPr>
                <w:b/>
                <w:lang w:val="es-CL"/>
              </w:rPr>
            </w:pPr>
            <w:r w:rsidRPr="008A2787">
              <w:rPr>
                <w:b/>
                <w:lang w:val="es-CL"/>
              </w:rPr>
              <w:t>2020</w:t>
            </w:r>
          </w:p>
        </w:tc>
        <w:tc>
          <w:tcPr>
            <w:tcW w:w="710" w:type="dxa"/>
            <w:shd w:val="clear" w:color="auto" w:fill="D9E2F3" w:themeFill="accent1" w:themeFillTint="33"/>
          </w:tcPr>
          <w:p w:rsidR="008A2787" w:rsidRPr="008A2787" w:rsidRDefault="008A2787" w:rsidP="008A2787">
            <w:pPr>
              <w:jc w:val="both"/>
              <w:rPr>
                <w:b/>
                <w:lang w:val="es-CL"/>
              </w:rPr>
            </w:pPr>
            <w:r w:rsidRPr="008A2787">
              <w:rPr>
                <w:b/>
                <w:lang w:val="es-CL"/>
              </w:rPr>
              <w:t>2021</w:t>
            </w:r>
          </w:p>
        </w:tc>
        <w:tc>
          <w:tcPr>
            <w:tcW w:w="710" w:type="dxa"/>
            <w:shd w:val="clear" w:color="auto" w:fill="D9E2F3" w:themeFill="accent1" w:themeFillTint="33"/>
          </w:tcPr>
          <w:p w:rsidR="008A2787" w:rsidRPr="008A2787" w:rsidRDefault="008A2787" w:rsidP="008A2787">
            <w:pPr>
              <w:jc w:val="both"/>
              <w:rPr>
                <w:b/>
                <w:lang w:val="es-CL"/>
              </w:rPr>
            </w:pPr>
            <w:r w:rsidRPr="008A2787">
              <w:rPr>
                <w:b/>
                <w:lang w:val="es-CL"/>
              </w:rPr>
              <w:t>2022</w:t>
            </w:r>
          </w:p>
        </w:tc>
        <w:tc>
          <w:tcPr>
            <w:tcW w:w="710" w:type="dxa"/>
            <w:shd w:val="clear" w:color="auto" w:fill="D9E2F3" w:themeFill="accent1" w:themeFillTint="33"/>
          </w:tcPr>
          <w:p w:rsidR="008A2787" w:rsidRPr="008A2787" w:rsidRDefault="008A2787" w:rsidP="008A2787">
            <w:pPr>
              <w:jc w:val="both"/>
              <w:rPr>
                <w:b/>
                <w:lang w:val="es-CL"/>
              </w:rPr>
            </w:pPr>
            <w:r w:rsidRPr="008A2787">
              <w:rPr>
                <w:b/>
                <w:lang w:val="es-CL"/>
              </w:rPr>
              <w:t>2023</w:t>
            </w:r>
          </w:p>
        </w:tc>
        <w:tc>
          <w:tcPr>
            <w:tcW w:w="710" w:type="dxa"/>
            <w:shd w:val="clear" w:color="auto" w:fill="D9E2F3" w:themeFill="accent1" w:themeFillTint="33"/>
          </w:tcPr>
          <w:p w:rsidR="008A2787" w:rsidRPr="008A2787" w:rsidRDefault="008A2787" w:rsidP="008A2787">
            <w:pPr>
              <w:jc w:val="both"/>
              <w:rPr>
                <w:b/>
                <w:lang w:val="es-CL"/>
              </w:rPr>
            </w:pPr>
            <w:r w:rsidRPr="008A2787">
              <w:rPr>
                <w:b/>
                <w:lang w:val="es-CL"/>
              </w:rPr>
              <w:t>2024</w:t>
            </w:r>
          </w:p>
        </w:tc>
        <w:tc>
          <w:tcPr>
            <w:tcW w:w="730" w:type="dxa"/>
            <w:shd w:val="clear" w:color="auto" w:fill="D9E2F3" w:themeFill="accent1" w:themeFillTint="33"/>
          </w:tcPr>
          <w:p w:rsidR="008A2787" w:rsidRPr="008A2787" w:rsidRDefault="008A2787" w:rsidP="008A2787">
            <w:pPr>
              <w:jc w:val="both"/>
              <w:rPr>
                <w:b/>
                <w:lang w:val="es-CL"/>
              </w:rPr>
            </w:pPr>
            <w:r w:rsidRPr="008A2787">
              <w:rPr>
                <w:b/>
                <w:lang w:val="es-CL"/>
              </w:rPr>
              <w:t>2025-</w:t>
            </w:r>
          </w:p>
        </w:tc>
      </w:tr>
      <w:tr w:rsidR="008A2787" w:rsidTr="00E11B7F">
        <w:trPr>
          <w:jc w:val="center"/>
        </w:trPr>
        <w:tc>
          <w:tcPr>
            <w:tcW w:w="711" w:type="dxa"/>
          </w:tcPr>
          <w:p w:rsidR="008A2787" w:rsidRPr="00C03FDD" w:rsidRDefault="008A2787" w:rsidP="008A2787">
            <w:r w:rsidRPr="00C03FDD">
              <w:t>4,41</w:t>
            </w:r>
          </w:p>
        </w:tc>
        <w:tc>
          <w:tcPr>
            <w:tcW w:w="711" w:type="dxa"/>
          </w:tcPr>
          <w:p w:rsidR="008A2787" w:rsidRPr="00C03FDD" w:rsidRDefault="008A2787" w:rsidP="008A2787">
            <w:r w:rsidRPr="00C03FDD">
              <w:t>4,89</w:t>
            </w:r>
          </w:p>
        </w:tc>
        <w:tc>
          <w:tcPr>
            <w:tcW w:w="711" w:type="dxa"/>
          </w:tcPr>
          <w:p w:rsidR="008A2787" w:rsidRPr="00C03FDD" w:rsidRDefault="008A2787" w:rsidP="008A2787">
            <w:r w:rsidRPr="00C03FDD">
              <w:t>4,72</w:t>
            </w:r>
          </w:p>
        </w:tc>
        <w:tc>
          <w:tcPr>
            <w:tcW w:w="710" w:type="dxa"/>
          </w:tcPr>
          <w:p w:rsidR="008A2787" w:rsidRPr="00C03FDD" w:rsidRDefault="008A2787" w:rsidP="008A2787">
            <w:r w:rsidRPr="00C03FDD">
              <w:t>4,71</w:t>
            </w:r>
          </w:p>
        </w:tc>
        <w:tc>
          <w:tcPr>
            <w:tcW w:w="710" w:type="dxa"/>
          </w:tcPr>
          <w:p w:rsidR="008A2787" w:rsidRPr="00C03FDD" w:rsidRDefault="008A2787" w:rsidP="008A2787">
            <w:r w:rsidRPr="00C03FDD">
              <w:t>4,83</w:t>
            </w:r>
          </w:p>
        </w:tc>
        <w:tc>
          <w:tcPr>
            <w:tcW w:w="710" w:type="dxa"/>
          </w:tcPr>
          <w:p w:rsidR="008A2787" w:rsidRPr="00C03FDD" w:rsidRDefault="008A2787" w:rsidP="008A2787">
            <w:r w:rsidRPr="00C03FDD">
              <w:t>4,81</w:t>
            </w:r>
          </w:p>
        </w:tc>
        <w:tc>
          <w:tcPr>
            <w:tcW w:w="710" w:type="dxa"/>
          </w:tcPr>
          <w:p w:rsidR="008A2787" w:rsidRPr="00C03FDD" w:rsidRDefault="008A2787" w:rsidP="008A2787">
            <w:r w:rsidRPr="00C03FDD">
              <w:t>4,77</w:t>
            </w:r>
          </w:p>
        </w:tc>
        <w:tc>
          <w:tcPr>
            <w:tcW w:w="710" w:type="dxa"/>
          </w:tcPr>
          <w:p w:rsidR="008A2787" w:rsidRPr="00C03FDD" w:rsidRDefault="008A2787" w:rsidP="008A2787">
            <w:r w:rsidRPr="00C03FDD">
              <w:t>4,72</w:t>
            </w:r>
          </w:p>
        </w:tc>
        <w:tc>
          <w:tcPr>
            <w:tcW w:w="710" w:type="dxa"/>
          </w:tcPr>
          <w:p w:rsidR="008A2787" w:rsidRPr="00C03FDD" w:rsidRDefault="008A2787" w:rsidP="008A2787">
            <w:r w:rsidRPr="00C03FDD">
              <w:t>4,89</w:t>
            </w:r>
          </w:p>
        </w:tc>
        <w:tc>
          <w:tcPr>
            <w:tcW w:w="730" w:type="dxa"/>
          </w:tcPr>
          <w:p w:rsidR="008A2787" w:rsidRDefault="008A2787" w:rsidP="008A2787">
            <w:r w:rsidRPr="00C03FDD">
              <w:t>4,76</w:t>
            </w:r>
          </w:p>
        </w:tc>
      </w:tr>
    </w:tbl>
    <w:p w:rsidR="00E13EE2" w:rsidRDefault="00E13EE2" w:rsidP="008A2787">
      <w:pPr>
        <w:jc w:val="both"/>
        <w:rPr>
          <w:lang w:val="es-CL"/>
        </w:rPr>
      </w:pPr>
    </w:p>
    <w:p w:rsidR="008A2787" w:rsidRDefault="008A2787" w:rsidP="008A2787">
      <w:pPr>
        <w:jc w:val="both"/>
        <w:rPr>
          <w:lang w:val="es-CL"/>
        </w:rPr>
      </w:pPr>
      <w:r>
        <w:rPr>
          <w:lang w:val="es-CL"/>
        </w:rPr>
        <w:t>Con estos antecedentes, se obtienen los resultados que muestra la tabla siguiente:</w:t>
      </w:r>
    </w:p>
    <w:p w:rsidR="008A2787" w:rsidRPr="009D4BF0" w:rsidRDefault="008A2787" w:rsidP="008A2787">
      <w:pPr>
        <w:spacing w:after="0"/>
        <w:jc w:val="center"/>
        <w:rPr>
          <w:b/>
          <w:lang w:val="es-CL"/>
        </w:rPr>
      </w:pPr>
      <w:r w:rsidRPr="009D4BF0">
        <w:rPr>
          <w:b/>
          <w:lang w:val="es-CL"/>
        </w:rPr>
        <w:t>Tabla N°9. Resultados Evaluación Económica</w:t>
      </w:r>
    </w:p>
    <w:p w:rsidR="008A2787" w:rsidRPr="0019435C" w:rsidRDefault="008A2787" w:rsidP="008A2787">
      <w:pPr>
        <w:spacing w:after="0"/>
        <w:jc w:val="center"/>
        <w:rPr>
          <w:b/>
          <w:lang w:val="es-CL"/>
        </w:rPr>
      </w:pPr>
      <w:r w:rsidRPr="009D4BF0">
        <w:rPr>
          <w:b/>
          <w:lang w:val="es-CL"/>
        </w:rPr>
        <w:t>Proyectos del Componente I: Expansión y Reforzamiento del SNT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276"/>
        <w:gridCol w:w="1418"/>
        <w:gridCol w:w="708"/>
      </w:tblGrid>
      <w:tr w:rsidR="008A2787" w:rsidRPr="00544D52" w:rsidTr="00E11B7F">
        <w:trPr>
          <w:jc w:val="center"/>
        </w:trPr>
        <w:tc>
          <w:tcPr>
            <w:tcW w:w="1984" w:type="dxa"/>
            <w:vMerge w:val="restart"/>
            <w:shd w:val="clear" w:color="auto" w:fill="FFD966" w:themeFill="accent4" w:themeFillTint="99"/>
            <w:vAlign w:val="center"/>
          </w:tcPr>
          <w:p w:rsidR="008A2787" w:rsidRPr="00544D52" w:rsidRDefault="008A2787" w:rsidP="00213901">
            <w:pPr>
              <w:jc w:val="center"/>
              <w:rPr>
                <w:b/>
                <w:sz w:val="16"/>
                <w:lang w:val="es-CL"/>
              </w:rPr>
            </w:pPr>
            <w:r w:rsidRPr="00544D52">
              <w:rPr>
                <w:b/>
                <w:sz w:val="16"/>
                <w:lang w:val="es-CL"/>
              </w:rPr>
              <w:t>Proyectos</w:t>
            </w:r>
          </w:p>
        </w:tc>
        <w:tc>
          <w:tcPr>
            <w:tcW w:w="1276" w:type="dxa"/>
            <w:vMerge w:val="restart"/>
            <w:shd w:val="clear" w:color="auto" w:fill="FFD966" w:themeFill="accent4" w:themeFillTint="99"/>
            <w:vAlign w:val="center"/>
          </w:tcPr>
          <w:p w:rsidR="008A2787" w:rsidRPr="00544D52" w:rsidRDefault="008A2787" w:rsidP="00213901">
            <w:pPr>
              <w:jc w:val="center"/>
              <w:rPr>
                <w:b/>
                <w:sz w:val="16"/>
                <w:lang w:val="es-CL"/>
              </w:rPr>
            </w:pPr>
            <w:r w:rsidRPr="00544D52">
              <w:rPr>
                <w:b/>
                <w:sz w:val="16"/>
                <w:lang w:val="es-CL"/>
              </w:rPr>
              <w:t xml:space="preserve">Inversión </w:t>
            </w:r>
            <w:r>
              <w:rPr>
                <w:b/>
                <w:sz w:val="16"/>
                <w:lang w:val="es-CL"/>
              </w:rPr>
              <w:t xml:space="preserve">Económica US$ </w:t>
            </w:r>
            <w:r w:rsidRPr="00544D52">
              <w:rPr>
                <w:b/>
                <w:sz w:val="16"/>
                <w:lang w:val="es-CL"/>
              </w:rPr>
              <w:t>(sin IVA)</w:t>
            </w:r>
          </w:p>
        </w:tc>
        <w:tc>
          <w:tcPr>
            <w:tcW w:w="2126" w:type="dxa"/>
            <w:gridSpan w:val="2"/>
            <w:shd w:val="clear" w:color="auto" w:fill="FFD966" w:themeFill="accent4" w:themeFillTint="99"/>
            <w:vAlign w:val="center"/>
          </w:tcPr>
          <w:p w:rsidR="008A2787" w:rsidRPr="00544D52" w:rsidRDefault="008A2787" w:rsidP="00213901">
            <w:pPr>
              <w:jc w:val="center"/>
              <w:rPr>
                <w:b/>
                <w:sz w:val="16"/>
                <w:lang w:val="es-CL"/>
              </w:rPr>
            </w:pPr>
            <w:r>
              <w:rPr>
                <w:b/>
                <w:sz w:val="16"/>
                <w:lang w:val="es-CL"/>
              </w:rPr>
              <w:t>Indicadores Económicos</w:t>
            </w:r>
          </w:p>
        </w:tc>
      </w:tr>
      <w:tr w:rsidR="008A2787" w:rsidRPr="00544D52" w:rsidTr="00E11B7F">
        <w:trPr>
          <w:jc w:val="center"/>
        </w:trPr>
        <w:tc>
          <w:tcPr>
            <w:tcW w:w="1984" w:type="dxa"/>
            <w:vMerge/>
            <w:shd w:val="clear" w:color="auto" w:fill="FFD966" w:themeFill="accent4" w:themeFillTint="99"/>
            <w:vAlign w:val="center"/>
          </w:tcPr>
          <w:p w:rsidR="008A2787" w:rsidRPr="00544D52" w:rsidRDefault="008A2787" w:rsidP="00213901">
            <w:pPr>
              <w:jc w:val="center"/>
              <w:rPr>
                <w:b/>
                <w:sz w:val="16"/>
                <w:lang w:val="es-CL"/>
              </w:rPr>
            </w:pPr>
          </w:p>
        </w:tc>
        <w:tc>
          <w:tcPr>
            <w:tcW w:w="1276" w:type="dxa"/>
            <w:vMerge/>
            <w:shd w:val="clear" w:color="auto" w:fill="FFD966" w:themeFill="accent4" w:themeFillTint="99"/>
            <w:vAlign w:val="center"/>
          </w:tcPr>
          <w:p w:rsidR="008A2787" w:rsidRPr="00544D52" w:rsidRDefault="008A2787" w:rsidP="00213901">
            <w:pPr>
              <w:jc w:val="center"/>
              <w:rPr>
                <w:b/>
                <w:sz w:val="16"/>
                <w:lang w:val="es-CL"/>
              </w:rPr>
            </w:pPr>
          </w:p>
        </w:tc>
        <w:tc>
          <w:tcPr>
            <w:tcW w:w="1418" w:type="dxa"/>
            <w:shd w:val="clear" w:color="auto" w:fill="FFD966" w:themeFill="accent4" w:themeFillTint="99"/>
            <w:vAlign w:val="center"/>
          </w:tcPr>
          <w:p w:rsidR="008A2787" w:rsidRPr="00544D52" w:rsidRDefault="008A2787" w:rsidP="00213901">
            <w:pPr>
              <w:jc w:val="center"/>
              <w:rPr>
                <w:b/>
                <w:sz w:val="16"/>
                <w:lang w:val="es-CL"/>
              </w:rPr>
            </w:pPr>
            <w:r w:rsidRPr="00544D52">
              <w:rPr>
                <w:b/>
                <w:sz w:val="16"/>
                <w:lang w:val="es-CL"/>
              </w:rPr>
              <w:t xml:space="preserve">VAN </w:t>
            </w:r>
            <w:r>
              <w:rPr>
                <w:b/>
                <w:sz w:val="16"/>
                <w:lang w:val="es-CL"/>
              </w:rPr>
              <w:t>E (US$)</w:t>
            </w:r>
          </w:p>
        </w:tc>
        <w:tc>
          <w:tcPr>
            <w:tcW w:w="708" w:type="dxa"/>
            <w:shd w:val="clear" w:color="auto" w:fill="FFD966" w:themeFill="accent4" w:themeFillTint="99"/>
            <w:vAlign w:val="center"/>
          </w:tcPr>
          <w:p w:rsidR="008A2787" w:rsidRPr="00544D52" w:rsidRDefault="008A2787" w:rsidP="00213901">
            <w:pPr>
              <w:jc w:val="center"/>
              <w:rPr>
                <w:b/>
                <w:sz w:val="16"/>
                <w:lang w:val="es-CL"/>
              </w:rPr>
            </w:pPr>
            <w:r w:rsidRPr="00544D52">
              <w:rPr>
                <w:b/>
                <w:sz w:val="16"/>
                <w:lang w:val="es-CL"/>
              </w:rPr>
              <w:t xml:space="preserve">TIR </w:t>
            </w:r>
            <w:r>
              <w:rPr>
                <w:b/>
                <w:sz w:val="16"/>
                <w:lang w:val="es-CL"/>
              </w:rPr>
              <w:t>E</w:t>
            </w:r>
          </w:p>
        </w:tc>
      </w:tr>
      <w:tr w:rsidR="008A2787" w:rsidRPr="00544D52" w:rsidTr="00E11B7F">
        <w:trPr>
          <w:jc w:val="center"/>
        </w:trPr>
        <w:tc>
          <w:tcPr>
            <w:tcW w:w="1984" w:type="dxa"/>
            <w:vAlign w:val="center"/>
          </w:tcPr>
          <w:p w:rsidR="008A2787" w:rsidRPr="00544D52" w:rsidRDefault="008A2787" w:rsidP="00213901">
            <w:pPr>
              <w:jc w:val="center"/>
              <w:rPr>
                <w:sz w:val="16"/>
                <w:lang w:val="es-CL"/>
              </w:rPr>
            </w:pPr>
            <w:r w:rsidRPr="00544D52">
              <w:rPr>
                <w:sz w:val="16"/>
                <w:lang w:val="es-CL"/>
              </w:rPr>
              <w:t>Ampliación de la Subestación Posorja 138/69 kV</w:t>
            </w:r>
          </w:p>
        </w:tc>
        <w:tc>
          <w:tcPr>
            <w:tcW w:w="1276" w:type="dxa"/>
            <w:vAlign w:val="center"/>
          </w:tcPr>
          <w:p w:rsidR="008A2787" w:rsidRPr="009D4BF0" w:rsidRDefault="00285395" w:rsidP="00213901">
            <w:pPr>
              <w:jc w:val="center"/>
              <w:rPr>
                <w:sz w:val="16"/>
                <w:lang w:val="es-CL"/>
              </w:rPr>
            </w:pPr>
            <w:r w:rsidRPr="009D4BF0">
              <w:rPr>
                <w:sz w:val="16"/>
                <w:lang w:val="es-CL"/>
              </w:rPr>
              <w:t>7.938.796,0</w:t>
            </w:r>
          </w:p>
        </w:tc>
        <w:tc>
          <w:tcPr>
            <w:tcW w:w="1418" w:type="dxa"/>
            <w:vAlign w:val="center"/>
          </w:tcPr>
          <w:p w:rsidR="008A2787" w:rsidRPr="009D4BF0" w:rsidRDefault="00285395" w:rsidP="00213901">
            <w:pPr>
              <w:jc w:val="center"/>
              <w:rPr>
                <w:sz w:val="16"/>
                <w:lang w:val="es-CL"/>
              </w:rPr>
            </w:pPr>
            <w:r w:rsidRPr="009D4BF0">
              <w:rPr>
                <w:sz w:val="16"/>
                <w:lang w:val="es-CL"/>
              </w:rPr>
              <w:t>338.667.715,6</w:t>
            </w:r>
          </w:p>
        </w:tc>
        <w:tc>
          <w:tcPr>
            <w:tcW w:w="708" w:type="dxa"/>
            <w:vAlign w:val="center"/>
          </w:tcPr>
          <w:p w:rsidR="008A2787" w:rsidRPr="009D4BF0" w:rsidRDefault="008A2787" w:rsidP="00213901">
            <w:pPr>
              <w:jc w:val="center"/>
              <w:rPr>
                <w:sz w:val="16"/>
                <w:lang w:val="es-CL"/>
              </w:rPr>
            </w:pPr>
            <w:r w:rsidRPr="009D4BF0">
              <w:rPr>
                <w:sz w:val="16"/>
                <w:lang w:val="es-CL"/>
              </w:rPr>
              <w:t>77</w:t>
            </w:r>
            <w:r w:rsidR="00285395" w:rsidRPr="009D4BF0">
              <w:rPr>
                <w:sz w:val="16"/>
                <w:lang w:val="es-CL"/>
              </w:rPr>
              <w:t>,5</w:t>
            </w:r>
            <w:r w:rsidRPr="009D4BF0">
              <w:rPr>
                <w:sz w:val="16"/>
                <w:lang w:val="es-CL"/>
              </w:rPr>
              <w:t>%</w:t>
            </w:r>
          </w:p>
        </w:tc>
      </w:tr>
      <w:tr w:rsidR="008A2787" w:rsidRPr="00544D52" w:rsidTr="00E11B7F">
        <w:trPr>
          <w:jc w:val="center"/>
        </w:trPr>
        <w:tc>
          <w:tcPr>
            <w:tcW w:w="1984" w:type="dxa"/>
            <w:vAlign w:val="center"/>
          </w:tcPr>
          <w:p w:rsidR="008A2787" w:rsidRPr="00544D52" w:rsidRDefault="008A2787" w:rsidP="00213901">
            <w:pPr>
              <w:jc w:val="center"/>
              <w:rPr>
                <w:sz w:val="16"/>
                <w:lang w:val="es-CL"/>
              </w:rPr>
            </w:pPr>
            <w:r w:rsidRPr="00AC6630">
              <w:rPr>
                <w:sz w:val="16"/>
                <w:lang w:val="es-CL"/>
              </w:rPr>
              <w:t>Sistema de Transmisión Las Orquídeas 230 kV, 225 MVA</w:t>
            </w:r>
          </w:p>
        </w:tc>
        <w:tc>
          <w:tcPr>
            <w:tcW w:w="1276" w:type="dxa"/>
            <w:vAlign w:val="center"/>
          </w:tcPr>
          <w:p w:rsidR="008A2787" w:rsidRPr="009D4BF0" w:rsidRDefault="006041FE" w:rsidP="00213901">
            <w:pPr>
              <w:jc w:val="center"/>
              <w:rPr>
                <w:sz w:val="16"/>
                <w:lang w:val="es-CL"/>
              </w:rPr>
            </w:pPr>
            <w:r w:rsidRPr="009D4BF0">
              <w:rPr>
                <w:sz w:val="16"/>
                <w:lang w:val="es-CL"/>
              </w:rPr>
              <w:t>22.019.095,4</w:t>
            </w:r>
          </w:p>
        </w:tc>
        <w:tc>
          <w:tcPr>
            <w:tcW w:w="1418" w:type="dxa"/>
            <w:vAlign w:val="center"/>
          </w:tcPr>
          <w:p w:rsidR="008A2787" w:rsidRPr="009D4BF0" w:rsidRDefault="006041FE" w:rsidP="00213901">
            <w:pPr>
              <w:jc w:val="center"/>
              <w:rPr>
                <w:sz w:val="16"/>
                <w:lang w:val="es-CL"/>
              </w:rPr>
            </w:pPr>
            <w:r w:rsidRPr="009D4BF0">
              <w:rPr>
                <w:sz w:val="16"/>
                <w:lang w:val="es-CL"/>
              </w:rPr>
              <w:t>546.713.777,1</w:t>
            </w:r>
          </w:p>
        </w:tc>
        <w:tc>
          <w:tcPr>
            <w:tcW w:w="708" w:type="dxa"/>
            <w:vAlign w:val="center"/>
          </w:tcPr>
          <w:p w:rsidR="008A2787" w:rsidRPr="009D4BF0" w:rsidRDefault="001A0730" w:rsidP="00213901">
            <w:pPr>
              <w:jc w:val="center"/>
              <w:rPr>
                <w:sz w:val="16"/>
                <w:lang w:val="es-CL"/>
              </w:rPr>
            </w:pPr>
            <w:r w:rsidRPr="009D4BF0">
              <w:rPr>
                <w:sz w:val="16"/>
                <w:lang w:val="es-CL"/>
              </w:rPr>
              <w:t>80</w:t>
            </w:r>
            <w:r w:rsidR="006041FE" w:rsidRPr="009D4BF0">
              <w:rPr>
                <w:sz w:val="16"/>
                <w:lang w:val="es-CL"/>
              </w:rPr>
              <w:t>,</w:t>
            </w:r>
            <w:r w:rsidRPr="009D4BF0">
              <w:rPr>
                <w:sz w:val="16"/>
                <w:lang w:val="es-CL"/>
              </w:rPr>
              <w:t>8%</w:t>
            </w:r>
          </w:p>
        </w:tc>
      </w:tr>
      <w:tr w:rsidR="008A2787" w:rsidRPr="00544D52" w:rsidTr="00E11B7F">
        <w:trPr>
          <w:jc w:val="center"/>
        </w:trPr>
        <w:tc>
          <w:tcPr>
            <w:tcW w:w="1984" w:type="dxa"/>
            <w:vAlign w:val="center"/>
          </w:tcPr>
          <w:p w:rsidR="008A2787" w:rsidRPr="00544D52" w:rsidRDefault="008A2787" w:rsidP="00213901">
            <w:pPr>
              <w:jc w:val="center"/>
              <w:rPr>
                <w:sz w:val="16"/>
                <w:lang w:val="es-CL"/>
              </w:rPr>
            </w:pPr>
            <w:r w:rsidRPr="00AC6630">
              <w:rPr>
                <w:sz w:val="16"/>
                <w:lang w:val="es-CL"/>
              </w:rPr>
              <w:t>Sistema de Transmisión Tanicuchí 230/138 kV</w:t>
            </w:r>
          </w:p>
        </w:tc>
        <w:tc>
          <w:tcPr>
            <w:tcW w:w="1276" w:type="dxa"/>
            <w:vAlign w:val="center"/>
          </w:tcPr>
          <w:p w:rsidR="008A2787" w:rsidRPr="009D4BF0" w:rsidRDefault="006041FE" w:rsidP="00213901">
            <w:pPr>
              <w:jc w:val="center"/>
              <w:rPr>
                <w:sz w:val="16"/>
                <w:lang w:val="es-CL"/>
              </w:rPr>
            </w:pPr>
            <w:r w:rsidRPr="009D4BF0">
              <w:rPr>
                <w:sz w:val="16"/>
                <w:lang w:val="es-CL"/>
              </w:rPr>
              <w:t>18.595.265,0</w:t>
            </w:r>
          </w:p>
        </w:tc>
        <w:tc>
          <w:tcPr>
            <w:tcW w:w="1418" w:type="dxa"/>
            <w:vAlign w:val="center"/>
          </w:tcPr>
          <w:p w:rsidR="008A2787" w:rsidRPr="009D4BF0" w:rsidRDefault="006041FE" w:rsidP="00213901">
            <w:pPr>
              <w:jc w:val="center"/>
              <w:rPr>
                <w:sz w:val="16"/>
                <w:lang w:val="es-CL"/>
              </w:rPr>
            </w:pPr>
            <w:r w:rsidRPr="009D4BF0">
              <w:rPr>
                <w:sz w:val="16"/>
                <w:lang w:val="es-CL"/>
              </w:rPr>
              <w:t>171.322.759,6</w:t>
            </w:r>
          </w:p>
        </w:tc>
        <w:tc>
          <w:tcPr>
            <w:tcW w:w="708" w:type="dxa"/>
            <w:vAlign w:val="center"/>
          </w:tcPr>
          <w:p w:rsidR="008A2787" w:rsidRPr="009D4BF0" w:rsidRDefault="006041FE" w:rsidP="00213901">
            <w:pPr>
              <w:jc w:val="center"/>
              <w:rPr>
                <w:sz w:val="16"/>
                <w:lang w:val="es-CL"/>
              </w:rPr>
            </w:pPr>
            <w:r w:rsidRPr="009D4BF0">
              <w:rPr>
                <w:sz w:val="16"/>
                <w:lang w:val="es-CL"/>
              </w:rPr>
              <w:t>30,3%</w:t>
            </w:r>
          </w:p>
        </w:tc>
      </w:tr>
      <w:tr w:rsidR="008A2787" w:rsidRPr="00544D52" w:rsidTr="00E11B7F">
        <w:trPr>
          <w:jc w:val="center"/>
        </w:trPr>
        <w:tc>
          <w:tcPr>
            <w:tcW w:w="1984" w:type="dxa"/>
            <w:vAlign w:val="center"/>
          </w:tcPr>
          <w:p w:rsidR="008A2787" w:rsidRPr="00544D52" w:rsidRDefault="008A2787" w:rsidP="00213901">
            <w:pPr>
              <w:jc w:val="center"/>
              <w:rPr>
                <w:sz w:val="16"/>
                <w:lang w:val="es-CL"/>
              </w:rPr>
            </w:pPr>
            <w:r w:rsidRPr="00AC6630">
              <w:rPr>
                <w:sz w:val="16"/>
                <w:lang w:val="es-CL"/>
              </w:rPr>
              <w:t>Sistema de Transmisión La Avanzada 230 kV</w:t>
            </w:r>
          </w:p>
        </w:tc>
        <w:tc>
          <w:tcPr>
            <w:tcW w:w="1276" w:type="dxa"/>
            <w:vAlign w:val="center"/>
          </w:tcPr>
          <w:p w:rsidR="008A2787" w:rsidRPr="009D4BF0" w:rsidRDefault="006A4589" w:rsidP="00213901">
            <w:pPr>
              <w:jc w:val="center"/>
              <w:rPr>
                <w:sz w:val="16"/>
                <w:lang w:val="es-CL"/>
              </w:rPr>
            </w:pPr>
            <w:r w:rsidRPr="009D4BF0">
              <w:rPr>
                <w:sz w:val="16"/>
                <w:lang w:val="es-CL"/>
              </w:rPr>
              <w:t>25.512.281,2</w:t>
            </w:r>
          </w:p>
        </w:tc>
        <w:tc>
          <w:tcPr>
            <w:tcW w:w="1418" w:type="dxa"/>
            <w:vAlign w:val="center"/>
          </w:tcPr>
          <w:p w:rsidR="008A2787" w:rsidRPr="009D4BF0" w:rsidRDefault="006A4589" w:rsidP="00213901">
            <w:pPr>
              <w:jc w:val="center"/>
              <w:rPr>
                <w:sz w:val="16"/>
                <w:lang w:val="es-CL"/>
              </w:rPr>
            </w:pPr>
            <w:r w:rsidRPr="009D4BF0">
              <w:rPr>
                <w:sz w:val="16"/>
                <w:lang w:val="es-CL"/>
              </w:rPr>
              <w:t>275.582.648,4</w:t>
            </w:r>
          </w:p>
        </w:tc>
        <w:tc>
          <w:tcPr>
            <w:tcW w:w="708" w:type="dxa"/>
            <w:vAlign w:val="center"/>
          </w:tcPr>
          <w:p w:rsidR="008A2787" w:rsidRPr="009D4BF0" w:rsidRDefault="006A4589" w:rsidP="00213901">
            <w:pPr>
              <w:jc w:val="center"/>
              <w:rPr>
                <w:sz w:val="16"/>
                <w:lang w:val="es-CL"/>
              </w:rPr>
            </w:pPr>
            <w:r w:rsidRPr="009D4BF0">
              <w:rPr>
                <w:sz w:val="16"/>
                <w:lang w:val="es-CL"/>
              </w:rPr>
              <w:t>30,2%</w:t>
            </w:r>
          </w:p>
        </w:tc>
      </w:tr>
      <w:tr w:rsidR="008A2787" w:rsidRPr="00544D52" w:rsidTr="00E11B7F">
        <w:trPr>
          <w:jc w:val="center"/>
        </w:trPr>
        <w:tc>
          <w:tcPr>
            <w:tcW w:w="1984" w:type="dxa"/>
            <w:vAlign w:val="center"/>
          </w:tcPr>
          <w:p w:rsidR="008A2787" w:rsidRPr="00544D52" w:rsidRDefault="008A2787" w:rsidP="00213901">
            <w:pPr>
              <w:jc w:val="center"/>
              <w:rPr>
                <w:sz w:val="16"/>
                <w:lang w:val="es-CL"/>
              </w:rPr>
            </w:pPr>
            <w:r w:rsidRPr="00AC6630">
              <w:rPr>
                <w:sz w:val="16"/>
                <w:lang w:val="es-CL"/>
              </w:rPr>
              <w:t>Construcción de la Subestación Cajas 230/69 kV, 167 MVA</w:t>
            </w:r>
          </w:p>
        </w:tc>
        <w:tc>
          <w:tcPr>
            <w:tcW w:w="1276" w:type="dxa"/>
            <w:vAlign w:val="center"/>
          </w:tcPr>
          <w:p w:rsidR="008A2787" w:rsidRPr="008A2787" w:rsidRDefault="009D4BF0" w:rsidP="00213901">
            <w:pPr>
              <w:jc w:val="center"/>
              <w:rPr>
                <w:sz w:val="16"/>
                <w:lang w:val="es-CL"/>
              </w:rPr>
            </w:pPr>
            <w:r w:rsidRPr="009D4BF0">
              <w:rPr>
                <w:sz w:val="16"/>
                <w:lang w:val="es-CL"/>
              </w:rPr>
              <w:t>16.843.542,7</w:t>
            </w:r>
          </w:p>
        </w:tc>
        <w:tc>
          <w:tcPr>
            <w:tcW w:w="1418" w:type="dxa"/>
            <w:vAlign w:val="center"/>
          </w:tcPr>
          <w:p w:rsidR="008A2787" w:rsidRPr="008A2787" w:rsidRDefault="009D4BF0" w:rsidP="00213901">
            <w:pPr>
              <w:jc w:val="center"/>
              <w:rPr>
                <w:sz w:val="16"/>
                <w:lang w:val="es-CL"/>
              </w:rPr>
            </w:pPr>
            <w:r w:rsidRPr="009D4BF0">
              <w:rPr>
                <w:sz w:val="16"/>
                <w:lang w:val="es-CL"/>
              </w:rPr>
              <w:t>282.652.356,4</w:t>
            </w:r>
          </w:p>
        </w:tc>
        <w:tc>
          <w:tcPr>
            <w:tcW w:w="708" w:type="dxa"/>
            <w:vAlign w:val="center"/>
          </w:tcPr>
          <w:p w:rsidR="008A2787" w:rsidRPr="008A2787" w:rsidRDefault="009D4BF0" w:rsidP="00213901">
            <w:pPr>
              <w:jc w:val="center"/>
              <w:rPr>
                <w:sz w:val="16"/>
                <w:lang w:val="es-CL"/>
              </w:rPr>
            </w:pPr>
            <w:r w:rsidRPr="009D4BF0">
              <w:rPr>
                <w:sz w:val="16"/>
                <w:lang w:val="es-CL"/>
              </w:rPr>
              <w:t>35,3%</w:t>
            </w:r>
          </w:p>
        </w:tc>
      </w:tr>
    </w:tbl>
    <w:p w:rsidR="008A2787" w:rsidRDefault="008A2787" w:rsidP="008A2787">
      <w:pPr>
        <w:jc w:val="both"/>
        <w:rPr>
          <w:lang w:val="es-CL"/>
        </w:rPr>
      </w:pPr>
    </w:p>
    <w:p w:rsidR="006A4AC3" w:rsidRDefault="006A4AC3" w:rsidP="006A4AC3">
      <w:pPr>
        <w:pStyle w:val="Heading2"/>
        <w:rPr>
          <w:lang w:val="es-CL"/>
        </w:rPr>
      </w:pPr>
      <w:bookmarkStart w:id="18" w:name="_Toc491617761"/>
      <w:r>
        <w:rPr>
          <w:lang w:val="es-CL"/>
        </w:rPr>
        <w:t>C.</w:t>
      </w:r>
      <w:r w:rsidR="000E2D52">
        <w:rPr>
          <w:lang w:val="es-CL"/>
        </w:rPr>
        <w:t>I</w:t>
      </w:r>
      <w:r>
        <w:rPr>
          <w:lang w:val="es-CL"/>
        </w:rPr>
        <w:t xml:space="preserve">I: </w:t>
      </w:r>
      <w:r w:rsidRPr="00680F6F">
        <w:rPr>
          <w:lang w:val="es-CL"/>
        </w:rPr>
        <w:t xml:space="preserve">Proyectos de Expansión y </w:t>
      </w:r>
      <w:r w:rsidR="000E2D52">
        <w:rPr>
          <w:lang w:val="es-CL"/>
        </w:rPr>
        <w:t>Modernización</w:t>
      </w:r>
      <w:r w:rsidRPr="00680F6F">
        <w:rPr>
          <w:lang w:val="es-CL"/>
        </w:rPr>
        <w:t xml:space="preserve"> del S</w:t>
      </w:r>
      <w:r>
        <w:rPr>
          <w:lang w:val="es-CL"/>
        </w:rPr>
        <w:t xml:space="preserve">istema Nacional de </w:t>
      </w:r>
      <w:r w:rsidR="000E2D52">
        <w:rPr>
          <w:lang w:val="es-CL"/>
        </w:rPr>
        <w:t>Distribución</w:t>
      </w:r>
      <w:bookmarkEnd w:id="18"/>
    </w:p>
    <w:p w:rsidR="00EA5D23" w:rsidRDefault="00227396" w:rsidP="00F56913">
      <w:pPr>
        <w:jc w:val="both"/>
        <w:rPr>
          <w:lang w:val="es-CL"/>
        </w:rPr>
      </w:pPr>
      <w:r>
        <w:rPr>
          <w:lang w:val="es-CL"/>
        </w:rPr>
        <w:t xml:space="preserve">La cartera de proyectos de expansión y modernización del SND, están conformados por iniciativas de </w:t>
      </w:r>
      <w:r w:rsidR="00FF1273">
        <w:rPr>
          <w:lang w:val="es-CL"/>
        </w:rPr>
        <w:t>Sub</w:t>
      </w:r>
      <w:r w:rsidR="00FD4C91">
        <w:rPr>
          <w:lang w:val="es-CL"/>
        </w:rPr>
        <w:t xml:space="preserve"> </w:t>
      </w:r>
      <w:r w:rsidR="00FF1273">
        <w:rPr>
          <w:lang w:val="es-CL"/>
        </w:rPr>
        <w:t>transmisión (principalmente en 69 kV) y de distribución, con repotenciaciones, reconfiguraciones y mejoras de redes de media y baja tensión</w:t>
      </w:r>
      <w:r w:rsidR="009710BA">
        <w:rPr>
          <w:lang w:val="es-CL"/>
        </w:rPr>
        <w:t>.</w:t>
      </w:r>
    </w:p>
    <w:p w:rsidR="00327A26" w:rsidRDefault="00327A26" w:rsidP="00F56913">
      <w:pPr>
        <w:jc w:val="both"/>
        <w:rPr>
          <w:lang w:val="es-CL"/>
        </w:rPr>
      </w:pPr>
    </w:p>
    <w:p w:rsidR="009803B9" w:rsidRDefault="009803B9" w:rsidP="00F56913">
      <w:pPr>
        <w:jc w:val="both"/>
        <w:rPr>
          <w:lang w:val="es-CL"/>
        </w:rPr>
      </w:pPr>
    </w:p>
    <w:p w:rsidR="00FD4C91" w:rsidRDefault="00FD4C91" w:rsidP="00FD4C91">
      <w:pPr>
        <w:pStyle w:val="Heading3"/>
        <w:rPr>
          <w:lang w:val="es-CL"/>
        </w:rPr>
      </w:pPr>
      <w:bookmarkStart w:id="19" w:name="_Toc491617762"/>
      <w:r>
        <w:rPr>
          <w:lang w:val="es-CL"/>
        </w:rPr>
        <w:t>Flujo de Energía Relevante</w:t>
      </w:r>
      <w:bookmarkEnd w:id="19"/>
    </w:p>
    <w:p w:rsidR="00FF1273" w:rsidRDefault="00FF1273" w:rsidP="00F56913">
      <w:pPr>
        <w:jc w:val="both"/>
        <w:rPr>
          <w:lang w:val="es-CL"/>
        </w:rPr>
      </w:pPr>
      <w:r>
        <w:rPr>
          <w:lang w:val="es-CL"/>
        </w:rPr>
        <w:t>Al igua</w:t>
      </w:r>
      <w:r w:rsidR="00A80D9A">
        <w:rPr>
          <w:lang w:val="es-CL"/>
        </w:rPr>
        <w:t>l</w:t>
      </w:r>
      <w:r>
        <w:rPr>
          <w:lang w:val="es-CL"/>
        </w:rPr>
        <w:t xml:space="preserve"> que para los proyectos de Transmisión, estas iniciativas conllevan en general una mayor capacidad de distribución de energía al compararlas con la situación sin proyecto. En este sentido,</w:t>
      </w:r>
      <w:r w:rsidR="00A80D9A">
        <w:rPr>
          <w:lang w:val="es-CL"/>
        </w:rPr>
        <w:t xml:space="preserve"> se calcula </w:t>
      </w:r>
      <w:r w:rsidR="002432C0">
        <w:rPr>
          <w:lang w:val="es-CL"/>
        </w:rPr>
        <w:t xml:space="preserve">comparativamente, </w:t>
      </w:r>
      <w:r w:rsidR="00A80D9A">
        <w:rPr>
          <w:lang w:val="es-CL"/>
        </w:rPr>
        <w:t>la mayor energía servida por cada uno de ellos, lo que se resume en la figura siguiente.</w:t>
      </w:r>
    </w:p>
    <w:p w:rsidR="00A80D9A" w:rsidRDefault="003E722B" w:rsidP="00A80D9A">
      <w:pPr>
        <w:jc w:val="center"/>
        <w:rPr>
          <w:lang w:val="es-CL"/>
        </w:rPr>
      </w:pPr>
      <w:r>
        <w:rPr>
          <w:noProof/>
          <w:lang w:val="en-US"/>
        </w:rPr>
        <w:drawing>
          <wp:inline distT="0" distB="0" distL="0" distR="0" wp14:anchorId="0F6A9B61">
            <wp:extent cx="5390462" cy="2121548"/>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1793" cy="2137815"/>
                    </a:xfrm>
                    <a:prstGeom prst="rect">
                      <a:avLst/>
                    </a:prstGeom>
                    <a:noFill/>
                  </pic:spPr>
                </pic:pic>
              </a:graphicData>
            </a:graphic>
          </wp:inline>
        </w:drawing>
      </w:r>
    </w:p>
    <w:p w:rsidR="00A80D9A" w:rsidRDefault="00A80D9A" w:rsidP="00A80D9A">
      <w:pPr>
        <w:jc w:val="center"/>
        <w:rPr>
          <w:lang w:val="es-CL"/>
        </w:rPr>
      </w:pPr>
      <w:r w:rsidRPr="00A80D9A">
        <w:rPr>
          <w:b/>
          <w:lang w:val="es-CL"/>
        </w:rPr>
        <w:t xml:space="preserve">Figura </w:t>
      </w:r>
      <w:r w:rsidR="000C1D25">
        <w:rPr>
          <w:b/>
          <w:lang w:val="es-CL"/>
        </w:rPr>
        <w:t>8</w:t>
      </w:r>
      <w:r w:rsidRPr="00A80D9A">
        <w:rPr>
          <w:b/>
          <w:lang w:val="es-CL"/>
        </w:rPr>
        <w:t>.</w:t>
      </w:r>
      <w:r>
        <w:rPr>
          <w:lang w:val="es-CL"/>
        </w:rPr>
        <w:t xml:space="preserve"> </w:t>
      </w:r>
      <w:r w:rsidRPr="004732EB">
        <w:rPr>
          <w:lang w:val="es-CL"/>
        </w:rPr>
        <w:t>Mayor demanda servida con proyectos de sub transmisión y distribución (sólo se grafican aquellas empresas con proyectos que incrementan la capacidad de las redes eléctricas.</w:t>
      </w:r>
    </w:p>
    <w:p w:rsidR="00327A26" w:rsidRDefault="00327A26" w:rsidP="00F56913">
      <w:pPr>
        <w:jc w:val="both"/>
        <w:rPr>
          <w:lang w:val="es-CL"/>
        </w:rPr>
      </w:pPr>
    </w:p>
    <w:p w:rsidR="00A80D9A" w:rsidRDefault="00A80D9A" w:rsidP="00F56913">
      <w:pPr>
        <w:jc w:val="both"/>
        <w:rPr>
          <w:lang w:val="es-CL"/>
        </w:rPr>
      </w:pPr>
      <w:r>
        <w:rPr>
          <w:lang w:val="es-CL"/>
        </w:rPr>
        <w:t xml:space="preserve">Los mayores incrementos de energía a distribuir por las EED se observan en EE Regional Norte, </w:t>
      </w:r>
      <w:r w:rsidR="002432C0">
        <w:rPr>
          <w:lang w:val="es-CL"/>
        </w:rPr>
        <w:t xml:space="preserve">CNEL Los Ríos, EE Cotopaxi, </w:t>
      </w:r>
      <w:r>
        <w:rPr>
          <w:lang w:val="es-CL"/>
        </w:rPr>
        <w:t xml:space="preserve">CNEL El Oro y CNEL Guayas los ríos, cuya suma representa el </w:t>
      </w:r>
      <w:r w:rsidR="002432C0">
        <w:rPr>
          <w:lang w:val="es-CL"/>
        </w:rPr>
        <w:t>94,2</w:t>
      </w:r>
      <w:r>
        <w:rPr>
          <w:lang w:val="es-CL"/>
        </w:rPr>
        <w:t>% de la mayor energía abastecida en el horizonte de evaluación, destacando</w:t>
      </w:r>
      <w:r w:rsidR="002432C0">
        <w:rPr>
          <w:lang w:val="es-CL"/>
        </w:rPr>
        <w:t xml:space="preserve"> entre otros,</w:t>
      </w:r>
      <w:r>
        <w:rPr>
          <w:lang w:val="es-CL"/>
        </w:rPr>
        <w:t xml:space="preserve"> los siguientes proyectos:</w:t>
      </w:r>
    </w:p>
    <w:p w:rsidR="00A80D9A" w:rsidRPr="002432C0" w:rsidRDefault="00A80D9A" w:rsidP="00A80D9A">
      <w:pPr>
        <w:pStyle w:val="ListParagraph"/>
        <w:numPr>
          <w:ilvl w:val="0"/>
          <w:numId w:val="8"/>
        </w:numPr>
        <w:jc w:val="both"/>
        <w:rPr>
          <w:lang w:val="es-CL"/>
        </w:rPr>
      </w:pPr>
      <w:r w:rsidRPr="002432C0">
        <w:rPr>
          <w:lang w:val="es-CL"/>
        </w:rPr>
        <w:t>EE Regional Norte:</w:t>
      </w:r>
    </w:p>
    <w:p w:rsidR="00A80D9A" w:rsidRDefault="00A80D9A" w:rsidP="00A80D9A">
      <w:pPr>
        <w:pStyle w:val="ListParagraph"/>
        <w:numPr>
          <w:ilvl w:val="1"/>
          <w:numId w:val="8"/>
        </w:numPr>
        <w:jc w:val="both"/>
        <w:rPr>
          <w:lang w:val="es-CL"/>
        </w:rPr>
      </w:pPr>
      <w:r w:rsidRPr="002432C0">
        <w:rPr>
          <w:lang w:val="es-CL"/>
        </w:rPr>
        <w:t>Salidas de 69 kV y redes de sub transmisión para conectar la Subestación Cajas 138/69 kV.</w:t>
      </w:r>
      <w:r w:rsidR="00693D58" w:rsidRPr="002432C0">
        <w:rPr>
          <w:lang w:val="es-CL"/>
        </w:rPr>
        <w:t xml:space="preserve"> (160 MVA).</w:t>
      </w:r>
    </w:p>
    <w:p w:rsidR="002432C0" w:rsidRDefault="002432C0" w:rsidP="002432C0">
      <w:pPr>
        <w:pStyle w:val="ListParagraph"/>
        <w:numPr>
          <w:ilvl w:val="0"/>
          <w:numId w:val="8"/>
        </w:numPr>
        <w:jc w:val="both"/>
        <w:rPr>
          <w:lang w:val="es-CL"/>
        </w:rPr>
      </w:pPr>
      <w:r>
        <w:rPr>
          <w:lang w:val="es-CL"/>
        </w:rPr>
        <w:t>CNEL Los Ríos:</w:t>
      </w:r>
    </w:p>
    <w:p w:rsidR="002432C0" w:rsidRDefault="002432C0" w:rsidP="002432C0">
      <w:pPr>
        <w:pStyle w:val="ListParagraph"/>
        <w:numPr>
          <w:ilvl w:val="1"/>
          <w:numId w:val="8"/>
        </w:numPr>
        <w:jc w:val="both"/>
        <w:rPr>
          <w:lang w:val="es-CL"/>
        </w:rPr>
      </w:pPr>
      <w:r>
        <w:rPr>
          <w:lang w:val="es-CL"/>
        </w:rPr>
        <w:t>Construcción de las subestaciones Terminal Terrestre 2 y San Juan.</w:t>
      </w:r>
    </w:p>
    <w:p w:rsidR="002432C0" w:rsidRDefault="002432C0" w:rsidP="002432C0">
      <w:pPr>
        <w:pStyle w:val="ListParagraph"/>
        <w:numPr>
          <w:ilvl w:val="0"/>
          <w:numId w:val="8"/>
        </w:numPr>
        <w:jc w:val="both"/>
        <w:rPr>
          <w:lang w:val="es-CL"/>
        </w:rPr>
      </w:pPr>
      <w:r>
        <w:rPr>
          <w:lang w:val="es-CL"/>
        </w:rPr>
        <w:t xml:space="preserve">EE Cotopaxi: </w:t>
      </w:r>
    </w:p>
    <w:p w:rsidR="002432C0" w:rsidRDefault="002432C0" w:rsidP="002432C0">
      <w:pPr>
        <w:pStyle w:val="ListParagraph"/>
        <w:numPr>
          <w:ilvl w:val="1"/>
          <w:numId w:val="8"/>
        </w:numPr>
        <w:jc w:val="both"/>
        <w:rPr>
          <w:lang w:val="es-CL"/>
        </w:rPr>
      </w:pPr>
      <w:r>
        <w:rPr>
          <w:lang w:val="es-CL"/>
        </w:rPr>
        <w:t>Sistemas San Francisco-Progreso; Tanicuchí.</w:t>
      </w:r>
    </w:p>
    <w:p w:rsidR="002432C0" w:rsidRPr="002432C0" w:rsidRDefault="002432C0" w:rsidP="002432C0">
      <w:pPr>
        <w:pStyle w:val="ListParagraph"/>
        <w:numPr>
          <w:ilvl w:val="1"/>
          <w:numId w:val="8"/>
        </w:numPr>
        <w:jc w:val="both"/>
        <w:rPr>
          <w:lang w:val="es-CL"/>
        </w:rPr>
      </w:pPr>
      <w:r>
        <w:rPr>
          <w:lang w:val="es-CL"/>
        </w:rPr>
        <w:t>Construcción Subestación Saquisili.</w:t>
      </w:r>
    </w:p>
    <w:p w:rsidR="00E11B7F" w:rsidRDefault="00E11B7F" w:rsidP="00714D75">
      <w:pPr>
        <w:pStyle w:val="Heading3"/>
        <w:rPr>
          <w:lang w:val="es-CL"/>
        </w:rPr>
      </w:pPr>
    </w:p>
    <w:p w:rsidR="00714D75" w:rsidRDefault="00714D75" w:rsidP="00714D75">
      <w:pPr>
        <w:pStyle w:val="Heading3"/>
        <w:rPr>
          <w:lang w:val="es-CL"/>
        </w:rPr>
      </w:pPr>
      <w:bookmarkStart w:id="20" w:name="_Toc491617763"/>
      <w:r>
        <w:rPr>
          <w:lang w:val="es-CL"/>
        </w:rPr>
        <w:t>Evaluación Financiera Proyectos SND</w:t>
      </w:r>
      <w:bookmarkEnd w:id="20"/>
    </w:p>
    <w:p w:rsidR="0021771F" w:rsidRDefault="0021771F" w:rsidP="00A41315">
      <w:pPr>
        <w:jc w:val="both"/>
        <w:rPr>
          <w:lang w:val="es-CL"/>
        </w:rPr>
      </w:pPr>
    </w:p>
    <w:p w:rsidR="00A41315" w:rsidRDefault="00CE0B44" w:rsidP="00A41315">
      <w:pPr>
        <w:jc w:val="both"/>
        <w:rPr>
          <w:lang w:val="es-CL"/>
        </w:rPr>
      </w:pPr>
      <w:r>
        <w:rPr>
          <w:lang w:val="es-CL"/>
        </w:rPr>
        <w:t xml:space="preserve">La evaluación financiera de este bloque de </w:t>
      </w:r>
      <w:r w:rsidR="0021771F">
        <w:rPr>
          <w:lang w:val="es-CL"/>
        </w:rPr>
        <w:t>proyectos</w:t>
      </w:r>
      <w:r>
        <w:rPr>
          <w:lang w:val="es-CL"/>
        </w:rPr>
        <w:t xml:space="preserve"> es abordada considerando los siguientes flujos de caja generales, desde el punto de vista de cada entidad ejecutora (la EED correspondiente):</w:t>
      </w:r>
    </w:p>
    <w:p w:rsidR="00CE0B44" w:rsidRDefault="00CE0B44" w:rsidP="00CE0B44">
      <w:pPr>
        <w:pStyle w:val="ListParagraph"/>
        <w:numPr>
          <w:ilvl w:val="0"/>
          <w:numId w:val="9"/>
        </w:numPr>
        <w:jc w:val="both"/>
        <w:rPr>
          <w:lang w:val="es-CL"/>
        </w:rPr>
      </w:pPr>
      <w:r>
        <w:rPr>
          <w:lang w:val="es-CL"/>
        </w:rPr>
        <w:t>Inversión</w:t>
      </w:r>
    </w:p>
    <w:p w:rsidR="00CE0B44" w:rsidRDefault="00CE0B44" w:rsidP="00CE0B44">
      <w:pPr>
        <w:pStyle w:val="ListParagraph"/>
        <w:numPr>
          <w:ilvl w:val="0"/>
          <w:numId w:val="9"/>
        </w:numPr>
        <w:jc w:val="both"/>
        <w:rPr>
          <w:lang w:val="es-CL"/>
        </w:rPr>
      </w:pPr>
      <w:r>
        <w:rPr>
          <w:lang w:val="es-CL"/>
        </w:rPr>
        <w:t>Ingresos por Mayor Venta de Energía</w:t>
      </w:r>
    </w:p>
    <w:p w:rsidR="00CE0B44" w:rsidRDefault="000A40D3" w:rsidP="00CE0B44">
      <w:pPr>
        <w:pStyle w:val="ListParagraph"/>
        <w:numPr>
          <w:ilvl w:val="0"/>
          <w:numId w:val="9"/>
        </w:numPr>
        <w:jc w:val="both"/>
        <w:rPr>
          <w:lang w:val="es-CL"/>
        </w:rPr>
      </w:pPr>
      <w:r>
        <w:rPr>
          <w:lang w:val="es-CL"/>
        </w:rPr>
        <w:t xml:space="preserve">Menor ENS: </w:t>
      </w:r>
      <w:r w:rsidR="00CE0B44">
        <w:rPr>
          <w:lang w:val="es-CL"/>
        </w:rPr>
        <w:t>Ahorro por reducción de eventuales multas por calidad de servicio</w:t>
      </w:r>
    </w:p>
    <w:p w:rsidR="00CE0B44" w:rsidRDefault="00CE0B44" w:rsidP="00CE0B44">
      <w:pPr>
        <w:pStyle w:val="ListParagraph"/>
        <w:numPr>
          <w:ilvl w:val="0"/>
          <w:numId w:val="9"/>
        </w:numPr>
        <w:jc w:val="both"/>
        <w:rPr>
          <w:lang w:val="es-CL"/>
        </w:rPr>
      </w:pPr>
      <w:r>
        <w:rPr>
          <w:lang w:val="es-CL"/>
        </w:rPr>
        <w:t>Mayor Compra de Energía</w:t>
      </w:r>
    </w:p>
    <w:p w:rsidR="00CE0B44" w:rsidRDefault="00CE0B44" w:rsidP="00CE0B44">
      <w:pPr>
        <w:pStyle w:val="ListParagraph"/>
        <w:numPr>
          <w:ilvl w:val="0"/>
          <w:numId w:val="9"/>
        </w:numPr>
        <w:jc w:val="both"/>
        <w:rPr>
          <w:lang w:val="es-CL"/>
        </w:rPr>
      </w:pPr>
      <w:r>
        <w:rPr>
          <w:lang w:val="es-CL"/>
        </w:rPr>
        <w:t>Costos de Operación y Mantenimiento</w:t>
      </w:r>
    </w:p>
    <w:p w:rsidR="00CE0B44" w:rsidRDefault="00CE0B44" w:rsidP="00CE0B44">
      <w:pPr>
        <w:jc w:val="both"/>
        <w:rPr>
          <w:lang w:val="es-CL"/>
        </w:rPr>
      </w:pPr>
    </w:p>
    <w:p w:rsidR="001D6D32" w:rsidRDefault="001D6D32" w:rsidP="00CE0B44">
      <w:pPr>
        <w:jc w:val="both"/>
        <w:rPr>
          <w:lang w:val="es-CL"/>
        </w:rPr>
      </w:pPr>
    </w:p>
    <w:p w:rsidR="00CE0B44" w:rsidRDefault="0021771F" w:rsidP="00CE0B44">
      <w:pPr>
        <w:jc w:val="both"/>
        <w:rPr>
          <w:lang w:val="es-CL"/>
        </w:rPr>
      </w:pPr>
      <w:r w:rsidRPr="0021771F">
        <w:rPr>
          <w:b/>
          <w:lang w:val="es-CL"/>
        </w:rPr>
        <w:t>Ingresos por Mayor Venta de Energía</w:t>
      </w:r>
      <w:r>
        <w:rPr>
          <w:lang w:val="es-CL"/>
        </w:rPr>
        <w:t>.</w:t>
      </w:r>
    </w:p>
    <w:p w:rsidR="0021771F" w:rsidRDefault="0021771F" w:rsidP="00CE0B44">
      <w:pPr>
        <w:jc w:val="both"/>
        <w:rPr>
          <w:lang w:val="es-CL"/>
        </w:rPr>
      </w:pPr>
      <w:r>
        <w:rPr>
          <w:lang w:val="es-CL"/>
        </w:rPr>
        <w:t>Para el caso de proyectos SND que conllevan un aumento neto de capacidad de distribución, respecto de la situación sin proyecto, se considera el incremento de capacidad neto Dcap (</w:t>
      </w:r>
      <w:r w:rsidR="00226377">
        <w:rPr>
          <w:lang w:val="es-CL"/>
        </w:rPr>
        <w:t>kW</w:t>
      </w:r>
      <w:r>
        <w:rPr>
          <w:lang w:val="es-CL"/>
        </w:rPr>
        <w:t>), así como su demanda máxima, 2016 y proyectada, junto con el Factor de Carga anual propio de cada empresa.</w:t>
      </w:r>
    </w:p>
    <w:p w:rsidR="00C02A86" w:rsidRDefault="00C02A86" w:rsidP="00CE0B44">
      <w:pPr>
        <w:jc w:val="both"/>
        <w:rPr>
          <w:lang w:val="es-CL"/>
        </w:rPr>
      </w:pPr>
    </w:p>
    <w:p w:rsidR="0021771F" w:rsidRDefault="00DC47D1" w:rsidP="00CE0B44">
      <w:pPr>
        <w:jc w:val="both"/>
        <w:rPr>
          <w:lang w:val="es-CL"/>
        </w:rPr>
      </w:pPr>
      <m:oMathPara>
        <m:oMath>
          <m:sSub>
            <m:sSubPr>
              <m:ctrlPr>
                <w:rPr>
                  <w:rFonts w:ascii="Cambria Math" w:hAnsi="Cambria Math"/>
                  <w:i/>
                  <w:lang w:val="es-CL"/>
                </w:rPr>
              </m:ctrlPr>
            </m:sSubPr>
            <m:e>
              <m:r>
                <w:rPr>
                  <w:rFonts w:ascii="Cambria Math" w:hAnsi="Cambria Math"/>
                  <w:lang w:val="es-CL"/>
                </w:rPr>
                <m:t>dE</m:t>
              </m:r>
            </m:e>
            <m:sub>
              <m:r>
                <w:rPr>
                  <w:rFonts w:ascii="Cambria Math" w:hAnsi="Cambria Math"/>
                  <w:lang w:val="es-CL"/>
                </w:rPr>
                <m:t>j</m:t>
              </m:r>
            </m:sub>
          </m:sSub>
          <m:d>
            <m:dPr>
              <m:ctrlPr>
                <w:rPr>
                  <w:rFonts w:ascii="Cambria Math" w:hAnsi="Cambria Math"/>
                  <w:i/>
                  <w:lang w:val="es-CL"/>
                </w:rPr>
              </m:ctrlPr>
            </m:dPr>
            <m:e>
              <m:r>
                <w:rPr>
                  <w:rFonts w:ascii="Cambria Math" w:hAnsi="Cambria Math"/>
                  <w:lang w:val="es-CL"/>
                </w:rPr>
                <m:t>i</m:t>
              </m:r>
            </m:e>
          </m:d>
          <m:r>
            <w:rPr>
              <w:rFonts w:ascii="Cambria Math" w:hAnsi="Cambria Math"/>
              <w:lang w:val="es-CL"/>
            </w:rPr>
            <m:t>=Min</m:t>
          </m:r>
          <m:d>
            <m:dPr>
              <m:ctrlPr>
                <w:rPr>
                  <w:rFonts w:ascii="Cambria Math" w:hAnsi="Cambria Math"/>
                  <w:i/>
                  <w:lang w:val="es-CL"/>
                </w:rPr>
              </m:ctrlPr>
            </m:dPr>
            <m:e>
              <m:r>
                <w:rPr>
                  <w:rFonts w:ascii="Cambria Math" w:hAnsi="Cambria Math"/>
                  <w:lang w:val="es-CL"/>
                </w:rPr>
                <m:t>CAPcp-CAPsp;Di-CAPsp</m:t>
              </m:r>
            </m:e>
          </m:d>
          <m:r>
            <w:rPr>
              <w:rFonts w:ascii="Cambria Math" w:hAnsi="Cambria Math"/>
              <w:lang w:val="es-CL"/>
            </w:rPr>
            <m:t>*</m:t>
          </m:r>
          <m:sSub>
            <m:sSubPr>
              <m:ctrlPr>
                <w:rPr>
                  <w:rFonts w:ascii="Cambria Math" w:hAnsi="Cambria Math"/>
                  <w:i/>
                  <w:lang w:val="es-CL"/>
                </w:rPr>
              </m:ctrlPr>
            </m:sSubPr>
            <m:e>
              <m:r>
                <w:rPr>
                  <w:rFonts w:ascii="Cambria Math" w:hAnsi="Cambria Math"/>
                  <w:lang w:val="es-CL"/>
                </w:rPr>
                <m:t>FC</m:t>
              </m:r>
            </m:e>
            <m:sub>
              <m:r>
                <w:rPr>
                  <w:rFonts w:ascii="Cambria Math" w:hAnsi="Cambria Math"/>
                  <w:lang w:val="es-CL"/>
                </w:rPr>
                <m:t>j</m:t>
              </m:r>
            </m:sub>
          </m:sSub>
          <m:r>
            <w:rPr>
              <w:rFonts w:ascii="Cambria Math" w:hAnsi="Cambria Math"/>
              <w:lang w:val="es-CL"/>
            </w:rPr>
            <m:t>*8760</m:t>
          </m:r>
        </m:oMath>
      </m:oMathPara>
    </w:p>
    <w:p w:rsidR="0021771F" w:rsidRDefault="00C02A86" w:rsidP="00CE0B44">
      <w:pPr>
        <w:jc w:val="both"/>
        <w:rPr>
          <w:lang w:val="es-CL"/>
        </w:rPr>
      </w:pPr>
      <w:r>
        <w:rPr>
          <w:lang w:val="es-CL"/>
        </w:rPr>
        <w:t>Donde:</w:t>
      </w:r>
    </w:p>
    <w:p w:rsidR="00C02A86" w:rsidRDefault="00C02A86" w:rsidP="009803B9">
      <w:pPr>
        <w:ind w:left="708"/>
        <w:jc w:val="both"/>
        <w:rPr>
          <w:lang w:val="es-CL"/>
        </w:rPr>
      </w:pPr>
      <w:r w:rsidRPr="008773A5">
        <w:rPr>
          <w:b/>
          <w:lang w:val="es-CL"/>
        </w:rPr>
        <w:t>dE</w:t>
      </w:r>
      <w:r w:rsidRPr="008773A5">
        <w:rPr>
          <w:b/>
          <w:vertAlign w:val="subscript"/>
          <w:lang w:val="es-CL"/>
        </w:rPr>
        <w:t>j</w:t>
      </w:r>
      <w:r w:rsidRPr="008773A5">
        <w:rPr>
          <w:b/>
          <w:lang w:val="es-CL"/>
        </w:rPr>
        <w:t>(i):</w:t>
      </w:r>
      <w:r>
        <w:rPr>
          <w:lang w:val="es-CL"/>
        </w:rPr>
        <w:t xml:space="preserve"> Energía adicional servida por la empresa j, en el año i, dada la realización del proyecto.</w:t>
      </w:r>
    </w:p>
    <w:p w:rsidR="00C02A86" w:rsidRDefault="00C02A86" w:rsidP="009803B9">
      <w:pPr>
        <w:ind w:left="708"/>
        <w:jc w:val="both"/>
        <w:rPr>
          <w:lang w:val="es-CL"/>
        </w:rPr>
      </w:pPr>
      <w:r w:rsidRPr="008773A5">
        <w:rPr>
          <w:b/>
          <w:lang w:val="es-CL"/>
        </w:rPr>
        <w:t>CAPsp:</w:t>
      </w:r>
      <w:r>
        <w:rPr>
          <w:lang w:val="es-CL"/>
        </w:rPr>
        <w:t xml:space="preserve"> Capacidad del sistema relevante, en </w:t>
      </w:r>
      <w:r w:rsidR="00226377">
        <w:rPr>
          <w:lang w:val="es-CL"/>
        </w:rPr>
        <w:t>kW</w:t>
      </w:r>
      <w:r>
        <w:rPr>
          <w:lang w:val="es-CL"/>
        </w:rPr>
        <w:t>, Sin Proyecto.</w:t>
      </w:r>
    </w:p>
    <w:p w:rsidR="00C02A86" w:rsidRDefault="00C02A86" w:rsidP="009803B9">
      <w:pPr>
        <w:ind w:left="708"/>
        <w:jc w:val="both"/>
        <w:rPr>
          <w:lang w:val="es-CL"/>
        </w:rPr>
      </w:pPr>
      <w:r w:rsidRPr="008773A5">
        <w:rPr>
          <w:b/>
          <w:lang w:val="es-CL"/>
        </w:rPr>
        <w:t>CAPcp:</w:t>
      </w:r>
      <w:r>
        <w:rPr>
          <w:lang w:val="es-CL"/>
        </w:rPr>
        <w:t xml:space="preserve"> Capacidad del sistema relevante, en </w:t>
      </w:r>
      <w:r w:rsidR="00226377">
        <w:rPr>
          <w:lang w:val="es-CL"/>
        </w:rPr>
        <w:t>kW</w:t>
      </w:r>
      <w:r>
        <w:rPr>
          <w:lang w:val="es-CL"/>
        </w:rPr>
        <w:t>, Con Proyecto.</w:t>
      </w:r>
    </w:p>
    <w:p w:rsidR="00C02A86" w:rsidRDefault="00E13EE2" w:rsidP="009803B9">
      <w:pPr>
        <w:ind w:left="708"/>
        <w:jc w:val="both"/>
        <w:rPr>
          <w:lang w:val="es-CL"/>
        </w:rPr>
      </w:pPr>
      <w:r w:rsidRPr="008773A5">
        <w:rPr>
          <w:b/>
          <w:lang w:val="es-CL"/>
        </w:rPr>
        <w:t>Di:</w:t>
      </w:r>
      <w:r w:rsidR="008773A5">
        <w:rPr>
          <w:lang w:val="es-CL"/>
        </w:rPr>
        <w:t xml:space="preserve"> Demanda máxima, en </w:t>
      </w:r>
      <w:r w:rsidR="00226377">
        <w:rPr>
          <w:lang w:val="es-CL"/>
        </w:rPr>
        <w:t>kW</w:t>
      </w:r>
      <w:r w:rsidR="008773A5">
        <w:rPr>
          <w:lang w:val="es-CL"/>
        </w:rPr>
        <w:t>, proyectada para el año i, en las instalaciones relevantes afectadas por el proyecto.</w:t>
      </w:r>
    </w:p>
    <w:p w:rsidR="008773A5" w:rsidRDefault="008773A5" w:rsidP="009803B9">
      <w:pPr>
        <w:ind w:left="708"/>
        <w:jc w:val="both"/>
        <w:rPr>
          <w:lang w:val="es-CL"/>
        </w:rPr>
      </w:pPr>
      <w:r w:rsidRPr="008773A5">
        <w:rPr>
          <w:b/>
          <w:lang w:val="es-CL"/>
        </w:rPr>
        <w:t>FC</w:t>
      </w:r>
      <w:r w:rsidRPr="008773A5">
        <w:rPr>
          <w:b/>
          <w:vertAlign w:val="subscript"/>
          <w:lang w:val="es-CL"/>
        </w:rPr>
        <w:t>j</w:t>
      </w:r>
      <w:r w:rsidRPr="008773A5">
        <w:rPr>
          <w:b/>
          <w:lang w:val="es-CL"/>
        </w:rPr>
        <w:t>:</w:t>
      </w:r>
      <w:r>
        <w:rPr>
          <w:lang w:val="es-CL"/>
        </w:rPr>
        <w:t xml:space="preserve"> Factor de Carga anual de la empresa j.</w:t>
      </w:r>
    </w:p>
    <w:p w:rsidR="008773A5" w:rsidRPr="00CE0B44" w:rsidRDefault="008773A5" w:rsidP="009803B9">
      <w:pPr>
        <w:ind w:left="708"/>
        <w:jc w:val="both"/>
        <w:rPr>
          <w:lang w:val="es-CL"/>
        </w:rPr>
      </w:pPr>
      <w:r w:rsidRPr="008773A5">
        <w:rPr>
          <w:b/>
          <w:lang w:val="es-CL"/>
        </w:rPr>
        <w:t>8760</w:t>
      </w:r>
      <w:r>
        <w:rPr>
          <w:lang w:val="es-CL"/>
        </w:rPr>
        <w:t>: Cantidad de horas de un año calendario.</w:t>
      </w:r>
    </w:p>
    <w:p w:rsidR="00A80D9A" w:rsidRDefault="00A80D9A" w:rsidP="00F56913">
      <w:pPr>
        <w:jc w:val="both"/>
        <w:rPr>
          <w:lang w:val="es-CL"/>
        </w:rPr>
      </w:pPr>
    </w:p>
    <w:p w:rsidR="008773A5" w:rsidRDefault="008773A5" w:rsidP="00F56913">
      <w:pPr>
        <w:jc w:val="both"/>
        <w:rPr>
          <w:lang w:val="es-CL"/>
        </w:rPr>
      </w:pPr>
      <w:r>
        <w:rPr>
          <w:lang w:val="es-CL"/>
        </w:rPr>
        <w:t>Los factores de carga anual por empresa son obtenidos de la estadística multianual 2016 de ARCONEL, sobre la base de Potencias Máxima mensuales y Energía Distribuida.</w:t>
      </w:r>
    </w:p>
    <w:p w:rsidR="00102F17" w:rsidRDefault="00102F17" w:rsidP="00102F17">
      <w:pPr>
        <w:jc w:val="both"/>
        <w:rPr>
          <w:lang w:val="es-CL"/>
        </w:rPr>
      </w:pPr>
      <w:r>
        <w:rPr>
          <w:lang w:val="es-CL"/>
        </w:rPr>
        <w:t>Los ingresos por mayor venta de energía, de cada año i, se determinan multiplicando la energía adicional del año i, por el precio medio de compra proyectado a partir del Precio medio de venta 2016 ponderando por un factor de proyección para el año i, basado en los Costos del Sector Eléctrico del PME 2016-2025.</w:t>
      </w:r>
    </w:p>
    <w:p w:rsidR="009803B9" w:rsidRDefault="009803B9" w:rsidP="00102F17">
      <w:pPr>
        <w:jc w:val="both"/>
        <w:rPr>
          <w:lang w:val="es-CL"/>
        </w:rPr>
      </w:pPr>
    </w:p>
    <w:p w:rsidR="00102F17" w:rsidRPr="00102F17" w:rsidRDefault="00102F17" w:rsidP="00102F17">
      <w:pPr>
        <w:spacing w:after="0"/>
        <w:jc w:val="center"/>
        <w:rPr>
          <w:b/>
          <w:lang w:val="es-CL"/>
        </w:rPr>
      </w:pPr>
      <w:r w:rsidRPr="00102F17">
        <w:rPr>
          <w:b/>
          <w:lang w:val="es-CL"/>
        </w:rPr>
        <w:t xml:space="preserve">Tabla N°10 Factores de Carga Anual </w:t>
      </w:r>
      <w:r w:rsidR="00226377">
        <w:rPr>
          <w:b/>
          <w:lang w:val="es-CL"/>
        </w:rPr>
        <w:t xml:space="preserve">y Pmv 2016 </w:t>
      </w:r>
      <w:r w:rsidRPr="00102F17">
        <w:rPr>
          <w:b/>
          <w:lang w:val="es-CL"/>
        </w:rPr>
        <w:t>por Empresa</w:t>
      </w:r>
    </w:p>
    <w:p w:rsidR="00102F17" w:rsidRPr="00102F17" w:rsidRDefault="00102F17" w:rsidP="00102F17">
      <w:pPr>
        <w:spacing w:after="0"/>
        <w:jc w:val="center"/>
        <w:rPr>
          <w:b/>
          <w:lang w:val="es-CL"/>
        </w:rPr>
      </w:pPr>
      <w:r w:rsidRPr="00102F17">
        <w:rPr>
          <w:b/>
          <w:lang w:val="es-CL"/>
        </w:rPr>
        <w:t>Según Estadísticas del Sector Eléctrico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17"/>
        <w:gridCol w:w="1843"/>
      </w:tblGrid>
      <w:tr w:rsidR="00102F17" w:rsidTr="00E11B7F">
        <w:trPr>
          <w:jc w:val="center"/>
        </w:trPr>
        <w:tc>
          <w:tcPr>
            <w:tcW w:w="2122" w:type="dxa"/>
            <w:shd w:val="clear" w:color="auto" w:fill="D9E2F3" w:themeFill="accent1" w:themeFillTint="33"/>
            <w:vAlign w:val="center"/>
          </w:tcPr>
          <w:p w:rsidR="00102F17" w:rsidRPr="00226377" w:rsidRDefault="00102F17" w:rsidP="008773A5">
            <w:pPr>
              <w:jc w:val="center"/>
              <w:rPr>
                <w:b/>
                <w:lang w:val="es-CL"/>
              </w:rPr>
            </w:pPr>
            <w:r w:rsidRPr="00226377">
              <w:rPr>
                <w:b/>
                <w:lang w:val="es-CL"/>
              </w:rPr>
              <w:t>Empresa</w:t>
            </w:r>
          </w:p>
        </w:tc>
        <w:tc>
          <w:tcPr>
            <w:tcW w:w="1417" w:type="dxa"/>
            <w:shd w:val="clear" w:color="auto" w:fill="D9E2F3" w:themeFill="accent1" w:themeFillTint="33"/>
            <w:vAlign w:val="center"/>
          </w:tcPr>
          <w:p w:rsidR="00102F17" w:rsidRPr="00226377" w:rsidRDefault="00102F17" w:rsidP="008773A5">
            <w:pPr>
              <w:jc w:val="center"/>
              <w:rPr>
                <w:b/>
                <w:lang w:val="es-CL"/>
              </w:rPr>
            </w:pPr>
            <w:r w:rsidRPr="00226377">
              <w:rPr>
                <w:b/>
                <w:lang w:val="es-CL"/>
              </w:rPr>
              <w:t>Factor de Carga Anual</w:t>
            </w:r>
          </w:p>
        </w:tc>
        <w:tc>
          <w:tcPr>
            <w:tcW w:w="1843" w:type="dxa"/>
            <w:shd w:val="clear" w:color="auto" w:fill="D9E2F3" w:themeFill="accent1" w:themeFillTint="33"/>
          </w:tcPr>
          <w:p w:rsidR="00102F17" w:rsidRPr="00226377" w:rsidRDefault="00102F17" w:rsidP="008773A5">
            <w:pPr>
              <w:jc w:val="center"/>
              <w:rPr>
                <w:b/>
                <w:lang w:val="es-CL"/>
              </w:rPr>
            </w:pPr>
            <w:r w:rsidRPr="00226377">
              <w:rPr>
                <w:b/>
                <w:lang w:val="es-CL"/>
              </w:rPr>
              <w:t>Precio Medio de Venta 2016 (US$/kWh)</w:t>
            </w:r>
          </w:p>
        </w:tc>
      </w:tr>
      <w:tr w:rsidR="00102F17" w:rsidTr="00E11B7F">
        <w:trPr>
          <w:jc w:val="center"/>
        </w:trPr>
        <w:tc>
          <w:tcPr>
            <w:tcW w:w="2122" w:type="dxa"/>
          </w:tcPr>
          <w:p w:rsidR="00102F17" w:rsidRPr="00840A51" w:rsidRDefault="00102F17" w:rsidP="00102F17">
            <w:r w:rsidRPr="00840A51">
              <w:t>CNEL</w:t>
            </w:r>
            <w:r>
              <w:t xml:space="preserve"> </w:t>
            </w:r>
            <w:r w:rsidRPr="00840A51">
              <w:t>Bolívar</w:t>
            </w:r>
          </w:p>
        </w:tc>
        <w:tc>
          <w:tcPr>
            <w:tcW w:w="1417" w:type="dxa"/>
          </w:tcPr>
          <w:p w:rsidR="00102F17" w:rsidRPr="00217108" w:rsidRDefault="00102F17" w:rsidP="00102F17">
            <w:pPr>
              <w:jc w:val="center"/>
            </w:pPr>
            <w:r w:rsidRPr="00217108">
              <w:t>0</w:t>
            </w:r>
            <w:r>
              <w:t>.</w:t>
            </w:r>
            <w:r w:rsidRPr="00217108">
              <w:t>48</w:t>
            </w:r>
          </w:p>
        </w:tc>
        <w:tc>
          <w:tcPr>
            <w:tcW w:w="1843" w:type="dxa"/>
          </w:tcPr>
          <w:p w:rsidR="00102F17" w:rsidRPr="00975707" w:rsidRDefault="00102F17" w:rsidP="00102F17">
            <w:pPr>
              <w:jc w:val="center"/>
            </w:pPr>
            <w:r w:rsidRPr="00975707">
              <w:t>0</w:t>
            </w:r>
            <w:r>
              <w:t>.</w:t>
            </w:r>
            <w:r w:rsidRPr="00975707">
              <w:t>1220</w:t>
            </w:r>
          </w:p>
        </w:tc>
      </w:tr>
      <w:tr w:rsidR="00102F17" w:rsidTr="00E11B7F">
        <w:trPr>
          <w:jc w:val="center"/>
        </w:trPr>
        <w:tc>
          <w:tcPr>
            <w:tcW w:w="2122" w:type="dxa"/>
          </w:tcPr>
          <w:p w:rsidR="00102F17" w:rsidRPr="00840A51" w:rsidRDefault="00102F17" w:rsidP="00102F17">
            <w:r w:rsidRPr="00840A51">
              <w:t>CNEL</w:t>
            </w:r>
            <w:r>
              <w:t xml:space="preserve"> </w:t>
            </w:r>
            <w:r w:rsidRPr="00840A51">
              <w:t>El Oro</w:t>
            </w:r>
          </w:p>
        </w:tc>
        <w:tc>
          <w:tcPr>
            <w:tcW w:w="1417" w:type="dxa"/>
          </w:tcPr>
          <w:p w:rsidR="00102F17" w:rsidRPr="00217108" w:rsidRDefault="00102F17" w:rsidP="00102F17">
            <w:pPr>
              <w:jc w:val="center"/>
            </w:pPr>
            <w:r w:rsidRPr="00217108">
              <w:t>0</w:t>
            </w:r>
            <w:r>
              <w:t>.</w:t>
            </w:r>
            <w:r w:rsidRPr="00217108">
              <w:t>61</w:t>
            </w:r>
          </w:p>
        </w:tc>
        <w:tc>
          <w:tcPr>
            <w:tcW w:w="1843" w:type="dxa"/>
          </w:tcPr>
          <w:p w:rsidR="00102F17" w:rsidRPr="00975707" w:rsidRDefault="00102F17" w:rsidP="00102F17">
            <w:pPr>
              <w:jc w:val="center"/>
            </w:pPr>
            <w:r w:rsidRPr="00975707">
              <w:t>0</w:t>
            </w:r>
            <w:r>
              <w:t>.</w:t>
            </w:r>
            <w:r w:rsidRPr="00975707">
              <w:t>1045</w:t>
            </w:r>
          </w:p>
        </w:tc>
      </w:tr>
      <w:tr w:rsidR="00102F17" w:rsidTr="00E11B7F">
        <w:trPr>
          <w:jc w:val="center"/>
        </w:trPr>
        <w:tc>
          <w:tcPr>
            <w:tcW w:w="2122" w:type="dxa"/>
          </w:tcPr>
          <w:p w:rsidR="00102F17" w:rsidRPr="00840A51" w:rsidRDefault="00102F17" w:rsidP="00102F17">
            <w:r w:rsidRPr="00840A51">
              <w:t>CNEL</w:t>
            </w:r>
            <w:r>
              <w:t xml:space="preserve"> </w:t>
            </w:r>
            <w:r w:rsidRPr="00840A51">
              <w:t>Esmeraldas</w:t>
            </w:r>
          </w:p>
        </w:tc>
        <w:tc>
          <w:tcPr>
            <w:tcW w:w="1417" w:type="dxa"/>
          </w:tcPr>
          <w:p w:rsidR="00102F17" w:rsidRPr="00217108" w:rsidRDefault="00102F17" w:rsidP="00102F17">
            <w:pPr>
              <w:jc w:val="center"/>
            </w:pPr>
            <w:r w:rsidRPr="00217108">
              <w:t>0</w:t>
            </w:r>
            <w:r>
              <w:t>.</w:t>
            </w:r>
            <w:r w:rsidRPr="00217108">
              <w:t>51</w:t>
            </w:r>
          </w:p>
        </w:tc>
        <w:tc>
          <w:tcPr>
            <w:tcW w:w="1843" w:type="dxa"/>
          </w:tcPr>
          <w:p w:rsidR="00102F17" w:rsidRPr="00975707" w:rsidRDefault="00102F17" w:rsidP="00102F17">
            <w:pPr>
              <w:jc w:val="center"/>
            </w:pPr>
            <w:r w:rsidRPr="00975707">
              <w:t>0</w:t>
            </w:r>
            <w:r>
              <w:t>.</w:t>
            </w:r>
            <w:r w:rsidRPr="00975707">
              <w:t>1065</w:t>
            </w:r>
          </w:p>
        </w:tc>
      </w:tr>
      <w:tr w:rsidR="00102F17" w:rsidTr="00E11B7F">
        <w:trPr>
          <w:jc w:val="center"/>
        </w:trPr>
        <w:tc>
          <w:tcPr>
            <w:tcW w:w="2122" w:type="dxa"/>
          </w:tcPr>
          <w:p w:rsidR="00102F17" w:rsidRPr="00840A51" w:rsidRDefault="00102F17" w:rsidP="00102F17">
            <w:r w:rsidRPr="00840A51">
              <w:t>CNEL</w:t>
            </w:r>
            <w:r>
              <w:t xml:space="preserve"> </w:t>
            </w:r>
            <w:r w:rsidRPr="00840A51">
              <w:t>Guayaquil</w:t>
            </w:r>
          </w:p>
        </w:tc>
        <w:tc>
          <w:tcPr>
            <w:tcW w:w="1417" w:type="dxa"/>
          </w:tcPr>
          <w:p w:rsidR="00102F17" w:rsidRPr="00217108" w:rsidRDefault="00102F17" w:rsidP="00102F17">
            <w:pPr>
              <w:jc w:val="center"/>
            </w:pPr>
            <w:r w:rsidRPr="00217108">
              <w:t>0</w:t>
            </w:r>
            <w:r>
              <w:t>.</w:t>
            </w:r>
            <w:r w:rsidRPr="00217108">
              <w:t>58</w:t>
            </w:r>
          </w:p>
        </w:tc>
        <w:tc>
          <w:tcPr>
            <w:tcW w:w="1843" w:type="dxa"/>
          </w:tcPr>
          <w:p w:rsidR="00102F17" w:rsidRPr="00975707" w:rsidRDefault="00102F17" w:rsidP="00102F17">
            <w:pPr>
              <w:jc w:val="center"/>
            </w:pPr>
            <w:r w:rsidRPr="00975707">
              <w:t>0</w:t>
            </w:r>
            <w:r>
              <w:t>.</w:t>
            </w:r>
            <w:r w:rsidRPr="00975707">
              <w:t>1023</w:t>
            </w:r>
          </w:p>
        </w:tc>
      </w:tr>
      <w:tr w:rsidR="00102F17" w:rsidTr="00E11B7F">
        <w:trPr>
          <w:jc w:val="center"/>
        </w:trPr>
        <w:tc>
          <w:tcPr>
            <w:tcW w:w="2122" w:type="dxa"/>
          </w:tcPr>
          <w:p w:rsidR="00102F17" w:rsidRPr="00840A51" w:rsidRDefault="00102F17" w:rsidP="00102F17">
            <w:r w:rsidRPr="00840A51">
              <w:t>CNEL</w:t>
            </w:r>
            <w:r>
              <w:t xml:space="preserve"> </w:t>
            </w:r>
            <w:r w:rsidRPr="00840A51">
              <w:t>Guayas los Ríos</w:t>
            </w:r>
          </w:p>
        </w:tc>
        <w:tc>
          <w:tcPr>
            <w:tcW w:w="1417" w:type="dxa"/>
          </w:tcPr>
          <w:p w:rsidR="00102F17" w:rsidRPr="00217108" w:rsidRDefault="00102F17" w:rsidP="00102F17">
            <w:pPr>
              <w:jc w:val="center"/>
            </w:pPr>
            <w:r w:rsidRPr="00217108">
              <w:t>0</w:t>
            </w:r>
            <w:r>
              <w:t>.</w:t>
            </w:r>
            <w:r w:rsidRPr="00217108">
              <w:t>60</w:t>
            </w:r>
          </w:p>
        </w:tc>
        <w:tc>
          <w:tcPr>
            <w:tcW w:w="1843" w:type="dxa"/>
          </w:tcPr>
          <w:p w:rsidR="00102F17" w:rsidRPr="00975707" w:rsidRDefault="00102F17" w:rsidP="00102F17">
            <w:pPr>
              <w:jc w:val="center"/>
            </w:pPr>
            <w:r w:rsidRPr="00975707">
              <w:t>0</w:t>
            </w:r>
            <w:r>
              <w:t>.</w:t>
            </w:r>
            <w:r w:rsidRPr="00975707">
              <w:t>1047</w:t>
            </w:r>
          </w:p>
        </w:tc>
      </w:tr>
      <w:tr w:rsidR="00102F17" w:rsidTr="00E11B7F">
        <w:trPr>
          <w:jc w:val="center"/>
        </w:trPr>
        <w:tc>
          <w:tcPr>
            <w:tcW w:w="2122" w:type="dxa"/>
          </w:tcPr>
          <w:p w:rsidR="00102F17" w:rsidRPr="00840A51" w:rsidRDefault="00102F17" w:rsidP="00102F17">
            <w:r w:rsidRPr="00840A51">
              <w:t>CNEL</w:t>
            </w:r>
            <w:r>
              <w:t xml:space="preserve"> </w:t>
            </w:r>
            <w:r w:rsidRPr="00840A51">
              <w:t>Los Ríos</w:t>
            </w:r>
          </w:p>
        </w:tc>
        <w:tc>
          <w:tcPr>
            <w:tcW w:w="1417" w:type="dxa"/>
          </w:tcPr>
          <w:p w:rsidR="00102F17" w:rsidRPr="00217108" w:rsidRDefault="00102F17" w:rsidP="00102F17">
            <w:pPr>
              <w:jc w:val="center"/>
            </w:pPr>
            <w:r w:rsidRPr="00217108">
              <w:t>0</w:t>
            </w:r>
            <w:r>
              <w:t>.</w:t>
            </w:r>
            <w:r w:rsidRPr="00217108">
              <w:t>53</w:t>
            </w:r>
          </w:p>
        </w:tc>
        <w:tc>
          <w:tcPr>
            <w:tcW w:w="1843" w:type="dxa"/>
          </w:tcPr>
          <w:p w:rsidR="00102F17" w:rsidRPr="00975707" w:rsidRDefault="00102F17" w:rsidP="00102F17">
            <w:pPr>
              <w:jc w:val="center"/>
            </w:pPr>
            <w:r w:rsidRPr="00975707">
              <w:t>0</w:t>
            </w:r>
            <w:r>
              <w:t>.</w:t>
            </w:r>
            <w:r w:rsidRPr="00975707">
              <w:t>1086</w:t>
            </w:r>
          </w:p>
        </w:tc>
      </w:tr>
      <w:tr w:rsidR="00102F17" w:rsidTr="00E11B7F">
        <w:trPr>
          <w:jc w:val="center"/>
        </w:trPr>
        <w:tc>
          <w:tcPr>
            <w:tcW w:w="2122" w:type="dxa"/>
          </w:tcPr>
          <w:p w:rsidR="00102F17" w:rsidRPr="00840A51" w:rsidRDefault="00102F17" w:rsidP="00102F17">
            <w:r w:rsidRPr="00840A51">
              <w:t>CNEL</w:t>
            </w:r>
            <w:r>
              <w:t xml:space="preserve"> </w:t>
            </w:r>
            <w:r w:rsidRPr="00840A51">
              <w:t>Manabí</w:t>
            </w:r>
          </w:p>
        </w:tc>
        <w:tc>
          <w:tcPr>
            <w:tcW w:w="1417" w:type="dxa"/>
          </w:tcPr>
          <w:p w:rsidR="00102F17" w:rsidRPr="00217108" w:rsidRDefault="00102F17" w:rsidP="00102F17">
            <w:pPr>
              <w:jc w:val="center"/>
            </w:pPr>
            <w:r w:rsidRPr="00217108">
              <w:t>0</w:t>
            </w:r>
            <w:r>
              <w:t>.</w:t>
            </w:r>
            <w:r w:rsidRPr="00217108">
              <w:t>49</w:t>
            </w:r>
          </w:p>
        </w:tc>
        <w:tc>
          <w:tcPr>
            <w:tcW w:w="1843" w:type="dxa"/>
          </w:tcPr>
          <w:p w:rsidR="00102F17" w:rsidRPr="00975707" w:rsidRDefault="00102F17" w:rsidP="00102F17">
            <w:pPr>
              <w:jc w:val="center"/>
            </w:pPr>
            <w:r w:rsidRPr="00975707">
              <w:t>0</w:t>
            </w:r>
            <w:r>
              <w:t>.</w:t>
            </w:r>
            <w:r w:rsidRPr="00975707">
              <w:t>1085</w:t>
            </w:r>
          </w:p>
        </w:tc>
      </w:tr>
      <w:tr w:rsidR="00102F17" w:rsidTr="00E11B7F">
        <w:trPr>
          <w:jc w:val="center"/>
        </w:trPr>
        <w:tc>
          <w:tcPr>
            <w:tcW w:w="2122" w:type="dxa"/>
          </w:tcPr>
          <w:p w:rsidR="00102F17" w:rsidRPr="00840A51" w:rsidRDefault="00102F17" w:rsidP="00102F17">
            <w:r w:rsidRPr="00840A51">
              <w:t>CNEL</w:t>
            </w:r>
            <w:r>
              <w:t xml:space="preserve"> </w:t>
            </w:r>
            <w:r w:rsidRPr="00840A51">
              <w:t>Milagro</w:t>
            </w:r>
          </w:p>
        </w:tc>
        <w:tc>
          <w:tcPr>
            <w:tcW w:w="1417" w:type="dxa"/>
          </w:tcPr>
          <w:p w:rsidR="00102F17" w:rsidRPr="00217108" w:rsidRDefault="00102F17" w:rsidP="00102F17">
            <w:pPr>
              <w:jc w:val="center"/>
            </w:pPr>
            <w:r w:rsidRPr="00217108">
              <w:t>0</w:t>
            </w:r>
            <w:r>
              <w:t>.</w:t>
            </w:r>
            <w:r w:rsidRPr="00217108">
              <w:t>55</w:t>
            </w:r>
          </w:p>
        </w:tc>
        <w:tc>
          <w:tcPr>
            <w:tcW w:w="1843" w:type="dxa"/>
          </w:tcPr>
          <w:p w:rsidR="00102F17" w:rsidRPr="00975707" w:rsidRDefault="00102F17" w:rsidP="00102F17">
            <w:pPr>
              <w:jc w:val="center"/>
            </w:pPr>
            <w:r w:rsidRPr="00975707">
              <w:t>0</w:t>
            </w:r>
            <w:r>
              <w:t>.</w:t>
            </w:r>
            <w:r w:rsidRPr="00975707">
              <w:t>1081</w:t>
            </w:r>
          </w:p>
        </w:tc>
      </w:tr>
      <w:tr w:rsidR="00102F17" w:rsidTr="00E11B7F">
        <w:trPr>
          <w:jc w:val="center"/>
        </w:trPr>
        <w:tc>
          <w:tcPr>
            <w:tcW w:w="2122" w:type="dxa"/>
          </w:tcPr>
          <w:p w:rsidR="00102F17" w:rsidRPr="00840A51" w:rsidRDefault="00102F17" w:rsidP="00102F17">
            <w:r w:rsidRPr="00840A51">
              <w:t>CNEL</w:t>
            </w:r>
            <w:r>
              <w:t xml:space="preserve"> </w:t>
            </w:r>
            <w:r w:rsidRPr="00840A51">
              <w:t>Sta. Elena</w:t>
            </w:r>
          </w:p>
        </w:tc>
        <w:tc>
          <w:tcPr>
            <w:tcW w:w="1417" w:type="dxa"/>
          </w:tcPr>
          <w:p w:rsidR="00102F17" w:rsidRPr="00217108" w:rsidRDefault="00102F17" w:rsidP="00102F17">
            <w:pPr>
              <w:jc w:val="center"/>
            </w:pPr>
            <w:r w:rsidRPr="00217108">
              <w:t>0</w:t>
            </w:r>
            <w:r>
              <w:t>.</w:t>
            </w:r>
            <w:r w:rsidRPr="00217108">
              <w:t>53</w:t>
            </w:r>
          </w:p>
        </w:tc>
        <w:tc>
          <w:tcPr>
            <w:tcW w:w="1843" w:type="dxa"/>
          </w:tcPr>
          <w:p w:rsidR="00102F17" w:rsidRPr="00975707" w:rsidRDefault="00102F17" w:rsidP="00102F17">
            <w:pPr>
              <w:jc w:val="center"/>
            </w:pPr>
            <w:r w:rsidRPr="00975707">
              <w:t>0</w:t>
            </w:r>
            <w:r>
              <w:t>.</w:t>
            </w:r>
            <w:r w:rsidRPr="00975707">
              <w:t>1083</w:t>
            </w:r>
          </w:p>
        </w:tc>
      </w:tr>
      <w:tr w:rsidR="00102F17" w:rsidTr="00E11B7F">
        <w:trPr>
          <w:jc w:val="center"/>
        </w:trPr>
        <w:tc>
          <w:tcPr>
            <w:tcW w:w="2122" w:type="dxa"/>
          </w:tcPr>
          <w:p w:rsidR="00102F17" w:rsidRPr="00840A51" w:rsidRDefault="00102F17" w:rsidP="00102F17">
            <w:r w:rsidRPr="00840A51">
              <w:t>CNEL</w:t>
            </w:r>
            <w:r>
              <w:t xml:space="preserve"> </w:t>
            </w:r>
            <w:r w:rsidRPr="00840A51">
              <w:t>Sto. Domingo</w:t>
            </w:r>
          </w:p>
        </w:tc>
        <w:tc>
          <w:tcPr>
            <w:tcW w:w="1417" w:type="dxa"/>
          </w:tcPr>
          <w:p w:rsidR="00102F17" w:rsidRPr="00217108" w:rsidRDefault="00102F17" w:rsidP="00102F17">
            <w:pPr>
              <w:jc w:val="center"/>
            </w:pPr>
            <w:r w:rsidRPr="00217108">
              <w:t>0</w:t>
            </w:r>
            <w:r>
              <w:t>.</w:t>
            </w:r>
            <w:r w:rsidRPr="00217108">
              <w:t>69</w:t>
            </w:r>
          </w:p>
        </w:tc>
        <w:tc>
          <w:tcPr>
            <w:tcW w:w="1843" w:type="dxa"/>
          </w:tcPr>
          <w:p w:rsidR="00102F17" w:rsidRPr="00975707" w:rsidRDefault="00102F17" w:rsidP="00102F17">
            <w:pPr>
              <w:jc w:val="center"/>
            </w:pPr>
            <w:r w:rsidRPr="00975707">
              <w:t>0</w:t>
            </w:r>
            <w:r>
              <w:t>.</w:t>
            </w:r>
            <w:r w:rsidRPr="00975707">
              <w:t>1109</w:t>
            </w:r>
          </w:p>
        </w:tc>
      </w:tr>
      <w:tr w:rsidR="00102F17" w:rsidTr="00E11B7F">
        <w:trPr>
          <w:jc w:val="center"/>
        </w:trPr>
        <w:tc>
          <w:tcPr>
            <w:tcW w:w="2122" w:type="dxa"/>
          </w:tcPr>
          <w:p w:rsidR="00102F17" w:rsidRPr="00840A51" w:rsidRDefault="00102F17" w:rsidP="00102F17">
            <w:r w:rsidRPr="00840A51">
              <w:t>CNEL</w:t>
            </w:r>
            <w:r>
              <w:t xml:space="preserve"> </w:t>
            </w:r>
            <w:r w:rsidRPr="00840A51">
              <w:t>Sucumbíos</w:t>
            </w:r>
          </w:p>
        </w:tc>
        <w:tc>
          <w:tcPr>
            <w:tcW w:w="1417" w:type="dxa"/>
          </w:tcPr>
          <w:p w:rsidR="00102F17" w:rsidRPr="00217108" w:rsidRDefault="00102F17" w:rsidP="00102F17">
            <w:pPr>
              <w:jc w:val="center"/>
            </w:pPr>
            <w:r w:rsidRPr="00217108">
              <w:t>0</w:t>
            </w:r>
            <w:r>
              <w:t>.</w:t>
            </w:r>
            <w:r w:rsidRPr="00217108">
              <w:t>53</w:t>
            </w:r>
          </w:p>
        </w:tc>
        <w:tc>
          <w:tcPr>
            <w:tcW w:w="1843" w:type="dxa"/>
          </w:tcPr>
          <w:p w:rsidR="00102F17" w:rsidRPr="00975707" w:rsidRDefault="00102F17" w:rsidP="00102F17">
            <w:pPr>
              <w:jc w:val="center"/>
            </w:pPr>
            <w:r w:rsidRPr="00975707">
              <w:t>0</w:t>
            </w:r>
            <w:r>
              <w:t>.</w:t>
            </w:r>
            <w:r w:rsidRPr="00975707">
              <w:t>1090</w:t>
            </w:r>
          </w:p>
        </w:tc>
      </w:tr>
      <w:tr w:rsidR="00102F17" w:rsidTr="00E11B7F">
        <w:trPr>
          <w:jc w:val="center"/>
        </w:trPr>
        <w:tc>
          <w:tcPr>
            <w:tcW w:w="2122" w:type="dxa"/>
          </w:tcPr>
          <w:p w:rsidR="00102F17" w:rsidRPr="00840A51" w:rsidRDefault="00102F17" w:rsidP="00102F17">
            <w:r w:rsidRPr="00840A51">
              <w:t>E.E. Ambato</w:t>
            </w:r>
          </w:p>
        </w:tc>
        <w:tc>
          <w:tcPr>
            <w:tcW w:w="1417" w:type="dxa"/>
          </w:tcPr>
          <w:p w:rsidR="00102F17" w:rsidRPr="00217108" w:rsidRDefault="00102F17" w:rsidP="00102F17">
            <w:pPr>
              <w:jc w:val="center"/>
            </w:pPr>
            <w:r w:rsidRPr="00217108">
              <w:t>0</w:t>
            </w:r>
            <w:r>
              <w:t>.</w:t>
            </w:r>
            <w:r w:rsidRPr="00217108">
              <w:t>58</w:t>
            </w:r>
          </w:p>
        </w:tc>
        <w:tc>
          <w:tcPr>
            <w:tcW w:w="1843" w:type="dxa"/>
          </w:tcPr>
          <w:p w:rsidR="00102F17" w:rsidRPr="00975707" w:rsidRDefault="00102F17" w:rsidP="00102F17">
            <w:pPr>
              <w:jc w:val="center"/>
            </w:pPr>
            <w:r w:rsidRPr="00975707">
              <w:t>0</w:t>
            </w:r>
            <w:r>
              <w:t>.</w:t>
            </w:r>
            <w:r w:rsidRPr="00975707">
              <w:t>1163</w:t>
            </w:r>
          </w:p>
        </w:tc>
      </w:tr>
      <w:tr w:rsidR="00102F17" w:rsidTr="00E11B7F">
        <w:trPr>
          <w:jc w:val="center"/>
        </w:trPr>
        <w:tc>
          <w:tcPr>
            <w:tcW w:w="2122" w:type="dxa"/>
          </w:tcPr>
          <w:p w:rsidR="00102F17" w:rsidRPr="00840A51" w:rsidRDefault="00102F17" w:rsidP="00102F17">
            <w:r w:rsidRPr="00840A51">
              <w:t>E.E. Azogues</w:t>
            </w:r>
          </w:p>
        </w:tc>
        <w:tc>
          <w:tcPr>
            <w:tcW w:w="1417" w:type="dxa"/>
          </w:tcPr>
          <w:p w:rsidR="00102F17" w:rsidRPr="00217108" w:rsidRDefault="00102F17" w:rsidP="00102F17">
            <w:pPr>
              <w:jc w:val="center"/>
            </w:pPr>
            <w:r w:rsidRPr="00217108">
              <w:t>0</w:t>
            </w:r>
            <w:r>
              <w:t>.</w:t>
            </w:r>
            <w:r w:rsidRPr="00217108">
              <w:t>64</w:t>
            </w:r>
          </w:p>
        </w:tc>
        <w:tc>
          <w:tcPr>
            <w:tcW w:w="1843" w:type="dxa"/>
          </w:tcPr>
          <w:p w:rsidR="00102F17" w:rsidRDefault="00102F17" w:rsidP="00102F17">
            <w:pPr>
              <w:jc w:val="center"/>
            </w:pPr>
            <w:r w:rsidRPr="00975707">
              <w:t>0</w:t>
            </w:r>
            <w:r>
              <w:t>.</w:t>
            </w:r>
            <w:r w:rsidRPr="00975707">
              <w:t>1175</w:t>
            </w:r>
          </w:p>
        </w:tc>
      </w:tr>
      <w:tr w:rsidR="00102F17" w:rsidTr="00E11B7F">
        <w:trPr>
          <w:jc w:val="center"/>
        </w:trPr>
        <w:tc>
          <w:tcPr>
            <w:tcW w:w="2122" w:type="dxa"/>
          </w:tcPr>
          <w:p w:rsidR="00102F17" w:rsidRPr="00840A51" w:rsidRDefault="00102F17" w:rsidP="008773A5">
            <w:r>
              <w:t xml:space="preserve">E.E. </w:t>
            </w:r>
            <w:r w:rsidRPr="00840A51">
              <w:t>Centro Sur</w:t>
            </w:r>
          </w:p>
        </w:tc>
        <w:tc>
          <w:tcPr>
            <w:tcW w:w="1417" w:type="dxa"/>
          </w:tcPr>
          <w:p w:rsidR="00102F17" w:rsidRPr="00217108" w:rsidRDefault="00102F17" w:rsidP="008773A5">
            <w:pPr>
              <w:jc w:val="center"/>
            </w:pPr>
            <w:r w:rsidRPr="00217108">
              <w:t>0</w:t>
            </w:r>
            <w:r>
              <w:t>.</w:t>
            </w:r>
            <w:r w:rsidRPr="00217108">
              <w:t>62</w:t>
            </w:r>
          </w:p>
        </w:tc>
        <w:tc>
          <w:tcPr>
            <w:tcW w:w="1843" w:type="dxa"/>
          </w:tcPr>
          <w:p w:rsidR="00102F17" w:rsidRPr="00217108" w:rsidRDefault="00102F17" w:rsidP="00102F17">
            <w:pPr>
              <w:jc w:val="center"/>
            </w:pPr>
            <w:r>
              <w:t>0.1122</w:t>
            </w:r>
          </w:p>
        </w:tc>
      </w:tr>
      <w:tr w:rsidR="00102F17" w:rsidTr="00E11B7F">
        <w:trPr>
          <w:jc w:val="center"/>
        </w:trPr>
        <w:tc>
          <w:tcPr>
            <w:tcW w:w="2122" w:type="dxa"/>
          </w:tcPr>
          <w:p w:rsidR="00102F17" w:rsidRPr="00840A51" w:rsidRDefault="00102F17" w:rsidP="008773A5">
            <w:r>
              <w:t xml:space="preserve">E.E. </w:t>
            </w:r>
            <w:r w:rsidRPr="00840A51">
              <w:t>Cotopaxi</w:t>
            </w:r>
          </w:p>
        </w:tc>
        <w:tc>
          <w:tcPr>
            <w:tcW w:w="1417" w:type="dxa"/>
          </w:tcPr>
          <w:p w:rsidR="00102F17" w:rsidRPr="00217108" w:rsidRDefault="00102F17" w:rsidP="008773A5">
            <w:pPr>
              <w:jc w:val="center"/>
            </w:pPr>
            <w:r w:rsidRPr="00217108">
              <w:t>0</w:t>
            </w:r>
            <w:r>
              <w:t>.</w:t>
            </w:r>
            <w:r w:rsidRPr="00217108">
              <w:t>57</w:t>
            </w:r>
          </w:p>
        </w:tc>
        <w:tc>
          <w:tcPr>
            <w:tcW w:w="1843" w:type="dxa"/>
          </w:tcPr>
          <w:p w:rsidR="00102F17" w:rsidRPr="00217108" w:rsidRDefault="00102F17" w:rsidP="00102F17">
            <w:pPr>
              <w:jc w:val="center"/>
            </w:pPr>
            <w:r>
              <w:t>0.1092</w:t>
            </w:r>
          </w:p>
        </w:tc>
      </w:tr>
      <w:tr w:rsidR="00102F17" w:rsidTr="00E11B7F">
        <w:trPr>
          <w:jc w:val="center"/>
        </w:trPr>
        <w:tc>
          <w:tcPr>
            <w:tcW w:w="2122" w:type="dxa"/>
          </w:tcPr>
          <w:p w:rsidR="00102F17" w:rsidRPr="00840A51" w:rsidRDefault="00102F17" w:rsidP="008773A5">
            <w:r>
              <w:t xml:space="preserve">E.E. Regional </w:t>
            </w:r>
            <w:r w:rsidRPr="00840A51">
              <w:t>Norte</w:t>
            </w:r>
          </w:p>
        </w:tc>
        <w:tc>
          <w:tcPr>
            <w:tcW w:w="1417" w:type="dxa"/>
          </w:tcPr>
          <w:p w:rsidR="00102F17" w:rsidRPr="00217108" w:rsidRDefault="00102F17" w:rsidP="008773A5">
            <w:pPr>
              <w:jc w:val="center"/>
            </w:pPr>
            <w:r w:rsidRPr="00217108">
              <w:t>0</w:t>
            </w:r>
            <w:r>
              <w:t>.</w:t>
            </w:r>
            <w:r w:rsidRPr="00217108">
              <w:t>58</w:t>
            </w:r>
          </w:p>
        </w:tc>
        <w:tc>
          <w:tcPr>
            <w:tcW w:w="1843" w:type="dxa"/>
          </w:tcPr>
          <w:p w:rsidR="00102F17" w:rsidRPr="00217108" w:rsidRDefault="00102F17" w:rsidP="00102F17">
            <w:pPr>
              <w:jc w:val="center"/>
            </w:pPr>
            <w:r>
              <w:t>0.1162</w:t>
            </w:r>
          </w:p>
        </w:tc>
      </w:tr>
      <w:tr w:rsidR="00102F17" w:rsidTr="00E11B7F">
        <w:trPr>
          <w:jc w:val="center"/>
        </w:trPr>
        <w:tc>
          <w:tcPr>
            <w:tcW w:w="2122" w:type="dxa"/>
          </w:tcPr>
          <w:p w:rsidR="00102F17" w:rsidRPr="00840A51" w:rsidRDefault="00102F17" w:rsidP="008773A5">
            <w:r>
              <w:t xml:space="preserve">E.E. </w:t>
            </w:r>
            <w:r w:rsidRPr="00840A51">
              <w:t>Quito</w:t>
            </w:r>
          </w:p>
        </w:tc>
        <w:tc>
          <w:tcPr>
            <w:tcW w:w="1417" w:type="dxa"/>
          </w:tcPr>
          <w:p w:rsidR="00102F17" w:rsidRPr="00217108" w:rsidRDefault="00102F17" w:rsidP="008773A5">
            <w:pPr>
              <w:jc w:val="center"/>
            </w:pPr>
            <w:r w:rsidRPr="00217108">
              <w:t>0</w:t>
            </w:r>
            <w:r>
              <w:t>.</w:t>
            </w:r>
            <w:r w:rsidRPr="00217108">
              <w:t>63</w:t>
            </w:r>
          </w:p>
        </w:tc>
        <w:tc>
          <w:tcPr>
            <w:tcW w:w="1843" w:type="dxa"/>
          </w:tcPr>
          <w:p w:rsidR="00102F17" w:rsidRPr="00217108" w:rsidRDefault="00102F17" w:rsidP="00102F17">
            <w:pPr>
              <w:jc w:val="center"/>
            </w:pPr>
            <w:r>
              <w:t>0.1035</w:t>
            </w:r>
          </w:p>
        </w:tc>
      </w:tr>
      <w:tr w:rsidR="00102F17" w:rsidTr="00E11B7F">
        <w:trPr>
          <w:jc w:val="center"/>
        </w:trPr>
        <w:tc>
          <w:tcPr>
            <w:tcW w:w="2122" w:type="dxa"/>
          </w:tcPr>
          <w:p w:rsidR="00102F17" w:rsidRPr="00840A51" w:rsidRDefault="00102F17" w:rsidP="008773A5">
            <w:r>
              <w:t xml:space="preserve">E.E. </w:t>
            </w:r>
            <w:r w:rsidRPr="00840A51">
              <w:t>Riobamba</w:t>
            </w:r>
          </w:p>
        </w:tc>
        <w:tc>
          <w:tcPr>
            <w:tcW w:w="1417" w:type="dxa"/>
          </w:tcPr>
          <w:p w:rsidR="00102F17" w:rsidRPr="00217108" w:rsidRDefault="00102F17" w:rsidP="008773A5">
            <w:pPr>
              <w:jc w:val="center"/>
            </w:pPr>
            <w:r w:rsidRPr="00217108">
              <w:t>0</w:t>
            </w:r>
            <w:r>
              <w:t>.</w:t>
            </w:r>
            <w:r w:rsidRPr="00217108">
              <w:t>53</w:t>
            </w:r>
          </w:p>
        </w:tc>
        <w:tc>
          <w:tcPr>
            <w:tcW w:w="1843" w:type="dxa"/>
          </w:tcPr>
          <w:p w:rsidR="00102F17" w:rsidRPr="00217108" w:rsidRDefault="00102F17" w:rsidP="00102F17">
            <w:pPr>
              <w:jc w:val="center"/>
            </w:pPr>
            <w:r>
              <w:t>0.1308</w:t>
            </w:r>
          </w:p>
        </w:tc>
      </w:tr>
      <w:tr w:rsidR="00102F17" w:rsidTr="00E11B7F">
        <w:trPr>
          <w:jc w:val="center"/>
        </w:trPr>
        <w:tc>
          <w:tcPr>
            <w:tcW w:w="2122" w:type="dxa"/>
          </w:tcPr>
          <w:p w:rsidR="00102F17" w:rsidRPr="00840A51" w:rsidRDefault="00102F17" w:rsidP="008773A5">
            <w:r>
              <w:t xml:space="preserve">E.E. Regional </w:t>
            </w:r>
            <w:r w:rsidRPr="00840A51">
              <w:t>Sur</w:t>
            </w:r>
          </w:p>
        </w:tc>
        <w:tc>
          <w:tcPr>
            <w:tcW w:w="1417" w:type="dxa"/>
          </w:tcPr>
          <w:p w:rsidR="00102F17" w:rsidRPr="00217108" w:rsidRDefault="00102F17" w:rsidP="008773A5">
            <w:pPr>
              <w:jc w:val="center"/>
            </w:pPr>
            <w:r w:rsidRPr="00217108">
              <w:t>0</w:t>
            </w:r>
            <w:r>
              <w:t>.</w:t>
            </w:r>
            <w:r w:rsidRPr="00217108">
              <w:t>56</w:t>
            </w:r>
          </w:p>
        </w:tc>
        <w:tc>
          <w:tcPr>
            <w:tcW w:w="1843" w:type="dxa"/>
          </w:tcPr>
          <w:p w:rsidR="00102F17" w:rsidRPr="00217108" w:rsidRDefault="00102F17" w:rsidP="00102F17">
            <w:pPr>
              <w:jc w:val="center"/>
            </w:pPr>
            <w:r>
              <w:t>0.1261</w:t>
            </w:r>
          </w:p>
        </w:tc>
      </w:tr>
      <w:tr w:rsidR="00102F17" w:rsidTr="00E11B7F">
        <w:trPr>
          <w:jc w:val="center"/>
        </w:trPr>
        <w:tc>
          <w:tcPr>
            <w:tcW w:w="2122" w:type="dxa"/>
          </w:tcPr>
          <w:p w:rsidR="00102F17" w:rsidRDefault="00102F17" w:rsidP="008773A5">
            <w:r>
              <w:t xml:space="preserve">E.E. </w:t>
            </w:r>
            <w:r w:rsidRPr="00840A51">
              <w:t>Galápagos</w:t>
            </w:r>
          </w:p>
        </w:tc>
        <w:tc>
          <w:tcPr>
            <w:tcW w:w="1417" w:type="dxa"/>
          </w:tcPr>
          <w:p w:rsidR="00102F17" w:rsidRDefault="00102F17" w:rsidP="008773A5">
            <w:pPr>
              <w:jc w:val="center"/>
            </w:pPr>
            <w:r w:rsidRPr="00217108">
              <w:t>0</w:t>
            </w:r>
            <w:r>
              <w:t>.</w:t>
            </w:r>
            <w:r w:rsidRPr="00217108">
              <w:t>57</w:t>
            </w:r>
          </w:p>
        </w:tc>
        <w:tc>
          <w:tcPr>
            <w:tcW w:w="1843" w:type="dxa"/>
          </w:tcPr>
          <w:p w:rsidR="00102F17" w:rsidRPr="00217108" w:rsidRDefault="00102F17" w:rsidP="00102F17">
            <w:pPr>
              <w:jc w:val="center"/>
            </w:pPr>
            <w:r>
              <w:t>0.1045</w:t>
            </w:r>
          </w:p>
        </w:tc>
      </w:tr>
    </w:tbl>
    <w:p w:rsidR="008773A5" w:rsidRDefault="008773A5" w:rsidP="00F56913">
      <w:pPr>
        <w:jc w:val="both"/>
        <w:rPr>
          <w:lang w:val="es-CL"/>
        </w:rPr>
      </w:pPr>
    </w:p>
    <w:p w:rsidR="003472E0" w:rsidRDefault="003472E0" w:rsidP="00F56913">
      <w:pPr>
        <w:jc w:val="both"/>
        <w:rPr>
          <w:lang w:val="es-CL"/>
        </w:rPr>
      </w:pPr>
    </w:p>
    <w:p w:rsidR="003472E0" w:rsidRDefault="003472E0" w:rsidP="00F56913">
      <w:pPr>
        <w:jc w:val="both"/>
        <w:rPr>
          <w:lang w:val="es-CL"/>
        </w:rPr>
      </w:pPr>
    </w:p>
    <w:p w:rsidR="00102F17" w:rsidRPr="008A2787" w:rsidRDefault="00102F17" w:rsidP="00102F17">
      <w:pPr>
        <w:spacing w:after="0"/>
        <w:jc w:val="center"/>
        <w:rPr>
          <w:b/>
          <w:lang w:val="es-CL"/>
        </w:rPr>
      </w:pPr>
      <w:r w:rsidRPr="008A2787">
        <w:rPr>
          <w:b/>
          <w:lang w:val="es-CL"/>
        </w:rPr>
        <w:t>Tabla N°</w:t>
      </w:r>
      <w:r>
        <w:rPr>
          <w:b/>
          <w:lang w:val="es-CL"/>
        </w:rPr>
        <w:t>11</w:t>
      </w:r>
      <w:r w:rsidRPr="008A2787">
        <w:rPr>
          <w:b/>
          <w:lang w:val="es-CL"/>
        </w:rPr>
        <w:t xml:space="preserve"> </w:t>
      </w:r>
      <w:r>
        <w:rPr>
          <w:b/>
          <w:lang w:val="es-CL"/>
        </w:rPr>
        <w:t>Factor de Proyección</w:t>
      </w:r>
      <w:r w:rsidR="005C5541">
        <w:rPr>
          <w:rStyle w:val="FootnoteReference"/>
          <w:b/>
          <w:lang w:val="es-CL"/>
        </w:rPr>
        <w:footnoteReference w:id="14"/>
      </w:r>
      <w:r>
        <w:rPr>
          <w:b/>
          <w:lang w:val="es-CL"/>
        </w:rPr>
        <w:t xml:space="preserve"> para el Precio Medio de Venta</w:t>
      </w:r>
    </w:p>
    <w:p w:rsidR="00102F17" w:rsidRPr="008A2787" w:rsidRDefault="00102F17" w:rsidP="00102F17">
      <w:pPr>
        <w:spacing w:after="0"/>
        <w:jc w:val="center"/>
        <w:rPr>
          <w:b/>
          <w:lang w:val="es-CL"/>
        </w:rPr>
      </w:pPr>
      <w:r w:rsidRPr="008A2787">
        <w:rPr>
          <w:b/>
          <w:lang w:val="es-CL"/>
        </w:rPr>
        <w:t xml:space="preserve">Según </w:t>
      </w:r>
      <w:r>
        <w:rPr>
          <w:b/>
          <w:lang w:val="es-CL"/>
        </w:rPr>
        <w:t xml:space="preserve">Costos del Sector Eléctrico del </w:t>
      </w:r>
      <w:r w:rsidRPr="008A2787">
        <w:rPr>
          <w:b/>
          <w:lang w:val="es-CL"/>
        </w:rPr>
        <w:t>PME 2016-2025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829"/>
        <w:gridCol w:w="829"/>
        <w:gridCol w:w="829"/>
        <w:gridCol w:w="829"/>
        <w:gridCol w:w="829"/>
        <w:gridCol w:w="829"/>
        <w:gridCol w:w="829"/>
        <w:gridCol w:w="829"/>
        <w:gridCol w:w="829"/>
      </w:tblGrid>
      <w:tr w:rsidR="00102F17" w:rsidTr="00E11B7F">
        <w:trPr>
          <w:jc w:val="center"/>
        </w:trPr>
        <w:tc>
          <w:tcPr>
            <w:tcW w:w="711" w:type="dxa"/>
            <w:shd w:val="clear" w:color="auto" w:fill="D9E2F3" w:themeFill="accent1" w:themeFillTint="33"/>
          </w:tcPr>
          <w:p w:rsidR="00102F17" w:rsidRPr="008A2787" w:rsidRDefault="00102F17" w:rsidP="00213901">
            <w:pPr>
              <w:jc w:val="both"/>
              <w:rPr>
                <w:b/>
                <w:lang w:val="es-CL"/>
              </w:rPr>
            </w:pPr>
            <w:r w:rsidRPr="008A2787">
              <w:rPr>
                <w:b/>
                <w:lang w:val="es-CL"/>
              </w:rPr>
              <w:t>2016</w:t>
            </w:r>
          </w:p>
        </w:tc>
        <w:tc>
          <w:tcPr>
            <w:tcW w:w="711" w:type="dxa"/>
            <w:shd w:val="clear" w:color="auto" w:fill="D9E2F3" w:themeFill="accent1" w:themeFillTint="33"/>
          </w:tcPr>
          <w:p w:rsidR="00102F17" w:rsidRPr="008A2787" w:rsidRDefault="00102F17" w:rsidP="00213901">
            <w:pPr>
              <w:jc w:val="both"/>
              <w:rPr>
                <w:b/>
                <w:lang w:val="es-CL"/>
              </w:rPr>
            </w:pPr>
            <w:r w:rsidRPr="008A2787">
              <w:rPr>
                <w:b/>
                <w:lang w:val="es-CL"/>
              </w:rPr>
              <w:t>2017</w:t>
            </w:r>
          </w:p>
        </w:tc>
        <w:tc>
          <w:tcPr>
            <w:tcW w:w="711" w:type="dxa"/>
            <w:shd w:val="clear" w:color="auto" w:fill="D9E2F3" w:themeFill="accent1" w:themeFillTint="33"/>
          </w:tcPr>
          <w:p w:rsidR="00102F17" w:rsidRPr="008A2787" w:rsidRDefault="00102F17" w:rsidP="00213901">
            <w:pPr>
              <w:jc w:val="both"/>
              <w:rPr>
                <w:b/>
                <w:lang w:val="es-CL"/>
              </w:rPr>
            </w:pPr>
            <w:r w:rsidRPr="008A2787">
              <w:rPr>
                <w:b/>
                <w:lang w:val="es-CL"/>
              </w:rPr>
              <w:t>2018</w:t>
            </w:r>
          </w:p>
        </w:tc>
        <w:tc>
          <w:tcPr>
            <w:tcW w:w="710" w:type="dxa"/>
            <w:shd w:val="clear" w:color="auto" w:fill="D9E2F3" w:themeFill="accent1" w:themeFillTint="33"/>
          </w:tcPr>
          <w:p w:rsidR="00102F17" w:rsidRPr="008A2787" w:rsidRDefault="00102F17" w:rsidP="00213901">
            <w:pPr>
              <w:jc w:val="both"/>
              <w:rPr>
                <w:b/>
                <w:lang w:val="es-CL"/>
              </w:rPr>
            </w:pPr>
            <w:r w:rsidRPr="008A2787">
              <w:rPr>
                <w:b/>
                <w:lang w:val="es-CL"/>
              </w:rPr>
              <w:t>2019</w:t>
            </w:r>
          </w:p>
        </w:tc>
        <w:tc>
          <w:tcPr>
            <w:tcW w:w="710" w:type="dxa"/>
            <w:shd w:val="clear" w:color="auto" w:fill="D9E2F3" w:themeFill="accent1" w:themeFillTint="33"/>
          </w:tcPr>
          <w:p w:rsidR="00102F17" w:rsidRPr="008A2787" w:rsidRDefault="00102F17" w:rsidP="00213901">
            <w:pPr>
              <w:jc w:val="both"/>
              <w:rPr>
                <w:b/>
                <w:lang w:val="es-CL"/>
              </w:rPr>
            </w:pPr>
            <w:r w:rsidRPr="008A2787">
              <w:rPr>
                <w:b/>
                <w:lang w:val="es-CL"/>
              </w:rPr>
              <w:t>2020</w:t>
            </w:r>
          </w:p>
        </w:tc>
        <w:tc>
          <w:tcPr>
            <w:tcW w:w="710" w:type="dxa"/>
            <w:shd w:val="clear" w:color="auto" w:fill="D9E2F3" w:themeFill="accent1" w:themeFillTint="33"/>
          </w:tcPr>
          <w:p w:rsidR="00102F17" w:rsidRPr="008A2787" w:rsidRDefault="00102F17" w:rsidP="00213901">
            <w:pPr>
              <w:jc w:val="both"/>
              <w:rPr>
                <w:b/>
                <w:lang w:val="es-CL"/>
              </w:rPr>
            </w:pPr>
            <w:r w:rsidRPr="008A2787">
              <w:rPr>
                <w:b/>
                <w:lang w:val="es-CL"/>
              </w:rPr>
              <w:t>2021</w:t>
            </w:r>
          </w:p>
        </w:tc>
        <w:tc>
          <w:tcPr>
            <w:tcW w:w="710" w:type="dxa"/>
            <w:shd w:val="clear" w:color="auto" w:fill="D9E2F3" w:themeFill="accent1" w:themeFillTint="33"/>
          </w:tcPr>
          <w:p w:rsidR="00102F17" w:rsidRPr="008A2787" w:rsidRDefault="00102F17" w:rsidP="00213901">
            <w:pPr>
              <w:jc w:val="both"/>
              <w:rPr>
                <w:b/>
                <w:lang w:val="es-CL"/>
              </w:rPr>
            </w:pPr>
            <w:r w:rsidRPr="008A2787">
              <w:rPr>
                <w:b/>
                <w:lang w:val="es-CL"/>
              </w:rPr>
              <w:t>2022</w:t>
            </w:r>
          </w:p>
        </w:tc>
        <w:tc>
          <w:tcPr>
            <w:tcW w:w="710" w:type="dxa"/>
            <w:shd w:val="clear" w:color="auto" w:fill="D9E2F3" w:themeFill="accent1" w:themeFillTint="33"/>
          </w:tcPr>
          <w:p w:rsidR="00102F17" w:rsidRPr="008A2787" w:rsidRDefault="00102F17" w:rsidP="00213901">
            <w:pPr>
              <w:jc w:val="both"/>
              <w:rPr>
                <w:b/>
                <w:lang w:val="es-CL"/>
              </w:rPr>
            </w:pPr>
            <w:r w:rsidRPr="008A2787">
              <w:rPr>
                <w:b/>
                <w:lang w:val="es-CL"/>
              </w:rPr>
              <w:t>2023</w:t>
            </w:r>
          </w:p>
        </w:tc>
        <w:tc>
          <w:tcPr>
            <w:tcW w:w="710" w:type="dxa"/>
            <w:shd w:val="clear" w:color="auto" w:fill="D9E2F3" w:themeFill="accent1" w:themeFillTint="33"/>
          </w:tcPr>
          <w:p w:rsidR="00102F17" w:rsidRPr="008A2787" w:rsidRDefault="00102F17" w:rsidP="00213901">
            <w:pPr>
              <w:jc w:val="both"/>
              <w:rPr>
                <w:b/>
                <w:lang w:val="es-CL"/>
              </w:rPr>
            </w:pPr>
            <w:r w:rsidRPr="008A2787">
              <w:rPr>
                <w:b/>
                <w:lang w:val="es-CL"/>
              </w:rPr>
              <w:t>2024</w:t>
            </w:r>
          </w:p>
        </w:tc>
        <w:tc>
          <w:tcPr>
            <w:tcW w:w="730" w:type="dxa"/>
            <w:shd w:val="clear" w:color="auto" w:fill="D9E2F3" w:themeFill="accent1" w:themeFillTint="33"/>
          </w:tcPr>
          <w:p w:rsidR="00102F17" w:rsidRPr="008A2787" w:rsidRDefault="00102F17" w:rsidP="00213901">
            <w:pPr>
              <w:jc w:val="both"/>
              <w:rPr>
                <w:b/>
                <w:lang w:val="es-CL"/>
              </w:rPr>
            </w:pPr>
            <w:r w:rsidRPr="008A2787">
              <w:rPr>
                <w:b/>
                <w:lang w:val="es-CL"/>
              </w:rPr>
              <w:t>2025-</w:t>
            </w:r>
          </w:p>
        </w:tc>
      </w:tr>
      <w:tr w:rsidR="00102F17" w:rsidTr="00E11B7F">
        <w:trPr>
          <w:jc w:val="center"/>
        </w:trPr>
        <w:tc>
          <w:tcPr>
            <w:tcW w:w="711" w:type="dxa"/>
          </w:tcPr>
          <w:p w:rsidR="00102F17" w:rsidRPr="00D03D63" w:rsidRDefault="00102F17" w:rsidP="00102F17">
            <w:r w:rsidRPr="00D03D63">
              <w:t>1,0000</w:t>
            </w:r>
          </w:p>
        </w:tc>
        <w:tc>
          <w:tcPr>
            <w:tcW w:w="711" w:type="dxa"/>
          </w:tcPr>
          <w:p w:rsidR="00102F17" w:rsidRPr="00D03D63" w:rsidRDefault="00102F17" w:rsidP="00102F17">
            <w:r w:rsidRPr="00D03D63">
              <w:t>0,9849</w:t>
            </w:r>
          </w:p>
        </w:tc>
        <w:tc>
          <w:tcPr>
            <w:tcW w:w="711" w:type="dxa"/>
          </w:tcPr>
          <w:p w:rsidR="00102F17" w:rsidRPr="00D03D63" w:rsidRDefault="00102F17" w:rsidP="00102F17">
            <w:r w:rsidRPr="00D03D63">
              <w:t>0,9795</w:t>
            </w:r>
          </w:p>
        </w:tc>
        <w:tc>
          <w:tcPr>
            <w:tcW w:w="710" w:type="dxa"/>
          </w:tcPr>
          <w:p w:rsidR="00102F17" w:rsidRPr="00D03D63" w:rsidRDefault="00102F17" w:rsidP="00102F17">
            <w:r w:rsidRPr="00D03D63">
              <w:t>0,9793</w:t>
            </w:r>
          </w:p>
        </w:tc>
        <w:tc>
          <w:tcPr>
            <w:tcW w:w="710" w:type="dxa"/>
          </w:tcPr>
          <w:p w:rsidR="00102F17" w:rsidRPr="00D03D63" w:rsidRDefault="00102F17" w:rsidP="00102F17">
            <w:r w:rsidRPr="00D03D63">
              <w:t>0,9860</w:t>
            </w:r>
          </w:p>
        </w:tc>
        <w:tc>
          <w:tcPr>
            <w:tcW w:w="710" w:type="dxa"/>
          </w:tcPr>
          <w:p w:rsidR="00102F17" w:rsidRPr="00D03D63" w:rsidRDefault="00102F17" w:rsidP="00102F17">
            <w:r w:rsidRPr="00D03D63">
              <w:t>0,9744</w:t>
            </w:r>
          </w:p>
        </w:tc>
        <w:tc>
          <w:tcPr>
            <w:tcW w:w="710" w:type="dxa"/>
          </w:tcPr>
          <w:p w:rsidR="00102F17" w:rsidRPr="00D03D63" w:rsidRDefault="00102F17" w:rsidP="00102F17">
            <w:r w:rsidRPr="00D03D63">
              <w:t>0,9706</w:t>
            </w:r>
          </w:p>
        </w:tc>
        <w:tc>
          <w:tcPr>
            <w:tcW w:w="710" w:type="dxa"/>
          </w:tcPr>
          <w:p w:rsidR="00102F17" w:rsidRPr="00D03D63" w:rsidRDefault="00102F17" w:rsidP="00102F17">
            <w:r w:rsidRPr="00D03D63">
              <w:t>0,9630</w:t>
            </w:r>
          </w:p>
        </w:tc>
        <w:tc>
          <w:tcPr>
            <w:tcW w:w="710" w:type="dxa"/>
          </w:tcPr>
          <w:p w:rsidR="00102F17" w:rsidRPr="00D03D63" w:rsidRDefault="00102F17" w:rsidP="00102F17">
            <w:r w:rsidRPr="00D03D63">
              <w:t>0,9659</w:t>
            </w:r>
          </w:p>
        </w:tc>
        <w:tc>
          <w:tcPr>
            <w:tcW w:w="730" w:type="dxa"/>
          </w:tcPr>
          <w:p w:rsidR="00102F17" w:rsidRDefault="00102F17" w:rsidP="00102F17">
            <w:r w:rsidRPr="00D03D63">
              <w:t>0,9693</w:t>
            </w:r>
          </w:p>
        </w:tc>
      </w:tr>
    </w:tbl>
    <w:p w:rsidR="00226377" w:rsidRDefault="00226377" w:rsidP="00F56913">
      <w:pPr>
        <w:jc w:val="both"/>
        <w:rPr>
          <w:b/>
          <w:lang w:val="es-CL"/>
        </w:rPr>
      </w:pPr>
    </w:p>
    <w:p w:rsidR="00102F17" w:rsidRPr="005C5541" w:rsidRDefault="005C5541" w:rsidP="00F56913">
      <w:pPr>
        <w:jc w:val="both"/>
        <w:rPr>
          <w:b/>
          <w:lang w:val="es-CL"/>
        </w:rPr>
      </w:pPr>
      <w:r w:rsidRPr="005C5541">
        <w:rPr>
          <w:b/>
          <w:lang w:val="es-CL"/>
        </w:rPr>
        <w:t xml:space="preserve">Ahorro por </w:t>
      </w:r>
      <w:r w:rsidR="000A40D3">
        <w:rPr>
          <w:b/>
          <w:lang w:val="es-CL"/>
        </w:rPr>
        <w:t>menor ENS (</w:t>
      </w:r>
      <w:r w:rsidRPr="005C5541">
        <w:rPr>
          <w:b/>
          <w:lang w:val="es-CL"/>
        </w:rPr>
        <w:t>evitar eventuales multas por calidad de servicio</w:t>
      </w:r>
      <w:r w:rsidR="000A40D3">
        <w:rPr>
          <w:b/>
          <w:lang w:val="es-CL"/>
        </w:rPr>
        <w:t>)</w:t>
      </w:r>
    </w:p>
    <w:p w:rsidR="005C5541" w:rsidRPr="005C5541" w:rsidRDefault="005C5541" w:rsidP="005C5541">
      <w:pPr>
        <w:jc w:val="both"/>
        <w:rPr>
          <w:lang w:val="es-CL"/>
        </w:rPr>
      </w:pPr>
      <w:r w:rsidRPr="005C5541">
        <w:rPr>
          <w:lang w:val="es-CL"/>
        </w:rPr>
        <w:t xml:space="preserve">Si bien la regulación no define explícitamente el costo de la energía no suministrada debida a interrupciones, de acuerdo al oficio circular No. 11-647 del 3 de mayo de 2011, emitido por el CONELEC (ARCONEL), se ha realizado un estudio que contempla una “Estimación Referencial del CENS en Ecuador”, para ser utilizado exclusivamente para procesos de planificación de la expansión y operación del SNI, mismo que fue aprobado por los señores miembros del Directorio del CONELEC, mediante resolución No. 025/11 del 14 de abril de 2011. </w:t>
      </w:r>
    </w:p>
    <w:p w:rsidR="005C5541" w:rsidRPr="005C5541" w:rsidRDefault="005C5541" w:rsidP="005C5541">
      <w:pPr>
        <w:jc w:val="both"/>
        <w:rPr>
          <w:lang w:val="es-CL"/>
        </w:rPr>
      </w:pPr>
      <w:r w:rsidRPr="005C5541">
        <w:rPr>
          <w:lang w:val="es-CL"/>
        </w:rPr>
        <w:t>Lo anterior dio a entender, que el Costo de las Interrupciones se deberían incluir en los flujos económicos esperados en contra de las Empresas Eléctricas del SNI y por tanto el valor del CENS emanado de dicho estudio se emplea para el cálculo de las penalizaciones esperadas que evitaría todo proyecto destinado a mejorar la confiabilidad de las redes.</w:t>
      </w:r>
    </w:p>
    <w:p w:rsidR="005C5541" w:rsidRPr="005C5541" w:rsidRDefault="005C5541" w:rsidP="005C5541">
      <w:pPr>
        <w:jc w:val="both"/>
        <w:rPr>
          <w:lang w:val="es-CL"/>
        </w:rPr>
      </w:pPr>
      <w:r w:rsidRPr="005C5541">
        <w:rPr>
          <w:lang w:val="es-CL"/>
        </w:rPr>
        <w:t>En dicho estudio</w:t>
      </w:r>
      <w:r w:rsidRPr="000A40D3">
        <w:rPr>
          <w:vertAlign w:val="superscript"/>
          <w:lang w:val="es-CL"/>
        </w:rPr>
        <w:footnoteReference w:id="15"/>
      </w:r>
      <w:r w:rsidRPr="005C5541">
        <w:rPr>
          <w:lang w:val="es-CL"/>
        </w:rPr>
        <w:t>, basado en las consecuencias económicas de la crisis de racionamiento de 2009, se determina que el perjuicio medio para la producción económica es de 1533 US$/MWh.</w:t>
      </w:r>
    </w:p>
    <w:p w:rsidR="005C5541" w:rsidRPr="005C5541" w:rsidRDefault="005C5541" w:rsidP="005C5541">
      <w:pPr>
        <w:jc w:val="both"/>
        <w:rPr>
          <w:lang w:val="es-CL"/>
        </w:rPr>
      </w:pPr>
      <w:r w:rsidRPr="005C5541">
        <w:rPr>
          <w:lang w:val="es-CL"/>
        </w:rPr>
        <w:t xml:space="preserve">Este parámetro se emplea en todas las evaluaciones de proyectos que reducen las interrupciones de suministro, siendo aplicado desde el punto de vista financiero (como un resarcimiento evitado) y también desde el punto de vista económico, como aquel costo alternativo del que se libra a los clientes por tener que enfrentar largas y repetidas interrupciones del servicio. </w:t>
      </w:r>
    </w:p>
    <w:p w:rsidR="005C5541" w:rsidRPr="005C5541" w:rsidRDefault="005C5541" w:rsidP="005C5541">
      <w:pPr>
        <w:jc w:val="both"/>
        <w:rPr>
          <w:lang w:val="es-CL"/>
        </w:rPr>
      </w:pPr>
      <w:r w:rsidRPr="005C5541">
        <w:rPr>
          <w:lang w:val="es-CL"/>
        </w:rPr>
        <w:t>La siguiente Tabla, extraída del Estudio de Vasquez (2009), muestra la relación de Costos Directos y Costos Indirectos derivados de la falta de suministro eléctrico derivada de los racionamientos sufridos durante la crisis ecuatoriana.</w:t>
      </w:r>
    </w:p>
    <w:p w:rsidR="00327A26" w:rsidRDefault="00327A26" w:rsidP="005C5541">
      <w:pPr>
        <w:autoSpaceDE w:val="0"/>
        <w:autoSpaceDN w:val="0"/>
        <w:adjustRightInd w:val="0"/>
        <w:spacing w:after="0" w:line="240" w:lineRule="auto"/>
        <w:jc w:val="center"/>
        <w:rPr>
          <w:b/>
          <w:lang w:val="es-CL"/>
        </w:rPr>
      </w:pPr>
    </w:p>
    <w:p w:rsidR="00327A26" w:rsidRDefault="00327A26" w:rsidP="005C5541">
      <w:pPr>
        <w:autoSpaceDE w:val="0"/>
        <w:autoSpaceDN w:val="0"/>
        <w:adjustRightInd w:val="0"/>
        <w:spacing w:after="0" w:line="240" w:lineRule="auto"/>
        <w:jc w:val="center"/>
        <w:rPr>
          <w:b/>
          <w:lang w:val="es-CL"/>
        </w:rPr>
      </w:pPr>
    </w:p>
    <w:p w:rsidR="005C5541" w:rsidRPr="005C5541" w:rsidRDefault="005C5541" w:rsidP="005C5541">
      <w:pPr>
        <w:autoSpaceDE w:val="0"/>
        <w:autoSpaceDN w:val="0"/>
        <w:adjustRightInd w:val="0"/>
        <w:spacing w:after="0" w:line="240" w:lineRule="auto"/>
        <w:jc w:val="center"/>
        <w:rPr>
          <w:b/>
          <w:lang w:val="es-CL"/>
        </w:rPr>
      </w:pPr>
      <w:r w:rsidRPr="005C5541">
        <w:rPr>
          <w:b/>
          <w:lang w:val="es-CL"/>
        </w:rPr>
        <w:t>Tabla N°12</w:t>
      </w:r>
      <w:r w:rsidR="00810BA0">
        <w:rPr>
          <w:b/>
          <w:lang w:val="es-CL"/>
        </w:rPr>
        <w:t>. Extracto del estudio de Vasquez, 2009</w:t>
      </w:r>
    </w:p>
    <w:p w:rsidR="005C5541" w:rsidRPr="00B31920" w:rsidRDefault="005C5541" w:rsidP="005C5541">
      <w:pPr>
        <w:autoSpaceDE w:val="0"/>
        <w:autoSpaceDN w:val="0"/>
        <w:adjustRightInd w:val="0"/>
        <w:spacing w:after="0" w:line="240" w:lineRule="auto"/>
        <w:jc w:val="center"/>
        <w:rPr>
          <w:rFonts w:ascii="Arial" w:hAnsi="Arial" w:cs="Arial"/>
          <w:lang w:val="es-DO"/>
        </w:rPr>
      </w:pPr>
      <w:r w:rsidRPr="00B31920">
        <w:rPr>
          <w:rFonts w:ascii="Arial" w:hAnsi="Arial" w:cs="Arial"/>
          <w:noProof/>
          <w:lang w:val="en-US"/>
        </w:rPr>
        <w:drawing>
          <wp:inline distT="0" distB="0" distL="0" distR="0" wp14:anchorId="5346EED9" wp14:editId="6345CA24">
            <wp:extent cx="4610746" cy="1690892"/>
            <wp:effectExtent l="0" t="0" r="0" b="508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84" cy="1721124"/>
                    </a:xfrm>
                    <a:prstGeom prst="rect">
                      <a:avLst/>
                    </a:prstGeom>
                    <a:noFill/>
                    <a:ln>
                      <a:noFill/>
                    </a:ln>
                  </pic:spPr>
                </pic:pic>
              </a:graphicData>
            </a:graphic>
          </wp:inline>
        </w:drawing>
      </w:r>
    </w:p>
    <w:p w:rsidR="005C5541" w:rsidRDefault="005C5541" w:rsidP="00F56913">
      <w:pPr>
        <w:jc w:val="both"/>
        <w:rPr>
          <w:lang w:val="es-CL"/>
        </w:rPr>
      </w:pPr>
    </w:p>
    <w:p w:rsidR="00AC30D4" w:rsidRDefault="005C5541" w:rsidP="00F56913">
      <w:pPr>
        <w:jc w:val="both"/>
        <w:rPr>
          <w:lang w:val="es-CL"/>
        </w:rPr>
      </w:pPr>
      <w:r>
        <w:rPr>
          <w:lang w:val="es-CL"/>
        </w:rPr>
        <w:t>De esta forma, para todos los proyectos que reducen los indicadores FMIK y TTIK, se estima una reducción de la Energía No Suministrada (ENS) y se valora mediante el Costo de Energía No Suministrada (CENS), para el cálculo del Ahorro por menor ENS</w:t>
      </w:r>
      <w:r w:rsidR="000A40D3">
        <w:rPr>
          <w:lang w:val="es-CL"/>
        </w:rPr>
        <w:t xml:space="preserve"> según la siguiente expresión</w:t>
      </w:r>
      <w:r>
        <w:rPr>
          <w:lang w:val="es-CL"/>
        </w:rPr>
        <w:t>.</w:t>
      </w:r>
    </w:p>
    <w:p w:rsidR="00072F88" w:rsidRDefault="00072F88" w:rsidP="00832AAA">
      <w:pPr>
        <w:jc w:val="center"/>
        <w:rPr>
          <w:lang w:val="es-CL"/>
        </w:rPr>
      </w:pPr>
    </w:p>
    <w:p w:rsidR="005C5541" w:rsidRPr="00226377" w:rsidRDefault="00832AAA" w:rsidP="00832AAA">
      <w:pPr>
        <w:jc w:val="center"/>
        <w:rPr>
          <w:b/>
          <w:lang w:val="es-CL"/>
        </w:rPr>
      </w:pPr>
      <w:r w:rsidRPr="00226377">
        <w:rPr>
          <w:b/>
          <w:lang w:val="es-CL"/>
        </w:rPr>
        <w:t>Ahorro por Menor ENS = (TTIKsp-TTIKcp)</w:t>
      </w:r>
      <w:r w:rsidR="00E13EE2">
        <w:rPr>
          <w:b/>
          <w:lang w:val="es-CL"/>
        </w:rPr>
        <w:t xml:space="preserve"> </w:t>
      </w:r>
      <w:r w:rsidRPr="00226377">
        <w:rPr>
          <w:b/>
          <w:lang w:val="es-CL"/>
        </w:rPr>
        <w:t>*</w:t>
      </w:r>
      <w:r w:rsidR="00E13EE2">
        <w:rPr>
          <w:b/>
          <w:lang w:val="es-CL"/>
        </w:rPr>
        <w:t xml:space="preserve"> </w:t>
      </w:r>
      <w:r w:rsidRPr="00226377">
        <w:rPr>
          <w:b/>
          <w:lang w:val="es-CL"/>
        </w:rPr>
        <w:t>Di</w:t>
      </w:r>
      <w:r w:rsidR="00E13EE2">
        <w:rPr>
          <w:b/>
          <w:lang w:val="es-CL"/>
        </w:rPr>
        <w:t xml:space="preserve"> </w:t>
      </w:r>
      <w:r w:rsidRPr="00226377">
        <w:rPr>
          <w:b/>
          <w:lang w:val="es-CL"/>
        </w:rPr>
        <w:t>*</w:t>
      </w:r>
      <w:r w:rsidR="00E13EE2">
        <w:rPr>
          <w:b/>
          <w:lang w:val="es-CL"/>
        </w:rPr>
        <w:t xml:space="preserve"> </w:t>
      </w:r>
      <w:r w:rsidRPr="00226377">
        <w:rPr>
          <w:b/>
          <w:lang w:val="es-CL"/>
        </w:rPr>
        <w:t>CENS</w:t>
      </w:r>
    </w:p>
    <w:p w:rsidR="00072F88" w:rsidRDefault="00072F88" w:rsidP="00F56913">
      <w:pPr>
        <w:jc w:val="both"/>
        <w:rPr>
          <w:lang w:val="es-CL"/>
        </w:rPr>
      </w:pPr>
    </w:p>
    <w:p w:rsidR="00072F88" w:rsidRDefault="00072F88" w:rsidP="00F56913">
      <w:pPr>
        <w:jc w:val="both"/>
        <w:rPr>
          <w:lang w:val="es-CL"/>
        </w:rPr>
      </w:pPr>
      <w:r>
        <w:rPr>
          <w:lang w:val="es-CL"/>
        </w:rPr>
        <w:t>Donde:</w:t>
      </w:r>
    </w:p>
    <w:p w:rsidR="005C5541" w:rsidRDefault="00832AAA" w:rsidP="00072F88">
      <w:pPr>
        <w:ind w:left="708"/>
        <w:jc w:val="both"/>
        <w:rPr>
          <w:lang w:val="es-CL"/>
        </w:rPr>
      </w:pPr>
      <w:r w:rsidRPr="00072F88">
        <w:rPr>
          <w:b/>
          <w:lang w:val="es-CL"/>
        </w:rPr>
        <w:t>TTIKsp:</w:t>
      </w:r>
      <w:r>
        <w:rPr>
          <w:lang w:val="es-CL"/>
        </w:rPr>
        <w:t xml:space="preserve"> Horas de Interrupción anual por KVA, Sin Proyecto</w:t>
      </w:r>
    </w:p>
    <w:p w:rsidR="00832AAA" w:rsidRDefault="00832AAA" w:rsidP="00072F88">
      <w:pPr>
        <w:ind w:left="708"/>
        <w:jc w:val="both"/>
        <w:rPr>
          <w:lang w:val="es-CL"/>
        </w:rPr>
      </w:pPr>
      <w:r w:rsidRPr="00072F88">
        <w:rPr>
          <w:b/>
          <w:lang w:val="es-CL"/>
        </w:rPr>
        <w:t>TTIKcp:</w:t>
      </w:r>
      <w:r>
        <w:rPr>
          <w:lang w:val="es-CL"/>
        </w:rPr>
        <w:t xml:space="preserve"> Horas de Interrupción anual por KVA, Sin Proyecto</w:t>
      </w:r>
    </w:p>
    <w:p w:rsidR="00832AAA" w:rsidRDefault="00072F88" w:rsidP="00072F88">
      <w:pPr>
        <w:ind w:left="708"/>
        <w:jc w:val="both"/>
        <w:rPr>
          <w:lang w:val="es-CL"/>
        </w:rPr>
      </w:pPr>
      <w:r w:rsidRPr="00072F88">
        <w:rPr>
          <w:b/>
          <w:lang w:val="es-CL"/>
        </w:rPr>
        <w:t>Di:</w:t>
      </w:r>
      <w:r>
        <w:rPr>
          <w:lang w:val="es-CL"/>
        </w:rPr>
        <w:t xml:space="preserve"> Demanda de potencia del año i, Con Proyecto (MW).</w:t>
      </w:r>
    </w:p>
    <w:p w:rsidR="00072F88" w:rsidRDefault="00072F88" w:rsidP="00072F88">
      <w:pPr>
        <w:ind w:left="708"/>
        <w:jc w:val="both"/>
        <w:rPr>
          <w:lang w:val="es-CL"/>
        </w:rPr>
      </w:pPr>
      <w:r w:rsidRPr="00072F88">
        <w:rPr>
          <w:b/>
          <w:lang w:val="es-CL"/>
        </w:rPr>
        <w:t>CENS:</w:t>
      </w:r>
      <w:r>
        <w:rPr>
          <w:lang w:val="es-CL"/>
        </w:rPr>
        <w:t xml:space="preserve"> Costo de la Energía No Suministrada 1533 (US$/MWh)</w:t>
      </w:r>
    </w:p>
    <w:p w:rsidR="00820D42" w:rsidRDefault="00820D42" w:rsidP="00F56913">
      <w:pPr>
        <w:jc w:val="both"/>
        <w:rPr>
          <w:lang w:val="es-CL"/>
        </w:rPr>
      </w:pPr>
    </w:p>
    <w:p w:rsidR="00072F88" w:rsidRPr="00072F88" w:rsidRDefault="00072F88" w:rsidP="00F56913">
      <w:pPr>
        <w:jc w:val="both"/>
        <w:rPr>
          <w:b/>
          <w:lang w:val="es-CL"/>
        </w:rPr>
      </w:pPr>
      <w:r w:rsidRPr="00072F88">
        <w:rPr>
          <w:b/>
          <w:lang w:val="es-CL"/>
        </w:rPr>
        <w:t>Mayor Compra de Energía.</w:t>
      </w:r>
    </w:p>
    <w:p w:rsidR="00072F88" w:rsidRDefault="00072F88" w:rsidP="00F56913">
      <w:pPr>
        <w:jc w:val="both"/>
        <w:rPr>
          <w:lang w:val="es-CL"/>
        </w:rPr>
      </w:pPr>
      <w:r>
        <w:rPr>
          <w:lang w:val="es-CL"/>
        </w:rPr>
        <w:t>Corresponde a los cargos de generación y transmisión que la EED debe pagar con ocasión de los mayores flujos de energía logrados con proyecto. En 2016, según las estadísticas del sector eléctrico, este parámetro corresponde al Precio Medio de Compra (US$/kWh) y es determinado para cada Empresa Eléctrica de Distribución.</w:t>
      </w:r>
    </w:p>
    <w:p w:rsidR="00072F88" w:rsidRDefault="00072F88" w:rsidP="00F56913">
      <w:pPr>
        <w:jc w:val="both"/>
        <w:rPr>
          <w:lang w:val="es-CL"/>
        </w:rPr>
      </w:pPr>
      <w:r>
        <w:rPr>
          <w:lang w:val="es-CL"/>
        </w:rPr>
        <w:t>Para su actualización y proyección a los años futuros, se utilizan las proyecciones de Costos Medios de Generación y de Transmisión estimadas en el PME 2016-2025.</w:t>
      </w:r>
    </w:p>
    <w:p w:rsidR="00226377" w:rsidRDefault="00226377" w:rsidP="00F56913">
      <w:pPr>
        <w:jc w:val="both"/>
        <w:rPr>
          <w:lang w:val="es-CL"/>
        </w:rPr>
      </w:pPr>
      <w:r>
        <w:rPr>
          <w:lang w:val="es-CL"/>
        </w:rPr>
        <w:t>Además, son consideradas las Pérdidas Técnicas de distribución para escalar la energía vendida por la EED, hasta sus respectivos puntos de ingreso.</w:t>
      </w:r>
    </w:p>
    <w:p w:rsidR="00333DFC" w:rsidRDefault="00333DFC" w:rsidP="00F56913">
      <w:pPr>
        <w:jc w:val="both"/>
        <w:rPr>
          <w:lang w:val="es-CL"/>
        </w:rPr>
      </w:pPr>
    </w:p>
    <w:p w:rsidR="00226377" w:rsidRPr="00102F17" w:rsidRDefault="00226377" w:rsidP="00226377">
      <w:pPr>
        <w:spacing w:after="0"/>
        <w:jc w:val="center"/>
        <w:rPr>
          <w:b/>
          <w:lang w:val="es-CL"/>
        </w:rPr>
      </w:pPr>
      <w:r>
        <w:rPr>
          <w:b/>
          <w:lang w:val="es-CL"/>
        </w:rPr>
        <w:t>Tabla N°13</w:t>
      </w:r>
      <w:r w:rsidRPr="00102F17">
        <w:rPr>
          <w:b/>
          <w:lang w:val="es-CL"/>
        </w:rPr>
        <w:t xml:space="preserve"> </w:t>
      </w:r>
      <w:r>
        <w:rPr>
          <w:b/>
          <w:lang w:val="es-CL"/>
        </w:rPr>
        <w:t>Pérdidas Técnicas</w:t>
      </w:r>
      <w:r w:rsidRPr="00102F17">
        <w:rPr>
          <w:b/>
          <w:lang w:val="es-CL"/>
        </w:rPr>
        <w:t xml:space="preserve"> </w:t>
      </w:r>
      <w:r>
        <w:rPr>
          <w:b/>
          <w:lang w:val="es-CL"/>
        </w:rPr>
        <w:t xml:space="preserve">y Pmc 2016 </w:t>
      </w:r>
      <w:r w:rsidRPr="00102F17">
        <w:rPr>
          <w:b/>
          <w:lang w:val="es-CL"/>
        </w:rPr>
        <w:t>por Empresa</w:t>
      </w:r>
    </w:p>
    <w:p w:rsidR="00226377" w:rsidRPr="00102F17" w:rsidRDefault="00226377" w:rsidP="00226377">
      <w:pPr>
        <w:spacing w:after="0"/>
        <w:jc w:val="center"/>
        <w:rPr>
          <w:b/>
          <w:lang w:val="es-CL"/>
        </w:rPr>
      </w:pPr>
      <w:r w:rsidRPr="00102F17">
        <w:rPr>
          <w:b/>
          <w:lang w:val="es-CL"/>
        </w:rPr>
        <w:t>Según Estadísticas del Sector Eléctrico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17"/>
        <w:gridCol w:w="1843"/>
      </w:tblGrid>
      <w:tr w:rsidR="00226377" w:rsidTr="00E11B7F">
        <w:trPr>
          <w:jc w:val="center"/>
        </w:trPr>
        <w:tc>
          <w:tcPr>
            <w:tcW w:w="2122" w:type="dxa"/>
            <w:shd w:val="clear" w:color="auto" w:fill="D9E2F3" w:themeFill="accent1" w:themeFillTint="33"/>
            <w:vAlign w:val="center"/>
          </w:tcPr>
          <w:p w:rsidR="00226377" w:rsidRPr="00226377" w:rsidRDefault="00226377" w:rsidP="00213901">
            <w:pPr>
              <w:jc w:val="center"/>
              <w:rPr>
                <w:b/>
                <w:lang w:val="es-CL"/>
              </w:rPr>
            </w:pPr>
            <w:r w:rsidRPr="00226377">
              <w:rPr>
                <w:b/>
                <w:lang w:val="es-CL"/>
              </w:rPr>
              <w:t>Empresa</w:t>
            </w:r>
          </w:p>
        </w:tc>
        <w:tc>
          <w:tcPr>
            <w:tcW w:w="1417" w:type="dxa"/>
            <w:shd w:val="clear" w:color="auto" w:fill="D9E2F3" w:themeFill="accent1" w:themeFillTint="33"/>
            <w:vAlign w:val="center"/>
          </w:tcPr>
          <w:p w:rsidR="00226377" w:rsidRPr="00226377" w:rsidRDefault="00226377" w:rsidP="00213901">
            <w:pPr>
              <w:jc w:val="center"/>
              <w:rPr>
                <w:b/>
                <w:lang w:val="es-CL"/>
              </w:rPr>
            </w:pPr>
            <w:r>
              <w:rPr>
                <w:b/>
                <w:lang w:val="es-CL"/>
              </w:rPr>
              <w:t>Pérdidas Técnicas</w:t>
            </w:r>
          </w:p>
        </w:tc>
        <w:tc>
          <w:tcPr>
            <w:tcW w:w="1843" w:type="dxa"/>
            <w:shd w:val="clear" w:color="auto" w:fill="D9E2F3" w:themeFill="accent1" w:themeFillTint="33"/>
          </w:tcPr>
          <w:p w:rsidR="00226377" w:rsidRPr="00226377" w:rsidRDefault="00226377" w:rsidP="00213901">
            <w:pPr>
              <w:jc w:val="center"/>
              <w:rPr>
                <w:b/>
                <w:lang w:val="es-CL"/>
              </w:rPr>
            </w:pPr>
            <w:r w:rsidRPr="00226377">
              <w:rPr>
                <w:b/>
                <w:lang w:val="es-CL"/>
              </w:rPr>
              <w:t xml:space="preserve">Precio Medio de </w:t>
            </w:r>
            <w:r>
              <w:rPr>
                <w:b/>
                <w:lang w:val="es-CL"/>
              </w:rPr>
              <w:t>Compra</w:t>
            </w:r>
            <w:r w:rsidRPr="00226377">
              <w:rPr>
                <w:b/>
                <w:lang w:val="es-CL"/>
              </w:rPr>
              <w:t xml:space="preserve"> 2016 (US$/kWh)</w:t>
            </w:r>
          </w:p>
        </w:tc>
      </w:tr>
      <w:tr w:rsidR="00226377" w:rsidTr="00E11B7F">
        <w:trPr>
          <w:jc w:val="center"/>
        </w:trPr>
        <w:tc>
          <w:tcPr>
            <w:tcW w:w="2122" w:type="dxa"/>
          </w:tcPr>
          <w:p w:rsidR="00226377" w:rsidRPr="00840A51" w:rsidRDefault="00226377" w:rsidP="00226377">
            <w:r w:rsidRPr="00840A51">
              <w:t>CNEL</w:t>
            </w:r>
            <w:r>
              <w:t xml:space="preserve"> </w:t>
            </w:r>
            <w:r w:rsidRPr="00840A51">
              <w:t>Bolívar</w:t>
            </w:r>
          </w:p>
        </w:tc>
        <w:tc>
          <w:tcPr>
            <w:tcW w:w="1417" w:type="dxa"/>
          </w:tcPr>
          <w:p w:rsidR="00226377" w:rsidRPr="00B12F97" w:rsidRDefault="00226377" w:rsidP="00213901">
            <w:pPr>
              <w:jc w:val="center"/>
            </w:pPr>
            <w:r w:rsidRPr="00B12F97">
              <w:t>10,3%</w:t>
            </w:r>
          </w:p>
        </w:tc>
        <w:tc>
          <w:tcPr>
            <w:tcW w:w="1843" w:type="dxa"/>
          </w:tcPr>
          <w:p w:rsidR="00226377" w:rsidRPr="00710DB1" w:rsidRDefault="00226377" w:rsidP="00213901">
            <w:pPr>
              <w:jc w:val="center"/>
            </w:pPr>
            <w:r w:rsidRPr="00710DB1">
              <w:t>0,0544</w:t>
            </w:r>
          </w:p>
        </w:tc>
      </w:tr>
      <w:tr w:rsidR="00226377" w:rsidTr="00E11B7F">
        <w:trPr>
          <w:jc w:val="center"/>
        </w:trPr>
        <w:tc>
          <w:tcPr>
            <w:tcW w:w="2122" w:type="dxa"/>
          </w:tcPr>
          <w:p w:rsidR="00226377" w:rsidRPr="00840A51" w:rsidRDefault="00226377" w:rsidP="00226377">
            <w:r w:rsidRPr="00840A51">
              <w:t>CNEL</w:t>
            </w:r>
            <w:r>
              <w:t xml:space="preserve"> </w:t>
            </w:r>
            <w:r w:rsidRPr="00840A51">
              <w:t>El Oro</w:t>
            </w:r>
          </w:p>
        </w:tc>
        <w:tc>
          <w:tcPr>
            <w:tcW w:w="1417" w:type="dxa"/>
          </w:tcPr>
          <w:p w:rsidR="00226377" w:rsidRPr="00B12F97" w:rsidRDefault="00226377" w:rsidP="00213901">
            <w:pPr>
              <w:jc w:val="center"/>
            </w:pPr>
            <w:r w:rsidRPr="00B12F97">
              <w:t>9,4%</w:t>
            </w:r>
          </w:p>
        </w:tc>
        <w:tc>
          <w:tcPr>
            <w:tcW w:w="1843" w:type="dxa"/>
          </w:tcPr>
          <w:p w:rsidR="00226377" w:rsidRPr="00710DB1" w:rsidRDefault="00226377" w:rsidP="00213901">
            <w:pPr>
              <w:jc w:val="center"/>
            </w:pPr>
            <w:r w:rsidRPr="00710DB1">
              <w:t>0,0531</w:t>
            </w:r>
          </w:p>
        </w:tc>
      </w:tr>
      <w:tr w:rsidR="00226377" w:rsidTr="00E11B7F">
        <w:trPr>
          <w:jc w:val="center"/>
        </w:trPr>
        <w:tc>
          <w:tcPr>
            <w:tcW w:w="2122" w:type="dxa"/>
          </w:tcPr>
          <w:p w:rsidR="00226377" w:rsidRPr="00840A51" w:rsidRDefault="00226377" w:rsidP="00226377">
            <w:r w:rsidRPr="00840A51">
              <w:t>CNEL</w:t>
            </w:r>
            <w:r>
              <w:t xml:space="preserve"> </w:t>
            </w:r>
            <w:r w:rsidRPr="00840A51">
              <w:t>Esmeraldas</w:t>
            </w:r>
          </w:p>
        </w:tc>
        <w:tc>
          <w:tcPr>
            <w:tcW w:w="1417" w:type="dxa"/>
          </w:tcPr>
          <w:p w:rsidR="00226377" w:rsidRPr="00B12F97" w:rsidRDefault="00226377" w:rsidP="00213901">
            <w:pPr>
              <w:jc w:val="center"/>
            </w:pPr>
            <w:r w:rsidRPr="00B12F97">
              <w:t>12,5%</w:t>
            </w:r>
          </w:p>
        </w:tc>
        <w:tc>
          <w:tcPr>
            <w:tcW w:w="1843" w:type="dxa"/>
          </w:tcPr>
          <w:p w:rsidR="00226377" w:rsidRPr="00710DB1" w:rsidRDefault="00226377" w:rsidP="00213901">
            <w:pPr>
              <w:jc w:val="center"/>
            </w:pPr>
            <w:r w:rsidRPr="00710DB1">
              <w:t>0,0532</w:t>
            </w:r>
          </w:p>
        </w:tc>
      </w:tr>
      <w:tr w:rsidR="00226377" w:rsidTr="00E11B7F">
        <w:trPr>
          <w:jc w:val="center"/>
        </w:trPr>
        <w:tc>
          <w:tcPr>
            <w:tcW w:w="2122" w:type="dxa"/>
          </w:tcPr>
          <w:p w:rsidR="00226377" w:rsidRPr="00840A51" w:rsidRDefault="00226377" w:rsidP="00226377">
            <w:r w:rsidRPr="00840A51">
              <w:t>CNEL</w:t>
            </w:r>
            <w:r>
              <w:t xml:space="preserve"> </w:t>
            </w:r>
            <w:r w:rsidRPr="00840A51">
              <w:t>Guayaquil</w:t>
            </w:r>
          </w:p>
        </w:tc>
        <w:tc>
          <w:tcPr>
            <w:tcW w:w="1417" w:type="dxa"/>
          </w:tcPr>
          <w:p w:rsidR="00226377" w:rsidRPr="00B12F97" w:rsidRDefault="00226377" w:rsidP="00213901">
            <w:pPr>
              <w:jc w:val="center"/>
            </w:pPr>
            <w:r w:rsidRPr="00B12F97">
              <w:t>8,9%</w:t>
            </w:r>
          </w:p>
        </w:tc>
        <w:tc>
          <w:tcPr>
            <w:tcW w:w="1843" w:type="dxa"/>
          </w:tcPr>
          <w:p w:rsidR="00226377" w:rsidRPr="00710DB1" w:rsidRDefault="00226377" w:rsidP="00213901">
            <w:pPr>
              <w:jc w:val="center"/>
            </w:pPr>
            <w:r w:rsidRPr="00710DB1">
              <w:t>0,0531</w:t>
            </w:r>
          </w:p>
        </w:tc>
      </w:tr>
      <w:tr w:rsidR="00226377" w:rsidTr="00E11B7F">
        <w:trPr>
          <w:jc w:val="center"/>
        </w:trPr>
        <w:tc>
          <w:tcPr>
            <w:tcW w:w="2122" w:type="dxa"/>
          </w:tcPr>
          <w:p w:rsidR="00226377" w:rsidRPr="00840A51" w:rsidRDefault="00226377" w:rsidP="00226377">
            <w:r w:rsidRPr="00840A51">
              <w:t>CNEL</w:t>
            </w:r>
            <w:r>
              <w:t xml:space="preserve"> </w:t>
            </w:r>
            <w:r w:rsidRPr="00840A51">
              <w:t>Guayas los Ríos</w:t>
            </w:r>
          </w:p>
        </w:tc>
        <w:tc>
          <w:tcPr>
            <w:tcW w:w="1417" w:type="dxa"/>
          </w:tcPr>
          <w:p w:rsidR="00226377" w:rsidRPr="00B12F97" w:rsidRDefault="00226377" w:rsidP="00213901">
            <w:pPr>
              <w:jc w:val="center"/>
            </w:pPr>
            <w:r w:rsidRPr="00B12F97">
              <w:t>12,0%</w:t>
            </w:r>
          </w:p>
        </w:tc>
        <w:tc>
          <w:tcPr>
            <w:tcW w:w="1843" w:type="dxa"/>
          </w:tcPr>
          <w:p w:rsidR="00226377" w:rsidRPr="00710DB1" w:rsidRDefault="00226377" w:rsidP="00213901">
            <w:pPr>
              <w:jc w:val="center"/>
            </w:pPr>
            <w:r w:rsidRPr="00710DB1">
              <w:t>0,0534</w:t>
            </w:r>
          </w:p>
        </w:tc>
      </w:tr>
      <w:tr w:rsidR="00226377" w:rsidTr="00E11B7F">
        <w:trPr>
          <w:jc w:val="center"/>
        </w:trPr>
        <w:tc>
          <w:tcPr>
            <w:tcW w:w="2122" w:type="dxa"/>
          </w:tcPr>
          <w:p w:rsidR="00226377" w:rsidRPr="00840A51" w:rsidRDefault="00226377" w:rsidP="00226377">
            <w:r w:rsidRPr="00840A51">
              <w:t>CNEL</w:t>
            </w:r>
            <w:r>
              <w:t xml:space="preserve"> </w:t>
            </w:r>
            <w:r w:rsidRPr="00840A51">
              <w:t>Los Ríos</w:t>
            </w:r>
          </w:p>
        </w:tc>
        <w:tc>
          <w:tcPr>
            <w:tcW w:w="1417" w:type="dxa"/>
          </w:tcPr>
          <w:p w:rsidR="00226377" w:rsidRPr="00B12F97" w:rsidRDefault="00226377" w:rsidP="00213901">
            <w:pPr>
              <w:jc w:val="center"/>
            </w:pPr>
            <w:r w:rsidRPr="00B12F97">
              <w:t>10,6%</w:t>
            </w:r>
          </w:p>
        </w:tc>
        <w:tc>
          <w:tcPr>
            <w:tcW w:w="1843" w:type="dxa"/>
          </w:tcPr>
          <w:p w:rsidR="00226377" w:rsidRPr="00710DB1" w:rsidRDefault="00226377" w:rsidP="00213901">
            <w:pPr>
              <w:jc w:val="center"/>
            </w:pPr>
            <w:r w:rsidRPr="00710DB1">
              <w:t>0,0539</w:t>
            </w:r>
          </w:p>
        </w:tc>
      </w:tr>
      <w:tr w:rsidR="00226377" w:rsidTr="00E11B7F">
        <w:trPr>
          <w:jc w:val="center"/>
        </w:trPr>
        <w:tc>
          <w:tcPr>
            <w:tcW w:w="2122" w:type="dxa"/>
          </w:tcPr>
          <w:p w:rsidR="00226377" w:rsidRPr="00840A51" w:rsidRDefault="00226377" w:rsidP="00226377">
            <w:r w:rsidRPr="00840A51">
              <w:t>CNEL</w:t>
            </w:r>
            <w:r>
              <w:t xml:space="preserve"> </w:t>
            </w:r>
            <w:r w:rsidRPr="00840A51">
              <w:t>Manabí</w:t>
            </w:r>
          </w:p>
        </w:tc>
        <w:tc>
          <w:tcPr>
            <w:tcW w:w="1417" w:type="dxa"/>
          </w:tcPr>
          <w:p w:rsidR="00226377" w:rsidRPr="00B12F97" w:rsidRDefault="00226377" w:rsidP="00213901">
            <w:pPr>
              <w:jc w:val="center"/>
            </w:pPr>
            <w:r w:rsidRPr="00B12F97">
              <w:t>12,6%</w:t>
            </w:r>
          </w:p>
        </w:tc>
        <w:tc>
          <w:tcPr>
            <w:tcW w:w="1843" w:type="dxa"/>
          </w:tcPr>
          <w:p w:rsidR="00226377" w:rsidRPr="00710DB1" w:rsidRDefault="00226377" w:rsidP="00213901">
            <w:pPr>
              <w:jc w:val="center"/>
            </w:pPr>
            <w:r w:rsidRPr="00710DB1">
              <w:t>0,053</w:t>
            </w:r>
          </w:p>
        </w:tc>
      </w:tr>
      <w:tr w:rsidR="00226377" w:rsidTr="00E11B7F">
        <w:trPr>
          <w:jc w:val="center"/>
        </w:trPr>
        <w:tc>
          <w:tcPr>
            <w:tcW w:w="2122" w:type="dxa"/>
          </w:tcPr>
          <w:p w:rsidR="00226377" w:rsidRPr="00840A51" w:rsidRDefault="00226377" w:rsidP="00226377">
            <w:r w:rsidRPr="00840A51">
              <w:t>CNEL</w:t>
            </w:r>
            <w:r>
              <w:t xml:space="preserve"> </w:t>
            </w:r>
            <w:r w:rsidRPr="00840A51">
              <w:t>Milagro</w:t>
            </w:r>
          </w:p>
        </w:tc>
        <w:tc>
          <w:tcPr>
            <w:tcW w:w="1417" w:type="dxa"/>
          </w:tcPr>
          <w:p w:rsidR="00226377" w:rsidRPr="00B12F97" w:rsidRDefault="00226377" w:rsidP="00213901">
            <w:pPr>
              <w:jc w:val="center"/>
            </w:pPr>
            <w:r w:rsidRPr="00B12F97">
              <w:t>7,6%</w:t>
            </w:r>
          </w:p>
        </w:tc>
        <w:tc>
          <w:tcPr>
            <w:tcW w:w="1843" w:type="dxa"/>
          </w:tcPr>
          <w:p w:rsidR="00226377" w:rsidRPr="00710DB1" w:rsidRDefault="00226377" w:rsidP="00213901">
            <w:pPr>
              <w:jc w:val="center"/>
            </w:pPr>
            <w:r w:rsidRPr="00710DB1">
              <w:t>0,0526</w:t>
            </w:r>
          </w:p>
        </w:tc>
      </w:tr>
      <w:tr w:rsidR="00226377" w:rsidTr="00E11B7F">
        <w:trPr>
          <w:jc w:val="center"/>
        </w:trPr>
        <w:tc>
          <w:tcPr>
            <w:tcW w:w="2122" w:type="dxa"/>
          </w:tcPr>
          <w:p w:rsidR="00226377" w:rsidRPr="00840A51" w:rsidRDefault="00226377" w:rsidP="00226377">
            <w:r w:rsidRPr="00840A51">
              <w:t>CNEL</w:t>
            </w:r>
            <w:r>
              <w:t xml:space="preserve"> </w:t>
            </w:r>
            <w:r w:rsidRPr="00840A51">
              <w:t>Sta. Elena</w:t>
            </w:r>
          </w:p>
        </w:tc>
        <w:tc>
          <w:tcPr>
            <w:tcW w:w="1417" w:type="dxa"/>
          </w:tcPr>
          <w:p w:rsidR="00226377" w:rsidRPr="00B12F97" w:rsidRDefault="00226377" w:rsidP="00213901">
            <w:pPr>
              <w:jc w:val="center"/>
            </w:pPr>
            <w:r w:rsidRPr="00B12F97">
              <w:t>10,2%</w:t>
            </w:r>
          </w:p>
        </w:tc>
        <w:tc>
          <w:tcPr>
            <w:tcW w:w="1843" w:type="dxa"/>
          </w:tcPr>
          <w:p w:rsidR="00226377" w:rsidRPr="00710DB1" w:rsidRDefault="00226377" w:rsidP="00213901">
            <w:pPr>
              <w:jc w:val="center"/>
            </w:pPr>
            <w:r w:rsidRPr="00710DB1">
              <w:t>0,0532</w:t>
            </w:r>
          </w:p>
        </w:tc>
      </w:tr>
      <w:tr w:rsidR="00226377" w:rsidTr="00E11B7F">
        <w:trPr>
          <w:jc w:val="center"/>
        </w:trPr>
        <w:tc>
          <w:tcPr>
            <w:tcW w:w="2122" w:type="dxa"/>
          </w:tcPr>
          <w:p w:rsidR="00226377" w:rsidRPr="00840A51" w:rsidRDefault="00226377" w:rsidP="00226377">
            <w:r w:rsidRPr="00840A51">
              <w:t>CNEL</w:t>
            </w:r>
            <w:r>
              <w:t xml:space="preserve"> </w:t>
            </w:r>
            <w:r w:rsidRPr="00840A51">
              <w:t>Sto. Domingo</w:t>
            </w:r>
          </w:p>
        </w:tc>
        <w:tc>
          <w:tcPr>
            <w:tcW w:w="1417" w:type="dxa"/>
          </w:tcPr>
          <w:p w:rsidR="00226377" w:rsidRPr="00B12F97" w:rsidRDefault="00226377" w:rsidP="00213901">
            <w:pPr>
              <w:jc w:val="center"/>
            </w:pPr>
            <w:r w:rsidRPr="00B12F97">
              <w:t>9,1%</w:t>
            </w:r>
          </w:p>
        </w:tc>
        <w:tc>
          <w:tcPr>
            <w:tcW w:w="1843" w:type="dxa"/>
          </w:tcPr>
          <w:p w:rsidR="00226377" w:rsidRPr="00710DB1" w:rsidRDefault="00226377" w:rsidP="00213901">
            <w:pPr>
              <w:jc w:val="center"/>
            </w:pPr>
            <w:r w:rsidRPr="00710DB1">
              <w:t>0,0535</w:t>
            </w:r>
          </w:p>
        </w:tc>
      </w:tr>
      <w:tr w:rsidR="00226377" w:rsidTr="00E11B7F">
        <w:trPr>
          <w:jc w:val="center"/>
        </w:trPr>
        <w:tc>
          <w:tcPr>
            <w:tcW w:w="2122" w:type="dxa"/>
          </w:tcPr>
          <w:p w:rsidR="00226377" w:rsidRPr="00840A51" w:rsidRDefault="00226377" w:rsidP="00226377">
            <w:r w:rsidRPr="00840A51">
              <w:t>CNEL</w:t>
            </w:r>
            <w:r>
              <w:t xml:space="preserve"> </w:t>
            </w:r>
            <w:r w:rsidRPr="00840A51">
              <w:t>Sucumbíos</w:t>
            </w:r>
          </w:p>
        </w:tc>
        <w:tc>
          <w:tcPr>
            <w:tcW w:w="1417" w:type="dxa"/>
          </w:tcPr>
          <w:p w:rsidR="00226377" w:rsidRPr="00B12F97" w:rsidRDefault="00226377" w:rsidP="00213901">
            <w:pPr>
              <w:jc w:val="center"/>
            </w:pPr>
            <w:r w:rsidRPr="00B12F97">
              <w:t>11,9%</w:t>
            </w:r>
          </w:p>
        </w:tc>
        <w:tc>
          <w:tcPr>
            <w:tcW w:w="1843" w:type="dxa"/>
          </w:tcPr>
          <w:p w:rsidR="00226377" w:rsidRPr="00710DB1" w:rsidRDefault="00226377" w:rsidP="00213901">
            <w:pPr>
              <w:jc w:val="center"/>
            </w:pPr>
            <w:r w:rsidRPr="00710DB1">
              <w:t>0,0538</w:t>
            </w:r>
          </w:p>
        </w:tc>
      </w:tr>
      <w:tr w:rsidR="00226377" w:rsidTr="00E11B7F">
        <w:trPr>
          <w:jc w:val="center"/>
        </w:trPr>
        <w:tc>
          <w:tcPr>
            <w:tcW w:w="2122" w:type="dxa"/>
          </w:tcPr>
          <w:p w:rsidR="00226377" w:rsidRPr="00840A51" w:rsidRDefault="00226377" w:rsidP="00226377">
            <w:r w:rsidRPr="00840A51">
              <w:t>E.E. Ambato</w:t>
            </w:r>
          </w:p>
        </w:tc>
        <w:tc>
          <w:tcPr>
            <w:tcW w:w="1417" w:type="dxa"/>
          </w:tcPr>
          <w:p w:rsidR="00226377" w:rsidRPr="00B12F97" w:rsidRDefault="00226377" w:rsidP="00213901">
            <w:pPr>
              <w:jc w:val="center"/>
            </w:pPr>
            <w:r w:rsidRPr="00B12F97">
              <w:t>7,3%</w:t>
            </w:r>
          </w:p>
        </w:tc>
        <w:tc>
          <w:tcPr>
            <w:tcW w:w="1843" w:type="dxa"/>
          </w:tcPr>
          <w:p w:rsidR="00226377" w:rsidRPr="00710DB1" w:rsidRDefault="00226377" w:rsidP="00213901">
            <w:pPr>
              <w:jc w:val="center"/>
            </w:pPr>
            <w:r w:rsidRPr="00710DB1">
              <w:t>0,054</w:t>
            </w:r>
          </w:p>
        </w:tc>
      </w:tr>
      <w:tr w:rsidR="00226377" w:rsidTr="00E11B7F">
        <w:trPr>
          <w:jc w:val="center"/>
        </w:trPr>
        <w:tc>
          <w:tcPr>
            <w:tcW w:w="2122" w:type="dxa"/>
          </w:tcPr>
          <w:p w:rsidR="00226377" w:rsidRPr="00840A51" w:rsidRDefault="00226377" w:rsidP="00226377">
            <w:r w:rsidRPr="00840A51">
              <w:t>E.E. Azogues</w:t>
            </w:r>
          </w:p>
        </w:tc>
        <w:tc>
          <w:tcPr>
            <w:tcW w:w="1417" w:type="dxa"/>
          </w:tcPr>
          <w:p w:rsidR="00226377" w:rsidRDefault="00226377" w:rsidP="00213901">
            <w:pPr>
              <w:jc w:val="center"/>
            </w:pPr>
            <w:r w:rsidRPr="00B12F97">
              <w:t>3,3%</w:t>
            </w:r>
          </w:p>
        </w:tc>
        <w:tc>
          <w:tcPr>
            <w:tcW w:w="1843" w:type="dxa"/>
          </w:tcPr>
          <w:p w:rsidR="00226377" w:rsidRDefault="00226377" w:rsidP="00213901">
            <w:pPr>
              <w:jc w:val="center"/>
            </w:pPr>
            <w:r w:rsidRPr="00710DB1">
              <w:t>0,0529</w:t>
            </w:r>
          </w:p>
        </w:tc>
      </w:tr>
      <w:tr w:rsidR="00216FE9" w:rsidTr="00E11B7F">
        <w:trPr>
          <w:jc w:val="center"/>
        </w:trPr>
        <w:tc>
          <w:tcPr>
            <w:tcW w:w="2122" w:type="dxa"/>
          </w:tcPr>
          <w:p w:rsidR="00216FE9" w:rsidRPr="00840A51" w:rsidRDefault="00216FE9" w:rsidP="00216FE9">
            <w:r>
              <w:t xml:space="preserve">E.E. </w:t>
            </w:r>
            <w:r w:rsidRPr="00840A51">
              <w:t>Centro Sur</w:t>
            </w:r>
          </w:p>
        </w:tc>
        <w:tc>
          <w:tcPr>
            <w:tcW w:w="1417" w:type="dxa"/>
          </w:tcPr>
          <w:p w:rsidR="00216FE9" w:rsidRPr="00541E58" w:rsidRDefault="00216FE9" w:rsidP="00213901">
            <w:pPr>
              <w:jc w:val="center"/>
            </w:pPr>
            <w:r w:rsidRPr="00541E58">
              <w:t>5,8%</w:t>
            </w:r>
          </w:p>
        </w:tc>
        <w:tc>
          <w:tcPr>
            <w:tcW w:w="1843" w:type="dxa"/>
          </w:tcPr>
          <w:p w:rsidR="00216FE9" w:rsidRDefault="00216FE9" w:rsidP="00213901">
            <w:pPr>
              <w:jc w:val="center"/>
            </w:pPr>
            <w:r w:rsidRPr="00541E58">
              <w:t>0,0534</w:t>
            </w:r>
          </w:p>
        </w:tc>
      </w:tr>
      <w:tr w:rsidR="00216FE9" w:rsidTr="00E11B7F">
        <w:trPr>
          <w:jc w:val="center"/>
        </w:trPr>
        <w:tc>
          <w:tcPr>
            <w:tcW w:w="2122" w:type="dxa"/>
          </w:tcPr>
          <w:p w:rsidR="00216FE9" w:rsidRPr="00840A51" w:rsidRDefault="00216FE9" w:rsidP="00216FE9">
            <w:r>
              <w:t xml:space="preserve">E.E. </w:t>
            </w:r>
            <w:r w:rsidRPr="00840A51">
              <w:t>Cotopaxi</w:t>
            </w:r>
          </w:p>
        </w:tc>
        <w:tc>
          <w:tcPr>
            <w:tcW w:w="1417" w:type="dxa"/>
          </w:tcPr>
          <w:p w:rsidR="00216FE9" w:rsidRPr="00D63BCC" w:rsidRDefault="00216FE9" w:rsidP="00213901">
            <w:pPr>
              <w:jc w:val="center"/>
            </w:pPr>
            <w:r w:rsidRPr="00D63BCC">
              <w:t>2,9%</w:t>
            </w:r>
          </w:p>
        </w:tc>
        <w:tc>
          <w:tcPr>
            <w:tcW w:w="1843" w:type="dxa"/>
          </w:tcPr>
          <w:p w:rsidR="00216FE9" w:rsidRDefault="00216FE9" w:rsidP="00213901">
            <w:pPr>
              <w:jc w:val="center"/>
            </w:pPr>
            <w:r w:rsidRPr="00D63BCC">
              <w:t>0,0524</w:t>
            </w:r>
          </w:p>
        </w:tc>
      </w:tr>
      <w:tr w:rsidR="00213901" w:rsidTr="00E11B7F">
        <w:trPr>
          <w:jc w:val="center"/>
        </w:trPr>
        <w:tc>
          <w:tcPr>
            <w:tcW w:w="2122" w:type="dxa"/>
          </w:tcPr>
          <w:p w:rsidR="00213901" w:rsidRPr="00840A51" w:rsidRDefault="00213901" w:rsidP="00213901">
            <w:r>
              <w:t xml:space="preserve">E.E. Regional </w:t>
            </w:r>
            <w:r w:rsidRPr="00840A51">
              <w:t>Norte</w:t>
            </w:r>
          </w:p>
        </w:tc>
        <w:tc>
          <w:tcPr>
            <w:tcW w:w="1417" w:type="dxa"/>
          </w:tcPr>
          <w:p w:rsidR="00213901" w:rsidRPr="008D0FF5" w:rsidRDefault="00213901" w:rsidP="00213901">
            <w:pPr>
              <w:jc w:val="center"/>
            </w:pPr>
            <w:r w:rsidRPr="008D0FF5">
              <w:t>5,3%</w:t>
            </w:r>
          </w:p>
        </w:tc>
        <w:tc>
          <w:tcPr>
            <w:tcW w:w="1843" w:type="dxa"/>
          </w:tcPr>
          <w:p w:rsidR="00213901" w:rsidRDefault="00213901" w:rsidP="00213901">
            <w:pPr>
              <w:jc w:val="center"/>
            </w:pPr>
            <w:r w:rsidRPr="008D0FF5">
              <w:t>0,0527</w:t>
            </w:r>
          </w:p>
        </w:tc>
      </w:tr>
      <w:tr w:rsidR="00213901" w:rsidTr="00E11B7F">
        <w:trPr>
          <w:jc w:val="center"/>
        </w:trPr>
        <w:tc>
          <w:tcPr>
            <w:tcW w:w="2122" w:type="dxa"/>
          </w:tcPr>
          <w:p w:rsidR="00213901" w:rsidRPr="00840A51" w:rsidRDefault="00213901" w:rsidP="00213901">
            <w:r>
              <w:t xml:space="preserve">E.E. </w:t>
            </w:r>
            <w:r w:rsidRPr="00840A51">
              <w:t>Quito</w:t>
            </w:r>
          </w:p>
        </w:tc>
        <w:tc>
          <w:tcPr>
            <w:tcW w:w="1417" w:type="dxa"/>
          </w:tcPr>
          <w:p w:rsidR="00213901" w:rsidRPr="00C5714C" w:rsidRDefault="00213901" w:rsidP="00213901">
            <w:pPr>
              <w:jc w:val="center"/>
            </w:pPr>
            <w:r w:rsidRPr="00C5714C">
              <w:t>6,0%</w:t>
            </w:r>
          </w:p>
        </w:tc>
        <w:tc>
          <w:tcPr>
            <w:tcW w:w="1843" w:type="dxa"/>
          </w:tcPr>
          <w:p w:rsidR="00213901" w:rsidRDefault="00213901" w:rsidP="00213901">
            <w:pPr>
              <w:jc w:val="center"/>
            </w:pPr>
            <w:r w:rsidRPr="00C5714C">
              <w:t>0,0534</w:t>
            </w:r>
          </w:p>
        </w:tc>
      </w:tr>
      <w:tr w:rsidR="00213901" w:rsidTr="00E11B7F">
        <w:trPr>
          <w:jc w:val="center"/>
        </w:trPr>
        <w:tc>
          <w:tcPr>
            <w:tcW w:w="2122" w:type="dxa"/>
          </w:tcPr>
          <w:p w:rsidR="00213901" w:rsidRPr="00840A51" w:rsidRDefault="00213901" w:rsidP="00213901">
            <w:r>
              <w:t xml:space="preserve">E.E. </w:t>
            </w:r>
            <w:r w:rsidRPr="00840A51">
              <w:t>Riobamba</w:t>
            </w:r>
          </w:p>
        </w:tc>
        <w:tc>
          <w:tcPr>
            <w:tcW w:w="1417" w:type="dxa"/>
          </w:tcPr>
          <w:p w:rsidR="00213901" w:rsidRPr="00954F43" w:rsidRDefault="00213901" w:rsidP="00213901">
            <w:pPr>
              <w:jc w:val="center"/>
            </w:pPr>
            <w:r w:rsidRPr="00954F43">
              <w:t>8,7%</w:t>
            </w:r>
          </w:p>
        </w:tc>
        <w:tc>
          <w:tcPr>
            <w:tcW w:w="1843" w:type="dxa"/>
          </w:tcPr>
          <w:p w:rsidR="00213901" w:rsidRDefault="00213901" w:rsidP="00213901">
            <w:pPr>
              <w:jc w:val="center"/>
            </w:pPr>
            <w:r w:rsidRPr="00954F43">
              <w:t>0,0537</w:t>
            </w:r>
          </w:p>
        </w:tc>
      </w:tr>
      <w:tr w:rsidR="00213901" w:rsidTr="00E11B7F">
        <w:trPr>
          <w:jc w:val="center"/>
        </w:trPr>
        <w:tc>
          <w:tcPr>
            <w:tcW w:w="2122" w:type="dxa"/>
          </w:tcPr>
          <w:p w:rsidR="00213901" w:rsidRPr="00840A51" w:rsidRDefault="00213901" w:rsidP="00213901">
            <w:r>
              <w:t xml:space="preserve">E.E. Regional </w:t>
            </w:r>
            <w:r w:rsidRPr="00840A51">
              <w:t>Sur</w:t>
            </w:r>
          </w:p>
        </w:tc>
        <w:tc>
          <w:tcPr>
            <w:tcW w:w="1417" w:type="dxa"/>
          </w:tcPr>
          <w:p w:rsidR="00213901" w:rsidRPr="00DF6FD7" w:rsidRDefault="00213901" w:rsidP="00213901">
            <w:pPr>
              <w:jc w:val="center"/>
            </w:pPr>
            <w:r w:rsidRPr="00DF6FD7">
              <w:t>9,0%</w:t>
            </w:r>
          </w:p>
        </w:tc>
        <w:tc>
          <w:tcPr>
            <w:tcW w:w="1843" w:type="dxa"/>
          </w:tcPr>
          <w:p w:rsidR="00213901" w:rsidRDefault="00213901" w:rsidP="00213901">
            <w:pPr>
              <w:jc w:val="center"/>
            </w:pPr>
            <w:r w:rsidRPr="00DF6FD7">
              <w:t>0,0537</w:t>
            </w:r>
          </w:p>
        </w:tc>
      </w:tr>
      <w:tr w:rsidR="00213901" w:rsidTr="00E11B7F">
        <w:trPr>
          <w:jc w:val="center"/>
        </w:trPr>
        <w:tc>
          <w:tcPr>
            <w:tcW w:w="2122" w:type="dxa"/>
          </w:tcPr>
          <w:p w:rsidR="00213901" w:rsidRDefault="00213901" w:rsidP="00213901">
            <w:r>
              <w:t xml:space="preserve">E.E. </w:t>
            </w:r>
            <w:r w:rsidRPr="00840A51">
              <w:t>Galápagos</w:t>
            </w:r>
          </w:p>
        </w:tc>
        <w:tc>
          <w:tcPr>
            <w:tcW w:w="1417" w:type="dxa"/>
          </w:tcPr>
          <w:p w:rsidR="00213901" w:rsidRPr="00C9591F" w:rsidRDefault="00213901" w:rsidP="00213901">
            <w:pPr>
              <w:jc w:val="center"/>
            </w:pPr>
            <w:r w:rsidRPr="00C9591F">
              <w:t>5,1%</w:t>
            </w:r>
          </w:p>
        </w:tc>
        <w:tc>
          <w:tcPr>
            <w:tcW w:w="1843" w:type="dxa"/>
          </w:tcPr>
          <w:p w:rsidR="00213901" w:rsidRDefault="00213901" w:rsidP="00213901">
            <w:pPr>
              <w:jc w:val="center"/>
            </w:pPr>
            <w:r w:rsidRPr="00C9591F">
              <w:t>0,1282</w:t>
            </w:r>
          </w:p>
        </w:tc>
      </w:tr>
    </w:tbl>
    <w:p w:rsidR="00226377" w:rsidRDefault="00226377" w:rsidP="00226377">
      <w:pPr>
        <w:jc w:val="both"/>
        <w:rPr>
          <w:lang w:val="es-CL"/>
        </w:rPr>
      </w:pPr>
    </w:p>
    <w:p w:rsidR="008D4342" w:rsidRDefault="008D4342" w:rsidP="00226377">
      <w:pPr>
        <w:jc w:val="both"/>
        <w:rPr>
          <w:lang w:val="es-CL"/>
        </w:rPr>
      </w:pPr>
    </w:p>
    <w:p w:rsidR="008D4342" w:rsidRDefault="008D4342" w:rsidP="00226377">
      <w:pPr>
        <w:jc w:val="both"/>
        <w:rPr>
          <w:lang w:val="es-CL"/>
        </w:rPr>
      </w:pPr>
    </w:p>
    <w:p w:rsidR="008D4342" w:rsidRDefault="008D4342" w:rsidP="00226377">
      <w:pPr>
        <w:jc w:val="both"/>
        <w:rPr>
          <w:lang w:val="es-CL"/>
        </w:rPr>
      </w:pPr>
    </w:p>
    <w:p w:rsidR="00226377" w:rsidRPr="008A2787" w:rsidRDefault="00226377" w:rsidP="00226377">
      <w:pPr>
        <w:spacing w:after="0"/>
        <w:jc w:val="center"/>
        <w:rPr>
          <w:b/>
          <w:lang w:val="es-CL"/>
        </w:rPr>
      </w:pPr>
      <w:r w:rsidRPr="008A2787">
        <w:rPr>
          <w:b/>
          <w:lang w:val="es-CL"/>
        </w:rPr>
        <w:t>Tabla N°</w:t>
      </w:r>
      <w:r>
        <w:rPr>
          <w:b/>
          <w:lang w:val="es-CL"/>
        </w:rPr>
        <w:t>14</w:t>
      </w:r>
      <w:r w:rsidRPr="008A2787">
        <w:rPr>
          <w:b/>
          <w:lang w:val="es-CL"/>
        </w:rPr>
        <w:t xml:space="preserve"> </w:t>
      </w:r>
      <w:r>
        <w:rPr>
          <w:b/>
          <w:lang w:val="es-CL"/>
        </w:rPr>
        <w:t>Factor de Proyección</w:t>
      </w:r>
      <w:r>
        <w:rPr>
          <w:rStyle w:val="FootnoteReference"/>
          <w:b/>
          <w:lang w:val="es-CL"/>
        </w:rPr>
        <w:footnoteReference w:id="16"/>
      </w:r>
      <w:r>
        <w:rPr>
          <w:b/>
          <w:lang w:val="es-CL"/>
        </w:rPr>
        <w:t xml:space="preserve"> para el Precio Medio de Compra</w:t>
      </w:r>
    </w:p>
    <w:p w:rsidR="00226377" w:rsidRPr="008A2787" w:rsidRDefault="00226377" w:rsidP="00226377">
      <w:pPr>
        <w:spacing w:after="0"/>
        <w:jc w:val="center"/>
        <w:rPr>
          <w:b/>
          <w:lang w:val="es-CL"/>
        </w:rPr>
      </w:pPr>
      <w:r w:rsidRPr="008A2787">
        <w:rPr>
          <w:b/>
          <w:lang w:val="es-CL"/>
        </w:rPr>
        <w:t xml:space="preserve">Según </w:t>
      </w:r>
      <w:r>
        <w:rPr>
          <w:b/>
          <w:lang w:val="es-CL"/>
        </w:rPr>
        <w:t xml:space="preserve">Costos del Sector Eléctrico del </w:t>
      </w:r>
      <w:r w:rsidRPr="008A2787">
        <w:rPr>
          <w:b/>
          <w:lang w:val="es-CL"/>
        </w:rPr>
        <w:t>PME 2016-2025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813"/>
        <w:gridCol w:w="814"/>
        <w:gridCol w:w="814"/>
        <w:gridCol w:w="814"/>
        <w:gridCol w:w="814"/>
        <w:gridCol w:w="814"/>
        <w:gridCol w:w="814"/>
        <w:gridCol w:w="814"/>
        <w:gridCol w:w="814"/>
        <w:gridCol w:w="817"/>
      </w:tblGrid>
      <w:tr w:rsidR="00226377" w:rsidTr="00E11B7F">
        <w:trPr>
          <w:jc w:val="center"/>
        </w:trPr>
        <w:tc>
          <w:tcPr>
            <w:tcW w:w="686" w:type="dxa"/>
            <w:shd w:val="clear" w:color="auto" w:fill="D9E2F3" w:themeFill="accent1" w:themeFillTint="33"/>
          </w:tcPr>
          <w:p w:rsidR="00226377" w:rsidRPr="00226377" w:rsidRDefault="00226377" w:rsidP="00213901">
            <w:pPr>
              <w:jc w:val="both"/>
              <w:rPr>
                <w:b/>
                <w:sz w:val="18"/>
                <w:lang w:val="es-CL"/>
              </w:rPr>
            </w:pPr>
          </w:p>
        </w:tc>
        <w:tc>
          <w:tcPr>
            <w:tcW w:w="813"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2016</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2017</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2018</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2019</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2020</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2021</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2022</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2023</w:t>
            </w:r>
          </w:p>
        </w:tc>
        <w:tc>
          <w:tcPr>
            <w:tcW w:w="814"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2024</w:t>
            </w:r>
          </w:p>
        </w:tc>
        <w:tc>
          <w:tcPr>
            <w:tcW w:w="817" w:type="dxa"/>
            <w:shd w:val="clear" w:color="auto" w:fill="D9E2F3" w:themeFill="accent1" w:themeFillTint="33"/>
          </w:tcPr>
          <w:p w:rsidR="00226377" w:rsidRPr="00226377" w:rsidRDefault="00226377" w:rsidP="00213901">
            <w:pPr>
              <w:jc w:val="center"/>
              <w:rPr>
                <w:b/>
                <w:sz w:val="18"/>
                <w:lang w:val="es-CL"/>
              </w:rPr>
            </w:pPr>
            <w:r w:rsidRPr="00226377">
              <w:rPr>
                <w:b/>
                <w:sz w:val="18"/>
                <w:lang w:val="es-CL"/>
              </w:rPr>
              <w:t>2025-</w:t>
            </w:r>
          </w:p>
        </w:tc>
      </w:tr>
      <w:tr w:rsidR="00213901" w:rsidTr="00E11B7F">
        <w:trPr>
          <w:jc w:val="center"/>
        </w:trPr>
        <w:tc>
          <w:tcPr>
            <w:tcW w:w="686" w:type="dxa"/>
          </w:tcPr>
          <w:p w:rsidR="00213901" w:rsidRPr="00213901" w:rsidRDefault="00213901" w:rsidP="00213901">
            <w:pPr>
              <w:rPr>
                <w:b/>
                <w:sz w:val="18"/>
              </w:rPr>
            </w:pPr>
            <w:r w:rsidRPr="00213901">
              <w:rPr>
                <w:b/>
                <w:sz w:val="18"/>
              </w:rPr>
              <w:t>CMG</w:t>
            </w:r>
          </w:p>
        </w:tc>
        <w:tc>
          <w:tcPr>
            <w:tcW w:w="813" w:type="dxa"/>
          </w:tcPr>
          <w:p w:rsidR="00213901" w:rsidRPr="00213901" w:rsidRDefault="00213901" w:rsidP="00213901">
            <w:pPr>
              <w:jc w:val="center"/>
              <w:rPr>
                <w:sz w:val="18"/>
              </w:rPr>
            </w:pPr>
            <w:r>
              <w:rPr>
                <w:sz w:val="18"/>
              </w:rPr>
              <w:t>4,79</w:t>
            </w:r>
          </w:p>
        </w:tc>
        <w:tc>
          <w:tcPr>
            <w:tcW w:w="814" w:type="dxa"/>
          </w:tcPr>
          <w:p w:rsidR="00213901" w:rsidRPr="00213901" w:rsidRDefault="00213901" w:rsidP="00213901">
            <w:pPr>
              <w:jc w:val="center"/>
              <w:rPr>
                <w:sz w:val="18"/>
              </w:rPr>
            </w:pPr>
            <w:r>
              <w:rPr>
                <w:sz w:val="18"/>
              </w:rPr>
              <w:t>4,08</w:t>
            </w:r>
          </w:p>
        </w:tc>
        <w:tc>
          <w:tcPr>
            <w:tcW w:w="814" w:type="dxa"/>
          </w:tcPr>
          <w:p w:rsidR="00213901" w:rsidRPr="00213901" w:rsidRDefault="00213901" w:rsidP="00213901">
            <w:pPr>
              <w:jc w:val="center"/>
              <w:rPr>
                <w:sz w:val="18"/>
              </w:rPr>
            </w:pPr>
            <w:r>
              <w:rPr>
                <w:sz w:val="18"/>
              </w:rPr>
              <w:t>4,16</w:t>
            </w:r>
          </w:p>
        </w:tc>
        <w:tc>
          <w:tcPr>
            <w:tcW w:w="814" w:type="dxa"/>
          </w:tcPr>
          <w:p w:rsidR="00213901" w:rsidRPr="00213901" w:rsidRDefault="00213901" w:rsidP="00213901">
            <w:pPr>
              <w:jc w:val="center"/>
              <w:rPr>
                <w:sz w:val="18"/>
              </w:rPr>
            </w:pPr>
            <w:r>
              <w:rPr>
                <w:sz w:val="18"/>
              </w:rPr>
              <w:t>4,15</w:t>
            </w:r>
          </w:p>
        </w:tc>
        <w:tc>
          <w:tcPr>
            <w:tcW w:w="814" w:type="dxa"/>
          </w:tcPr>
          <w:p w:rsidR="00213901" w:rsidRPr="00213901" w:rsidRDefault="00213901" w:rsidP="00213901">
            <w:pPr>
              <w:jc w:val="center"/>
              <w:rPr>
                <w:sz w:val="18"/>
              </w:rPr>
            </w:pPr>
            <w:r>
              <w:rPr>
                <w:sz w:val="18"/>
              </w:rPr>
              <w:t>4,11</w:t>
            </w:r>
          </w:p>
        </w:tc>
        <w:tc>
          <w:tcPr>
            <w:tcW w:w="814" w:type="dxa"/>
          </w:tcPr>
          <w:p w:rsidR="00213901" w:rsidRPr="00213901" w:rsidRDefault="00213901" w:rsidP="00213901">
            <w:pPr>
              <w:jc w:val="center"/>
              <w:rPr>
                <w:sz w:val="18"/>
              </w:rPr>
            </w:pPr>
            <w:r>
              <w:rPr>
                <w:sz w:val="18"/>
              </w:rPr>
              <w:t>4,08</w:t>
            </w:r>
          </w:p>
        </w:tc>
        <w:tc>
          <w:tcPr>
            <w:tcW w:w="814" w:type="dxa"/>
          </w:tcPr>
          <w:p w:rsidR="00213901" w:rsidRPr="00213901" w:rsidRDefault="00213901" w:rsidP="00213901">
            <w:pPr>
              <w:jc w:val="center"/>
              <w:rPr>
                <w:sz w:val="18"/>
              </w:rPr>
            </w:pPr>
            <w:r>
              <w:rPr>
                <w:sz w:val="18"/>
              </w:rPr>
              <w:t>4,11</w:t>
            </w:r>
          </w:p>
        </w:tc>
        <w:tc>
          <w:tcPr>
            <w:tcW w:w="814" w:type="dxa"/>
          </w:tcPr>
          <w:p w:rsidR="00213901" w:rsidRPr="00213901" w:rsidRDefault="00213901" w:rsidP="00213901">
            <w:pPr>
              <w:jc w:val="center"/>
              <w:rPr>
                <w:sz w:val="18"/>
              </w:rPr>
            </w:pPr>
            <w:r>
              <w:rPr>
                <w:sz w:val="18"/>
              </w:rPr>
              <w:t>4,11</w:t>
            </w:r>
          </w:p>
        </w:tc>
        <w:tc>
          <w:tcPr>
            <w:tcW w:w="814" w:type="dxa"/>
          </w:tcPr>
          <w:p w:rsidR="00213901" w:rsidRPr="00213901" w:rsidRDefault="00213901" w:rsidP="00213901">
            <w:pPr>
              <w:jc w:val="center"/>
              <w:rPr>
                <w:sz w:val="18"/>
              </w:rPr>
            </w:pPr>
            <w:r>
              <w:rPr>
                <w:sz w:val="18"/>
              </w:rPr>
              <w:t>3,98</w:t>
            </w:r>
          </w:p>
        </w:tc>
        <w:tc>
          <w:tcPr>
            <w:tcW w:w="817" w:type="dxa"/>
          </w:tcPr>
          <w:p w:rsidR="00213901" w:rsidRPr="00213901" w:rsidRDefault="00213901" w:rsidP="00213901">
            <w:pPr>
              <w:jc w:val="center"/>
              <w:rPr>
                <w:sz w:val="18"/>
              </w:rPr>
            </w:pPr>
            <w:r>
              <w:rPr>
                <w:sz w:val="18"/>
              </w:rPr>
              <w:t>4,16</w:t>
            </w:r>
          </w:p>
        </w:tc>
      </w:tr>
      <w:tr w:rsidR="00213901" w:rsidTr="00E11B7F">
        <w:trPr>
          <w:jc w:val="center"/>
        </w:trPr>
        <w:tc>
          <w:tcPr>
            <w:tcW w:w="686" w:type="dxa"/>
          </w:tcPr>
          <w:p w:rsidR="00213901" w:rsidRPr="00213901" w:rsidRDefault="00213901" w:rsidP="00213901">
            <w:pPr>
              <w:rPr>
                <w:b/>
                <w:sz w:val="18"/>
              </w:rPr>
            </w:pPr>
            <w:r w:rsidRPr="00213901">
              <w:rPr>
                <w:b/>
                <w:sz w:val="18"/>
              </w:rPr>
              <w:t>CMT</w:t>
            </w:r>
          </w:p>
        </w:tc>
        <w:tc>
          <w:tcPr>
            <w:tcW w:w="813" w:type="dxa"/>
          </w:tcPr>
          <w:p w:rsidR="00213901" w:rsidRPr="00213901" w:rsidRDefault="00213901" w:rsidP="00213901">
            <w:pPr>
              <w:jc w:val="center"/>
              <w:rPr>
                <w:sz w:val="18"/>
              </w:rPr>
            </w:pPr>
            <w:r w:rsidRPr="00213901">
              <w:rPr>
                <w:sz w:val="18"/>
              </w:rPr>
              <w:t>0,58</w:t>
            </w:r>
          </w:p>
        </w:tc>
        <w:tc>
          <w:tcPr>
            <w:tcW w:w="814" w:type="dxa"/>
          </w:tcPr>
          <w:p w:rsidR="00213901" w:rsidRPr="00213901" w:rsidRDefault="00213901" w:rsidP="00213901">
            <w:pPr>
              <w:jc w:val="center"/>
              <w:rPr>
                <w:sz w:val="18"/>
              </w:rPr>
            </w:pPr>
            <w:r w:rsidRPr="00213901">
              <w:rPr>
                <w:sz w:val="18"/>
              </w:rPr>
              <w:t>0,66</w:t>
            </w:r>
          </w:p>
        </w:tc>
        <w:tc>
          <w:tcPr>
            <w:tcW w:w="814" w:type="dxa"/>
          </w:tcPr>
          <w:p w:rsidR="00213901" w:rsidRPr="00213901" w:rsidRDefault="00213901" w:rsidP="00213901">
            <w:pPr>
              <w:jc w:val="center"/>
              <w:rPr>
                <w:sz w:val="18"/>
              </w:rPr>
            </w:pPr>
            <w:r w:rsidRPr="00213901">
              <w:rPr>
                <w:sz w:val="18"/>
              </w:rPr>
              <w:t>0,70</w:t>
            </w:r>
          </w:p>
        </w:tc>
        <w:tc>
          <w:tcPr>
            <w:tcW w:w="814" w:type="dxa"/>
          </w:tcPr>
          <w:p w:rsidR="00213901" w:rsidRPr="00213901" w:rsidRDefault="00213901" w:rsidP="00213901">
            <w:pPr>
              <w:jc w:val="center"/>
              <w:rPr>
                <w:sz w:val="18"/>
              </w:rPr>
            </w:pPr>
            <w:r w:rsidRPr="00213901">
              <w:rPr>
                <w:sz w:val="18"/>
              </w:rPr>
              <w:t>0,72</w:t>
            </w:r>
          </w:p>
        </w:tc>
        <w:tc>
          <w:tcPr>
            <w:tcW w:w="814" w:type="dxa"/>
          </w:tcPr>
          <w:p w:rsidR="00213901" w:rsidRPr="00213901" w:rsidRDefault="00213901" w:rsidP="00213901">
            <w:pPr>
              <w:jc w:val="center"/>
              <w:rPr>
                <w:sz w:val="18"/>
              </w:rPr>
            </w:pPr>
            <w:r w:rsidRPr="00213901">
              <w:rPr>
                <w:sz w:val="18"/>
              </w:rPr>
              <w:t>0,70</w:t>
            </w:r>
          </w:p>
        </w:tc>
        <w:tc>
          <w:tcPr>
            <w:tcW w:w="814" w:type="dxa"/>
          </w:tcPr>
          <w:p w:rsidR="00213901" w:rsidRPr="00213901" w:rsidRDefault="00213901" w:rsidP="00213901">
            <w:pPr>
              <w:jc w:val="center"/>
              <w:rPr>
                <w:sz w:val="18"/>
              </w:rPr>
            </w:pPr>
            <w:r w:rsidRPr="00213901">
              <w:rPr>
                <w:sz w:val="18"/>
              </w:rPr>
              <w:t>0,64</w:t>
            </w:r>
          </w:p>
        </w:tc>
        <w:tc>
          <w:tcPr>
            <w:tcW w:w="814" w:type="dxa"/>
          </w:tcPr>
          <w:p w:rsidR="00213901" w:rsidRPr="00213901" w:rsidRDefault="00213901" w:rsidP="00213901">
            <w:pPr>
              <w:jc w:val="center"/>
              <w:rPr>
                <w:sz w:val="18"/>
              </w:rPr>
            </w:pPr>
            <w:r w:rsidRPr="00213901">
              <w:rPr>
                <w:sz w:val="18"/>
              </w:rPr>
              <w:t>0,61</w:t>
            </w:r>
          </w:p>
        </w:tc>
        <w:tc>
          <w:tcPr>
            <w:tcW w:w="814" w:type="dxa"/>
          </w:tcPr>
          <w:p w:rsidR="00213901" w:rsidRPr="00213901" w:rsidRDefault="00213901" w:rsidP="00213901">
            <w:pPr>
              <w:jc w:val="center"/>
              <w:rPr>
                <w:sz w:val="18"/>
              </w:rPr>
            </w:pPr>
            <w:r w:rsidRPr="00213901">
              <w:rPr>
                <w:sz w:val="18"/>
              </w:rPr>
              <w:t>0,59</w:t>
            </w:r>
          </w:p>
        </w:tc>
        <w:tc>
          <w:tcPr>
            <w:tcW w:w="814" w:type="dxa"/>
          </w:tcPr>
          <w:p w:rsidR="00213901" w:rsidRPr="00213901" w:rsidRDefault="00213901" w:rsidP="00213901">
            <w:pPr>
              <w:jc w:val="center"/>
              <w:rPr>
                <w:sz w:val="18"/>
              </w:rPr>
            </w:pPr>
            <w:r w:rsidRPr="00213901">
              <w:rPr>
                <w:sz w:val="18"/>
              </w:rPr>
              <w:t>0,58</w:t>
            </w:r>
          </w:p>
        </w:tc>
        <w:tc>
          <w:tcPr>
            <w:tcW w:w="817" w:type="dxa"/>
          </w:tcPr>
          <w:p w:rsidR="00213901" w:rsidRPr="00213901" w:rsidRDefault="00213901" w:rsidP="00213901">
            <w:pPr>
              <w:jc w:val="center"/>
              <w:rPr>
                <w:sz w:val="18"/>
              </w:rPr>
            </w:pPr>
            <w:r w:rsidRPr="00213901">
              <w:rPr>
                <w:sz w:val="18"/>
              </w:rPr>
              <w:t>0,56</w:t>
            </w:r>
          </w:p>
        </w:tc>
      </w:tr>
      <w:tr w:rsidR="00213901" w:rsidTr="00E11B7F">
        <w:trPr>
          <w:jc w:val="center"/>
        </w:trPr>
        <w:tc>
          <w:tcPr>
            <w:tcW w:w="686" w:type="dxa"/>
          </w:tcPr>
          <w:p w:rsidR="00213901" w:rsidRPr="00213901" w:rsidRDefault="00213901" w:rsidP="00213901">
            <w:pPr>
              <w:rPr>
                <w:b/>
                <w:sz w:val="18"/>
              </w:rPr>
            </w:pPr>
            <w:r w:rsidRPr="00213901">
              <w:rPr>
                <w:b/>
                <w:sz w:val="18"/>
              </w:rPr>
              <w:t>Total</w:t>
            </w:r>
          </w:p>
        </w:tc>
        <w:tc>
          <w:tcPr>
            <w:tcW w:w="813" w:type="dxa"/>
          </w:tcPr>
          <w:p w:rsidR="00213901" w:rsidRPr="00213901" w:rsidRDefault="00213901" w:rsidP="00213901">
            <w:pPr>
              <w:jc w:val="center"/>
              <w:rPr>
                <w:sz w:val="18"/>
              </w:rPr>
            </w:pPr>
            <w:r w:rsidRPr="00213901">
              <w:rPr>
                <w:sz w:val="18"/>
              </w:rPr>
              <w:t>5,37</w:t>
            </w:r>
          </w:p>
        </w:tc>
        <w:tc>
          <w:tcPr>
            <w:tcW w:w="814" w:type="dxa"/>
          </w:tcPr>
          <w:p w:rsidR="00213901" w:rsidRPr="00213901" w:rsidRDefault="00213901" w:rsidP="00213901">
            <w:pPr>
              <w:jc w:val="center"/>
              <w:rPr>
                <w:sz w:val="18"/>
              </w:rPr>
            </w:pPr>
            <w:r w:rsidRPr="00213901">
              <w:rPr>
                <w:sz w:val="18"/>
              </w:rPr>
              <w:t>4,74</w:t>
            </w:r>
          </w:p>
        </w:tc>
        <w:tc>
          <w:tcPr>
            <w:tcW w:w="814" w:type="dxa"/>
          </w:tcPr>
          <w:p w:rsidR="00213901" w:rsidRPr="00213901" w:rsidRDefault="00213901" w:rsidP="00213901">
            <w:pPr>
              <w:jc w:val="center"/>
              <w:rPr>
                <w:sz w:val="18"/>
              </w:rPr>
            </w:pPr>
            <w:r w:rsidRPr="00213901">
              <w:rPr>
                <w:sz w:val="18"/>
              </w:rPr>
              <w:t>4,86</w:t>
            </w:r>
          </w:p>
        </w:tc>
        <w:tc>
          <w:tcPr>
            <w:tcW w:w="814" w:type="dxa"/>
          </w:tcPr>
          <w:p w:rsidR="00213901" w:rsidRPr="00213901" w:rsidRDefault="00213901" w:rsidP="00213901">
            <w:pPr>
              <w:jc w:val="center"/>
              <w:rPr>
                <w:sz w:val="18"/>
              </w:rPr>
            </w:pPr>
            <w:r w:rsidRPr="00213901">
              <w:rPr>
                <w:sz w:val="18"/>
              </w:rPr>
              <w:t>4,87</w:t>
            </w:r>
          </w:p>
        </w:tc>
        <w:tc>
          <w:tcPr>
            <w:tcW w:w="814" w:type="dxa"/>
          </w:tcPr>
          <w:p w:rsidR="00213901" w:rsidRPr="00213901" w:rsidRDefault="00213901" w:rsidP="00213901">
            <w:pPr>
              <w:jc w:val="center"/>
              <w:rPr>
                <w:sz w:val="18"/>
              </w:rPr>
            </w:pPr>
            <w:r w:rsidRPr="00213901">
              <w:rPr>
                <w:sz w:val="18"/>
              </w:rPr>
              <w:t>4,82</w:t>
            </w:r>
          </w:p>
        </w:tc>
        <w:tc>
          <w:tcPr>
            <w:tcW w:w="814" w:type="dxa"/>
          </w:tcPr>
          <w:p w:rsidR="00213901" w:rsidRPr="00213901" w:rsidRDefault="00213901" w:rsidP="00213901">
            <w:pPr>
              <w:jc w:val="center"/>
              <w:rPr>
                <w:sz w:val="18"/>
              </w:rPr>
            </w:pPr>
            <w:r w:rsidRPr="00213901">
              <w:rPr>
                <w:sz w:val="18"/>
              </w:rPr>
              <w:t>4,72</w:t>
            </w:r>
          </w:p>
        </w:tc>
        <w:tc>
          <w:tcPr>
            <w:tcW w:w="814" w:type="dxa"/>
          </w:tcPr>
          <w:p w:rsidR="00213901" w:rsidRPr="00213901" w:rsidRDefault="00213901" w:rsidP="00213901">
            <w:pPr>
              <w:jc w:val="center"/>
              <w:rPr>
                <w:sz w:val="18"/>
              </w:rPr>
            </w:pPr>
            <w:r w:rsidRPr="00213901">
              <w:rPr>
                <w:sz w:val="18"/>
              </w:rPr>
              <w:t>4,73</w:t>
            </w:r>
          </w:p>
        </w:tc>
        <w:tc>
          <w:tcPr>
            <w:tcW w:w="814" w:type="dxa"/>
          </w:tcPr>
          <w:p w:rsidR="00213901" w:rsidRPr="00213901" w:rsidRDefault="00213901" w:rsidP="00213901">
            <w:pPr>
              <w:jc w:val="center"/>
              <w:rPr>
                <w:sz w:val="18"/>
              </w:rPr>
            </w:pPr>
            <w:r w:rsidRPr="00213901">
              <w:rPr>
                <w:sz w:val="18"/>
              </w:rPr>
              <w:t>4,70</w:t>
            </w:r>
          </w:p>
        </w:tc>
        <w:tc>
          <w:tcPr>
            <w:tcW w:w="814" w:type="dxa"/>
          </w:tcPr>
          <w:p w:rsidR="00213901" w:rsidRPr="00213901" w:rsidRDefault="00213901" w:rsidP="00213901">
            <w:pPr>
              <w:jc w:val="center"/>
              <w:rPr>
                <w:sz w:val="18"/>
              </w:rPr>
            </w:pPr>
            <w:r w:rsidRPr="00213901">
              <w:rPr>
                <w:sz w:val="18"/>
              </w:rPr>
              <w:t>4,56</w:t>
            </w:r>
          </w:p>
        </w:tc>
        <w:tc>
          <w:tcPr>
            <w:tcW w:w="817" w:type="dxa"/>
          </w:tcPr>
          <w:p w:rsidR="00213901" w:rsidRPr="00213901" w:rsidRDefault="00213901" w:rsidP="00213901">
            <w:pPr>
              <w:jc w:val="center"/>
              <w:rPr>
                <w:sz w:val="18"/>
              </w:rPr>
            </w:pPr>
            <w:r w:rsidRPr="00213901">
              <w:rPr>
                <w:sz w:val="18"/>
              </w:rPr>
              <w:t>4,72</w:t>
            </w:r>
          </w:p>
        </w:tc>
      </w:tr>
      <w:tr w:rsidR="00213901" w:rsidTr="00E11B7F">
        <w:trPr>
          <w:jc w:val="center"/>
        </w:trPr>
        <w:tc>
          <w:tcPr>
            <w:tcW w:w="686" w:type="dxa"/>
            <w:shd w:val="clear" w:color="auto" w:fill="D9E2F3" w:themeFill="accent1" w:themeFillTint="33"/>
          </w:tcPr>
          <w:p w:rsidR="00213901" w:rsidRPr="00226377" w:rsidRDefault="00213901" w:rsidP="00213901">
            <w:pPr>
              <w:rPr>
                <w:b/>
                <w:sz w:val="18"/>
              </w:rPr>
            </w:pPr>
            <w:r w:rsidRPr="00226377">
              <w:rPr>
                <w:b/>
                <w:sz w:val="18"/>
              </w:rPr>
              <w:t>Factor</w:t>
            </w:r>
          </w:p>
        </w:tc>
        <w:tc>
          <w:tcPr>
            <w:tcW w:w="813" w:type="dxa"/>
            <w:shd w:val="clear" w:color="auto" w:fill="D9E2F3" w:themeFill="accent1" w:themeFillTint="33"/>
          </w:tcPr>
          <w:p w:rsidR="00213901" w:rsidRPr="00213901" w:rsidRDefault="00213901" w:rsidP="00213901">
            <w:pPr>
              <w:jc w:val="center"/>
              <w:rPr>
                <w:sz w:val="18"/>
              </w:rPr>
            </w:pPr>
            <w:r w:rsidRPr="00213901">
              <w:rPr>
                <w:sz w:val="18"/>
              </w:rPr>
              <w:t>1,00</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0,88</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0,90</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0,91</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0,90</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0,88</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0,88</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0,87</w:t>
            </w:r>
          </w:p>
        </w:tc>
        <w:tc>
          <w:tcPr>
            <w:tcW w:w="814" w:type="dxa"/>
            <w:shd w:val="clear" w:color="auto" w:fill="D9E2F3" w:themeFill="accent1" w:themeFillTint="33"/>
          </w:tcPr>
          <w:p w:rsidR="00213901" w:rsidRPr="00213901" w:rsidRDefault="00213901" w:rsidP="00213901">
            <w:pPr>
              <w:jc w:val="center"/>
              <w:rPr>
                <w:sz w:val="18"/>
              </w:rPr>
            </w:pPr>
            <w:r w:rsidRPr="00213901">
              <w:rPr>
                <w:sz w:val="18"/>
              </w:rPr>
              <w:t>0,85</w:t>
            </w:r>
          </w:p>
        </w:tc>
        <w:tc>
          <w:tcPr>
            <w:tcW w:w="817" w:type="dxa"/>
            <w:shd w:val="clear" w:color="auto" w:fill="D9E2F3" w:themeFill="accent1" w:themeFillTint="33"/>
          </w:tcPr>
          <w:p w:rsidR="00213901" w:rsidRPr="00213901" w:rsidRDefault="00213901" w:rsidP="00213901">
            <w:pPr>
              <w:jc w:val="center"/>
              <w:rPr>
                <w:sz w:val="18"/>
              </w:rPr>
            </w:pPr>
            <w:r w:rsidRPr="00213901">
              <w:rPr>
                <w:sz w:val="18"/>
              </w:rPr>
              <w:t>0,88</w:t>
            </w:r>
          </w:p>
        </w:tc>
      </w:tr>
    </w:tbl>
    <w:p w:rsidR="00226377" w:rsidRDefault="00226377" w:rsidP="00226377">
      <w:pPr>
        <w:jc w:val="both"/>
        <w:rPr>
          <w:b/>
          <w:lang w:val="es-CL"/>
        </w:rPr>
      </w:pPr>
    </w:p>
    <w:p w:rsidR="00072F88" w:rsidRDefault="00213901" w:rsidP="00F56913">
      <w:pPr>
        <w:jc w:val="both"/>
        <w:rPr>
          <w:lang w:val="es-CL"/>
        </w:rPr>
      </w:pPr>
      <w:r>
        <w:rPr>
          <w:lang w:val="es-CL"/>
        </w:rPr>
        <w:t>Con esto, la Mayor Compra de Energía de cada año i, se calcula mediante la expresión:</w:t>
      </w:r>
    </w:p>
    <w:p w:rsidR="00213901" w:rsidRPr="00213901" w:rsidRDefault="00213901" w:rsidP="00213901">
      <w:pPr>
        <w:jc w:val="center"/>
        <w:rPr>
          <w:b/>
          <w:lang w:val="es-CL"/>
        </w:rPr>
      </w:pPr>
      <w:r w:rsidRPr="00213901">
        <w:rPr>
          <w:b/>
          <w:lang w:val="es-CL"/>
        </w:rPr>
        <w:t>Mayor Compra de Energía(i) = Mayor Energía Vendida (i) /(1-P</w:t>
      </w:r>
      <w:r w:rsidRPr="00213901">
        <w:rPr>
          <w:b/>
          <w:vertAlign w:val="subscript"/>
          <w:lang w:val="es-CL"/>
        </w:rPr>
        <w:t>j</w:t>
      </w:r>
      <w:r w:rsidRPr="00213901">
        <w:rPr>
          <w:b/>
          <w:lang w:val="es-CL"/>
        </w:rPr>
        <w:t>) * Pmc</w:t>
      </w:r>
      <w:r>
        <w:rPr>
          <w:b/>
          <w:lang w:val="es-CL"/>
        </w:rPr>
        <w:t>(i)</w:t>
      </w:r>
      <w:r w:rsidRPr="00213901">
        <w:rPr>
          <w:b/>
          <w:vertAlign w:val="subscript"/>
          <w:lang w:val="es-CL"/>
        </w:rPr>
        <w:t>j</w:t>
      </w:r>
    </w:p>
    <w:p w:rsidR="00072F88" w:rsidRDefault="00213901" w:rsidP="00F56913">
      <w:pPr>
        <w:jc w:val="both"/>
        <w:rPr>
          <w:lang w:val="es-CL"/>
        </w:rPr>
      </w:pPr>
      <w:r>
        <w:rPr>
          <w:lang w:val="es-CL"/>
        </w:rPr>
        <w:t>Donde:</w:t>
      </w:r>
    </w:p>
    <w:p w:rsidR="00213901" w:rsidRDefault="00213901" w:rsidP="00213901">
      <w:pPr>
        <w:ind w:left="708"/>
        <w:jc w:val="both"/>
        <w:rPr>
          <w:lang w:val="es-CL"/>
        </w:rPr>
      </w:pPr>
      <w:r w:rsidRPr="00213901">
        <w:rPr>
          <w:b/>
          <w:lang w:val="es-CL"/>
        </w:rPr>
        <w:t>Pj:</w:t>
      </w:r>
      <w:r>
        <w:rPr>
          <w:lang w:val="es-CL"/>
        </w:rPr>
        <w:t xml:space="preserve"> Pérdidas técnicas de la EED j.</w:t>
      </w:r>
    </w:p>
    <w:p w:rsidR="00213901" w:rsidRDefault="00213901" w:rsidP="00213901">
      <w:pPr>
        <w:ind w:left="708"/>
        <w:jc w:val="both"/>
        <w:rPr>
          <w:lang w:val="es-CL"/>
        </w:rPr>
      </w:pPr>
      <w:r w:rsidRPr="00213901">
        <w:rPr>
          <w:b/>
          <w:lang w:val="es-CL"/>
        </w:rPr>
        <w:t>Pmc(i)j:</w:t>
      </w:r>
      <w:r>
        <w:rPr>
          <w:lang w:val="es-CL"/>
        </w:rPr>
        <w:t xml:space="preserve"> Precio Medio de Compra del año i, para la EED j.</w:t>
      </w:r>
    </w:p>
    <w:p w:rsidR="00213901" w:rsidRPr="003645DD" w:rsidRDefault="00213901" w:rsidP="00F56913">
      <w:pPr>
        <w:jc w:val="both"/>
        <w:rPr>
          <w:b/>
          <w:lang w:val="es-CL"/>
        </w:rPr>
      </w:pPr>
      <w:r w:rsidRPr="003645DD">
        <w:rPr>
          <w:b/>
          <w:lang w:val="es-CL"/>
        </w:rPr>
        <w:t>Costo de Operación y Mantenimiento</w:t>
      </w:r>
    </w:p>
    <w:p w:rsidR="00213901" w:rsidRDefault="00213901" w:rsidP="00F56913">
      <w:pPr>
        <w:jc w:val="both"/>
        <w:rPr>
          <w:lang w:val="es-CL"/>
        </w:rPr>
      </w:pPr>
      <w:r>
        <w:rPr>
          <w:lang w:val="es-CL"/>
        </w:rPr>
        <w:t>Corresponde a una constante anual proporcional al monto de la inversión</w:t>
      </w:r>
      <w:r w:rsidR="003645DD">
        <w:rPr>
          <w:lang w:val="es-CL"/>
        </w:rPr>
        <w:t>, según si se trata de un proyecto de Sub Transmisión o Distribución.</w:t>
      </w:r>
    </w:p>
    <w:p w:rsidR="003645DD" w:rsidRPr="003645DD" w:rsidRDefault="003645DD" w:rsidP="003645DD">
      <w:pPr>
        <w:spacing w:after="0"/>
        <w:jc w:val="center"/>
        <w:rPr>
          <w:b/>
          <w:lang w:val="es-CL"/>
        </w:rPr>
      </w:pPr>
      <w:r w:rsidRPr="003645DD">
        <w:rPr>
          <w:b/>
          <w:lang w:val="es-CL"/>
        </w:rPr>
        <w:t>Tabla N°15 Costos de Operación y Mantenimiento del SND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tblGrid>
      <w:tr w:rsidR="003645DD" w:rsidTr="00E11B7F">
        <w:trPr>
          <w:jc w:val="center"/>
        </w:trPr>
        <w:tc>
          <w:tcPr>
            <w:tcW w:w="2122" w:type="dxa"/>
            <w:shd w:val="clear" w:color="auto" w:fill="D9E2F3" w:themeFill="accent1" w:themeFillTint="33"/>
          </w:tcPr>
          <w:p w:rsidR="003645DD" w:rsidRDefault="003645DD" w:rsidP="003645DD">
            <w:pPr>
              <w:jc w:val="center"/>
              <w:rPr>
                <w:lang w:val="es-CL"/>
              </w:rPr>
            </w:pPr>
            <w:r>
              <w:rPr>
                <w:lang w:val="es-CL"/>
              </w:rPr>
              <w:t>Etapa Funcional</w:t>
            </w:r>
          </w:p>
        </w:tc>
        <w:tc>
          <w:tcPr>
            <w:tcW w:w="2835" w:type="dxa"/>
            <w:shd w:val="clear" w:color="auto" w:fill="D9E2F3" w:themeFill="accent1" w:themeFillTint="33"/>
          </w:tcPr>
          <w:p w:rsidR="003645DD" w:rsidRDefault="003645DD" w:rsidP="003645DD">
            <w:pPr>
              <w:jc w:val="center"/>
              <w:rPr>
                <w:lang w:val="es-CL"/>
              </w:rPr>
            </w:pPr>
            <w:r>
              <w:rPr>
                <w:lang w:val="es-CL"/>
              </w:rPr>
              <w:t>Porcentaje de la Inversión</w:t>
            </w:r>
          </w:p>
        </w:tc>
      </w:tr>
      <w:tr w:rsidR="003645DD" w:rsidTr="00E11B7F">
        <w:trPr>
          <w:jc w:val="center"/>
        </w:trPr>
        <w:tc>
          <w:tcPr>
            <w:tcW w:w="2122" w:type="dxa"/>
          </w:tcPr>
          <w:p w:rsidR="003645DD" w:rsidRDefault="003645DD" w:rsidP="003645DD">
            <w:pPr>
              <w:jc w:val="center"/>
              <w:rPr>
                <w:lang w:val="es-CL"/>
              </w:rPr>
            </w:pPr>
            <w:r>
              <w:rPr>
                <w:lang w:val="es-CL"/>
              </w:rPr>
              <w:t>Sub Transmisión</w:t>
            </w:r>
          </w:p>
        </w:tc>
        <w:tc>
          <w:tcPr>
            <w:tcW w:w="2835" w:type="dxa"/>
          </w:tcPr>
          <w:p w:rsidR="003645DD" w:rsidRDefault="003645DD" w:rsidP="003645DD">
            <w:pPr>
              <w:jc w:val="center"/>
              <w:rPr>
                <w:lang w:val="es-CL"/>
              </w:rPr>
            </w:pPr>
            <w:r>
              <w:rPr>
                <w:lang w:val="es-CL"/>
              </w:rPr>
              <w:t>4%</w:t>
            </w:r>
          </w:p>
        </w:tc>
      </w:tr>
      <w:tr w:rsidR="003645DD" w:rsidTr="00E11B7F">
        <w:trPr>
          <w:jc w:val="center"/>
        </w:trPr>
        <w:tc>
          <w:tcPr>
            <w:tcW w:w="2122" w:type="dxa"/>
          </w:tcPr>
          <w:p w:rsidR="003645DD" w:rsidRDefault="003645DD" w:rsidP="003645DD">
            <w:pPr>
              <w:jc w:val="center"/>
              <w:rPr>
                <w:lang w:val="es-CL"/>
              </w:rPr>
            </w:pPr>
            <w:r>
              <w:rPr>
                <w:lang w:val="es-CL"/>
              </w:rPr>
              <w:t>Distribución</w:t>
            </w:r>
          </w:p>
        </w:tc>
        <w:tc>
          <w:tcPr>
            <w:tcW w:w="2835" w:type="dxa"/>
          </w:tcPr>
          <w:p w:rsidR="003645DD" w:rsidRDefault="003645DD" w:rsidP="003645DD">
            <w:pPr>
              <w:jc w:val="center"/>
              <w:rPr>
                <w:lang w:val="es-CL"/>
              </w:rPr>
            </w:pPr>
            <w:r>
              <w:rPr>
                <w:lang w:val="es-CL"/>
              </w:rPr>
              <w:t>8%</w:t>
            </w:r>
          </w:p>
        </w:tc>
      </w:tr>
    </w:tbl>
    <w:p w:rsidR="003645DD" w:rsidRDefault="003645DD" w:rsidP="00F56913">
      <w:pPr>
        <w:jc w:val="both"/>
        <w:rPr>
          <w:lang w:val="es-CL"/>
        </w:rPr>
      </w:pPr>
    </w:p>
    <w:p w:rsidR="00496C40" w:rsidRPr="00496C40" w:rsidRDefault="005C6D62" w:rsidP="005C6D62">
      <w:pPr>
        <w:jc w:val="center"/>
        <w:rPr>
          <w:b/>
          <w:lang w:val="es-CL"/>
        </w:rPr>
      </w:pPr>
      <w:r w:rsidRPr="009D3ECA">
        <w:rPr>
          <w:b/>
          <w:lang w:val="es-CL"/>
        </w:rPr>
        <w:t xml:space="preserve">Tabla N°16 </w:t>
      </w:r>
      <w:r w:rsidR="00496C40" w:rsidRPr="009D3ECA">
        <w:rPr>
          <w:b/>
          <w:lang w:val="es-CL"/>
        </w:rPr>
        <w:t>Resultados Evaluación Financiera</w:t>
      </w:r>
      <w:r w:rsidRPr="009D3ECA">
        <w:rPr>
          <w:b/>
          <w:lang w:val="es-CL"/>
        </w:rPr>
        <w:t xml:space="preserve"> Proyectos Expansión y Modernización del SND</w:t>
      </w:r>
    </w:p>
    <w:tbl>
      <w:tblPr>
        <w:tblW w:w="8782" w:type="dxa"/>
        <w:jc w:val="center"/>
        <w:tblCellMar>
          <w:top w:w="15" w:type="dxa"/>
          <w:left w:w="70" w:type="dxa"/>
          <w:bottom w:w="15" w:type="dxa"/>
          <w:right w:w="70" w:type="dxa"/>
        </w:tblCellMar>
        <w:tblLook w:val="04A0" w:firstRow="1" w:lastRow="0" w:firstColumn="1" w:lastColumn="0" w:noHBand="0" w:noVBand="1"/>
      </w:tblPr>
      <w:tblGrid>
        <w:gridCol w:w="1413"/>
        <w:gridCol w:w="1134"/>
        <w:gridCol w:w="1984"/>
        <w:gridCol w:w="1417"/>
        <w:gridCol w:w="1417"/>
        <w:gridCol w:w="1417"/>
      </w:tblGrid>
      <w:tr w:rsidR="00CE45EC" w:rsidRPr="00814E69" w:rsidTr="00DC6FA1">
        <w:trPr>
          <w:trHeight w:val="494"/>
          <w:jc w:val="center"/>
        </w:trPr>
        <w:tc>
          <w:tcPr>
            <w:tcW w:w="1413" w:type="dxa"/>
            <w:tcBorders>
              <w:top w:val="single" w:sz="4" w:space="0" w:color="auto"/>
              <w:left w:val="single" w:sz="4" w:space="0" w:color="auto"/>
              <w:bottom w:val="single" w:sz="4" w:space="0" w:color="auto"/>
              <w:right w:val="single" w:sz="4" w:space="0" w:color="auto"/>
            </w:tcBorders>
            <w:shd w:val="clear" w:color="000000" w:fill="DDEBF7"/>
            <w:vAlign w:val="center"/>
          </w:tcPr>
          <w:p w:rsidR="00CE45EC" w:rsidRPr="00496C40" w:rsidRDefault="00CE45EC" w:rsidP="00F979C8">
            <w:pPr>
              <w:spacing w:after="0" w:line="240" w:lineRule="auto"/>
              <w:jc w:val="center"/>
              <w:rPr>
                <w:rFonts w:ascii="Calibri" w:eastAsia="Times New Roman" w:hAnsi="Calibri" w:cs="Calibri"/>
                <w:bCs/>
                <w:color w:val="000000"/>
                <w:sz w:val="16"/>
                <w:szCs w:val="16"/>
                <w:lang w:eastAsia="es-CR"/>
              </w:rPr>
            </w:pPr>
          </w:p>
        </w:tc>
        <w:tc>
          <w:tcPr>
            <w:tcW w:w="1134" w:type="dxa"/>
            <w:tcBorders>
              <w:top w:val="single" w:sz="4" w:space="0" w:color="auto"/>
              <w:left w:val="single" w:sz="4" w:space="0" w:color="auto"/>
              <w:bottom w:val="single" w:sz="4" w:space="0" w:color="auto"/>
              <w:right w:val="single" w:sz="4" w:space="0" w:color="auto"/>
            </w:tcBorders>
            <w:shd w:val="clear" w:color="000000" w:fill="DDEBF7"/>
            <w:vAlign w:val="center"/>
          </w:tcPr>
          <w:p w:rsidR="00CE45EC" w:rsidRPr="00CE45EC" w:rsidRDefault="00CE45EC" w:rsidP="00CE45EC">
            <w:pPr>
              <w:spacing w:after="0" w:line="240" w:lineRule="auto"/>
              <w:jc w:val="center"/>
              <w:rPr>
                <w:rFonts w:ascii="Calibri" w:eastAsia="Times New Roman" w:hAnsi="Calibri" w:cs="Calibri"/>
                <w:b/>
                <w:bCs/>
                <w:color w:val="000000"/>
                <w:sz w:val="16"/>
                <w:szCs w:val="16"/>
                <w:lang w:eastAsia="es-CR"/>
              </w:rPr>
            </w:pPr>
            <w:r w:rsidRPr="00CE45EC">
              <w:rPr>
                <w:rFonts w:ascii="Calibri" w:eastAsia="Times New Roman" w:hAnsi="Calibri" w:cs="Calibri"/>
                <w:b/>
                <w:bCs/>
                <w:color w:val="000000"/>
                <w:sz w:val="16"/>
                <w:szCs w:val="16"/>
                <w:lang w:eastAsia="es-CR"/>
              </w:rPr>
              <w:t>Etapa</w:t>
            </w:r>
          </w:p>
        </w:tc>
        <w:tc>
          <w:tcPr>
            <w:tcW w:w="1984" w:type="dxa"/>
            <w:tcBorders>
              <w:top w:val="single" w:sz="4" w:space="0" w:color="auto"/>
              <w:left w:val="single" w:sz="4" w:space="0" w:color="auto"/>
              <w:bottom w:val="single" w:sz="4" w:space="0" w:color="auto"/>
              <w:right w:val="single" w:sz="4" w:space="0" w:color="auto"/>
            </w:tcBorders>
            <w:shd w:val="clear" w:color="000000" w:fill="DDEBF7"/>
            <w:noWrap/>
            <w:vAlign w:val="center"/>
          </w:tcPr>
          <w:p w:rsidR="00CE45EC" w:rsidRPr="00CE45EC" w:rsidRDefault="00CE45EC" w:rsidP="00CE45EC">
            <w:pPr>
              <w:spacing w:after="0" w:line="240" w:lineRule="auto"/>
              <w:jc w:val="center"/>
              <w:rPr>
                <w:rFonts w:ascii="Calibri" w:eastAsia="Times New Roman" w:hAnsi="Calibri" w:cs="Calibri"/>
                <w:b/>
                <w:bCs/>
                <w:color w:val="000000"/>
                <w:sz w:val="16"/>
                <w:szCs w:val="16"/>
                <w:lang w:eastAsia="es-CR"/>
              </w:rPr>
            </w:pPr>
            <w:r w:rsidRPr="00CE45EC">
              <w:rPr>
                <w:rFonts w:ascii="Calibri" w:eastAsia="Times New Roman" w:hAnsi="Calibri" w:cs="Calibri"/>
                <w:b/>
                <w:bCs/>
                <w:color w:val="000000"/>
                <w:sz w:val="16"/>
                <w:szCs w:val="16"/>
                <w:lang w:eastAsia="es-CR"/>
              </w:rPr>
              <w:t>Empresa</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rsidR="00CE45EC" w:rsidRPr="00CE45EC" w:rsidRDefault="00CE45EC" w:rsidP="00CE45EC">
            <w:pPr>
              <w:spacing w:after="0" w:line="240" w:lineRule="auto"/>
              <w:jc w:val="center"/>
              <w:rPr>
                <w:rFonts w:ascii="Calibri" w:eastAsia="Times New Roman" w:hAnsi="Calibri" w:cs="Calibri"/>
                <w:b/>
                <w:color w:val="000000"/>
                <w:sz w:val="16"/>
                <w:szCs w:val="16"/>
                <w:lang w:eastAsia="es-CR"/>
              </w:rPr>
            </w:pPr>
            <w:r w:rsidRPr="00CE45EC">
              <w:rPr>
                <w:rFonts w:ascii="Calibri" w:eastAsia="Times New Roman" w:hAnsi="Calibri" w:cs="Calibri"/>
                <w:b/>
                <w:color w:val="000000"/>
                <w:sz w:val="16"/>
                <w:szCs w:val="16"/>
                <w:lang w:eastAsia="es-CR"/>
              </w:rPr>
              <w:t>Inversión (US$)</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rsidR="00CE45EC" w:rsidRPr="00CE45EC" w:rsidRDefault="00CE45EC" w:rsidP="00CE45EC">
            <w:pPr>
              <w:spacing w:after="0" w:line="240" w:lineRule="auto"/>
              <w:jc w:val="center"/>
              <w:rPr>
                <w:rFonts w:ascii="Calibri" w:eastAsia="Times New Roman" w:hAnsi="Calibri" w:cs="Calibri"/>
                <w:b/>
                <w:color w:val="000000"/>
                <w:sz w:val="16"/>
                <w:szCs w:val="16"/>
                <w:lang w:eastAsia="es-CR"/>
              </w:rPr>
            </w:pPr>
            <w:r w:rsidRPr="00CE45EC">
              <w:rPr>
                <w:rFonts w:ascii="Calibri" w:eastAsia="Times New Roman" w:hAnsi="Calibri" w:cs="Calibri"/>
                <w:b/>
                <w:color w:val="000000"/>
                <w:sz w:val="16"/>
                <w:szCs w:val="16"/>
                <w:lang w:eastAsia="es-CR"/>
              </w:rPr>
              <w:t>VAN F (US$)</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rsidR="00CE45EC" w:rsidRPr="00CE45EC" w:rsidRDefault="00CE45EC" w:rsidP="00CE45EC">
            <w:pPr>
              <w:spacing w:after="0" w:line="240" w:lineRule="auto"/>
              <w:jc w:val="center"/>
              <w:rPr>
                <w:rFonts w:ascii="Calibri" w:eastAsia="Times New Roman" w:hAnsi="Calibri" w:cs="Calibri"/>
                <w:b/>
                <w:color w:val="000000"/>
                <w:sz w:val="16"/>
                <w:szCs w:val="16"/>
                <w:lang w:eastAsia="es-CR"/>
              </w:rPr>
            </w:pPr>
            <w:r w:rsidRPr="00CE45EC">
              <w:rPr>
                <w:rFonts w:ascii="Calibri" w:eastAsia="Times New Roman" w:hAnsi="Calibri" w:cs="Calibri"/>
                <w:b/>
                <w:color w:val="000000"/>
                <w:sz w:val="16"/>
                <w:szCs w:val="16"/>
                <w:lang w:eastAsia="es-CR"/>
              </w:rPr>
              <w:t>TIR F</w:t>
            </w:r>
          </w:p>
        </w:tc>
      </w:tr>
      <w:tr w:rsidR="00875A9D" w:rsidRPr="00814E69" w:rsidTr="00DC6FA1">
        <w:trPr>
          <w:trHeight w:val="24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A9D" w:rsidRPr="009D15D2" w:rsidRDefault="00875A9D" w:rsidP="00875A9D">
            <w:pPr>
              <w:spacing w:after="0" w:line="240" w:lineRule="auto"/>
              <w:jc w:val="center"/>
              <w:rPr>
                <w:rFonts w:ascii="Calibri" w:eastAsia="Times New Roman" w:hAnsi="Calibri" w:cs="Calibri"/>
                <w:b/>
                <w:bCs/>
                <w:color w:val="000000"/>
                <w:sz w:val="16"/>
                <w:szCs w:val="16"/>
                <w:lang w:eastAsia="es-CR"/>
              </w:rPr>
            </w:pPr>
            <w:r w:rsidRPr="009D15D2">
              <w:rPr>
                <w:rFonts w:ascii="Calibri" w:eastAsia="Times New Roman" w:hAnsi="Calibri" w:cs="Calibri"/>
                <w:b/>
                <w:bCs/>
                <w:color w:val="000000"/>
                <w:sz w:val="16"/>
                <w:szCs w:val="16"/>
                <w:lang w:eastAsia="es-CR"/>
              </w:rPr>
              <w:t>C II. Expansión y Modernización del SND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A9D" w:rsidRPr="00814E69" w:rsidRDefault="00875A9D" w:rsidP="00875A9D">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Transmisión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A9D" w:rsidRPr="00814E69" w:rsidRDefault="00875A9D" w:rsidP="00875A9D">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El Oro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A9D" w:rsidRPr="008C2F06" w:rsidRDefault="00875A9D"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2.729.597,9 </w:t>
            </w:r>
          </w:p>
        </w:tc>
        <w:tc>
          <w:tcPr>
            <w:tcW w:w="1417" w:type="dxa"/>
            <w:tcBorders>
              <w:top w:val="single" w:sz="4" w:space="0" w:color="auto"/>
              <w:left w:val="single" w:sz="4" w:space="0" w:color="auto"/>
              <w:bottom w:val="single" w:sz="4" w:space="0" w:color="auto"/>
              <w:right w:val="single" w:sz="4" w:space="0" w:color="auto"/>
            </w:tcBorders>
            <w:vAlign w:val="center"/>
          </w:tcPr>
          <w:p w:rsidR="00875A9D" w:rsidRPr="008C2F06" w:rsidRDefault="00875A9D"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30.811.393,6 </w:t>
            </w:r>
          </w:p>
        </w:tc>
        <w:tc>
          <w:tcPr>
            <w:tcW w:w="1417" w:type="dxa"/>
            <w:tcBorders>
              <w:top w:val="single" w:sz="4" w:space="0" w:color="auto"/>
              <w:left w:val="single" w:sz="4" w:space="0" w:color="auto"/>
              <w:bottom w:val="single" w:sz="4" w:space="0" w:color="auto"/>
              <w:right w:val="single" w:sz="4" w:space="0" w:color="auto"/>
            </w:tcBorders>
            <w:vAlign w:val="center"/>
          </w:tcPr>
          <w:p w:rsidR="00875A9D" w:rsidRPr="008C2F06" w:rsidRDefault="00875A9D"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61%</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Guayaquil</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1.786.154,7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-2.361.666,8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Guayas Los Ríos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2.351.664,0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19.117.673,4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33%</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Los Ríos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5.426.719,4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10.190.673,6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19%</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Manabí</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1.567.788,8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29.114.215,3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187%</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Milagro</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965.831,7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-1.255.756,1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Cotopaxi</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8.574.516,4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-4.988.080,4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8%</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Regional Norte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2.450.000,0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38.799.193,3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30%</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Regional Sur</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2.252.414,7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-2.915.428,0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DC6FA1" w:rsidRPr="00814E69" w:rsidTr="00DC6FA1">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496C40" w:rsidRDefault="00DC6FA1" w:rsidP="00DC6FA1">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FA1" w:rsidRPr="00814E69" w:rsidRDefault="00DC6FA1" w:rsidP="00DC6FA1">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E.E. Galápagos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FA1" w:rsidRPr="008C2F06" w:rsidRDefault="00DC6FA1" w:rsidP="00DC6FA1">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2.463.045,6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-3.312.019,0 </w:t>
            </w:r>
          </w:p>
        </w:tc>
        <w:tc>
          <w:tcPr>
            <w:tcW w:w="1417" w:type="dxa"/>
            <w:tcBorders>
              <w:top w:val="single" w:sz="4" w:space="0" w:color="auto"/>
              <w:left w:val="single" w:sz="4" w:space="0" w:color="auto"/>
              <w:bottom w:val="single" w:sz="4" w:space="0" w:color="auto"/>
              <w:right w:val="single" w:sz="4" w:space="0" w:color="auto"/>
            </w:tcBorders>
            <w:vAlign w:val="center"/>
          </w:tcPr>
          <w:p w:rsidR="00DC6FA1" w:rsidRPr="008C2F06" w:rsidRDefault="00DC6FA1" w:rsidP="00DC6FA1">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DC6FA1" w:rsidRPr="00814E69" w:rsidTr="00DC6FA1">
        <w:trPr>
          <w:trHeight w:val="285"/>
          <w:jc w:val="center"/>
        </w:trPr>
        <w:tc>
          <w:tcPr>
            <w:tcW w:w="4531" w:type="dxa"/>
            <w:gridSpan w:val="3"/>
            <w:tcBorders>
              <w:top w:val="single" w:sz="4" w:space="0" w:color="auto"/>
              <w:left w:val="single" w:sz="4" w:space="0" w:color="auto"/>
              <w:bottom w:val="single" w:sz="4" w:space="0" w:color="auto"/>
              <w:right w:val="nil"/>
            </w:tcBorders>
            <w:shd w:val="clear" w:color="000000" w:fill="9BC2E6"/>
            <w:noWrap/>
            <w:vAlign w:val="center"/>
            <w:hideMark/>
          </w:tcPr>
          <w:p w:rsidR="00DC6FA1" w:rsidRPr="006B226A" w:rsidRDefault="00DC6FA1" w:rsidP="00DC6FA1">
            <w:pPr>
              <w:spacing w:after="0" w:line="240" w:lineRule="auto"/>
              <w:jc w:val="center"/>
              <w:rPr>
                <w:rFonts w:ascii="Calibri" w:eastAsia="Times New Roman" w:hAnsi="Calibri" w:cs="Calibri"/>
                <w:b/>
                <w:bCs/>
                <w:color w:val="000000"/>
                <w:sz w:val="16"/>
                <w:szCs w:val="16"/>
                <w:lang w:eastAsia="es-CR"/>
              </w:rPr>
            </w:pPr>
            <w:r w:rsidRPr="006B226A">
              <w:rPr>
                <w:rFonts w:ascii="Calibri" w:eastAsia="Times New Roman" w:hAnsi="Calibri" w:cs="Calibri"/>
                <w:b/>
                <w:bCs/>
                <w:color w:val="000000"/>
                <w:sz w:val="16"/>
                <w:szCs w:val="16"/>
                <w:lang w:eastAsia="es-CR"/>
              </w:rPr>
              <w:t>Sub Total C II. Sub Transmisión</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rsidR="00DC6FA1" w:rsidRPr="008C2F06" w:rsidRDefault="00DC6FA1" w:rsidP="00DC6FA1">
            <w:pPr>
              <w:spacing w:after="0" w:line="240" w:lineRule="auto"/>
              <w:jc w:val="right"/>
              <w:rPr>
                <w:rFonts w:ascii="Calibri" w:eastAsia="Times New Roman" w:hAnsi="Calibri" w:cs="Calibri"/>
                <w:b/>
                <w:bCs/>
                <w:color w:val="000000"/>
                <w:sz w:val="16"/>
                <w:szCs w:val="16"/>
                <w:lang w:eastAsia="es-CR"/>
              </w:rPr>
            </w:pPr>
            <w:r w:rsidRPr="008C2F06">
              <w:rPr>
                <w:rFonts w:ascii="Calibri" w:eastAsia="Times New Roman" w:hAnsi="Calibri" w:cs="Calibri"/>
                <w:b/>
                <w:bCs/>
                <w:color w:val="000000"/>
                <w:sz w:val="16"/>
                <w:szCs w:val="16"/>
                <w:lang w:eastAsia="es-CR"/>
              </w:rPr>
              <w:t xml:space="preserve"> 30.567.733,2 </w:t>
            </w:r>
          </w:p>
        </w:tc>
        <w:tc>
          <w:tcPr>
            <w:tcW w:w="1417" w:type="dxa"/>
            <w:tcBorders>
              <w:top w:val="single" w:sz="4" w:space="0" w:color="auto"/>
              <w:left w:val="nil"/>
              <w:bottom w:val="single" w:sz="8" w:space="0" w:color="auto"/>
              <w:right w:val="single" w:sz="4" w:space="0" w:color="auto"/>
            </w:tcBorders>
            <w:shd w:val="clear" w:color="auto" w:fill="9CC2E5" w:themeFill="accent5" w:themeFillTint="99"/>
            <w:vAlign w:val="center"/>
          </w:tcPr>
          <w:p w:rsidR="00DC6FA1" w:rsidRPr="008C2F06" w:rsidRDefault="00DC6FA1" w:rsidP="00DC6FA1">
            <w:pPr>
              <w:spacing w:after="0" w:line="240" w:lineRule="auto"/>
              <w:jc w:val="right"/>
              <w:rPr>
                <w:rFonts w:ascii="Calibri" w:eastAsia="Times New Roman" w:hAnsi="Calibri" w:cs="Calibri"/>
                <w:b/>
                <w:bCs/>
                <w:color w:val="000000"/>
                <w:sz w:val="16"/>
                <w:szCs w:val="16"/>
                <w:lang w:eastAsia="es-CR"/>
              </w:rPr>
            </w:pPr>
            <w:r w:rsidRPr="008C2F06">
              <w:rPr>
                <w:rFonts w:ascii="Calibri" w:eastAsia="Times New Roman" w:hAnsi="Calibri" w:cs="Calibri"/>
                <w:b/>
                <w:bCs/>
                <w:color w:val="000000"/>
                <w:sz w:val="16"/>
                <w:szCs w:val="16"/>
                <w:lang w:eastAsia="es-CR"/>
              </w:rPr>
              <w:t xml:space="preserve"> 113.200.198,8 </w:t>
            </w:r>
          </w:p>
        </w:tc>
        <w:tc>
          <w:tcPr>
            <w:tcW w:w="1417" w:type="dxa"/>
            <w:tcBorders>
              <w:top w:val="single" w:sz="4" w:space="0" w:color="auto"/>
              <w:left w:val="single" w:sz="4" w:space="0" w:color="auto"/>
              <w:bottom w:val="single" w:sz="8" w:space="0" w:color="auto"/>
              <w:right w:val="single" w:sz="4" w:space="0" w:color="auto"/>
            </w:tcBorders>
            <w:shd w:val="clear" w:color="auto" w:fill="9CC2E5" w:themeFill="accent5" w:themeFillTint="99"/>
            <w:vAlign w:val="center"/>
          </w:tcPr>
          <w:p w:rsidR="00DC6FA1" w:rsidRPr="008C2F06" w:rsidRDefault="00DC6FA1" w:rsidP="00DC6FA1">
            <w:pPr>
              <w:spacing w:after="0" w:line="240" w:lineRule="auto"/>
              <w:jc w:val="right"/>
              <w:rPr>
                <w:rFonts w:ascii="Calibri" w:eastAsia="Times New Roman" w:hAnsi="Calibri" w:cs="Calibri"/>
                <w:b/>
                <w:bCs/>
                <w:color w:val="000000"/>
                <w:sz w:val="16"/>
                <w:szCs w:val="16"/>
                <w:lang w:eastAsia="es-CR"/>
              </w:rPr>
            </w:pPr>
            <w:r w:rsidRPr="008C2F06">
              <w:rPr>
                <w:rFonts w:ascii="Calibri" w:eastAsia="Times New Roman" w:hAnsi="Calibri" w:cs="Calibri"/>
                <w:b/>
                <w:bCs/>
                <w:color w:val="000000"/>
                <w:sz w:val="16"/>
                <w:szCs w:val="16"/>
                <w:lang w:eastAsia="es-CR"/>
              </w:rPr>
              <w:t>27%</w:t>
            </w:r>
          </w:p>
        </w:tc>
      </w:tr>
      <w:tr w:rsidR="00356E5C" w:rsidRPr="00814E69" w:rsidTr="00A67F73">
        <w:trPr>
          <w:trHeight w:val="28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E5C" w:rsidRPr="009D15D2" w:rsidRDefault="00356E5C" w:rsidP="00356E5C">
            <w:pPr>
              <w:spacing w:after="0" w:line="240" w:lineRule="auto"/>
              <w:jc w:val="center"/>
              <w:rPr>
                <w:rFonts w:ascii="Calibri" w:eastAsia="Times New Roman" w:hAnsi="Calibri" w:cs="Calibri"/>
                <w:b/>
                <w:bCs/>
                <w:color w:val="000000"/>
                <w:sz w:val="16"/>
                <w:szCs w:val="16"/>
                <w:lang w:eastAsia="es-CR"/>
              </w:rPr>
            </w:pPr>
            <w:r w:rsidRPr="009D15D2">
              <w:rPr>
                <w:rFonts w:ascii="Calibri" w:eastAsia="Times New Roman" w:hAnsi="Calibri" w:cs="Calibri"/>
                <w:b/>
                <w:bCs/>
                <w:color w:val="000000"/>
                <w:sz w:val="16"/>
                <w:szCs w:val="16"/>
                <w:lang w:eastAsia="es-CR"/>
              </w:rPr>
              <w:t>C II. Expansión y Modernización del SND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E5C" w:rsidRPr="00814E69" w:rsidRDefault="00356E5C" w:rsidP="00356E5C">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Distribución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E5C" w:rsidRPr="00814E69" w:rsidRDefault="00356E5C" w:rsidP="00356E5C">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Bolívar</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6E5C" w:rsidRPr="008C2F06" w:rsidRDefault="00356E5C"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1.614.461,4 </w:t>
            </w:r>
          </w:p>
        </w:tc>
        <w:tc>
          <w:tcPr>
            <w:tcW w:w="1417" w:type="dxa"/>
            <w:tcBorders>
              <w:top w:val="single" w:sz="4" w:space="0" w:color="auto"/>
              <w:left w:val="nil"/>
              <w:bottom w:val="single" w:sz="8" w:space="0" w:color="auto"/>
              <w:right w:val="single" w:sz="4" w:space="0" w:color="auto"/>
            </w:tcBorders>
            <w:vAlign w:val="center"/>
          </w:tcPr>
          <w:p w:rsidR="00356E5C" w:rsidRPr="008C2F06" w:rsidRDefault="00356E5C"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-2.400.397,2 </w:t>
            </w:r>
          </w:p>
        </w:tc>
        <w:tc>
          <w:tcPr>
            <w:tcW w:w="1417" w:type="dxa"/>
            <w:tcBorders>
              <w:top w:val="single" w:sz="4" w:space="0" w:color="auto"/>
              <w:left w:val="single" w:sz="4" w:space="0" w:color="auto"/>
              <w:bottom w:val="single" w:sz="8" w:space="0" w:color="auto"/>
              <w:right w:val="single" w:sz="4" w:space="0" w:color="auto"/>
            </w:tcBorders>
            <w:vAlign w:val="center"/>
          </w:tcPr>
          <w:p w:rsidR="00356E5C" w:rsidRPr="008C2F06" w:rsidRDefault="00356E5C"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-12%</w:t>
            </w:r>
          </w:p>
        </w:tc>
      </w:tr>
      <w:tr w:rsidR="00356E5C"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E5C" w:rsidRPr="00496C40" w:rsidRDefault="00356E5C" w:rsidP="00356E5C">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E5C" w:rsidRPr="00814E69" w:rsidRDefault="00356E5C" w:rsidP="00356E5C">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6E5C" w:rsidRPr="00814E69" w:rsidRDefault="00356E5C" w:rsidP="00356E5C">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El Oro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56E5C" w:rsidRPr="008C2F06" w:rsidRDefault="00356E5C"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407.347,0 </w:t>
            </w:r>
          </w:p>
        </w:tc>
        <w:tc>
          <w:tcPr>
            <w:tcW w:w="1417" w:type="dxa"/>
            <w:tcBorders>
              <w:top w:val="single" w:sz="4" w:space="0" w:color="auto"/>
              <w:left w:val="single" w:sz="4" w:space="0" w:color="auto"/>
              <w:bottom w:val="single" w:sz="4" w:space="0" w:color="auto"/>
              <w:right w:val="single" w:sz="4" w:space="0" w:color="auto"/>
            </w:tcBorders>
            <w:vAlign w:val="center"/>
          </w:tcPr>
          <w:p w:rsidR="00356E5C" w:rsidRPr="008C2F06" w:rsidRDefault="00356E5C"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-669.847,4 </w:t>
            </w:r>
          </w:p>
        </w:tc>
        <w:tc>
          <w:tcPr>
            <w:tcW w:w="1417" w:type="dxa"/>
            <w:tcBorders>
              <w:top w:val="single" w:sz="4" w:space="0" w:color="auto"/>
              <w:left w:val="single" w:sz="4" w:space="0" w:color="auto"/>
              <w:bottom w:val="single" w:sz="4" w:space="0" w:color="auto"/>
              <w:right w:val="single" w:sz="4" w:space="0" w:color="auto"/>
            </w:tcBorders>
            <w:vAlign w:val="center"/>
          </w:tcPr>
          <w:p w:rsidR="00356E5C" w:rsidRPr="008C2F06" w:rsidRDefault="00356E5C"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356E5C"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6E5C" w:rsidRPr="00496C40" w:rsidRDefault="00356E5C" w:rsidP="00356E5C">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6E5C" w:rsidRPr="00814E69" w:rsidRDefault="00356E5C" w:rsidP="00356E5C">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E5C" w:rsidRPr="00814E69" w:rsidRDefault="00356E5C" w:rsidP="00356E5C">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Esmeraldas</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6E5C" w:rsidRPr="008C2F06" w:rsidRDefault="00356E5C"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1.315.274,5 </w:t>
            </w:r>
          </w:p>
        </w:tc>
        <w:tc>
          <w:tcPr>
            <w:tcW w:w="1417" w:type="dxa"/>
            <w:tcBorders>
              <w:top w:val="single" w:sz="4" w:space="0" w:color="auto"/>
              <w:left w:val="nil"/>
              <w:bottom w:val="single" w:sz="8" w:space="0" w:color="auto"/>
              <w:right w:val="single" w:sz="4" w:space="0" w:color="auto"/>
            </w:tcBorders>
            <w:vAlign w:val="center"/>
          </w:tcPr>
          <w:p w:rsidR="00356E5C" w:rsidRPr="008C2F06" w:rsidRDefault="00356E5C"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-38.875,1 </w:t>
            </w:r>
          </w:p>
        </w:tc>
        <w:tc>
          <w:tcPr>
            <w:tcW w:w="1417" w:type="dxa"/>
            <w:tcBorders>
              <w:top w:val="single" w:sz="4" w:space="0" w:color="auto"/>
              <w:left w:val="single" w:sz="4" w:space="0" w:color="auto"/>
              <w:bottom w:val="single" w:sz="8" w:space="0" w:color="auto"/>
              <w:right w:val="single" w:sz="4" w:space="0" w:color="auto"/>
            </w:tcBorders>
            <w:vAlign w:val="center"/>
          </w:tcPr>
          <w:p w:rsidR="00356E5C" w:rsidRPr="008C2F06" w:rsidRDefault="00356E5C"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12%</w:t>
            </w:r>
          </w:p>
        </w:tc>
      </w:tr>
      <w:tr w:rsidR="003B75E4"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75E4" w:rsidRPr="00496C40" w:rsidRDefault="003B75E4" w:rsidP="003B75E4">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75E4" w:rsidRPr="00814E69" w:rsidRDefault="003B75E4" w:rsidP="003B75E4">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5E4" w:rsidRPr="00814E69" w:rsidRDefault="003B75E4" w:rsidP="003B75E4">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Guayaquil</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75E4" w:rsidRPr="008C2F06" w:rsidRDefault="003B75E4"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332.394,5 </w:t>
            </w:r>
          </w:p>
        </w:tc>
        <w:tc>
          <w:tcPr>
            <w:tcW w:w="1417" w:type="dxa"/>
            <w:tcBorders>
              <w:top w:val="single" w:sz="4" w:space="0" w:color="auto"/>
              <w:left w:val="nil"/>
              <w:bottom w:val="single" w:sz="8" w:space="0" w:color="auto"/>
              <w:right w:val="single" w:sz="4" w:space="0" w:color="auto"/>
            </w:tcBorders>
            <w:vAlign w:val="center"/>
          </w:tcPr>
          <w:p w:rsidR="003B75E4" w:rsidRPr="008C2F06" w:rsidRDefault="003B75E4"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11.571.676,2 </w:t>
            </w:r>
          </w:p>
        </w:tc>
        <w:tc>
          <w:tcPr>
            <w:tcW w:w="1417" w:type="dxa"/>
            <w:tcBorders>
              <w:top w:val="single" w:sz="4" w:space="0" w:color="auto"/>
              <w:left w:val="single" w:sz="4" w:space="0" w:color="auto"/>
              <w:bottom w:val="single" w:sz="8" w:space="0" w:color="auto"/>
              <w:right w:val="single" w:sz="4" w:space="0" w:color="auto"/>
            </w:tcBorders>
            <w:vAlign w:val="center"/>
          </w:tcPr>
          <w:p w:rsidR="003B75E4" w:rsidRPr="008C2F06" w:rsidRDefault="003B75E4"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122%</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C2F06">
              <w:rPr>
                <w:rFonts w:ascii="Calibri" w:eastAsia="Times New Roman" w:hAnsi="Calibri" w:cs="Calibri"/>
                <w:b/>
                <w:bCs/>
                <w:color w:val="000000"/>
                <w:sz w:val="16"/>
                <w:szCs w:val="16"/>
                <w:lang w:eastAsia="es-CR"/>
              </w:rPr>
              <w:t>CNEL Guayas Los Ríos</w:t>
            </w:r>
          </w:p>
        </w:tc>
        <w:tc>
          <w:tcPr>
            <w:tcW w:w="1417" w:type="dxa"/>
            <w:tcBorders>
              <w:top w:val="single" w:sz="4" w:space="0" w:color="auto"/>
              <w:left w:val="single" w:sz="4" w:space="0" w:color="auto"/>
              <w:bottom w:val="single" w:sz="4"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120.503,7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-198.158,1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Santa Elena</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1.607.081,2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-2.408.524,6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-5%</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Santo Domingo</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1.972.877,1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-3.244.228,1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Sucumbíos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1.167.659,8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-1.920.116,9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Ambato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2.562.508,5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-3.997.659,6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Azogues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234.204,2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-331.296,7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Cotopaxi</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1.677.377,9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23.040.123,9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57%</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Quito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1.452.133,9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-2.148.474,6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-6%</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Riobamba</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775.561,5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-1.263.855,4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C2F06">
              <w:rPr>
                <w:rFonts w:ascii="Calibri" w:eastAsia="Times New Roman" w:hAnsi="Calibri" w:cs="Calibri"/>
                <w:b/>
                <w:bCs/>
                <w:color w:val="000000"/>
                <w:sz w:val="16"/>
                <w:szCs w:val="16"/>
                <w:lang w:eastAsia="es-CR"/>
              </w:rPr>
              <w:t>E.E. Centro sur</w:t>
            </w:r>
          </w:p>
        </w:tc>
        <w:tc>
          <w:tcPr>
            <w:tcW w:w="1417" w:type="dxa"/>
            <w:tcBorders>
              <w:top w:val="single" w:sz="4" w:space="0" w:color="auto"/>
              <w:left w:val="single" w:sz="4" w:space="0" w:color="auto"/>
              <w:bottom w:val="single" w:sz="4"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1.530.829,1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-2.480.973,5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496C40" w:rsidRDefault="008C2F06" w:rsidP="008C2F06">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F06" w:rsidRPr="00814E69" w:rsidRDefault="008C2F06" w:rsidP="008C2F06">
            <w:pPr>
              <w:spacing w:after="0" w:line="240" w:lineRule="auto"/>
              <w:rPr>
                <w:rFonts w:ascii="Calibri" w:eastAsia="Times New Roman" w:hAnsi="Calibri" w:cs="Calibri"/>
                <w:b/>
                <w:bCs/>
                <w:color w:val="000000"/>
                <w:sz w:val="16"/>
                <w:szCs w:val="16"/>
                <w:lang w:eastAsia="es-CR"/>
              </w:rPr>
            </w:pPr>
            <w:r w:rsidRPr="008C2F06">
              <w:rPr>
                <w:rFonts w:ascii="Calibri" w:eastAsia="Times New Roman" w:hAnsi="Calibri" w:cs="Calibri"/>
                <w:b/>
                <w:bCs/>
                <w:color w:val="000000"/>
                <w:sz w:val="16"/>
                <w:szCs w:val="16"/>
                <w:lang w:eastAsia="es-CR"/>
              </w:rPr>
              <w:t>E.E. Galápagos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2F06" w:rsidRPr="008C2F06" w:rsidRDefault="008C2F06" w:rsidP="008C2F06">
            <w:pPr>
              <w:spacing w:after="0" w:line="240" w:lineRule="auto"/>
              <w:jc w:val="right"/>
              <w:rPr>
                <w:rFonts w:ascii="Calibri" w:eastAsia="Times New Roman" w:hAnsi="Calibri" w:cs="Calibri"/>
                <w:color w:val="000000"/>
                <w:sz w:val="16"/>
                <w:szCs w:val="16"/>
                <w:lang w:eastAsia="es-CR"/>
              </w:rPr>
            </w:pPr>
            <w:r w:rsidRPr="008C2F06">
              <w:rPr>
                <w:rFonts w:ascii="Calibri" w:eastAsia="Times New Roman" w:hAnsi="Calibri" w:cs="Calibri"/>
                <w:color w:val="000000"/>
                <w:sz w:val="16"/>
                <w:szCs w:val="16"/>
                <w:lang w:eastAsia="es-CR"/>
              </w:rPr>
              <w:t xml:space="preserve"> 402.656,8 </w:t>
            </w:r>
          </w:p>
        </w:tc>
        <w:tc>
          <w:tcPr>
            <w:tcW w:w="1417" w:type="dxa"/>
            <w:tcBorders>
              <w:top w:val="single" w:sz="4" w:space="0" w:color="auto"/>
              <w:left w:val="nil"/>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 xml:space="preserve"> -662.134,7 </w:t>
            </w:r>
          </w:p>
        </w:tc>
        <w:tc>
          <w:tcPr>
            <w:tcW w:w="1417" w:type="dxa"/>
            <w:tcBorders>
              <w:top w:val="single" w:sz="4" w:space="0" w:color="auto"/>
              <w:left w:val="single" w:sz="4" w:space="0" w:color="auto"/>
              <w:bottom w:val="single" w:sz="8" w:space="0" w:color="auto"/>
              <w:right w:val="single" w:sz="4" w:space="0" w:color="auto"/>
            </w:tcBorders>
            <w:vAlign w:val="center"/>
          </w:tcPr>
          <w:p w:rsidR="008C2F06" w:rsidRPr="008C2F06" w:rsidRDefault="008C2F06" w:rsidP="008C2F06">
            <w:pPr>
              <w:spacing w:after="0" w:line="240" w:lineRule="auto"/>
              <w:jc w:val="right"/>
              <w:rPr>
                <w:rFonts w:ascii="Calibri" w:eastAsia="Times New Roman" w:hAnsi="Calibri" w:cs="Calibri"/>
                <w:color w:val="FF0000"/>
                <w:sz w:val="16"/>
                <w:szCs w:val="16"/>
                <w:lang w:eastAsia="es-CR"/>
              </w:rPr>
            </w:pPr>
            <w:r w:rsidRPr="008C2F06">
              <w:rPr>
                <w:rFonts w:ascii="Calibri" w:eastAsia="Times New Roman" w:hAnsi="Calibri" w:cs="Calibri"/>
                <w:color w:val="FF0000"/>
                <w:sz w:val="16"/>
                <w:szCs w:val="16"/>
                <w:lang w:eastAsia="es-CR"/>
              </w:rPr>
              <w:t>Indefinida</w:t>
            </w:r>
          </w:p>
        </w:tc>
      </w:tr>
      <w:tr w:rsidR="008C2F06" w:rsidRPr="00814E69" w:rsidTr="008C2F06">
        <w:trPr>
          <w:trHeight w:val="285"/>
          <w:jc w:val="center"/>
        </w:trPr>
        <w:tc>
          <w:tcPr>
            <w:tcW w:w="4531" w:type="dxa"/>
            <w:gridSpan w:val="3"/>
            <w:tcBorders>
              <w:top w:val="single" w:sz="4" w:space="0" w:color="auto"/>
              <w:left w:val="single" w:sz="4" w:space="0" w:color="auto"/>
              <w:bottom w:val="single" w:sz="4" w:space="0" w:color="auto"/>
              <w:right w:val="nil"/>
            </w:tcBorders>
            <w:shd w:val="clear" w:color="000000" w:fill="9BC2E6"/>
            <w:noWrap/>
            <w:vAlign w:val="center"/>
            <w:hideMark/>
          </w:tcPr>
          <w:p w:rsidR="008C2F06" w:rsidRPr="006B226A" w:rsidRDefault="008C2F06" w:rsidP="008C2F06">
            <w:pPr>
              <w:spacing w:after="0" w:line="240" w:lineRule="auto"/>
              <w:jc w:val="center"/>
              <w:rPr>
                <w:rFonts w:ascii="Calibri" w:eastAsia="Times New Roman" w:hAnsi="Calibri" w:cs="Calibri"/>
                <w:b/>
                <w:bCs/>
                <w:color w:val="000000"/>
                <w:sz w:val="16"/>
                <w:szCs w:val="16"/>
                <w:lang w:eastAsia="es-CR"/>
              </w:rPr>
            </w:pPr>
            <w:r w:rsidRPr="006B226A">
              <w:rPr>
                <w:rFonts w:ascii="Calibri" w:eastAsia="Times New Roman" w:hAnsi="Calibri" w:cs="Calibri"/>
                <w:b/>
                <w:bCs/>
                <w:color w:val="000000"/>
                <w:sz w:val="16"/>
                <w:szCs w:val="16"/>
                <w:lang w:eastAsia="es-CR"/>
              </w:rPr>
              <w:t>Sub Total C II. Distribución</w:t>
            </w:r>
          </w:p>
        </w:tc>
        <w:tc>
          <w:tcPr>
            <w:tcW w:w="1417" w:type="dxa"/>
            <w:tcBorders>
              <w:top w:val="single" w:sz="4" w:space="0" w:color="auto"/>
              <w:left w:val="single" w:sz="4" w:space="0" w:color="auto"/>
              <w:bottom w:val="single" w:sz="4" w:space="0" w:color="auto"/>
              <w:right w:val="single" w:sz="4" w:space="0" w:color="auto"/>
            </w:tcBorders>
            <w:shd w:val="clear" w:color="000000" w:fill="9BC2E6"/>
            <w:vAlign w:val="center"/>
          </w:tcPr>
          <w:p w:rsidR="008C2F06" w:rsidRPr="008C2F06" w:rsidRDefault="008C2F06" w:rsidP="008C2F06">
            <w:pPr>
              <w:spacing w:after="0" w:line="240" w:lineRule="auto"/>
              <w:jc w:val="right"/>
              <w:rPr>
                <w:rFonts w:ascii="Calibri" w:eastAsia="Times New Roman" w:hAnsi="Calibri" w:cs="Calibri"/>
                <w:b/>
                <w:color w:val="000000"/>
                <w:sz w:val="16"/>
                <w:szCs w:val="16"/>
                <w:lang w:eastAsia="es-CR"/>
              </w:rPr>
            </w:pPr>
            <w:r w:rsidRPr="008C2F06">
              <w:rPr>
                <w:rFonts w:ascii="Calibri" w:eastAsia="Times New Roman" w:hAnsi="Calibri" w:cs="Calibri"/>
                <w:b/>
                <w:color w:val="000000"/>
                <w:sz w:val="16"/>
                <w:szCs w:val="16"/>
                <w:lang w:eastAsia="es-CR"/>
              </w:rPr>
              <w:t xml:space="preserve"> 17.172.871,0 </w:t>
            </w:r>
          </w:p>
        </w:tc>
        <w:tc>
          <w:tcPr>
            <w:tcW w:w="1417" w:type="dxa"/>
            <w:tcBorders>
              <w:top w:val="single" w:sz="4" w:space="0" w:color="auto"/>
              <w:left w:val="single" w:sz="4" w:space="0" w:color="auto"/>
              <w:bottom w:val="single" w:sz="4" w:space="0" w:color="auto"/>
              <w:right w:val="single" w:sz="4" w:space="0" w:color="auto"/>
            </w:tcBorders>
            <w:shd w:val="clear" w:color="000000" w:fill="9BC2E6"/>
            <w:vAlign w:val="center"/>
          </w:tcPr>
          <w:p w:rsidR="008C2F06" w:rsidRPr="008C2F06" w:rsidRDefault="008C2F06" w:rsidP="008C2F06">
            <w:pPr>
              <w:spacing w:after="0" w:line="240" w:lineRule="auto"/>
              <w:jc w:val="right"/>
              <w:rPr>
                <w:rFonts w:ascii="Calibri" w:eastAsia="Times New Roman" w:hAnsi="Calibri" w:cs="Calibri"/>
                <w:b/>
                <w:color w:val="000000"/>
                <w:sz w:val="16"/>
                <w:szCs w:val="16"/>
                <w:lang w:eastAsia="es-CR"/>
              </w:rPr>
            </w:pPr>
            <w:r w:rsidRPr="008C2F06">
              <w:rPr>
                <w:rFonts w:ascii="Calibri" w:eastAsia="Times New Roman" w:hAnsi="Calibri" w:cs="Calibri"/>
                <w:b/>
                <w:color w:val="000000"/>
                <w:sz w:val="16"/>
                <w:szCs w:val="16"/>
                <w:lang w:eastAsia="es-CR"/>
              </w:rPr>
              <w:t xml:space="preserve"> 12.847.258,2 </w:t>
            </w:r>
          </w:p>
        </w:tc>
        <w:tc>
          <w:tcPr>
            <w:tcW w:w="1417" w:type="dxa"/>
            <w:tcBorders>
              <w:top w:val="single" w:sz="4" w:space="0" w:color="auto"/>
              <w:left w:val="single" w:sz="4" w:space="0" w:color="auto"/>
              <w:bottom w:val="single" w:sz="4" w:space="0" w:color="auto"/>
              <w:right w:val="single" w:sz="4" w:space="0" w:color="auto"/>
            </w:tcBorders>
            <w:shd w:val="clear" w:color="000000" w:fill="9BC2E6"/>
            <w:vAlign w:val="center"/>
          </w:tcPr>
          <w:p w:rsidR="008C2F06" w:rsidRPr="008C2F06" w:rsidRDefault="008C2F06" w:rsidP="008C2F06">
            <w:pPr>
              <w:spacing w:after="0" w:line="240" w:lineRule="auto"/>
              <w:jc w:val="right"/>
              <w:rPr>
                <w:rFonts w:ascii="Calibri" w:eastAsia="Times New Roman" w:hAnsi="Calibri" w:cs="Calibri"/>
                <w:b/>
                <w:color w:val="000000"/>
                <w:sz w:val="16"/>
                <w:szCs w:val="16"/>
                <w:lang w:eastAsia="es-CR"/>
              </w:rPr>
            </w:pPr>
            <w:r w:rsidRPr="008C2F06">
              <w:rPr>
                <w:rFonts w:ascii="Calibri" w:eastAsia="Times New Roman" w:hAnsi="Calibri" w:cs="Calibri"/>
                <w:b/>
                <w:color w:val="000000"/>
                <w:sz w:val="16"/>
                <w:szCs w:val="16"/>
                <w:lang w:eastAsia="es-CR"/>
              </w:rPr>
              <w:t>17%</w:t>
            </w:r>
          </w:p>
        </w:tc>
      </w:tr>
      <w:tr w:rsidR="008C2F06" w:rsidRPr="00814E69" w:rsidTr="008C2F06">
        <w:trPr>
          <w:trHeight w:val="426"/>
          <w:jc w:val="center"/>
        </w:trPr>
        <w:tc>
          <w:tcPr>
            <w:tcW w:w="4531" w:type="dxa"/>
            <w:gridSpan w:val="3"/>
            <w:tcBorders>
              <w:top w:val="single" w:sz="4" w:space="0" w:color="auto"/>
              <w:left w:val="single" w:sz="4" w:space="0" w:color="auto"/>
              <w:bottom w:val="single" w:sz="4" w:space="0" w:color="auto"/>
              <w:right w:val="nil"/>
            </w:tcBorders>
            <w:shd w:val="clear" w:color="auto" w:fill="DEEAF6" w:themeFill="accent5" w:themeFillTint="33"/>
            <w:noWrap/>
            <w:vAlign w:val="center"/>
          </w:tcPr>
          <w:p w:rsidR="008C2F06" w:rsidRPr="005A4253" w:rsidRDefault="008C2F06" w:rsidP="008C2F06">
            <w:pPr>
              <w:spacing w:after="0" w:line="240" w:lineRule="auto"/>
              <w:jc w:val="center"/>
              <w:rPr>
                <w:rFonts w:ascii="Calibri" w:eastAsia="Times New Roman" w:hAnsi="Calibri" w:cs="Calibri"/>
                <w:b/>
                <w:bCs/>
                <w:color w:val="000000"/>
                <w:sz w:val="20"/>
                <w:szCs w:val="16"/>
                <w:lang w:eastAsia="es-CR"/>
              </w:rPr>
            </w:pPr>
            <w:r w:rsidRPr="005A4253">
              <w:rPr>
                <w:rFonts w:ascii="Calibri" w:eastAsia="Times New Roman" w:hAnsi="Calibri" w:cs="Calibri"/>
                <w:b/>
                <w:bCs/>
                <w:color w:val="000000"/>
                <w:sz w:val="20"/>
                <w:szCs w:val="16"/>
                <w:lang w:eastAsia="es-CR"/>
              </w:rPr>
              <w:t>TOTAL</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2F06" w:rsidRPr="008C2F06" w:rsidRDefault="008C2F06" w:rsidP="008C2F06">
            <w:pPr>
              <w:spacing w:after="0" w:line="240" w:lineRule="auto"/>
              <w:jc w:val="right"/>
              <w:rPr>
                <w:rFonts w:ascii="Calibri" w:eastAsia="Times New Roman" w:hAnsi="Calibri" w:cs="Calibri"/>
                <w:b/>
                <w:color w:val="000000"/>
                <w:sz w:val="20"/>
                <w:szCs w:val="16"/>
                <w:lang w:eastAsia="es-CR"/>
              </w:rPr>
            </w:pPr>
            <w:r w:rsidRPr="008C2F06">
              <w:rPr>
                <w:rFonts w:ascii="Calibri" w:eastAsia="Times New Roman" w:hAnsi="Calibri" w:cs="Calibri"/>
                <w:b/>
                <w:color w:val="000000"/>
                <w:sz w:val="20"/>
                <w:szCs w:val="16"/>
                <w:lang w:eastAsia="es-CR"/>
              </w:rPr>
              <w:t xml:space="preserve"> 47.740.604,2 </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2F06" w:rsidRPr="008C2F06" w:rsidRDefault="008C2F06" w:rsidP="008C2F06">
            <w:pPr>
              <w:spacing w:after="0" w:line="240" w:lineRule="auto"/>
              <w:jc w:val="right"/>
              <w:rPr>
                <w:rFonts w:ascii="Calibri" w:eastAsia="Times New Roman" w:hAnsi="Calibri" w:cs="Calibri"/>
                <w:b/>
                <w:color w:val="000000"/>
                <w:sz w:val="20"/>
                <w:szCs w:val="16"/>
                <w:lang w:eastAsia="es-CR"/>
              </w:rPr>
            </w:pPr>
            <w:r w:rsidRPr="008C2F06">
              <w:rPr>
                <w:rFonts w:ascii="Calibri" w:eastAsia="Times New Roman" w:hAnsi="Calibri" w:cs="Calibri"/>
                <w:b/>
                <w:color w:val="000000"/>
                <w:sz w:val="20"/>
                <w:szCs w:val="16"/>
                <w:lang w:eastAsia="es-CR"/>
              </w:rPr>
              <w:t xml:space="preserve"> 126.047.457,0 </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2F06" w:rsidRPr="008C2F06" w:rsidRDefault="008C2F06" w:rsidP="008C2F06">
            <w:pPr>
              <w:spacing w:after="0" w:line="240" w:lineRule="auto"/>
              <w:jc w:val="right"/>
              <w:rPr>
                <w:rFonts w:ascii="Calibri" w:eastAsia="Times New Roman" w:hAnsi="Calibri" w:cs="Calibri"/>
                <w:b/>
                <w:color w:val="000000"/>
                <w:sz w:val="20"/>
                <w:szCs w:val="16"/>
                <w:lang w:eastAsia="es-CR"/>
              </w:rPr>
            </w:pPr>
            <w:r w:rsidRPr="008C2F06">
              <w:rPr>
                <w:rFonts w:ascii="Calibri" w:eastAsia="Times New Roman" w:hAnsi="Calibri" w:cs="Calibri"/>
                <w:b/>
                <w:color w:val="000000"/>
                <w:sz w:val="20"/>
                <w:szCs w:val="16"/>
                <w:lang w:eastAsia="es-CR"/>
              </w:rPr>
              <w:t>24%</w:t>
            </w:r>
          </w:p>
        </w:tc>
      </w:tr>
    </w:tbl>
    <w:p w:rsidR="00496C40" w:rsidRDefault="00496C40" w:rsidP="00F56913">
      <w:pPr>
        <w:jc w:val="both"/>
        <w:rPr>
          <w:lang w:val="es-CL"/>
        </w:rPr>
      </w:pPr>
    </w:p>
    <w:p w:rsidR="005A4253" w:rsidRDefault="005A4253" w:rsidP="00F56913">
      <w:pPr>
        <w:jc w:val="both"/>
        <w:rPr>
          <w:lang w:val="es-CL"/>
        </w:rPr>
      </w:pPr>
    </w:p>
    <w:p w:rsidR="005A4253" w:rsidRDefault="005A4253" w:rsidP="005A4253">
      <w:pPr>
        <w:pStyle w:val="Heading3"/>
        <w:rPr>
          <w:lang w:val="es-CL"/>
        </w:rPr>
      </w:pPr>
      <w:bookmarkStart w:id="21" w:name="_Toc491617764"/>
      <w:r>
        <w:rPr>
          <w:lang w:val="es-CL"/>
        </w:rPr>
        <w:t>Evaluación Económica Proyectos SND</w:t>
      </w:r>
      <w:bookmarkEnd w:id="21"/>
    </w:p>
    <w:p w:rsidR="005A4253" w:rsidRDefault="005A4253" w:rsidP="005A4253">
      <w:pPr>
        <w:jc w:val="both"/>
        <w:rPr>
          <w:lang w:val="es-CL"/>
        </w:rPr>
      </w:pPr>
    </w:p>
    <w:p w:rsidR="005A4253" w:rsidRDefault="005A4253" w:rsidP="005A4253">
      <w:pPr>
        <w:jc w:val="both"/>
        <w:rPr>
          <w:lang w:val="es-CL"/>
        </w:rPr>
      </w:pPr>
      <w:r>
        <w:rPr>
          <w:lang w:val="es-CL"/>
        </w:rPr>
        <w:t xml:space="preserve">Para una evaluación económica de estos proyectos, se debe considerar que el flujo adicional de energía llegará hasta los consumidores finales del sistema eléctrico y, a su vez, proviene desde las redes de Transmisión y centrales de generación. El consumidor final experimentará un beneficio asociado al consumo mediante las curvas de demanda del mercado. También debe considerarse que los Generadores, también deberán incurrir en un desembolso, para producir </w:t>
      </w:r>
      <w:r w:rsidR="00CE4BA2">
        <w:rPr>
          <w:lang w:val="es-CL"/>
        </w:rPr>
        <w:t xml:space="preserve">esta </w:t>
      </w:r>
      <w:r>
        <w:rPr>
          <w:lang w:val="es-CL"/>
        </w:rPr>
        <w:t>energía adicional</w:t>
      </w:r>
      <w:r w:rsidR="00CE4BA2">
        <w:rPr>
          <w:lang w:val="es-CL"/>
        </w:rPr>
        <w:t>, más las pérdidas técnicas de las redes intermediarias</w:t>
      </w:r>
      <w:r>
        <w:rPr>
          <w:lang w:val="es-CL"/>
        </w:rPr>
        <w:t>.</w:t>
      </w:r>
    </w:p>
    <w:p w:rsidR="005A4253" w:rsidRDefault="005A4253" w:rsidP="005A4253">
      <w:pPr>
        <w:jc w:val="both"/>
        <w:rPr>
          <w:lang w:val="es-CL"/>
        </w:rPr>
      </w:pPr>
      <w:r>
        <w:rPr>
          <w:lang w:val="es-CL"/>
        </w:rPr>
        <w:t>Por otra parte, todo intercambio monetario entre los actores considerados se ve anulado, pues lo que es un cargo para unos, resulta en un ingreso para los otros.</w:t>
      </w:r>
    </w:p>
    <w:p w:rsidR="005A4253" w:rsidRDefault="005A4253" w:rsidP="005A4253">
      <w:pPr>
        <w:jc w:val="both"/>
        <w:rPr>
          <w:lang w:val="es-CL"/>
        </w:rPr>
      </w:pPr>
      <w:r>
        <w:rPr>
          <w:lang w:val="es-CL"/>
        </w:rPr>
        <w:t>Esta situación económica se ilustra en la figura siguiente.</w:t>
      </w:r>
    </w:p>
    <w:p w:rsidR="005A4253" w:rsidRDefault="005A4253" w:rsidP="005A4253">
      <w:pPr>
        <w:jc w:val="both"/>
        <w:rPr>
          <w:lang w:val="es-CL"/>
        </w:rPr>
      </w:pPr>
    </w:p>
    <w:p w:rsidR="005A4253" w:rsidRDefault="0055715E" w:rsidP="005A4253">
      <w:pPr>
        <w:jc w:val="both"/>
        <w:rPr>
          <w:lang w:val="es-CL"/>
        </w:rPr>
      </w:pPr>
      <w:r>
        <w:rPr>
          <w:noProof/>
          <w:lang w:val="en-US"/>
        </w:rPr>
        <w:drawing>
          <wp:inline distT="0" distB="0" distL="0" distR="0" wp14:anchorId="5BD7E387">
            <wp:extent cx="5563426" cy="22160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7278" cy="2229490"/>
                    </a:xfrm>
                    <a:prstGeom prst="rect">
                      <a:avLst/>
                    </a:prstGeom>
                    <a:noFill/>
                  </pic:spPr>
                </pic:pic>
              </a:graphicData>
            </a:graphic>
          </wp:inline>
        </w:drawing>
      </w:r>
    </w:p>
    <w:p w:rsidR="005A4253" w:rsidRDefault="005A4253" w:rsidP="005A4253">
      <w:pPr>
        <w:jc w:val="both"/>
        <w:rPr>
          <w:lang w:val="es-CL"/>
        </w:rPr>
      </w:pPr>
      <w:r w:rsidRPr="00647D2A">
        <w:rPr>
          <w:b/>
          <w:lang w:val="es-CL"/>
        </w:rPr>
        <w:t xml:space="preserve">Figura </w:t>
      </w:r>
      <w:r w:rsidR="000C1D25">
        <w:rPr>
          <w:b/>
          <w:lang w:val="es-CL"/>
        </w:rPr>
        <w:t>9</w:t>
      </w:r>
      <w:r w:rsidRPr="00647D2A">
        <w:rPr>
          <w:b/>
          <w:lang w:val="es-CL"/>
        </w:rPr>
        <w:t xml:space="preserve">. Flujos relevantes para una evaluación económica de los proyectos de expansión y </w:t>
      </w:r>
      <w:r w:rsidR="0055715E">
        <w:rPr>
          <w:b/>
          <w:lang w:val="es-CL"/>
        </w:rPr>
        <w:t>modernización</w:t>
      </w:r>
      <w:r w:rsidRPr="00647D2A">
        <w:rPr>
          <w:b/>
          <w:lang w:val="es-CL"/>
        </w:rPr>
        <w:t xml:space="preserve"> del SN</w:t>
      </w:r>
      <w:r w:rsidR="0055715E">
        <w:rPr>
          <w:b/>
          <w:lang w:val="es-CL"/>
        </w:rPr>
        <w:t>D</w:t>
      </w:r>
      <w:r>
        <w:rPr>
          <w:lang w:val="es-CL"/>
        </w:rPr>
        <w:t xml:space="preserve">. La energía </w:t>
      </w:r>
      <w:r w:rsidR="0055715E">
        <w:rPr>
          <w:lang w:val="es-CL"/>
        </w:rPr>
        <w:t>distribuida</w:t>
      </w:r>
      <w:r>
        <w:rPr>
          <w:lang w:val="es-CL"/>
        </w:rPr>
        <w:t xml:space="preserve"> adicional (E</w:t>
      </w:r>
      <w:r w:rsidR="0055715E">
        <w:rPr>
          <w:lang w:val="es-CL"/>
        </w:rPr>
        <w:t>d</w:t>
      </w:r>
      <w:r>
        <w:rPr>
          <w:lang w:val="es-CL"/>
        </w:rPr>
        <w:t>) relacionada con el proyecto</w:t>
      </w:r>
      <w:r w:rsidR="0055715E">
        <w:rPr>
          <w:lang w:val="es-CL"/>
        </w:rPr>
        <w:t>, que llega al consumidor final</w:t>
      </w:r>
      <w:r>
        <w:rPr>
          <w:lang w:val="es-CL"/>
        </w:rPr>
        <w:t xml:space="preserve">, se refleja en una mayor Energía </w:t>
      </w:r>
      <w:r w:rsidR="0055715E">
        <w:rPr>
          <w:lang w:val="es-CL"/>
        </w:rPr>
        <w:t>transportada</w:t>
      </w:r>
      <w:r>
        <w:rPr>
          <w:lang w:val="es-CL"/>
        </w:rPr>
        <w:t xml:space="preserve"> (E</w:t>
      </w:r>
      <w:r w:rsidR="0055715E">
        <w:rPr>
          <w:lang w:val="es-CL"/>
        </w:rPr>
        <w:t>t</w:t>
      </w:r>
      <w:r>
        <w:rPr>
          <w:lang w:val="es-CL"/>
        </w:rPr>
        <w:t>) y en</w:t>
      </w:r>
      <w:r w:rsidR="0055715E">
        <w:rPr>
          <w:lang w:val="es-CL"/>
        </w:rPr>
        <w:t xml:space="preserve"> una mayor energía</w:t>
      </w:r>
      <w:r>
        <w:rPr>
          <w:lang w:val="es-CL"/>
        </w:rPr>
        <w:t xml:space="preserve"> </w:t>
      </w:r>
      <w:r w:rsidR="0055715E">
        <w:rPr>
          <w:lang w:val="es-CL"/>
        </w:rPr>
        <w:t>generada</w:t>
      </w:r>
      <w:r>
        <w:rPr>
          <w:lang w:val="es-CL"/>
        </w:rPr>
        <w:t xml:space="preserve"> (E</w:t>
      </w:r>
      <w:r w:rsidR="0055715E">
        <w:rPr>
          <w:lang w:val="es-CL"/>
        </w:rPr>
        <w:t>g</w:t>
      </w:r>
      <w:r>
        <w:rPr>
          <w:lang w:val="es-CL"/>
        </w:rPr>
        <w:t xml:space="preserve">). Los intercambios monetarios entre actores sociales se tornan irrelevantes al cancelarse mutuamente, quedando sólo por valorar el </w:t>
      </w:r>
      <w:r w:rsidRPr="00647D2A">
        <w:rPr>
          <w:b/>
          <w:lang w:val="es-CL"/>
        </w:rPr>
        <w:t>Beneficio del Consumidor</w:t>
      </w:r>
      <w:r w:rsidR="00792792">
        <w:rPr>
          <w:lang w:val="es-CL"/>
        </w:rPr>
        <w:t>, así como</w:t>
      </w:r>
      <w:r w:rsidR="0055715E">
        <w:rPr>
          <w:lang w:val="es-CL"/>
        </w:rPr>
        <w:t xml:space="preserve"> </w:t>
      </w:r>
      <w:r>
        <w:rPr>
          <w:lang w:val="es-CL"/>
        </w:rPr>
        <w:t xml:space="preserve">los </w:t>
      </w:r>
      <w:r w:rsidRPr="00647D2A">
        <w:rPr>
          <w:b/>
          <w:lang w:val="es-CL"/>
        </w:rPr>
        <w:t xml:space="preserve">costos variables </w:t>
      </w:r>
      <w:r w:rsidR="00792792">
        <w:rPr>
          <w:b/>
          <w:lang w:val="es-CL"/>
        </w:rPr>
        <w:t xml:space="preserve">y subsidio al combustible </w:t>
      </w:r>
      <w:r w:rsidRPr="00647D2A">
        <w:rPr>
          <w:b/>
          <w:lang w:val="es-CL"/>
        </w:rPr>
        <w:t xml:space="preserve">por </w:t>
      </w:r>
      <w:r w:rsidR="00792792">
        <w:rPr>
          <w:b/>
          <w:lang w:val="es-CL"/>
        </w:rPr>
        <w:t xml:space="preserve">la </w:t>
      </w:r>
      <w:r w:rsidRPr="00647D2A">
        <w:rPr>
          <w:b/>
          <w:lang w:val="es-CL"/>
        </w:rPr>
        <w:t>generación</w:t>
      </w:r>
      <w:r>
        <w:rPr>
          <w:lang w:val="es-CL"/>
        </w:rPr>
        <w:t xml:space="preserve"> adicional.</w:t>
      </w:r>
    </w:p>
    <w:p w:rsidR="005A4253" w:rsidRDefault="005A4253" w:rsidP="005A4253">
      <w:pPr>
        <w:jc w:val="both"/>
        <w:rPr>
          <w:i/>
          <w:sz w:val="18"/>
          <w:lang w:val="es-CL"/>
        </w:rPr>
      </w:pPr>
      <w:r w:rsidRPr="00647D2A">
        <w:rPr>
          <w:i/>
          <w:sz w:val="18"/>
          <w:lang w:val="es-CL"/>
        </w:rPr>
        <w:t>Nota: En rigor, este tipo de análisis también considera la recaudación de impuestos que ingresaría a las arcas fiscales. Sin embargo, por tratarse de un mercado liderado desde el mismo Estado, dichos flujos también se cancelan (lo que para los clientes es un egreso, resulta en un ingreso para el Estado)</w:t>
      </w:r>
    </w:p>
    <w:p w:rsidR="00CE4BA2" w:rsidRPr="008D4342" w:rsidRDefault="00CE4BA2" w:rsidP="005A4253">
      <w:pPr>
        <w:jc w:val="both"/>
        <w:rPr>
          <w:lang w:val="es-CL"/>
        </w:rPr>
      </w:pPr>
    </w:p>
    <w:p w:rsidR="00FC5C39" w:rsidRDefault="00FC5C39" w:rsidP="005C42C2">
      <w:pPr>
        <w:jc w:val="both"/>
        <w:rPr>
          <w:b/>
          <w:highlight w:val="yellow"/>
          <w:lang w:val="es-CL"/>
        </w:rPr>
      </w:pPr>
    </w:p>
    <w:p w:rsidR="00FC5C39" w:rsidRDefault="00FC5C39" w:rsidP="005C42C2">
      <w:pPr>
        <w:jc w:val="both"/>
        <w:rPr>
          <w:b/>
          <w:highlight w:val="yellow"/>
          <w:lang w:val="es-CL"/>
        </w:rPr>
      </w:pPr>
    </w:p>
    <w:p w:rsidR="005C42C2" w:rsidRPr="00B81027" w:rsidRDefault="005C42C2" w:rsidP="005C42C2">
      <w:pPr>
        <w:jc w:val="both"/>
        <w:rPr>
          <w:b/>
          <w:lang w:val="es-CL"/>
        </w:rPr>
      </w:pPr>
      <w:r w:rsidRPr="00B81027">
        <w:rPr>
          <w:b/>
          <w:lang w:val="es-CL"/>
        </w:rPr>
        <w:t>Inversión y Costos de Operación y Mantenimiento valorados a Precios Sombra</w:t>
      </w:r>
    </w:p>
    <w:p w:rsidR="005C42C2" w:rsidRPr="00B81027" w:rsidRDefault="005C42C2" w:rsidP="005C42C2">
      <w:pPr>
        <w:jc w:val="both"/>
        <w:rPr>
          <w:lang w:val="es-CL"/>
        </w:rPr>
      </w:pPr>
      <w:r w:rsidRPr="00B81027">
        <w:rPr>
          <w:lang w:val="es-CL"/>
        </w:rPr>
        <w:t>La inversión es expresa como valor social, ponderando sus partidas de equipamiento y mano de obra, por las Razones de Precio Cuenta</w:t>
      </w:r>
      <w:r w:rsidRPr="00B81027">
        <w:rPr>
          <w:rStyle w:val="FootnoteReference"/>
          <w:lang w:val="es-CL"/>
        </w:rPr>
        <w:footnoteReference w:id="17"/>
      </w:r>
      <w:r w:rsidRPr="00B81027">
        <w:rPr>
          <w:lang w:val="es-CL"/>
        </w:rPr>
        <w:t xml:space="preserve"> de Obras </w:t>
      </w:r>
      <w:r w:rsidR="00FC5C39" w:rsidRPr="00B81027">
        <w:rPr>
          <w:lang w:val="es-CL"/>
        </w:rPr>
        <w:t>en Subtransmisión</w:t>
      </w:r>
      <w:r w:rsidRPr="00B81027">
        <w:rPr>
          <w:lang w:val="es-CL"/>
        </w:rPr>
        <w:t xml:space="preserve">, </w:t>
      </w:r>
      <w:r w:rsidR="00FC5C39" w:rsidRPr="00B81027">
        <w:rPr>
          <w:lang w:val="es-CL"/>
        </w:rPr>
        <w:t xml:space="preserve">Distribución, </w:t>
      </w:r>
      <w:r w:rsidRPr="00B81027">
        <w:rPr>
          <w:lang w:val="es-CL"/>
        </w:rPr>
        <w:t xml:space="preserve">Mano de Obra Calificada y Mano de Obra No Calificada, según se resume en el Cuadro </w:t>
      </w:r>
      <w:r w:rsidR="00FC5C39" w:rsidRPr="00B81027">
        <w:rPr>
          <w:lang w:val="es-CL"/>
        </w:rPr>
        <w:t>B</w:t>
      </w:r>
      <w:r w:rsidRPr="00B81027">
        <w:rPr>
          <w:lang w:val="es-CL"/>
        </w:rPr>
        <w:t>.</w:t>
      </w:r>
    </w:p>
    <w:p w:rsidR="00FC5C39" w:rsidRPr="00B81027" w:rsidRDefault="00FC5C39" w:rsidP="005C42C2">
      <w:pPr>
        <w:jc w:val="both"/>
        <w:rPr>
          <w:b/>
          <w:lang w:val="es-CL"/>
        </w:rPr>
      </w:pPr>
    </w:p>
    <w:p w:rsidR="005C42C2" w:rsidRPr="00B81027" w:rsidRDefault="005C42C2" w:rsidP="005C42C2">
      <w:pPr>
        <w:jc w:val="both"/>
        <w:rPr>
          <w:b/>
          <w:lang w:val="es-CL"/>
        </w:rPr>
      </w:pPr>
      <w:r w:rsidRPr="00B81027">
        <w:rPr>
          <w:b/>
          <w:lang w:val="es-CL"/>
        </w:rPr>
        <w:t xml:space="preserve">Cuadro </w:t>
      </w:r>
      <w:r w:rsidR="00FC5C39" w:rsidRPr="00B81027">
        <w:rPr>
          <w:b/>
          <w:lang w:val="es-CL"/>
        </w:rPr>
        <w:t>B</w:t>
      </w:r>
      <w:r w:rsidRPr="00B81027">
        <w:rPr>
          <w:b/>
          <w:lang w:val="es-CL"/>
        </w:rPr>
        <w:t>. Valoración Social de las Inversiones (US$)</w:t>
      </w:r>
    </w:p>
    <w:tbl>
      <w:tblPr>
        <w:tblStyle w:val="TableGrid"/>
        <w:tblW w:w="9237" w:type="dxa"/>
        <w:tblLook w:val="04A0" w:firstRow="1" w:lastRow="0" w:firstColumn="1" w:lastColumn="0" w:noHBand="0" w:noVBand="1"/>
      </w:tblPr>
      <w:tblGrid>
        <w:gridCol w:w="1696"/>
        <w:gridCol w:w="1560"/>
        <w:gridCol w:w="1559"/>
        <w:gridCol w:w="1276"/>
        <w:gridCol w:w="1635"/>
        <w:gridCol w:w="1511"/>
      </w:tblGrid>
      <w:tr w:rsidR="005C42C2" w:rsidRPr="00B81027" w:rsidTr="00B81027">
        <w:trPr>
          <w:trHeight w:val="925"/>
        </w:trPr>
        <w:tc>
          <w:tcPr>
            <w:tcW w:w="1696" w:type="dxa"/>
            <w:shd w:val="clear" w:color="auto" w:fill="E7E6E6" w:themeFill="background2"/>
            <w:vAlign w:val="center"/>
          </w:tcPr>
          <w:p w:rsidR="005C42C2" w:rsidRPr="00B81027" w:rsidRDefault="005C42C2" w:rsidP="00B81027">
            <w:pPr>
              <w:jc w:val="center"/>
              <w:rPr>
                <w:b/>
                <w:lang w:val="es-CL"/>
              </w:rPr>
            </w:pPr>
            <w:r w:rsidRPr="00B81027">
              <w:rPr>
                <w:b/>
                <w:lang w:val="es-CL"/>
              </w:rPr>
              <w:t>Proyecto</w:t>
            </w:r>
          </w:p>
        </w:tc>
        <w:tc>
          <w:tcPr>
            <w:tcW w:w="1560" w:type="dxa"/>
            <w:shd w:val="clear" w:color="auto" w:fill="E7E6E6" w:themeFill="background2"/>
            <w:vAlign w:val="center"/>
          </w:tcPr>
          <w:p w:rsidR="005C42C2" w:rsidRPr="00B81027" w:rsidRDefault="005C42C2" w:rsidP="00B81027">
            <w:pPr>
              <w:jc w:val="center"/>
              <w:rPr>
                <w:b/>
                <w:lang w:val="es-CL"/>
              </w:rPr>
            </w:pPr>
            <w:r w:rsidRPr="00B81027">
              <w:rPr>
                <w:b/>
                <w:lang w:val="es-CL"/>
              </w:rPr>
              <w:t>Inversión Equipamiento</w:t>
            </w:r>
          </w:p>
        </w:tc>
        <w:tc>
          <w:tcPr>
            <w:tcW w:w="1559" w:type="dxa"/>
            <w:shd w:val="clear" w:color="auto" w:fill="E7E6E6" w:themeFill="background2"/>
            <w:vAlign w:val="center"/>
          </w:tcPr>
          <w:p w:rsidR="005C42C2" w:rsidRPr="00B81027" w:rsidRDefault="005C42C2" w:rsidP="00B81027">
            <w:pPr>
              <w:jc w:val="center"/>
              <w:rPr>
                <w:b/>
                <w:lang w:val="es-CL"/>
              </w:rPr>
            </w:pPr>
            <w:r w:rsidRPr="00B81027">
              <w:rPr>
                <w:b/>
                <w:lang w:val="es-CL"/>
              </w:rPr>
              <w:t>Inversión Mano de Obra</w:t>
            </w:r>
            <w:r w:rsidRPr="00B81027">
              <w:rPr>
                <w:rStyle w:val="FootnoteReference"/>
                <w:b/>
                <w:lang w:val="es-CL"/>
              </w:rPr>
              <w:footnoteReference w:id="18"/>
            </w:r>
          </w:p>
        </w:tc>
        <w:tc>
          <w:tcPr>
            <w:tcW w:w="1276" w:type="dxa"/>
            <w:shd w:val="clear" w:color="auto" w:fill="E7E6E6" w:themeFill="background2"/>
            <w:vAlign w:val="center"/>
          </w:tcPr>
          <w:p w:rsidR="005C42C2" w:rsidRPr="00B81027" w:rsidRDefault="005C42C2" w:rsidP="00B81027">
            <w:pPr>
              <w:jc w:val="center"/>
              <w:rPr>
                <w:b/>
                <w:lang w:val="es-CL"/>
              </w:rPr>
            </w:pPr>
            <w:r w:rsidRPr="00B81027">
              <w:rPr>
                <w:b/>
                <w:lang w:val="es-CL"/>
              </w:rPr>
              <w:t>RPC</w:t>
            </w:r>
          </w:p>
          <w:p w:rsidR="005C42C2" w:rsidRPr="00B81027" w:rsidRDefault="005C42C2" w:rsidP="00B81027">
            <w:pPr>
              <w:jc w:val="center"/>
              <w:rPr>
                <w:b/>
                <w:lang w:val="es-CL"/>
              </w:rPr>
            </w:pPr>
            <w:r w:rsidRPr="00B81027">
              <w:rPr>
                <w:b/>
                <w:lang w:val="es-CL"/>
              </w:rPr>
              <w:t>Materiales</w:t>
            </w:r>
          </w:p>
        </w:tc>
        <w:tc>
          <w:tcPr>
            <w:tcW w:w="1635" w:type="dxa"/>
            <w:shd w:val="clear" w:color="auto" w:fill="E7E6E6" w:themeFill="background2"/>
            <w:vAlign w:val="center"/>
          </w:tcPr>
          <w:p w:rsidR="005C42C2" w:rsidRPr="00B81027" w:rsidRDefault="005C42C2" w:rsidP="00B81027">
            <w:pPr>
              <w:jc w:val="center"/>
              <w:rPr>
                <w:b/>
                <w:lang w:val="es-CL"/>
              </w:rPr>
            </w:pPr>
            <w:r w:rsidRPr="00B81027">
              <w:rPr>
                <w:b/>
                <w:lang w:val="es-CL"/>
              </w:rPr>
              <w:t>RPC Promedio Mano de Obra</w:t>
            </w:r>
            <w:r w:rsidRPr="00B81027">
              <w:rPr>
                <w:rStyle w:val="FootnoteReference"/>
                <w:b/>
                <w:lang w:val="es-CL"/>
              </w:rPr>
              <w:footnoteReference w:id="19"/>
            </w:r>
          </w:p>
        </w:tc>
        <w:tc>
          <w:tcPr>
            <w:tcW w:w="1511" w:type="dxa"/>
            <w:shd w:val="clear" w:color="auto" w:fill="E7E6E6" w:themeFill="background2"/>
            <w:vAlign w:val="center"/>
          </w:tcPr>
          <w:p w:rsidR="005C42C2" w:rsidRPr="00B81027" w:rsidRDefault="005C42C2" w:rsidP="00B81027">
            <w:pPr>
              <w:jc w:val="center"/>
              <w:rPr>
                <w:b/>
                <w:lang w:val="es-CL"/>
              </w:rPr>
            </w:pPr>
            <w:r w:rsidRPr="00B81027">
              <w:rPr>
                <w:b/>
                <w:lang w:val="es-CL"/>
              </w:rPr>
              <w:t>Inversión Social</w:t>
            </w:r>
          </w:p>
        </w:tc>
      </w:tr>
      <w:tr w:rsidR="00FC5C39" w:rsidRPr="00B81027" w:rsidTr="00FC5C39">
        <w:trPr>
          <w:trHeight w:val="467"/>
        </w:trPr>
        <w:tc>
          <w:tcPr>
            <w:tcW w:w="1696" w:type="dxa"/>
            <w:vAlign w:val="center"/>
          </w:tcPr>
          <w:p w:rsidR="00FC5C39" w:rsidRPr="00B81027" w:rsidRDefault="00FC5C39" w:rsidP="00B81027">
            <w:pPr>
              <w:jc w:val="both"/>
              <w:rPr>
                <w:lang w:val="es-CL"/>
              </w:rPr>
            </w:pPr>
            <w:r w:rsidRPr="00B81027">
              <w:rPr>
                <w:lang w:val="es-CL"/>
              </w:rPr>
              <w:t>Sub</w:t>
            </w:r>
            <w:r w:rsidR="00B81027" w:rsidRPr="00B81027">
              <w:rPr>
                <w:lang w:val="es-CL"/>
              </w:rPr>
              <w:t xml:space="preserve"> T</w:t>
            </w:r>
            <w:r w:rsidRPr="00B81027">
              <w:rPr>
                <w:lang w:val="es-CL"/>
              </w:rPr>
              <w:t>ransmisión</w:t>
            </w:r>
          </w:p>
        </w:tc>
        <w:tc>
          <w:tcPr>
            <w:tcW w:w="1560" w:type="dxa"/>
            <w:vAlign w:val="center"/>
          </w:tcPr>
          <w:p w:rsidR="00FC5C39" w:rsidRPr="00B81027" w:rsidRDefault="00B81027" w:rsidP="00B81027">
            <w:pPr>
              <w:jc w:val="right"/>
              <w:rPr>
                <w:lang w:val="es-CL"/>
              </w:rPr>
            </w:pPr>
            <w:r w:rsidRPr="00B81027">
              <w:rPr>
                <w:lang w:val="es-CL"/>
              </w:rPr>
              <w:t>21,397,413.2</w:t>
            </w:r>
          </w:p>
        </w:tc>
        <w:tc>
          <w:tcPr>
            <w:tcW w:w="1559" w:type="dxa"/>
            <w:vAlign w:val="center"/>
          </w:tcPr>
          <w:p w:rsidR="00FC5C39" w:rsidRPr="00B81027" w:rsidRDefault="00B81027" w:rsidP="00B81027">
            <w:pPr>
              <w:jc w:val="right"/>
              <w:rPr>
                <w:lang w:val="es-CL"/>
              </w:rPr>
            </w:pPr>
            <w:r w:rsidRPr="00B81027">
              <w:rPr>
                <w:lang w:val="es-CL"/>
              </w:rPr>
              <w:t>9,170,320.0</w:t>
            </w:r>
          </w:p>
        </w:tc>
        <w:tc>
          <w:tcPr>
            <w:tcW w:w="1276" w:type="dxa"/>
            <w:vAlign w:val="center"/>
          </w:tcPr>
          <w:p w:rsidR="00FC5C39" w:rsidRPr="00B81027" w:rsidRDefault="00FC5C39" w:rsidP="00B81027">
            <w:pPr>
              <w:jc w:val="center"/>
              <w:rPr>
                <w:lang w:val="es-CL"/>
              </w:rPr>
            </w:pPr>
            <w:r w:rsidRPr="00B81027">
              <w:rPr>
                <w:lang w:val="es-CL"/>
              </w:rPr>
              <w:t>0.803</w:t>
            </w:r>
          </w:p>
        </w:tc>
        <w:tc>
          <w:tcPr>
            <w:tcW w:w="1635" w:type="dxa"/>
            <w:vMerge w:val="restart"/>
            <w:vAlign w:val="center"/>
          </w:tcPr>
          <w:p w:rsidR="00FC5C39" w:rsidRPr="00B81027" w:rsidRDefault="00FC5C39" w:rsidP="00B81027">
            <w:pPr>
              <w:jc w:val="center"/>
              <w:rPr>
                <w:lang w:val="es-CL"/>
              </w:rPr>
            </w:pPr>
            <w:r w:rsidRPr="00B81027">
              <w:rPr>
                <w:lang w:val="es-CL"/>
              </w:rPr>
              <w:t>0.811</w:t>
            </w:r>
          </w:p>
        </w:tc>
        <w:tc>
          <w:tcPr>
            <w:tcW w:w="1511" w:type="dxa"/>
            <w:vAlign w:val="center"/>
          </w:tcPr>
          <w:p w:rsidR="00FC5C39" w:rsidRPr="00B81027" w:rsidRDefault="00B81027" w:rsidP="00B81027">
            <w:pPr>
              <w:jc w:val="right"/>
              <w:rPr>
                <w:lang w:val="es-CL"/>
              </w:rPr>
            </w:pPr>
            <w:r w:rsidRPr="00B81027">
              <w:rPr>
                <w:lang w:val="es-CL"/>
              </w:rPr>
              <w:t>24,619,252.3</w:t>
            </w:r>
          </w:p>
        </w:tc>
      </w:tr>
      <w:tr w:rsidR="00FC5C39" w:rsidRPr="00B81027" w:rsidTr="00B81027">
        <w:trPr>
          <w:trHeight w:val="412"/>
        </w:trPr>
        <w:tc>
          <w:tcPr>
            <w:tcW w:w="1696" w:type="dxa"/>
            <w:vAlign w:val="center"/>
          </w:tcPr>
          <w:p w:rsidR="00FC5C39" w:rsidRPr="00B81027" w:rsidRDefault="00FC5C39" w:rsidP="00B81027">
            <w:pPr>
              <w:jc w:val="both"/>
              <w:rPr>
                <w:lang w:val="es-CL"/>
              </w:rPr>
            </w:pPr>
            <w:r w:rsidRPr="00B81027">
              <w:rPr>
                <w:lang w:val="es-CL"/>
              </w:rPr>
              <w:t>Distribución</w:t>
            </w:r>
          </w:p>
        </w:tc>
        <w:tc>
          <w:tcPr>
            <w:tcW w:w="1560" w:type="dxa"/>
            <w:vAlign w:val="center"/>
          </w:tcPr>
          <w:p w:rsidR="00FC5C39" w:rsidRPr="00B81027" w:rsidRDefault="00B81027" w:rsidP="00B81027">
            <w:pPr>
              <w:jc w:val="right"/>
              <w:rPr>
                <w:lang w:val="es-CL"/>
              </w:rPr>
            </w:pPr>
            <w:r w:rsidRPr="00B81027">
              <w:rPr>
                <w:lang w:val="es-CL"/>
              </w:rPr>
              <w:t>12,021,009.7</w:t>
            </w:r>
          </w:p>
        </w:tc>
        <w:tc>
          <w:tcPr>
            <w:tcW w:w="1559" w:type="dxa"/>
            <w:vAlign w:val="center"/>
          </w:tcPr>
          <w:p w:rsidR="00FC5C39" w:rsidRPr="00B81027" w:rsidRDefault="00B81027" w:rsidP="00B81027">
            <w:pPr>
              <w:jc w:val="right"/>
              <w:rPr>
                <w:lang w:val="es-CL"/>
              </w:rPr>
            </w:pPr>
            <w:r w:rsidRPr="00B81027">
              <w:rPr>
                <w:lang w:val="es-CL"/>
              </w:rPr>
              <w:t>5,151,861.3</w:t>
            </w:r>
          </w:p>
        </w:tc>
        <w:tc>
          <w:tcPr>
            <w:tcW w:w="1276" w:type="dxa"/>
            <w:vAlign w:val="center"/>
          </w:tcPr>
          <w:p w:rsidR="00FC5C39" w:rsidRPr="00B81027" w:rsidRDefault="00FC5C39" w:rsidP="00FC5C39">
            <w:pPr>
              <w:jc w:val="center"/>
              <w:rPr>
                <w:lang w:val="es-CL"/>
              </w:rPr>
            </w:pPr>
            <w:r w:rsidRPr="00B81027">
              <w:rPr>
                <w:lang w:val="es-CL"/>
              </w:rPr>
              <w:t>0.730</w:t>
            </w:r>
          </w:p>
        </w:tc>
        <w:tc>
          <w:tcPr>
            <w:tcW w:w="1635" w:type="dxa"/>
            <w:vMerge/>
            <w:vAlign w:val="center"/>
          </w:tcPr>
          <w:p w:rsidR="00FC5C39" w:rsidRPr="00B81027" w:rsidRDefault="00FC5C39" w:rsidP="00B81027">
            <w:pPr>
              <w:jc w:val="both"/>
              <w:rPr>
                <w:lang w:val="es-CL"/>
              </w:rPr>
            </w:pPr>
          </w:p>
        </w:tc>
        <w:tc>
          <w:tcPr>
            <w:tcW w:w="1511" w:type="dxa"/>
            <w:vAlign w:val="center"/>
          </w:tcPr>
          <w:p w:rsidR="00FC5C39" w:rsidRPr="00B81027" w:rsidRDefault="00B81027" w:rsidP="00B81027">
            <w:pPr>
              <w:jc w:val="right"/>
              <w:rPr>
                <w:lang w:val="es-CL"/>
              </w:rPr>
            </w:pPr>
            <w:r w:rsidRPr="00B81027">
              <w:rPr>
                <w:lang w:val="es-CL"/>
              </w:rPr>
              <w:t>12,953,496.6</w:t>
            </w:r>
          </w:p>
        </w:tc>
      </w:tr>
      <w:tr w:rsidR="00FC5C39" w:rsidRPr="00B81027" w:rsidTr="00FC5C39">
        <w:trPr>
          <w:trHeight w:val="418"/>
        </w:trPr>
        <w:tc>
          <w:tcPr>
            <w:tcW w:w="1696" w:type="dxa"/>
            <w:vAlign w:val="center"/>
          </w:tcPr>
          <w:p w:rsidR="00FC5C39" w:rsidRPr="00B81027" w:rsidRDefault="00FC5C39" w:rsidP="00B81027">
            <w:pPr>
              <w:jc w:val="both"/>
              <w:rPr>
                <w:b/>
                <w:lang w:val="es-CL"/>
              </w:rPr>
            </w:pPr>
            <w:r w:rsidRPr="00B81027">
              <w:rPr>
                <w:b/>
                <w:lang w:val="es-CL"/>
              </w:rPr>
              <w:t>TOTAL</w:t>
            </w:r>
          </w:p>
        </w:tc>
        <w:tc>
          <w:tcPr>
            <w:tcW w:w="1560" w:type="dxa"/>
            <w:vAlign w:val="center"/>
          </w:tcPr>
          <w:p w:rsidR="00FC5C39" w:rsidRPr="00B81027" w:rsidRDefault="00B81027" w:rsidP="00B81027">
            <w:pPr>
              <w:jc w:val="right"/>
              <w:rPr>
                <w:b/>
                <w:lang w:val="es-CL"/>
              </w:rPr>
            </w:pPr>
            <w:r w:rsidRPr="00B81027">
              <w:rPr>
                <w:b/>
                <w:lang w:val="es-CL"/>
              </w:rPr>
              <w:t>33,418,422.9</w:t>
            </w:r>
          </w:p>
        </w:tc>
        <w:tc>
          <w:tcPr>
            <w:tcW w:w="1559" w:type="dxa"/>
            <w:vAlign w:val="center"/>
          </w:tcPr>
          <w:p w:rsidR="00FC5C39" w:rsidRPr="00B81027" w:rsidRDefault="00B81027" w:rsidP="00B81027">
            <w:pPr>
              <w:jc w:val="right"/>
              <w:rPr>
                <w:b/>
                <w:lang w:val="es-CL"/>
              </w:rPr>
            </w:pPr>
            <w:r w:rsidRPr="00B81027">
              <w:rPr>
                <w:b/>
                <w:lang w:val="es-CL"/>
              </w:rPr>
              <w:t>14,322,181.3</w:t>
            </w:r>
          </w:p>
        </w:tc>
        <w:tc>
          <w:tcPr>
            <w:tcW w:w="1276" w:type="dxa"/>
            <w:shd w:val="clear" w:color="auto" w:fill="E7E6E6" w:themeFill="background2"/>
            <w:vAlign w:val="center"/>
          </w:tcPr>
          <w:p w:rsidR="00FC5C39" w:rsidRPr="00B81027" w:rsidRDefault="00FC5C39" w:rsidP="00B81027">
            <w:pPr>
              <w:jc w:val="both"/>
              <w:rPr>
                <w:lang w:val="es-CL"/>
              </w:rPr>
            </w:pPr>
          </w:p>
        </w:tc>
        <w:tc>
          <w:tcPr>
            <w:tcW w:w="1635" w:type="dxa"/>
            <w:shd w:val="clear" w:color="auto" w:fill="E7E6E6" w:themeFill="background2"/>
            <w:vAlign w:val="center"/>
          </w:tcPr>
          <w:p w:rsidR="00FC5C39" w:rsidRPr="00B81027" w:rsidRDefault="00FC5C39" w:rsidP="00B81027">
            <w:pPr>
              <w:jc w:val="both"/>
              <w:rPr>
                <w:lang w:val="es-CL"/>
              </w:rPr>
            </w:pPr>
          </w:p>
        </w:tc>
        <w:tc>
          <w:tcPr>
            <w:tcW w:w="1511" w:type="dxa"/>
            <w:vAlign w:val="center"/>
          </w:tcPr>
          <w:p w:rsidR="00FC5C39" w:rsidRPr="00B81027" w:rsidRDefault="00B81027" w:rsidP="00B81027">
            <w:pPr>
              <w:jc w:val="right"/>
              <w:rPr>
                <w:b/>
                <w:lang w:val="es-CL"/>
              </w:rPr>
            </w:pPr>
            <w:r w:rsidRPr="00B81027">
              <w:rPr>
                <w:b/>
                <w:lang w:val="es-CL"/>
              </w:rPr>
              <w:t>37,572,748.9</w:t>
            </w:r>
          </w:p>
        </w:tc>
      </w:tr>
    </w:tbl>
    <w:p w:rsidR="005C42C2" w:rsidRPr="00B81027" w:rsidRDefault="005C42C2" w:rsidP="005C42C2">
      <w:pPr>
        <w:jc w:val="both"/>
        <w:rPr>
          <w:lang w:val="es-CL"/>
        </w:rPr>
      </w:pPr>
    </w:p>
    <w:p w:rsidR="005C42C2" w:rsidRDefault="005C42C2" w:rsidP="005C42C2">
      <w:pPr>
        <w:jc w:val="both"/>
        <w:rPr>
          <w:lang w:val="es-CL"/>
        </w:rPr>
      </w:pPr>
      <w:r w:rsidRPr="00B81027">
        <w:rPr>
          <w:lang w:val="es-CL"/>
        </w:rPr>
        <w:t>Los Costos de Operación y Mantenimiento, desde el punto de vista social se obtienen como un porcentaje constante de la Inversión Social (ver Tabla N°</w:t>
      </w:r>
      <w:r w:rsidR="00FC5C39" w:rsidRPr="00B81027">
        <w:rPr>
          <w:lang w:val="es-CL"/>
        </w:rPr>
        <w:t>1</w:t>
      </w:r>
      <w:r w:rsidRPr="00B81027">
        <w:rPr>
          <w:lang w:val="es-CL"/>
        </w:rPr>
        <w:t>5)</w:t>
      </w:r>
    </w:p>
    <w:p w:rsidR="00CE4BA2" w:rsidRPr="008D4342" w:rsidRDefault="00CE4BA2" w:rsidP="005A4253">
      <w:pPr>
        <w:jc w:val="both"/>
        <w:rPr>
          <w:lang w:val="es-CL"/>
        </w:rPr>
      </w:pPr>
    </w:p>
    <w:p w:rsidR="00CE4BA2" w:rsidRDefault="00CE4BA2" w:rsidP="005A4253">
      <w:pPr>
        <w:jc w:val="both"/>
        <w:rPr>
          <w:lang w:val="es-CL"/>
        </w:rPr>
      </w:pPr>
    </w:p>
    <w:p w:rsidR="00FC5C39" w:rsidRDefault="00FC5C39" w:rsidP="005A4253">
      <w:pPr>
        <w:jc w:val="both"/>
        <w:rPr>
          <w:lang w:val="es-CL"/>
        </w:rPr>
      </w:pPr>
    </w:p>
    <w:p w:rsidR="00FC5C39" w:rsidRPr="008D4342" w:rsidRDefault="00FC5C39" w:rsidP="005A4253">
      <w:pPr>
        <w:jc w:val="both"/>
        <w:rPr>
          <w:lang w:val="es-CL"/>
        </w:rPr>
      </w:pPr>
    </w:p>
    <w:p w:rsidR="00CE4BA2" w:rsidRPr="008D4342" w:rsidRDefault="00CE4BA2" w:rsidP="005A4253">
      <w:pPr>
        <w:jc w:val="both"/>
        <w:rPr>
          <w:lang w:val="es-CL"/>
        </w:rPr>
      </w:pPr>
    </w:p>
    <w:p w:rsidR="001B743A" w:rsidRDefault="00F9059A" w:rsidP="005C6D62">
      <w:pPr>
        <w:pBdr>
          <w:top w:val="single" w:sz="4" w:space="1" w:color="auto"/>
          <w:left w:val="single" w:sz="4" w:space="4" w:color="auto"/>
          <w:bottom w:val="single" w:sz="4" w:space="1" w:color="auto"/>
          <w:right w:val="single" w:sz="4" w:space="4" w:color="auto"/>
        </w:pBdr>
        <w:shd w:val="clear" w:color="auto" w:fill="FFF2CC" w:themeFill="accent4" w:themeFillTint="33"/>
        <w:jc w:val="both"/>
        <w:rPr>
          <w:lang w:val="es-CL"/>
        </w:rPr>
      </w:pPr>
      <w:r w:rsidRPr="005C6D62">
        <w:rPr>
          <w:b/>
          <w:lang w:val="es-CL"/>
        </w:rPr>
        <w:t>Beneficio del Consumidor</w:t>
      </w:r>
      <w:r>
        <w:rPr>
          <w:lang w:val="es-CL"/>
        </w:rPr>
        <w:t xml:space="preserve">, así como los </w:t>
      </w:r>
      <w:r w:rsidRPr="005C6D62">
        <w:rPr>
          <w:b/>
          <w:lang w:val="es-CL"/>
        </w:rPr>
        <w:t>costos variables</w:t>
      </w:r>
      <w:r w:rsidR="00792792">
        <w:rPr>
          <w:b/>
          <w:lang w:val="es-CL"/>
        </w:rPr>
        <w:t xml:space="preserve"> de generación</w:t>
      </w:r>
      <w:r w:rsidRPr="005C6D62">
        <w:rPr>
          <w:b/>
          <w:lang w:val="es-CL"/>
        </w:rPr>
        <w:t xml:space="preserve"> </w:t>
      </w:r>
      <w:r w:rsidR="00792792">
        <w:rPr>
          <w:b/>
          <w:lang w:val="es-CL"/>
        </w:rPr>
        <w:t xml:space="preserve">y subsidio al combustible </w:t>
      </w:r>
      <w:r w:rsidRPr="005C6D62">
        <w:rPr>
          <w:b/>
          <w:lang w:val="es-CL"/>
        </w:rPr>
        <w:t>de generación</w:t>
      </w:r>
      <w:r>
        <w:rPr>
          <w:lang w:val="es-CL"/>
        </w:rPr>
        <w:t xml:space="preserve">, obedecen a los </w:t>
      </w:r>
      <w:r w:rsidRPr="005C6D62">
        <w:rPr>
          <w:b/>
          <w:lang w:val="es-CL"/>
        </w:rPr>
        <w:t>mismos principios ya explicados para la Evaluación Económica del Sistema Nacional de Transmisión</w:t>
      </w:r>
      <w:r>
        <w:rPr>
          <w:lang w:val="es-CL"/>
        </w:rPr>
        <w:t>.</w:t>
      </w:r>
    </w:p>
    <w:p w:rsidR="00EC6B51" w:rsidRDefault="00EC6B51" w:rsidP="005C6D62">
      <w:pPr>
        <w:pBdr>
          <w:top w:val="single" w:sz="4" w:space="1" w:color="auto"/>
          <w:left w:val="single" w:sz="4" w:space="4" w:color="auto"/>
          <w:bottom w:val="single" w:sz="4" w:space="1" w:color="auto"/>
          <w:right w:val="single" w:sz="4" w:space="4" w:color="auto"/>
        </w:pBdr>
        <w:shd w:val="clear" w:color="auto" w:fill="FFF2CC" w:themeFill="accent4" w:themeFillTint="33"/>
        <w:jc w:val="both"/>
        <w:rPr>
          <w:lang w:val="es-CL"/>
        </w:rPr>
      </w:pPr>
      <w:r>
        <w:rPr>
          <w:lang w:val="es-CL"/>
        </w:rPr>
        <w:t xml:space="preserve">Asimismo, se considera el </w:t>
      </w:r>
      <w:r w:rsidRPr="00EC6B51">
        <w:rPr>
          <w:b/>
          <w:lang w:val="es-CL"/>
        </w:rPr>
        <w:t>beneficio por menor ENS</w:t>
      </w:r>
      <w:r>
        <w:rPr>
          <w:lang w:val="es-CL"/>
        </w:rPr>
        <w:t>, bajo los mismos parámetros que la evaluación financiera, pero desde el punto de vista económico constituye un ahorro para los consumidores finales al evitar los costos de un racionamiento temporal del suministro eléctrico.</w:t>
      </w:r>
    </w:p>
    <w:p w:rsidR="00CE4BA2" w:rsidRDefault="00CE4BA2" w:rsidP="00F56913">
      <w:pPr>
        <w:jc w:val="both"/>
        <w:rPr>
          <w:b/>
          <w:lang w:val="es-CL"/>
        </w:rPr>
      </w:pPr>
    </w:p>
    <w:p w:rsidR="00F9059A" w:rsidRPr="005C6D62" w:rsidRDefault="00F9059A" w:rsidP="00F56913">
      <w:pPr>
        <w:jc w:val="both"/>
        <w:rPr>
          <w:b/>
          <w:lang w:val="es-CL"/>
        </w:rPr>
      </w:pPr>
      <w:r w:rsidRPr="005C6D62">
        <w:rPr>
          <w:b/>
          <w:lang w:val="es-CL"/>
        </w:rPr>
        <w:t>Beneficio por reemplazo de energías sustitutas</w:t>
      </w:r>
    </w:p>
    <w:p w:rsidR="00F9059A" w:rsidRDefault="00F9059A" w:rsidP="00F56913">
      <w:pPr>
        <w:jc w:val="both"/>
        <w:rPr>
          <w:lang w:val="es-CL"/>
        </w:rPr>
      </w:pPr>
      <w:r>
        <w:rPr>
          <w:lang w:val="es-CL"/>
        </w:rPr>
        <w:t xml:space="preserve">Algunos de los proyectos de expansión del SND, de las empresas EE Ambato, EE Riobamba y EE Centrosur, además de repotenciar y mejorar redes de media y baja tensión, incorporan al servicio normal </w:t>
      </w:r>
      <w:r w:rsidR="005C6D62">
        <w:rPr>
          <w:lang w:val="es-CL"/>
        </w:rPr>
        <w:t xml:space="preserve">eléctrico a viviendas que figuran como Sin Suministro. </w:t>
      </w:r>
    </w:p>
    <w:p w:rsidR="005C6D62" w:rsidRDefault="005C6D62" w:rsidP="00F56913">
      <w:pPr>
        <w:jc w:val="both"/>
        <w:rPr>
          <w:lang w:val="es-CL"/>
        </w:rPr>
      </w:pPr>
    </w:p>
    <w:p w:rsidR="005C6D62" w:rsidRPr="00FE50A1" w:rsidRDefault="005C6D62" w:rsidP="005C6D62">
      <w:pPr>
        <w:spacing w:after="0"/>
        <w:jc w:val="center"/>
        <w:rPr>
          <w:b/>
          <w:lang w:val="es-CL"/>
        </w:rPr>
      </w:pPr>
      <w:r w:rsidRPr="00FE50A1">
        <w:rPr>
          <w:b/>
          <w:lang w:val="es-CL"/>
        </w:rPr>
        <w:t>Tabla N°17. Viviendas Sin Suministro</w:t>
      </w:r>
    </w:p>
    <w:p w:rsidR="005C6D62" w:rsidRPr="00FE50A1" w:rsidRDefault="005C6D62" w:rsidP="005C6D62">
      <w:pPr>
        <w:spacing w:after="0"/>
        <w:jc w:val="center"/>
        <w:rPr>
          <w:b/>
          <w:lang w:val="es-CL"/>
        </w:rPr>
      </w:pPr>
      <w:r w:rsidRPr="00FE50A1">
        <w:rPr>
          <w:b/>
          <w:lang w:val="es-CL"/>
        </w:rPr>
        <w:t>favorecidas con los proyectos del SND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tblGrid>
      <w:tr w:rsidR="005C6D62" w:rsidTr="00E11B7F">
        <w:trPr>
          <w:jc w:val="center"/>
        </w:trPr>
        <w:tc>
          <w:tcPr>
            <w:tcW w:w="2122" w:type="dxa"/>
            <w:shd w:val="clear" w:color="auto" w:fill="DEEAF6" w:themeFill="accent5" w:themeFillTint="33"/>
            <w:vAlign w:val="center"/>
          </w:tcPr>
          <w:p w:rsidR="005C6D62" w:rsidRPr="005C6D62" w:rsidRDefault="005C6D62" w:rsidP="005C6D62">
            <w:pPr>
              <w:jc w:val="center"/>
              <w:rPr>
                <w:b/>
                <w:lang w:val="es-CL"/>
              </w:rPr>
            </w:pPr>
            <w:r w:rsidRPr="005C6D62">
              <w:rPr>
                <w:b/>
                <w:lang w:val="es-CL"/>
              </w:rPr>
              <w:t>Empresa</w:t>
            </w:r>
          </w:p>
        </w:tc>
        <w:tc>
          <w:tcPr>
            <w:tcW w:w="2835" w:type="dxa"/>
            <w:shd w:val="clear" w:color="auto" w:fill="DEEAF6" w:themeFill="accent5" w:themeFillTint="33"/>
            <w:vAlign w:val="center"/>
          </w:tcPr>
          <w:p w:rsidR="005C6D62" w:rsidRPr="005C6D62" w:rsidRDefault="005C6D62" w:rsidP="005C6D62">
            <w:pPr>
              <w:jc w:val="center"/>
              <w:rPr>
                <w:b/>
                <w:lang w:val="es-CL"/>
              </w:rPr>
            </w:pPr>
            <w:r w:rsidRPr="005C6D62">
              <w:rPr>
                <w:b/>
                <w:lang w:val="es-CL"/>
              </w:rPr>
              <w:t>Viviendas Sin Suministro</w:t>
            </w:r>
          </w:p>
        </w:tc>
      </w:tr>
      <w:tr w:rsidR="00FE50A1" w:rsidTr="00E11B7F">
        <w:trPr>
          <w:jc w:val="center"/>
        </w:trPr>
        <w:tc>
          <w:tcPr>
            <w:tcW w:w="2122" w:type="dxa"/>
          </w:tcPr>
          <w:p w:rsidR="00FE50A1" w:rsidRPr="006C238C" w:rsidRDefault="00FE50A1" w:rsidP="00FE50A1">
            <w:r w:rsidRPr="006C238C">
              <w:t>E. E. Ambato</w:t>
            </w:r>
          </w:p>
        </w:tc>
        <w:tc>
          <w:tcPr>
            <w:tcW w:w="2835" w:type="dxa"/>
          </w:tcPr>
          <w:p w:rsidR="00FE50A1" w:rsidRPr="00247A9D" w:rsidRDefault="00FE50A1" w:rsidP="00FE50A1">
            <w:pPr>
              <w:jc w:val="center"/>
            </w:pPr>
            <w:r w:rsidRPr="00247A9D">
              <w:t>797</w:t>
            </w:r>
          </w:p>
        </w:tc>
      </w:tr>
      <w:tr w:rsidR="00FE50A1" w:rsidTr="00E11B7F">
        <w:trPr>
          <w:jc w:val="center"/>
        </w:trPr>
        <w:tc>
          <w:tcPr>
            <w:tcW w:w="2122" w:type="dxa"/>
          </w:tcPr>
          <w:p w:rsidR="00FE50A1" w:rsidRPr="006C238C" w:rsidRDefault="00FE50A1" w:rsidP="00FE50A1">
            <w:r w:rsidRPr="006C238C">
              <w:t>E. E. Riobamba</w:t>
            </w:r>
          </w:p>
        </w:tc>
        <w:tc>
          <w:tcPr>
            <w:tcW w:w="2835" w:type="dxa"/>
          </w:tcPr>
          <w:p w:rsidR="00FE50A1" w:rsidRPr="00247A9D" w:rsidRDefault="00FE50A1" w:rsidP="00FE50A1">
            <w:pPr>
              <w:jc w:val="center"/>
            </w:pPr>
            <w:r w:rsidRPr="00247A9D">
              <w:t>373</w:t>
            </w:r>
          </w:p>
        </w:tc>
      </w:tr>
      <w:tr w:rsidR="00FE50A1" w:rsidTr="00E11B7F">
        <w:trPr>
          <w:jc w:val="center"/>
        </w:trPr>
        <w:tc>
          <w:tcPr>
            <w:tcW w:w="2122" w:type="dxa"/>
          </w:tcPr>
          <w:p w:rsidR="00FE50A1" w:rsidRPr="005C6D62" w:rsidRDefault="00FE50A1" w:rsidP="00FE50A1">
            <w:pPr>
              <w:rPr>
                <w:b/>
              </w:rPr>
            </w:pPr>
            <w:r w:rsidRPr="005C6D62">
              <w:rPr>
                <w:b/>
              </w:rPr>
              <w:t>TOTAL</w:t>
            </w:r>
          </w:p>
        </w:tc>
        <w:tc>
          <w:tcPr>
            <w:tcW w:w="2835" w:type="dxa"/>
          </w:tcPr>
          <w:p w:rsidR="00FE50A1" w:rsidRPr="00FE50A1" w:rsidRDefault="00FE50A1" w:rsidP="00FE50A1">
            <w:pPr>
              <w:jc w:val="center"/>
              <w:rPr>
                <w:b/>
              </w:rPr>
            </w:pPr>
            <w:r w:rsidRPr="00FE50A1">
              <w:rPr>
                <w:b/>
              </w:rPr>
              <w:t>1170</w:t>
            </w:r>
          </w:p>
        </w:tc>
      </w:tr>
    </w:tbl>
    <w:p w:rsidR="00F9059A" w:rsidRDefault="00F9059A" w:rsidP="00F56913">
      <w:pPr>
        <w:jc w:val="both"/>
        <w:rPr>
          <w:lang w:val="es-CL"/>
        </w:rPr>
      </w:pPr>
    </w:p>
    <w:p w:rsidR="006B6863" w:rsidRDefault="005C6D62" w:rsidP="009803B9">
      <w:pPr>
        <w:jc w:val="both"/>
        <w:rPr>
          <w:lang w:val="es-DO"/>
        </w:rPr>
      </w:pPr>
      <w:r>
        <w:rPr>
          <w:lang w:val="es-CL"/>
        </w:rPr>
        <w:t>En la situación sin proyecto, estas viviendas están consumiendo energías sustitutas para suplir deficitariamente sus necesidades básicas</w:t>
      </w:r>
      <w:r w:rsidR="00C51189">
        <w:rPr>
          <w:lang w:val="es-CL"/>
        </w:rPr>
        <w:t>, las cuales se transforman en un consumo mensual equivalente Qo, (kWh) y, a partir del precio de los energéticos implicados se establece un precio equivalente Po (US$/kWh).</w:t>
      </w:r>
      <w:r w:rsidR="009803B9">
        <w:rPr>
          <w:lang w:val="es-CL"/>
        </w:rPr>
        <w:t xml:space="preserve"> </w:t>
      </w:r>
      <w:r w:rsidR="006B6863">
        <w:rPr>
          <w:lang w:val="es-DO"/>
        </w:rPr>
        <w:t>Para cada fuente sustituta se define su uso mensual, costo unitario y equivalencia energética en kWh.</w:t>
      </w:r>
    </w:p>
    <w:p w:rsidR="006B6863" w:rsidRDefault="006B6863" w:rsidP="006B6863">
      <w:pPr>
        <w:autoSpaceDE w:val="0"/>
        <w:autoSpaceDN w:val="0"/>
        <w:adjustRightInd w:val="0"/>
        <w:spacing w:after="0" w:line="240" w:lineRule="auto"/>
        <w:jc w:val="both"/>
        <w:rPr>
          <w:lang w:val="es-DO"/>
        </w:rPr>
      </w:pPr>
    </w:p>
    <w:p w:rsidR="006B6863" w:rsidRPr="006B6863" w:rsidRDefault="006B6863" w:rsidP="006B6863">
      <w:pPr>
        <w:autoSpaceDE w:val="0"/>
        <w:autoSpaceDN w:val="0"/>
        <w:adjustRightInd w:val="0"/>
        <w:spacing w:after="0" w:line="240" w:lineRule="auto"/>
        <w:jc w:val="center"/>
        <w:rPr>
          <w:b/>
          <w:lang w:val="es-DO"/>
        </w:rPr>
      </w:pPr>
      <w:r w:rsidRPr="006B6863">
        <w:rPr>
          <w:b/>
          <w:lang w:val="es-DO"/>
        </w:rPr>
        <w:t>Tabla N°18 Energías Sustitutas empleadas por las viviendas sin suministro</w:t>
      </w:r>
    </w:p>
    <w:p w:rsidR="006B6863" w:rsidRDefault="006B6863" w:rsidP="006B6863">
      <w:pPr>
        <w:autoSpaceDE w:val="0"/>
        <w:autoSpaceDN w:val="0"/>
        <w:adjustRightInd w:val="0"/>
        <w:spacing w:after="0" w:line="240" w:lineRule="auto"/>
        <w:jc w:val="center"/>
        <w:rPr>
          <w:lang w:val="es-DO"/>
        </w:rPr>
      </w:pPr>
      <w:r w:rsidRPr="006B6863">
        <w:rPr>
          <w:b/>
          <w:lang w:val="es-DO"/>
        </w:rPr>
        <w:t>y su equivalente energético</w:t>
      </w:r>
      <w:r w:rsidR="00CE4BA2">
        <w:rPr>
          <w:rStyle w:val="FootnoteReference"/>
          <w:b/>
          <w:lang w:val="es-DO"/>
        </w:rPr>
        <w:footnoteReference w:id="2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616"/>
        <w:gridCol w:w="1559"/>
        <w:gridCol w:w="1417"/>
      </w:tblGrid>
      <w:tr w:rsidR="006B6863" w:rsidTr="00E11B7F">
        <w:trPr>
          <w:jc w:val="center"/>
        </w:trPr>
        <w:tc>
          <w:tcPr>
            <w:tcW w:w="2207" w:type="dxa"/>
            <w:shd w:val="clear" w:color="auto" w:fill="D9E2F3" w:themeFill="accent1" w:themeFillTint="33"/>
            <w:vAlign w:val="center"/>
          </w:tcPr>
          <w:p w:rsidR="006B6863" w:rsidRPr="00EC6B51" w:rsidRDefault="006B6863" w:rsidP="00EC6B51">
            <w:pPr>
              <w:autoSpaceDE w:val="0"/>
              <w:autoSpaceDN w:val="0"/>
              <w:adjustRightInd w:val="0"/>
              <w:jc w:val="center"/>
              <w:rPr>
                <w:b/>
                <w:lang w:val="es-DO"/>
              </w:rPr>
            </w:pPr>
            <w:r w:rsidRPr="00EC6B51">
              <w:rPr>
                <w:b/>
                <w:lang w:val="es-DO"/>
              </w:rPr>
              <w:t>Fuente de Energía</w:t>
            </w:r>
          </w:p>
        </w:tc>
        <w:tc>
          <w:tcPr>
            <w:tcW w:w="1616" w:type="dxa"/>
            <w:shd w:val="clear" w:color="auto" w:fill="D9E2F3" w:themeFill="accent1" w:themeFillTint="33"/>
            <w:vAlign w:val="center"/>
          </w:tcPr>
          <w:p w:rsidR="006B6863" w:rsidRPr="00EC6B51" w:rsidRDefault="006B6863" w:rsidP="00EC6B51">
            <w:pPr>
              <w:autoSpaceDE w:val="0"/>
              <w:autoSpaceDN w:val="0"/>
              <w:adjustRightInd w:val="0"/>
              <w:jc w:val="center"/>
              <w:rPr>
                <w:b/>
                <w:lang w:val="es-DO"/>
              </w:rPr>
            </w:pPr>
            <w:r w:rsidRPr="00EC6B51">
              <w:rPr>
                <w:b/>
                <w:lang w:val="es-DO"/>
              </w:rPr>
              <w:t>Unidades mensuales</w:t>
            </w:r>
          </w:p>
        </w:tc>
        <w:tc>
          <w:tcPr>
            <w:tcW w:w="1559" w:type="dxa"/>
            <w:shd w:val="clear" w:color="auto" w:fill="D9E2F3" w:themeFill="accent1" w:themeFillTint="33"/>
            <w:vAlign w:val="center"/>
          </w:tcPr>
          <w:p w:rsidR="006B6863" w:rsidRPr="00EC6B51" w:rsidRDefault="006B6863" w:rsidP="00EC6B51">
            <w:pPr>
              <w:autoSpaceDE w:val="0"/>
              <w:autoSpaceDN w:val="0"/>
              <w:adjustRightInd w:val="0"/>
              <w:jc w:val="center"/>
              <w:rPr>
                <w:b/>
                <w:lang w:val="es-DO"/>
              </w:rPr>
            </w:pPr>
            <w:r w:rsidRPr="00EC6B51">
              <w:rPr>
                <w:b/>
                <w:lang w:val="es-DO"/>
              </w:rPr>
              <w:t>Costo Unitario (US$)</w:t>
            </w:r>
          </w:p>
        </w:tc>
        <w:tc>
          <w:tcPr>
            <w:tcW w:w="1417" w:type="dxa"/>
            <w:shd w:val="clear" w:color="auto" w:fill="D9E2F3" w:themeFill="accent1" w:themeFillTint="33"/>
            <w:vAlign w:val="center"/>
          </w:tcPr>
          <w:p w:rsidR="006B6863" w:rsidRPr="00EC6B51" w:rsidRDefault="006B6863" w:rsidP="00EC6B51">
            <w:pPr>
              <w:autoSpaceDE w:val="0"/>
              <w:autoSpaceDN w:val="0"/>
              <w:adjustRightInd w:val="0"/>
              <w:jc w:val="center"/>
              <w:rPr>
                <w:b/>
                <w:lang w:val="es-DO"/>
              </w:rPr>
            </w:pPr>
            <w:r w:rsidRPr="00EC6B51">
              <w:rPr>
                <w:b/>
                <w:lang w:val="es-DO"/>
              </w:rPr>
              <w:t>kWh/Unidad</w:t>
            </w:r>
          </w:p>
        </w:tc>
      </w:tr>
      <w:tr w:rsidR="006B6863" w:rsidTr="00E11B7F">
        <w:trPr>
          <w:jc w:val="center"/>
        </w:trPr>
        <w:tc>
          <w:tcPr>
            <w:tcW w:w="2207" w:type="dxa"/>
          </w:tcPr>
          <w:p w:rsidR="006B6863" w:rsidRDefault="006B6863" w:rsidP="00F979C8">
            <w:pPr>
              <w:autoSpaceDE w:val="0"/>
              <w:autoSpaceDN w:val="0"/>
              <w:adjustRightInd w:val="0"/>
              <w:jc w:val="both"/>
              <w:rPr>
                <w:lang w:val="es-DO"/>
              </w:rPr>
            </w:pPr>
            <w:r>
              <w:rPr>
                <w:lang w:val="es-DO"/>
              </w:rPr>
              <w:t>Velas</w:t>
            </w:r>
          </w:p>
        </w:tc>
        <w:tc>
          <w:tcPr>
            <w:tcW w:w="1616" w:type="dxa"/>
          </w:tcPr>
          <w:p w:rsidR="006B6863" w:rsidRDefault="006B6863" w:rsidP="00EC6B51">
            <w:pPr>
              <w:autoSpaceDE w:val="0"/>
              <w:autoSpaceDN w:val="0"/>
              <w:adjustRightInd w:val="0"/>
              <w:jc w:val="center"/>
              <w:rPr>
                <w:lang w:val="es-DO"/>
              </w:rPr>
            </w:pPr>
            <w:r>
              <w:rPr>
                <w:lang w:val="es-DO"/>
              </w:rPr>
              <w:t>25</w:t>
            </w:r>
          </w:p>
        </w:tc>
        <w:tc>
          <w:tcPr>
            <w:tcW w:w="1559" w:type="dxa"/>
          </w:tcPr>
          <w:p w:rsidR="006B6863" w:rsidRDefault="006B6863" w:rsidP="00EC6B51">
            <w:pPr>
              <w:autoSpaceDE w:val="0"/>
              <w:autoSpaceDN w:val="0"/>
              <w:adjustRightInd w:val="0"/>
              <w:jc w:val="center"/>
              <w:rPr>
                <w:lang w:val="es-DO"/>
              </w:rPr>
            </w:pPr>
            <w:r>
              <w:rPr>
                <w:lang w:val="es-DO"/>
              </w:rPr>
              <w:t>0.2</w:t>
            </w:r>
          </w:p>
        </w:tc>
        <w:tc>
          <w:tcPr>
            <w:tcW w:w="1417" w:type="dxa"/>
          </w:tcPr>
          <w:p w:rsidR="006B6863" w:rsidRDefault="006B6863" w:rsidP="00EC6B51">
            <w:pPr>
              <w:autoSpaceDE w:val="0"/>
              <w:autoSpaceDN w:val="0"/>
              <w:adjustRightInd w:val="0"/>
              <w:jc w:val="center"/>
              <w:rPr>
                <w:lang w:val="es-DO"/>
              </w:rPr>
            </w:pPr>
            <w:r>
              <w:rPr>
                <w:lang w:val="es-DO"/>
              </w:rPr>
              <w:t>0.045</w:t>
            </w:r>
          </w:p>
        </w:tc>
      </w:tr>
      <w:tr w:rsidR="006B6863" w:rsidTr="00E11B7F">
        <w:trPr>
          <w:jc w:val="center"/>
        </w:trPr>
        <w:tc>
          <w:tcPr>
            <w:tcW w:w="2207" w:type="dxa"/>
          </w:tcPr>
          <w:p w:rsidR="006B6863" w:rsidRDefault="006B6863" w:rsidP="00F979C8">
            <w:pPr>
              <w:autoSpaceDE w:val="0"/>
              <w:autoSpaceDN w:val="0"/>
              <w:adjustRightInd w:val="0"/>
              <w:jc w:val="both"/>
              <w:rPr>
                <w:lang w:val="es-DO"/>
              </w:rPr>
            </w:pPr>
            <w:r>
              <w:rPr>
                <w:lang w:val="es-DO"/>
              </w:rPr>
              <w:t>Baterías</w:t>
            </w:r>
          </w:p>
        </w:tc>
        <w:tc>
          <w:tcPr>
            <w:tcW w:w="1616" w:type="dxa"/>
          </w:tcPr>
          <w:p w:rsidR="006B6863" w:rsidRDefault="006B6863" w:rsidP="00EC6B51">
            <w:pPr>
              <w:autoSpaceDE w:val="0"/>
              <w:autoSpaceDN w:val="0"/>
              <w:adjustRightInd w:val="0"/>
              <w:jc w:val="center"/>
              <w:rPr>
                <w:lang w:val="es-DO"/>
              </w:rPr>
            </w:pPr>
            <w:r>
              <w:rPr>
                <w:lang w:val="es-DO"/>
              </w:rPr>
              <w:t>6</w:t>
            </w:r>
          </w:p>
        </w:tc>
        <w:tc>
          <w:tcPr>
            <w:tcW w:w="1559" w:type="dxa"/>
          </w:tcPr>
          <w:p w:rsidR="006B6863" w:rsidRDefault="006B6863" w:rsidP="00EC6B51">
            <w:pPr>
              <w:autoSpaceDE w:val="0"/>
              <w:autoSpaceDN w:val="0"/>
              <w:adjustRightInd w:val="0"/>
              <w:jc w:val="center"/>
              <w:rPr>
                <w:lang w:val="es-DO"/>
              </w:rPr>
            </w:pPr>
            <w:r>
              <w:rPr>
                <w:lang w:val="es-DO"/>
              </w:rPr>
              <w:t>0.8</w:t>
            </w:r>
          </w:p>
        </w:tc>
        <w:tc>
          <w:tcPr>
            <w:tcW w:w="1417" w:type="dxa"/>
          </w:tcPr>
          <w:p w:rsidR="006B6863" w:rsidRDefault="006B6863" w:rsidP="00EC6B51">
            <w:pPr>
              <w:autoSpaceDE w:val="0"/>
              <w:autoSpaceDN w:val="0"/>
              <w:adjustRightInd w:val="0"/>
              <w:jc w:val="center"/>
              <w:rPr>
                <w:lang w:val="es-DO"/>
              </w:rPr>
            </w:pPr>
            <w:r>
              <w:rPr>
                <w:lang w:val="es-DO"/>
              </w:rPr>
              <w:t>0.056</w:t>
            </w:r>
          </w:p>
        </w:tc>
      </w:tr>
      <w:tr w:rsidR="006B6863" w:rsidTr="00E11B7F">
        <w:trPr>
          <w:jc w:val="center"/>
        </w:trPr>
        <w:tc>
          <w:tcPr>
            <w:tcW w:w="2207" w:type="dxa"/>
          </w:tcPr>
          <w:p w:rsidR="006B6863" w:rsidRDefault="006B6863" w:rsidP="00F979C8">
            <w:pPr>
              <w:autoSpaceDE w:val="0"/>
              <w:autoSpaceDN w:val="0"/>
              <w:adjustRightInd w:val="0"/>
              <w:jc w:val="both"/>
              <w:rPr>
                <w:lang w:val="es-DO"/>
              </w:rPr>
            </w:pPr>
            <w:r>
              <w:rPr>
                <w:lang w:val="es-DO"/>
              </w:rPr>
              <w:t>Litros de Kerosene</w:t>
            </w:r>
          </w:p>
        </w:tc>
        <w:tc>
          <w:tcPr>
            <w:tcW w:w="1616" w:type="dxa"/>
          </w:tcPr>
          <w:p w:rsidR="006B6863" w:rsidRDefault="006B6863" w:rsidP="00EC6B51">
            <w:pPr>
              <w:autoSpaceDE w:val="0"/>
              <w:autoSpaceDN w:val="0"/>
              <w:adjustRightInd w:val="0"/>
              <w:jc w:val="center"/>
              <w:rPr>
                <w:lang w:val="es-DO"/>
              </w:rPr>
            </w:pPr>
            <w:r>
              <w:rPr>
                <w:lang w:val="es-DO"/>
              </w:rPr>
              <w:t>2</w:t>
            </w:r>
          </w:p>
        </w:tc>
        <w:tc>
          <w:tcPr>
            <w:tcW w:w="1559" w:type="dxa"/>
          </w:tcPr>
          <w:p w:rsidR="006B6863" w:rsidRDefault="006B6863" w:rsidP="00EC6B51">
            <w:pPr>
              <w:autoSpaceDE w:val="0"/>
              <w:autoSpaceDN w:val="0"/>
              <w:adjustRightInd w:val="0"/>
              <w:jc w:val="center"/>
              <w:rPr>
                <w:lang w:val="es-DO"/>
              </w:rPr>
            </w:pPr>
            <w:r>
              <w:rPr>
                <w:lang w:val="es-DO"/>
              </w:rPr>
              <w:t>1.0</w:t>
            </w:r>
          </w:p>
        </w:tc>
        <w:tc>
          <w:tcPr>
            <w:tcW w:w="1417" w:type="dxa"/>
          </w:tcPr>
          <w:p w:rsidR="006B6863" w:rsidRDefault="006B6863" w:rsidP="00EC6B51">
            <w:pPr>
              <w:autoSpaceDE w:val="0"/>
              <w:autoSpaceDN w:val="0"/>
              <w:adjustRightInd w:val="0"/>
              <w:jc w:val="center"/>
              <w:rPr>
                <w:lang w:val="es-DO"/>
              </w:rPr>
            </w:pPr>
            <w:r>
              <w:rPr>
                <w:lang w:val="es-DO"/>
              </w:rPr>
              <w:t>0.800</w:t>
            </w:r>
          </w:p>
        </w:tc>
      </w:tr>
    </w:tbl>
    <w:p w:rsidR="006B6863" w:rsidRDefault="006B6863" w:rsidP="006B6863">
      <w:pPr>
        <w:autoSpaceDE w:val="0"/>
        <w:autoSpaceDN w:val="0"/>
        <w:adjustRightInd w:val="0"/>
        <w:spacing w:after="0" w:line="240" w:lineRule="auto"/>
        <w:jc w:val="both"/>
        <w:rPr>
          <w:lang w:val="es-DO"/>
        </w:rPr>
      </w:pPr>
    </w:p>
    <w:p w:rsidR="006B6863" w:rsidRDefault="006B6863" w:rsidP="006B6863">
      <w:pPr>
        <w:autoSpaceDE w:val="0"/>
        <w:autoSpaceDN w:val="0"/>
        <w:adjustRightInd w:val="0"/>
        <w:spacing w:after="0" w:line="240" w:lineRule="auto"/>
        <w:jc w:val="both"/>
        <w:rPr>
          <w:lang w:val="es-DO"/>
        </w:rPr>
      </w:pPr>
      <w:r>
        <w:rPr>
          <w:lang w:val="es-DO"/>
        </w:rPr>
        <w:t>Con lo anterior se establece que, sin proyecto, cada vivienda consume 3.06 kWh (q</w:t>
      </w:r>
      <w:r w:rsidRPr="00D1248D">
        <w:rPr>
          <w:vertAlign w:val="subscript"/>
          <w:lang w:val="es-DO"/>
        </w:rPr>
        <w:t>0</w:t>
      </w:r>
      <w:r>
        <w:rPr>
          <w:lang w:val="es-DO"/>
        </w:rPr>
        <w:t>), a un precio medio de 3.85 US$/kWh (p</w:t>
      </w:r>
      <w:r w:rsidRPr="00D1248D">
        <w:rPr>
          <w:vertAlign w:val="subscript"/>
          <w:lang w:val="es-DO"/>
        </w:rPr>
        <w:t>0</w:t>
      </w:r>
      <w:r>
        <w:rPr>
          <w:lang w:val="es-DO"/>
        </w:rPr>
        <w:t>).</w:t>
      </w:r>
    </w:p>
    <w:p w:rsidR="006B6863" w:rsidRDefault="006B6863" w:rsidP="006B6863">
      <w:pPr>
        <w:autoSpaceDE w:val="0"/>
        <w:autoSpaceDN w:val="0"/>
        <w:adjustRightInd w:val="0"/>
        <w:spacing w:after="0" w:line="240" w:lineRule="auto"/>
        <w:jc w:val="both"/>
        <w:rPr>
          <w:lang w:val="es-DO"/>
        </w:rPr>
      </w:pPr>
    </w:p>
    <w:p w:rsidR="006B6863" w:rsidRDefault="006B6863" w:rsidP="006B6863">
      <w:pPr>
        <w:autoSpaceDE w:val="0"/>
        <w:autoSpaceDN w:val="0"/>
        <w:adjustRightInd w:val="0"/>
        <w:spacing w:after="0" w:line="240" w:lineRule="auto"/>
        <w:jc w:val="both"/>
        <w:rPr>
          <w:lang w:val="es-DO"/>
        </w:rPr>
      </w:pPr>
      <w:r>
        <w:rPr>
          <w:lang w:val="es-DO"/>
        </w:rPr>
        <w:t xml:space="preserve">La figura siguiente, muestra la determinación geométrica del valor social, por vivienda, de la liberación de los recursos energéticos sustitutos, cuando accede mediante el proyecto a un suministro eléctrico con tarifa P (US$/kWh), alcanzando un nivel de consumo Q (kWh/Mes), dada una elasticidad precio de la demanda </w:t>
      </w:r>
      <w:r w:rsidRPr="00C917A9">
        <w:rPr>
          <w:rFonts w:ascii="Symbol" w:hAnsi="Symbol"/>
          <w:b/>
          <w:sz w:val="28"/>
          <w:lang w:val="es-DO"/>
        </w:rPr>
        <w:t></w:t>
      </w:r>
      <w:r>
        <w:rPr>
          <w:lang w:val="es-DO"/>
        </w:rPr>
        <w:t>.</w:t>
      </w:r>
    </w:p>
    <w:p w:rsidR="006B6863" w:rsidRDefault="006B6863" w:rsidP="006B6863">
      <w:pPr>
        <w:autoSpaceDE w:val="0"/>
        <w:autoSpaceDN w:val="0"/>
        <w:adjustRightInd w:val="0"/>
        <w:spacing w:after="0" w:line="240" w:lineRule="auto"/>
        <w:jc w:val="both"/>
        <w:rPr>
          <w:lang w:val="es-DO"/>
        </w:rPr>
      </w:pPr>
    </w:p>
    <w:p w:rsidR="006B6863" w:rsidRDefault="00CE4BA2" w:rsidP="006B6863">
      <w:pPr>
        <w:autoSpaceDE w:val="0"/>
        <w:autoSpaceDN w:val="0"/>
        <w:adjustRightInd w:val="0"/>
        <w:spacing w:after="0" w:line="240" w:lineRule="auto"/>
        <w:jc w:val="both"/>
        <w:rPr>
          <w:lang w:val="es-DO"/>
        </w:rPr>
      </w:pPr>
      <w:r>
        <w:rPr>
          <w:lang w:val="es-DO"/>
        </w:rPr>
        <w:t xml:space="preserve">El área </w:t>
      </w:r>
      <w:r w:rsidR="00EC6B51">
        <w:rPr>
          <w:lang w:val="es-DO"/>
        </w:rPr>
        <w:t>bajo la curva de demanda</w:t>
      </w:r>
      <w:r w:rsidR="006B6863">
        <w:rPr>
          <w:lang w:val="es-DO"/>
        </w:rPr>
        <w:t xml:space="preserve"> no es adicionada, pues este beneficio ya ha sido determinado como </w:t>
      </w:r>
      <w:r w:rsidR="006B6863" w:rsidRPr="00EC6B51">
        <w:rPr>
          <w:b/>
          <w:lang w:val="es-DO"/>
        </w:rPr>
        <w:t>Beneficio del Consumidor</w:t>
      </w:r>
      <w:r w:rsidR="006B6863">
        <w:rPr>
          <w:lang w:val="es-DO"/>
        </w:rPr>
        <w:t xml:space="preserve"> a nivel de la demanda general prevista por cada proyecto (ver</w:t>
      </w:r>
      <w:r>
        <w:rPr>
          <w:lang w:val="es-DO"/>
        </w:rPr>
        <w:t>, por ejemplo,</w:t>
      </w:r>
      <w:r w:rsidR="006B6863">
        <w:rPr>
          <w:lang w:val="es-DO"/>
        </w:rPr>
        <w:t xml:space="preserve"> Beneficio del Consumidor en Proyectos del SNT)</w:t>
      </w:r>
    </w:p>
    <w:p w:rsidR="006B6863" w:rsidRDefault="009803B9" w:rsidP="006B6863">
      <w:pPr>
        <w:autoSpaceDE w:val="0"/>
        <w:autoSpaceDN w:val="0"/>
        <w:adjustRightInd w:val="0"/>
        <w:spacing w:after="0" w:line="240" w:lineRule="auto"/>
        <w:jc w:val="both"/>
        <w:rPr>
          <w:lang w:val="es-DO"/>
        </w:rPr>
      </w:pPr>
      <w:r>
        <w:rPr>
          <w:noProof/>
          <w:lang w:val="en-US"/>
        </w:rPr>
        <w:drawing>
          <wp:anchor distT="0" distB="0" distL="114300" distR="114300" simplePos="0" relativeHeight="251659264" behindDoc="0" locked="0" layoutInCell="1" allowOverlap="1">
            <wp:simplePos x="0" y="0"/>
            <wp:positionH relativeFrom="column">
              <wp:posOffset>-5715</wp:posOffset>
            </wp:positionH>
            <wp:positionV relativeFrom="paragraph">
              <wp:posOffset>151130</wp:posOffset>
            </wp:positionV>
            <wp:extent cx="3519805" cy="1764030"/>
            <wp:effectExtent l="0" t="0" r="444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9805" cy="1764030"/>
                    </a:xfrm>
                    <a:prstGeom prst="rect">
                      <a:avLst/>
                    </a:prstGeom>
                    <a:noFill/>
                  </pic:spPr>
                </pic:pic>
              </a:graphicData>
            </a:graphic>
            <wp14:sizeRelH relativeFrom="margin">
              <wp14:pctWidth>0</wp14:pctWidth>
            </wp14:sizeRelH>
            <wp14:sizeRelV relativeFrom="margin">
              <wp14:pctHeight>0</wp14:pctHeight>
            </wp14:sizeRelV>
          </wp:anchor>
        </w:drawing>
      </w:r>
    </w:p>
    <w:p w:rsidR="006B6863" w:rsidRDefault="006B6863" w:rsidP="006B6863">
      <w:pPr>
        <w:autoSpaceDE w:val="0"/>
        <w:autoSpaceDN w:val="0"/>
        <w:adjustRightInd w:val="0"/>
        <w:spacing w:after="0" w:line="240" w:lineRule="auto"/>
        <w:jc w:val="both"/>
        <w:rPr>
          <w:lang w:val="es-DO"/>
        </w:rPr>
      </w:pPr>
    </w:p>
    <w:p w:rsidR="006B6863" w:rsidRDefault="006B6863" w:rsidP="006B6863">
      <w:pPr>
        <w:autoSpaceDE w:val="0"/>
        <w:autoSpaceDN w:val="0"/>
        <w:adjustRightInd w:val="0"/>
        <w:spacing w:after="0" w:line="240" w:lineRule="auto"/>
        <w:jc w:val="both"/>
        <w:rPr>
          <w:lang w:val="es-DO"/>
        </w:rPr>
      </w:pPr>
    </w:p>
    <w:p w:rsidR="006B6863" w:rsidRDefault="006B6863" w:rsidP="00FC6EA1">
      <w:pPr>
        <w:autoSpaceDE w:val="0"/>
        <w:autoSpaceDN w:val="0"/>
        <w:adjustRightInd w:val="0"/>
        <w:spacing w:after="0" w:line="240" w:lineRule="auto"/>
        <w:rPr>
          <w:lang w:val="es-DO"/>
        </w:rPr>
      </w:pPr>
    </w:p>
    <w:p w:rsidR="009803B9" w:rsidRDefault="009803B9" w:rsidP="00FC6EA1">
      <w:pPr>
        <w:autoSpaceDE w:val="0"/>
        <w:autoSpaceDN w:val="0"/>
        <w:adjustRightInd w:val="0"/>
        <w:spacing w:after="0" w:line="240" w:lineRule="auto"/>
        <w:rPr>
          <w:lang w:val="es-DO"/>
        </w:rPr>
      </w:pPr>
    </w:p>
    <w:p w:rsidR="009803B9" w:rsidRDefault="009803B9" w:rsidP="00FC6EA1">
      <w:pPr>
        <w:autoSpaceDE w:val="0"/>
        <w:autoSpaceDN w:val="0"/>
        <w:adjustRightInd w:val="0"/>
        <w:spacing w:after="0" w:line="240" w:lineRule="auto"/>
        <w:rPr>
          <w:lang w:val="es-DO"/>
        </w:rPr>
      </w:pPr>
    </w:p>
    <w:p w:rsidR="006B6863" w:rsidRDefault="006B6863" w:rsidP="006B6863">
      <w:pPr>
        <w:autoSpaceDE w:val="0"/>
        <w:autoSpaceDN w:val="0"/>
        <w:adjustRightInd w:val="0"/>
        <w:spacing w:after="0" w:line="240" w:lineRule="auto"/>
        <w:jc w:val="both"/>
        <w:rPr>
          <w:lang w:val="es-DO"/>
        </w:rPr>
      </w:pPr>
      <w:r w:rsidRPr="006B6863">
        <w:rPr>
          <w:b/>
          <w:lang w:val="es-DO"/>
        </w:rPr>
        <w:t xml:space="preserve">Figura </w:t>
      </w:r>
      <w:r w:rsidR="000C1D25">
        <w:rPr>
          <w:b/>
          <w:lang w:val="es-DO"/>
        </w:rPr>
        <w:t>10</w:t>
      </w:r>
      <w:r>
        <w:rPr>
          <w:lang w:val="es-DO"/>
        </w:rPr>
        <w:t>. Estimación del beneficio del consumidor de viviendas sin suministro, por liberación de la dependencia de Energías Sustitutas.</w:t>
      </w:r>
    </w:p>
    <w:p w:rsidR="00AF065F" w:rsidRDefault="00AF065F" w:rsidP="006B6863">
      <w:pPr>
        <w:autoSpaceDE w:val="0"/>
        <w:autoSpaceDN w:val="0"/>
        <w:adjustRightInd w:val="0"/>
        <w:spacing w:after="0" w:line="240" w:lineRule="auto"/>
        <w:jc w:val="both"/>
        <w:rPr>
          <w:lang w:val="es-DO"/>
        </w:rPr>
      </w:pPr>
    </w:p>
    <w:p w:rsidR="00AF065F" w:rsidRDefault="00AF065F" w:rsidP="006B6863">
      <w:pPr>
        <w:autoSpaceDE w:val="0"/>
        <w:autoSpaceDN w:val="0"/>
        <w:adjustRightInd w:val="0"/>
        <w:spacing w:after="0" w:line="240" w:lineRule="auto"/>
        <w:jc w:val="both"/>
        <w:rPr>
          <w:lang w:val="es-DO"/>
        </w:rPr>
      </w:pPr>
    </w:p>
    <w:p w:rsidR="00AF065F" w:rsidRDefault="00AF065F" w:rsidP="006B6863">
      <w:pPr>
        <w:autoSpaceDE w:val="0"/>
        <w:autoSpaceDN w:val="0"/>
        <w:adjustRightInd w:val="0"/>
        <w:spacing w:after="0" w:line="240" w:lineRule="auto"/>
        <w:jc w:val="both"/>
        <w:rPr>
          <w:lang w:val="es-DO"/>
        </w:rPr>
      </w:pPr>
    </w:p>
    <w:p w:rsidR="006B6863" w:rsidRDefault="006B6863" w:rsidP="006B6863">
      <w:pPr>
        <w:autoSpaceDE w:val="0"/>
        <w:autoSpaceDN w:val="0"/>
        <w:adjustRightInd w:val="0"/>
        <w:spacing w:after="0" w:line="240" w:lineRule="auto"/>
        <w:jc w:val="both"/>
        <w:rPr>
          <w:lang w:val="es-DO"/>
        </w:rPr>
      </w:pPr>
    </w:p>
    <w:p w:rsidR="00B82CDF" w:rsidRPr="00496C40" w:rsidRDefault="00B82CDF" w:rsidP="00FC6EA1">
      <w:pPr>
        <w:spacing w:after="0"/>
        <w:jc w:val="center"/>
        <w:rPr>
          <w:b/>
          <w:lang w:val="es-CL"/>
        </w:rPr>
      </w:pPr>
      <w:r w:rsidRPr="002A0F6E">
        <w:rPr>
          <w:b/>
          <w:lang w:val="es-CL"/>
        </w:rPr>
        <w:t>Tabla N°19 Resultados Evaluación Económica Proyectos Expansión y Modernización del SND</w:t>
      </w:r>
    </w:p>
    <w:tbl>
      <w:tblPr>
        <w:tblW w:w="8782" w:type="dxa"/>
        <w:jc w:val="center"/>
        <w:tblCellMar>
          <w:top w:w="15" w:type="dxa"/>
          <w:left w:w="70" w:type="dxa"/>
          <w:bottom w:w="15" w:type="dxa"/>
          <w:right w:w="70" w:type="dxa"/>
        </w:tblCellMar>
        <w:tblLook w:val="04A0" w:firstRow="1" w:lastRow="0" w:firstColumn="1" w:lastColumn="0" w:noHBand="0" w:noVBand="1"/>
      </w:tblPr>
      <w:tblGrid>
        <w:gridCol w:w="1413"/>
        <w:gridCol w:w="1134"/>
        <w:gridCol w:w="1984"/>
        <w:gridCol w:w="1416"/>
        <w:gridCol w:w="1422"/>
        <w:gridCol w:w="1413"/>
      </w:tblGrid>
      <w:tr w:rsidR="00B82CDF" w:rsidRPr="00814E69" w:rsidTr="00B82CDF">
        <w:trPr>
          <w:trHeight w:val="494"/>
          <w:jc w:val="center"/>
        </w:trPr>
        <w:tc>
          <w:tcPr>
            <w:tcW w:w="141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B82CDF" w:rsidRPr="00496C40" w:rsidRDefault="00B82CDF" w:rsidP="00F979C8">
            <w:pPr>
              <w:spacing w:after="0" w:line="240" w:lineRule="auto"/>
              <w:jc w:val="center"/>
              <w:rPr>
                <w:rFonts w:ascii="Calibri" w:eastAsia="Times New Roman" w:hAnsi="Calibri" w:cs="Calibri"/>
                <w:bCs/>
                <w:color w:val="000000"/>
                <w:sz w:val="16"/>
                <w:szCs w:val="16"/>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B82CDF" w:rsidRPr="00CE45EC" w:rsidRDefault="00B82CDF" w:rsidP="00F979C8">
            <w:pPr>
              <w:spacing w:after="0" w:line="240" w:lineRule="auto"/>
              <w:jc w:val="center"/>
              <w:rPr>
                <w:rFonts w:ascii="Calibri" w:eastAsia="Times New Roman" w:hAnsi="Calibri" w:cs="Calibri"/>
                <w:b/>
                <w:bCs/>
                <w:color w:val="000000"/>
                <w:sz w:val="16"/>
                <w:szCs w:val="16"/>
                <w:lang w:eastAsia="es-CR"/>
              </w:rPr>
            </w:pPr>
            <w:r w:rsidRPr="00CE45EC">
              <w:rPr>
                <w:rFonts w:ascii="Calibri" w:eastAsia="Times New Roman" w:hAnsi="Calibri" w:cs="Calibri"/>
                <w:b/>
                <w:bCs/>
                <w:color w:val="000000"/>
                <w:sz w:val="16"/>
                <w:szCs w:val="16"/>
                <w:lang w:eastAsia="es-CR"/>
              </w:rPr>
              <w:t>Etapa</w:t>
            </w:r>
          </w:p>
        </w:tc>
        <w:tc>
          <w:tcPr>
            <w:tcW w:w="1984"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rsidR="00B82CDF" w:rsidRPr="00CE45EC" w:rsidRDefault="00B82CDF" w:rsidP="00F979C8">
            <w:pPr>
              <w:spacing w:after="0" w:line="240" w:lineRule="auto"/>
              <w:jc w:val="center"/>
              <w:rPr>
                <w:rFonts w:ascii="Calibri" w:eastAsia="Times New Roman" w:hAnsi="Calibri" w:cs="Calibri"/>
                <w:b/>
                <w:bCs/>
                <w:color w:val="000000"/>
                <w:sz w:val="16"/>
                <w:szCs w:val="16"/>
                <w:lang w:eastAsia="es-CR"/>
              </w:rPr>
            </w:pPr>
            <w:r w:rsidRPr="00CE45EC">
              <w:rPr>
                <w:rFonts w:ascii="Calibri" w:eastAsia="Times New Roman" w:hAnsi="Calibri" w:cs="Calibri"/>
                <w:b/>
                <w:bCs/>
                <w:color w:val="000000"/>
                <w:sz w:val="16"/>
                <w:szCs w:val="16"/>
                <w:lang w:eastAsia="es-CR"/>
              </w:rPr>
              <w:t>Empresa</w:t>
            </w:r>
          </w:p>
        </w:tc>
        <w:tc>
          <w:tcPr>
            <w:tcW w:w="141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B82CDF" w:rsidRPr="00CE45EC" w:rsidRDefault="00B82CDF" w:rsidP="00F979C8">
            <w:pPr>
              <w:spacing w:after="0" w:line="240" w:lineRule="auto"/>
              <w:jc w:val="center"/>
              <w:rPr>
                <w:rFonts w:ascii="Calibri" w:eastAsia="Times New Roman" w:hAnsi="Calibri" w:cs="Calibri"/>
                <w:b/>
                <w:color w:val="000000"/>
                <w:sz w:val="16"/>
                <w:szCs w:val="16"/>
                <w:lang w:eastAsia="es-CR"/>
              </w:rPr>
            </w:pPr>
            <w:r w:rsidRPr="00CE45EC">
              <w:rPr>
                <w:rFonts w:ascii="Calibri" w:eastAsia="Times New Roman" w:hAnsi="Calibri" w:cs="Calibri"/>
                <w:b/>
                <w:color w:val="000000"/>
                <w:sz w:val="16"/>
                <w:szCs w:val="16"/>
                <w:lang w:eastAsia="es-CR"/>
              </w:rPr>
              <w:t>Inversión (US$)</w:t>
            </w:r>
          </w:p>
        </w:tc>
        <w:tc>
          <w:tcPr>
            <w:tcW w:w="142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B82CDF" w:rsidRPr="00CE45EC" w:rsidRDefault="00B82CDF" w:rsidP="00F979C8">
            <w:pPr>
              <w:spacing w:after="0" w:line="240" w:lineRule="auto"/>
              <w:jc w:val="center"/>
              <w:rPr>
                <w:rFonts w:ascii="Calibri" w:eastAsia="Times New Roman" w:hAnsi="Calibri" w:cs="Calibri"/>
                <w:b/>
                <w:color w:val="000000"/>
                <w:sz w:val="16"/>
                <w:szCs w:val="16"/>
                <w:lang w:eastAsia="es-CR"/>
              </w:rPr>
            </w:pPr>
            <w:r w:rsidRPr="00CE45EC">
              <w:rPr>
                <w:rFonts w:ascii="Calibri" w:eastAsia="Times New Roman" w:hAnsi="Calibri" w:cs="Calibri"/>
                <w:b/>
                <w:color w:val="000000"/>
                <w:sz w:val="16"/>
                <w:szCs w:val="16"/>
                <w:lang w:eastAsia="es-CR"/>
              </w:rPr>
              <w:t xml:space="preserve">VAN </w:t>
            </w:r>
            <w:r>
              <w:rPr>
                <w:rFonts w:ascii="Calibri" w:eastAsia="Times New Roman" w:hAnsi="Calibri" w:cs="Calibri"/>
                <w:b/>
                <w:color w:val="000000"/>
                <w:sz w:val="16"/>
                <w:szCs w:val="16"/>
                <w:lang w:eastAsia="es-CR"/>
              </w:rPr>
              <w:t>E</w:t>
            </w:r>
            <w:r w:rsidRPr="00CE45EC">
              <w:rPr>
                <w:rFonts w:ascii="Calibri" w:eastAsia="Times New Roman" w:hAnsi="Calibri" w:cs="Calibri"/>
                <w:b/>
                <w:color w:val="000000"/>
                <w:sz w:val="16"/>
                <w:szCs w:val="16"/>
                <w:lang w:eastAsia="es-CR"/>
              </w:rPr>
              <w:t xml:space="preserve"> (US$)</w:t>
            </w:r>
          </w:p>
        </w:tc>
        <w:tc>
          <w:tcPr>
            <w:tcW w:w="141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B82CDF" w:rsidRPr="00CE45EC" w:rsidRDefault="00B82CDF" w:rsidP="00F979C8">
            <w:pPr>
              <w:spacing w:after="0" w:line="240" w:lineRule="auto"/>
              <w:jc w:val="center"/>
              <w:rPr>
                <w:rFonts w:ascii="Calibri" w:eastAsia="Times New Roman" w:hAnsi="Calibri" w:cs="Calibri"/>
                <w:b/>
                <w:color w:val="000000"/>
                <w:sz w:val="16"/>
                <w:szCs w:val="16"/>
                <w:lang w:eastAsia="es-CR"/>
              </w:rPr>
            </w:pPr>
            <w:r w:rsidRPr="00CE45EC">
              <w:rPr>
                <w:rFonts w:ascii="Calibri" w:eastAsia="Times New Roman" w:hAnsi="Calibri" w:cs="Calibri"/>
                <w:b/>
                <w:color w:val="000000"/>
                <w:sz w:val="16"/>
                <w:szCs w:val="16"/>
                <w:lang w:eastAsia="es-CR"/>
              </w:rPr>
              <w:t xml:space="preserve">TIR </w:t>
            </w:r>
            <w:r>
              <w:rPr>
                <w:rFonts w:ascii="Calibri" w:eastAsia="Times New Roman" w:hAnsi="Calibri" w:cs="Calibri"/>
                <w:b/>
                <w:color w:val="000000"/>
                <w:sz w:val="16"/>
                <w:szCs w:val="16"/>
                <w:lang w:eastAsia="es-CR"/>
              </w:rPr>
              <w:t>E</w:t>
            </w:r>
          </w:p>
        </w:tc>
      </w:tr>
      <w:tr w:rsidR="00A72645" w:rsidRPr="00814E69" w:rsidTr="00A67F73">
        <w:trPr>
          <w:trHeight w:val="24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9D15D2" w:rsidRDefault="00A72645" w:rsidP="00A72645">
            <w:pPr>
              <w:spacing w:after="0" w:line="240" w:lineRule="auto"/>
              <w:jc w:val="center"/>
              <w:rPr>
                <w:rFonts w:ascii="Calibri" w:eastAsia="Times New Roman" w:hAnsi="Calibri" w:cs="Calibri"/>
                <w:b/>
                <w:bCs/>
                <w:color w:val="000000"/>
                <w:sz w:val="16"/>
                <w:szCs w:val="16"/>
                <w:lang w:eastAsia="es-CR"/>
              </w:rPr>
            </w:pPr>
            <w:r w:rsidRPr="009D15D2">
              <w:rPr>
                <w:rFonts w:ascii="Calibri" w:eastAsia="Times New Roman" w:hAnsi="Calibri" w:cs="Calibri"/>
                <w:b/>
                <w:bCs/>
                <w:color w:val="000000"/>
                <w:sz w:val="16"/>
                <w:szCs w:val="16"/>
                <w:lang w:eastAsia="es-CR"/>
              </w:rPr>
              <w:t>C II. Expansión y Modernización del SND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Sub Transmisión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El Oro</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2.198.745,7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138.992.510,2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214,6%</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Guayaquil</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1.438.783,3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FF0000"/>
                <w:sz w:val="16"/>
                <w:szCs w:val="16"/>
                <w:lang w:eastAsia="es-CR"/>
              </w:rPr>
            </w:pPr>
            <w:r w:rsidRPr="00A72645">
              <w:rPr>
                <w:rFonts w:ascii="Calibri" w:eastAsia="Times New Roman" w:hAnsi="Calibri" w:cs="Calibri"/>
                <w:bCs/>
                <w:color w:val="FF0000"/>
                <w:sz w:val="16"/>
                <w:szCs w:val="16"/>
                <w:lang w:eastAsia="es-CR"/>
              </w:rPr>
              <w:t xml:space="preserve"> -1.902.369,9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FF0000"/>
                <w:sz w:val="16"/>
                <w:szCs w:val="16"/>
                <w:lang w:eastAsia="es-CR"/>
              </w:rPr>
            </w:pPr>
            <w:r w:rsidRPr="00A72645">
              <w:rPr>
                <w:rFonts w:ascii="Calibri" w:eastAsia="Times New Roman" w:hAnsi="Calibri" w:cs="Calibri"/>
                <w:bCs/>
                <w:color w:val="FF0000"/>
                <w:sz w:val="16"/>
                <w:szCs w:val="16"/>
                <w:lang w:eastAsia="es-CR"/>
              </w:rPr>
              <w:t>Indefinida</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Guayas Los Ríos</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1.894.312,4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91.482.812,0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60,3%</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Los Ríos</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4.371.331,0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64.876.043,3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34,2%</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Manabí</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1.262.885,2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29.517.361,0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231,9%</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Milagro</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777.996,7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FF0000"/>
                <w:sz w:val="16"/>
                <w:szCs w:val="16"/>
                <w:lang w:eastAsia="es-CR"/>
              </w:rPr>
            </w:pPr>
            <w:r w:rsidRPr="00A72645">
              <w:rPr>
                <w:rFonts w:ascii="Calibri" w:eastAsia="Times New Roman" w:hAnsi="Calibri" w:cs="Calibri"/>
                <w:bCs/>
                <w:color w:val="FF0000"/>
                <w:sz w:val="16"/>
                <w:szCs w:val="16"/>
                <w:lang w:eastAsia="es-CR"/>
              </w:rPr>
              <w:t xml:space="preserve"> -1.007.399,4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FF0000"/>
                <w:sz w:val="16"/>
                <w:szCs w:val="16"/>
                <w:lang w:eastAsia="es-CR"/>
              </w:rPr>
            </w:pPr>
            <w:r w:rsidRPr="00A72645">
              <w:rPr>
                <w:rFonts w:ascii="Calibri" w:eastAsia="Times New Roman" w:hAnsi="Calibri" w:cs="Calibri"/>
                <w:bCs/>
                <w:color w:val="FF0000"/>
                <w:sz w:val="16"/>
                <w:szCs w:val="16"/>
                <w:lang w:eastAsia="es-CR"/>
              </w:rPr>
              <w:t>Indefinida</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Cotopaxi</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6.906.944,4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14.434.719,0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19,7%</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Regional Norte</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1.973.524,0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150.291.481,0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45,0%</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Regional Sur</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1.814.365,1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FF0000"/>
                <w:sz w:val="16"/>
                <w:szCs w:val="16"/>
                <w:lang w:eastAsia="es-CR"/>
              </w:rPr>
            </w:pPr>
            <w:r w:rsidRPr="00A72645">
              <w:rPr>
                <w:rFonts w:ascii="Calibri" w:eastAsia="Times New Roman" w:hAnsi="Calibri" w:cs="Calibri"/>
                <w:bCs/>
                <w:color w:val="FF0000"/>
                <w:sz w:val="16"/>
                <w:szCs w:val="16"/>
                <w:lang w:eastAsia="es-CR"/>
              </w:rPr>
              <w:t xml:space="preserve"> -2.336.235,5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FF0000"/>
                <w:sz w:val="16"/>
                <w:szCs w:val="16"/>
                <w:lang w:eastAsia="es-CR"/>
              </w:rPr>
            </w:pPr>
            <w:r w:rsidRPr="00A72645">
              <w:rPr>
                <w:rFonts w:ascii="Calibri" w:eastAsia="Times New Roman" w:hAnsi="Calibri" w:cs="Calibri"/>
                <w:bCs/>
                <w:color w:val="FF0000"/>
                <w:sz w:val="16"/>
                <w:szCs w:val="16"/>
                <w:lang w:eastAsia="es-CR"/>
              </w:rPr>
              <w:t>Indefinida</w:t>
            </w:r>
          </w:p>
        </w:tc>
      </w:tr>
      <w:tr w:rsidR="00A72645" w:rsidRPr="00814E69" w:rsidTr="00A67F73">
        <w:trPr>
          <w:trHeight w:val="285"/>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E.E. Galápagos</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 xml:space="preserve"> 1.984.032,5 </w:t>
            </w:r>
          </w:p>
        </w:tc>
        <w:tc>
          <w:tcPr>
            <w:tcW w:w="1422"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FF0000"/>
                <w:sz w:val="16"/>
                <w:szCs w:val="16"/>
                <w:lang w:eastAsia="es-CR"/>
              </w:rPr>
            </w:pPr>
            <w:r w:rsidRPr="00A72645">
              <w:rPr>
                <w:rFonts w:ascii="Calibri" w:eastAsia="Times New Roman" w:hAnsi="Calibri" w:cs="Calibri"/>
                <w:bCs/>
                <w:color w:val="FF0000"/>
                <w:sz w:val="16"/>
                <w:szCs w:val="16"/>
                <w:lang w:eastAsia="es-CR"/>
              </w:rPr>
              <w:t xml:space="preserve"> -1.970.567,4 </w:t>
            </w:r>
          </w:p>
        </w:tc>
        <w:tc>
          <w:tcPr>
            <w:tcW w:w="1413" w:type="dxa"/>
            <w:tcBorders>
              <w:top w:val="single" w:sz="4" w:space="0" w:color="auto"/>
              <w:left w:val="single" w:sz="4" w:space="0" w:color="auto"/>
              <w:bottom w:val="single" w:sz="4" w:space="0" w:color="auto"/>
              <w:right w:val="single" w:sz="4" w:space="0" w:color="auto"/>
            </w:tcBorders>
          </w:tcPr>
          <w:p w:rsidR="00A72645" w:rsidRPr="00A72645" w:rsidRDefault="00A72645" w:rsidP="00A72645">
            <w:pPr>
              <w:spacing w:after="0" w:line="240" w:lineRule="auto"/>
              <w:jc w:val="right"/>
              <w:rPr>
                <w:rFonts w:ascii="Calibri" w:eastAsia="Times New Roman" w:hAnsi="Calibri" w:cs="Calibri"/>
                <w:bCs/>
                <w:color w:val="000000"/>
                <w:sz w:val="16"/>
                <w:szCs w:val="16"/>
                <w:lang w:eastAsia="es-CR"/>
              </w:rPr>
            </w:pPr>
            <w:r w:rsidRPr="00A72645">
              <w:rPr>
                <w:rFonts w:ascii="Calibri" w:eastAsia="Times New Roman" w:hAnsi="Calibri" w:cs="Calibri"/>
                <w:bCs/>
                <w:color w:val="000000"/>
                <w:sz w:val="16"/>
                <w:szCs w:val="16"/>
                <w:lang w:eastAsia="es-CR"/>
              </w:rPr>
              <w:t>4,9%</w:t>
            </w:r>
          </w:p>
        </w:tc>
      </w:tr>
      <w:tr w:rsidR="00A72645" w:rsidRPr="00814E69" w:rsidTr="00A72645">
        <w:trPr>
          <w:trHeight w:val="285"/>
          <w:jc w:val="center"/>
        </w:trPr>
        <w:tc>
          <w:tcPr>
            <w:tcW w:w="4531" w:type="dxa"/>
            <w:gridSpan w:val="3"/>
            <w:tcBorders>
              <w:top w:val="single" w:sz="4" w:space="0" w:color="auto"/>
              <w:left w:val="single" w:sz="4" w:space="0" w:color="auto"/>
              <w:bottom w:val="single" w:sz="4" w:space="0" w:color="auto"/>
              <w:right w:val="nil"/>
            </w:tcBorders>
            <w:shd w:val="clear" w:color="auto" w:fill="FFC000"/>
            <w:noWrap/>
            <w:vAlign w:val="center"/>
            <w:hideMark/>
          </w:tcPr>
          <w:p w:rsidR="00A72645" w:rsidRPr="006B226A" w:rsidRDefault="00A72645" w:rsidP="00A72645">
            <w:pPr>
              <w:spacing w:after="0" w:line="240" w:lineRule="auto"/>
              <w:jc w:val="center"/>
              <w:rPr>
                <w:rFonts w:ascii="Calibri" w:eastAsia="Times New Roman" w:hAnsi="Calibri" w:cs="Calibri"/>
                <w:b/>
                <w:bCs/>
                <w:color w:val="000000"/>
                <w:sz w:val="16"/>
                <w:szCs w:val="16"/>
                <w:lang w:eastAsia="es-CR"/>
              </w:rPr>
            </w:pPr>
            <w:r w:rsidRPr="006B226A">
              <w:rPr>
                <w:rFonts w:ascii="Calibri" w:eastAsia="Times New Roman" w:hAnsi="Calibri" w:cs="Calibri"/>
                <w:b/>
                <w:bCs/>
                <w:color w:val="000000"/>
                <w:sz w:val="16"/>
                <w:szCs w:val="16"/>
                <w:lang w:eastAsia="es-CR"/>
              </w:rPr>
              <w:t>Sub Total C II. Sub Transmisión</w:t>
            </w:r>
          </w:p>
        </w:tc>
        <w:tc>
          <w:tcPr>
            <w:tcW w:w="1416" w:type="dxa"/>
            <w:tcBorders>
              <w:top w:val="nil"/>
              <w:left w:val="single" w:sz="8" w:space="0" w:color="auto"/>
              <w:bottom w:val="single" w:sz="8" w:space="0" w:color="auto"/>
              <w:right w:val="nil"/>
            </w:tcBorders>
            <w:shd w:val="clear" w:color="auto" w:fill="FFC000"/>
            <w:vAlign w:val="center"/>
          </w:tcPr>
          <w:p w:rsidR="00A72645" w:rsidRPr="00A72645" w:rsidRDefault="00A72645" w:rsidP="00A72645">
            <w:pPr>
              <w:spacing w:after="0" w:line="240" w:lineRule="auto"/>
              <w:jc w:val="right"/>
              <w:rPr>
                <w:rFonts w:ascii="Calibri" w:eastAsia="Times New Roman" w:hAnsi="Calibri" w:cs="Calibri"/>
                <w:b/>
                <w:bCs/>
                <w:color w:val="000000"/>
                <w:sz w:val="16"/>
                <w:szCs w:val="16"/>
                <w:lang w:eastAsia="es-CR"/>
              </w:rPr>
            </w:pPr>
            <w:r w:rsidRPr="00A72645">
              <w:rPr>
                <w:rFonts w:ascii="Calibri" w:eastAsia="Times New Roman" w:hAnsi="Calibri" w:cs="Calibri"/>
                <w:b/>
                <w:bCs/>
                <w:color w:val="000000"/>
                <w:sz w:val="16"/>
                <w:szCs w:val="16"/>
                <w:lang w:eastAsia="es-CR"/>
              </w:rPr>
              <w:t xml:space="preserve"> 24.622.920,4 </w:t>
            </w:r>
          </w:p>
        </w:tc>
        <w:tc>
          <w:tcPr>
            <w:tcW w:w="1422" w:type="dxa"/>
            <w:tcBorders>
              <w:top w:val="single" w:sz="4" w:space="0" w:color="auto"/>
              <w:left w:val="single" w:sz="4" w:space="0" w:color="auto"/>
              <w:bottom w:val="single" w:sz="8" w:space="0" w:color="auto"/>
              <w:right w:val="single" w:sz="4" w:space="0" w:color="auto"/>
            </w:tcBorders>
            <w:shd w:val="clear" w:color="auto" w:fill="FFC000"/>
            <w:vAlign w:val="center"/>
          </w:tcPr>
          <w:p w:rsidR="00A72645" w:rsidRPr="00A72645" w:rsidRDefault="00A72645" w:rsidP="00A72645">
            <w:pPr>
              <w:spacing w:after="0" w:line="240" w:lineRule="auto"/>
              <w:jc w:val="right"/>
              <w:rPr>
                <w:rFonts w:ascii="Calibri" w:eastAsia="Times New Roman" w:hAnsi="Calibri" w:cs="Calibri"/>
                <w:b/>
                <w:bCs/>
                <w:color w:val="000000"/>
                <w:sz w:val="16"/>
                <w:szCs w:val="16"/>
                <w:lang w:eastAsia="es-CR"/>
              </w:rPr>
            </w:pPr>
            <w:r w:rsidRPr="00A72645">
              <w:rPr>
                <w:rFonts w:ascii="Calibri" w:eastAsia="Times New Roman" w:hAnsi="Calibri" w:cs="Calibri"/>
                <w:b/>
                <w:bCs/>
                <w:color w:val="000000"/>
                <w:sz w:val="16"/>
                <w:szCs w:val="16"/>
                <w:lang w:eastAsia="es-CR"/>
              </w:rPr>
              <w:t xml:space="preserve"> 482.378.354,2 </w:t>
            </w:r>
          </w:p>
        </w:tc>
        <w:tc>
          <w:tcPr>
            <w:tcW w:w="1413" w:type="dxa"/>
            <w:tcBorders>
              <w:top w:val="single" w:sz="4" w:space="0" w:color="auto"/>
              <w:left w:val="single" w:sz="4" w:space="0" w:color="auto"/>
              <w:bottom w:val="single" w:sz="8" w:space="0" w:color="auto"/>
              <w:right w:val="single" w:sz="4" w:space="0" w:color="auto"/>
            </w:tcBorders>
            <w:shd w:val="clear" w:color="auto" w:fill="FFC000"/>
            <w:vAlign w:val="center"/>
          </w:tcPr>
          <w:p w:rsidR="00A72645" w:rsidRPr="00A72645" w:rsidRDefault="00A72645" w:rsidP="00A72645">
            <w:pPr>
              <w:spacing w:after="0" w:line="240" w:lineRule="auto"/>
              <w:jc w:val="right"/>
              <w:rPr>
                <w:rFonts w:ascii="Calibri" w:eastAsia="Times New Roman" w:hAnsi="Calibri" w:cs="Calibri"/>
                <w:b/>
                <w:bCs/>
                <w:color w:val="000000"/>
                <w:sz w:val="16"/>
                <w:szCs w:val="16"/>
                <w:lang w:eastAsia="es-CR"/>
              </w:rPr>
            </w:pPr>
            <w:r w:rsidRPr="00A72645">
              <w:rPr>
                <w:rFonts w:ascii="Calibri" w:eastAsia="Times New Roman" w:hAnsi="Calibri" w:cs="Calibri"/>
                <w:b/>
                <w:bCs/>
                <w:color w:val="000000"/>
                <w:sz w:val="16"/>
                <w:szCs w:val="16"/>
                <w:lang w:eastAsia="es-CR"/>
              </w:rPr>
              <w:t>53,3%</w:t>
            </w:r>
          </w:p>
        </w:tc>
      </w:tr>
      <w:tr w:rsidR="00A72645" w:rsidRPr="00814E69" w:rsidTr="00A67F73">
        <w:trPr>
          <w:trHeight w:val="285"/>
          <w:jc w:val="center"/>
        </w:trPr>
        <w:tc>
          <w:tcPr>
            <w:tcW w:w="1413" w:type="dxa"/>
            <w:vMerge w:val="restart"/>
            <w:tcBorders>
              <w:top w:val="single" w:sz="4" w:space="0" w:color="auto"/>
              <w:left w:val="single" w:sz="4" w:space="0" w:color="auto"/>
              <w:right w:val="single" w:sz="4" w:space="0" w:color="auto"/>
            </w:tcBorders>
            <w:shd w:val="clear" w:color="auto" w:fill="auto"/>
            <w:vAlign w:val="center"/>
            <w:hideMark/>
          </w:tcPr>
          <w:p w:rsidR="00A72645" w:rsidRPr="009D15D2" w:rsidRDefault="00A72645" w:rsidP="00A72645">
            <w:pPr>
              <w:spacing w:after="0" w:line="240" w:lineRule="auto"/>
              <w:jc w:val="center"/>
              <w:rPr>
                <w:rFonts w:ascii="Calibri" w:eastAsia="Times New Roman" w:hAnsi="Calibri" w:cs="Calibri"/>
                <w:b/>
                <w:bCs/>
                <w:color w:val="000000"/>
                <w:sz w:val="16"/>
                <w:szCs w:val="16"/>
                <w:lang w:eastAsia="es-CR"/>
              </w:rPr>
            </w:pPr>
            <w:r w:rsidRPr="009D15D2">
              <w:rPr>
                <w:rFonts w:ascii="Calibri" w:eastAsia="Times New Roman" w:hAnsi="Calibri" w:cs="Calibri"/>
                <w:b/>
                <w:bCs/>
                <w:color w:val="000000"/>
                <w:sz w:val="16"/>
                <w:szCs w:val="16"/>
                <w:lang w:eastAsia="es-CR"/>
              </w:rPr>
              <w:t>C II. Expansión y Modernización del SND</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A72645" w:rsidRPr="00814E69" w:rsidRDefault="00A72645" w:rsidP="00A72645">
            <w:pPr>
              <w:spacing w:after="0" w:line="240" w:lineRule="auto"/>
              <w:jc w:val="center"/>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Distribución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Bolívar</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1.217.982,0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-1.650.923,1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0,4%</w:t>
            </w:r>
          </w:p>
        </w:tc>
      </w:tr>
      <w:tr w:rsidR="00A72645" w:rsidRPr="00814E69" w:rsidTr="00A67F73">
        <w:trPr>
          <w:trHeight w:val="285"/>
          <w:jc w:val="center"/>
        </w:trPr>
        <w:tc>
          <w:tcPr>
            <w:tcW w:w="1413" w:type="dxa"/>
            <w:vMerge/>
            <w:tcBorders>
              <w:left w:val="single" w:sz="4" w:space="0" w:color="auto"/>
              <w:right w:val="single" w:sz="4" w:space="0" w:color="auto"/>
            </w:tcBorders>
            <w:shd w:val="clear" w:color="auto" w:fill="auto"/>
            <w:vAlign w:val="center"/>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El Oro</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307.310,7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-505.346,3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A72645"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Esmeraldas</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992.269,4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492.279,3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16,4%</w:t>
            </w:r>
          </w:p>
        </w:tc>
      </w:tr>
      <w:tr w:rsidR="00A72645"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Guayaquil</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250.765,1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50.209.059,7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584,5%</w:t>
            </w:r>
          </w:p>
        </w:tc>
      </w:tr>
      <w:tr w:rsidR="00A72645" w:rsidRPr="00814E69" w:rsidTr="00A67F73">
        <w:trPr>
          <w:trHeight w:val="285"/>
          <w:jc w:val="center"/>
        </w:trPr>
        <w:tc>
          <w:tcPr>
            <w:tcW w:w="1413" w:type="dxa"/>
            <w:vMerge/>
            <w:tcBorders>
              <w:left w:val="single" w:sz="4" w:space="0" w:color="auto"/>
              <w:right w:val="single" w:sz="4" w:space="0" w:color="auto"/>
            </w:tcBorders>
            <w:shd w:val="clear" w:color="auto" w:fill="auto"/>
            <w:vAlign w:val="center"/>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Guayas Los Ríos</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90.910,4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-149.494,4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A72645"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Santa Elena</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1.212.414,2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-1.053.827,2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7,5%</w:t>
            </w:r>
          </w:p>
        </w:tc>
      </w:tr>
      <w:tr w:rsidR="00A72645"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Santo Domingo</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1.488.377,9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-2.447.510,6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A72645"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A72645" w:rsidRPr="00496C40" w:rsidRDefault="00A72645" w:rsidP="00A72645">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645" w:rsidRPr="00814E69" w:rsidRDefault="00A72645" w:rsidP="00A72645">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CNEL Sucumbíos</w:t>
            </w:r>
          </w:p>
        </w:tc>
        <w:tc>
          <w:tcPr>
            <w:tcW w:w="1416" w:type="dxa"/>
            <w:tcBorders>
              <w:top w:val="nil"/>
              <w:left w:val="single" w:sz="8" w:space="0" w:color="auto"/>
              <w:bottom w:val="single" w:sz="8" w:space="0" w:color="auto"/>
              <w:right w:val="nil"/>
            </w:tcBorders>
            <w:vAlign w:val="center"/>
          </w:tcPr>
          <w:p w:rsidR="00A72645" w:rsidRPr="009A61B8" w:rsidRDefault="00A72645"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880.905,9 </w:t>
            </w:r>
          </w:p>
        </w:tc>
        <w:tc>
          <w:tcPr>
            <w:tcW w:w="1422"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-1.448.574,6 </w:t>
            </w:r>
          </w:p>
        </w:tc>
        <w:tc>
          <w:tcPr>
            <w:tcW w:w="1413" w:type="dxa"/>
            <w:tcBorders>
              <w:top w:val="single" w:sz="4" w:space="0" w:color="auto"/>
              <w:left w:val="single" w:sz="4" w:space="0" w:color="auto"/>
              <w:bottom w:val="single" w:sz="8" w:space="0" w:color="auto"/>
              <w:right w:val="single" w:sz="4" w:space="0" w:color="auto"/>
            </w:tcBorders>
            <w:vAlign w:val="center"/>
          </w:tcPr>
          <w:p w:rsidR="00A72645" w:rsidRPr="002A0F6E" w:rsidRDefault="00A72645"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9A61B8"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9A61B8" w:rsidRPr="00496C40" w:rsidRDefault="009A61B8" w:rsidP="009A61B8">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Ambato</w:t>
            </w:r>
          </w:p>
        </w:tc>
        <w:tc>
          <w:tcPr>
            <w:tcW w:w="1416" w:type="dxa"/>
            <w:tcBorders>
              <w:top w:val="nil"/>
              <w:left w:val="single" w:sz="8" w:space="0" w:color="auto"/>
              <w:bottom w:val="single" w:sz="8" w:space="0" w:color="auto"/>
              <w:right w:val="nil"/>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1.933.207,7 </w:t>
            </w:r>
          </w:p>
        </w:tc>
        <w:tc>
          <w:tcPr>
            <w:tcW w:w="1422"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-2.431.359,3 </w:t>
            </w:r>
          </w:p>
        </w:tc>
        <w:tc>
          <w:tcPr>
            <w:tcW w:w="1413" w:type="dxa"/>
            <w:tcBorders>
              <w:top w:val="single" w:sz="4" w:space="0" w:color="auto"/>
              <w:left w:val="single" w:sz="4" w:space="0" w:color="auto"/>
              <w:bottom w:val="single" w:sz="8" w:space="0" w:color="auto"/>
              <w:right w:val="single" w:sz="4" w:space="0" w:color="auto"/>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0,1%</w:t>
            </w:r>
          </w:p>
        </w:tc>
      </w:tr>
      <w:tr w:rsidR="009A61B8"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9A61B8" w:rsidRPr="00496C40" w:rsidRDefault="009A61B8" w:rsidP="009A61B8">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Azogues</w:t>
            </w:r>
          </w:p>
        </w:tc>
        <w:tc>
          <w:tcPr>
            <w:tcW w:w="1416" w:type="dxa"/>
            <w:tcBorders>
              <w:top w:val="nil"/>
              <w:left w:val="single" w:sz="8" w:space="0" w:color="auto"/>
              <w:bottom w:val="single" w:sz="8" w:space="0" w:color="auto"/>
              <w:right w:val="nil"/>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176.688,3 </w:t>
            </w:r>
          </w:p>
        </w:tc>
        <w:tc>
          <w:tcPr>
            <w:tcW w:w="1422"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-236.716,7 </w:t>
            </w:r>
          </w:p>
        </w:tc>
        <w:tc>
          <w:tcPr>
            <w:tcW w:w="1413"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9A61B8"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9A61B8" w:rsidRPr="00496C40" w:rsidRDefault="009A61B8" w:rsidP="009A61B8">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Cotopaxi</w:t>
            </w:r>
          </w:p>
        </w:tc>
        <w:tc>
          <w:tcPr>
            <w:tcW w:w="1416" w:type="dxa"/>
            <w:tcBorders>
              <w:top w:val="nil"/>
              <w:left w:val="single" w:sz="8" w:space="0" w:color="auto"/>
              <w:bottom w:val="single" w:sz="8" w:space="0" w:color="auto"/>
              <w:right w:val="nil"/>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1.265.447,4 </w:t>
            </w:r>
          </w:p>
        </w:tc>
        <w:tc>
          <w:tcPr>
            <w:tcW w:w="1422" w:type="dxa"/>
            <w:tcBorders>
              <w:top w:val="single" w:sz="4" w:space="0" w:color="auto"/>
              <w:left w:val="single" w:sz="4" w:space="0" w:color="auto"/>
              <w:bottom w:val="single" w:sz="8" w:space="0" w:color="auto"/>
              <w:right w:val="single" w:sz="4" w:space="0" w:color="auto"/>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94.020.535,8 </w:t>
            </w:r>
          </w:p>
        </w:tc>
        <w:tc>
          <w:tcPr>
            <w:tcW w:w="1413" w:type="dxa"/>
            <w:tcBorders>
              <w:top w:val="single" w:sz="4" w:space="0" w:color="auto"/>
              <w:left w:val="single" w:sz="4" w:space="0" w:color="auto"/>
              <w:bottom w:val="single" w:sz="8" w:space="0" w:color="auto"/>
              <w:right w:val="single" w:sz="4" w:space="0" w:color="auto"/>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219,9%</w:t>
            </w:r>
          </w:p>
        </w:tc>
      </w:tr>
      <w:tr w:rsidR="009A61B8"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9A61B8" w:rsidRPr="00496C40" w:rsidRDefault="009A61B8" w:rsidP="009A61B8">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Quito</w:t>
            </w:r>
          </w:p>
        </w:tc>
        <w:tc>
          <w:tcPr>
            <w:tcW w:w="1416" w:type="dxa"/>
            <w:tcBorders>
              <w:top w:val="nil"/>
              <w:left w:val="single" w:sz="8" w:space="0" w:color="auto"/>
              <w:bottom w:val="single" w:sz="8" w:space="0" w:color="auto"/>
              <w:right w:val="nil"/>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1.095.518,9 </w:t>
            </w:r>
          </w:p>
        </w:tc>
        <w:tc>
          <w:tcPr>
            <w:tcW w:w="1422"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-837.118,8 </w:t>
            </w:r>
          </w:p>
        </w:tc>
        <w:tc>
          <w:tcPr>
            <w:tcW w:w="1413" w:type="dxa"/>
            <w:tcBorders>
              <w:top w:val="single" w:sz="4" w:space="0" w:color="auto"/>
              <w:left w:val="single" w:sz="4" w:space="0" w:color="auto"/>
              <w:bottom w:val="single" w:sz="8" w:space="0" w:color="auto"/>
              <w:right w:val="single" w:sz="4" w:space="0" w:color="auto"/>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8,0%</w:t>
            </w:r>
          </w:p>
        </w:tc>
      </w:tr>
      <w:tr w:rsidR="009A61B8"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9A61B8" w:rsidRPr="00496C40" w:rsidRDefault="009A61B8" w:rsidP="009A61B8">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 E. Riobamba</w:t>
            </w:r>
          </w:p>
        </w:tc>
        <w:tc>
          <w:tcPr>
            <w:tcW w:w="1416" w:type="dxa"/>
            <w:tcBorders>
              <w:top w:val="nil"/>
              <w:left w:val="single" w:sz="8" w:space="0" w:color="auto"/>
              <w:bottom w:val="single" w:sz="8" w:space="0" w:color="auto"/>
              <w:right w:val="nil"/>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585.099,1 </w:t>
            </w:r>
          </w:p>
        </w:tc>
        <w:tc>
          <w:tcPr>
            <w:tcW w:w="1422"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-891.536,4 </w:t>
            </w:r>
          </w:p>
        </w:tc>
        <w:tc>
          <w:tcPr>
            <w:tcW w:w="1413"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9A61B8" w:rsidRPr="00814E69" w:rsidTr="00A67F73">
        <w:trPr>
          <w:trHeight w:val="285"/>
          <w:jc w:val="center"/>
        </w:trPr>
        <w:tc>
          <w:tcPr>
            <w:tcW w:w="1413" w:type="dxa"/>
            <w:vMerge/>
            <w:tcBorders>
              <w:left w:val="single" w:sz="4" w:space="0" w:color="auto"/>
              <w:right w:val="single" w:sz="4" w:space="0" w:color="auto"/>
            </w:tcBorders>
            <w:shd w:val="clear" w:color="auto" w:fill="auto"/>
            <w:vAlign w:val="center"/>
            <w:hideMark/>
          </w:tcPr>
          <w:p w:rsidR="009A61B8" w:rsidRPr="00496C40" w:rsidRDefault="009A61B8" w:rsidP="009A61B8">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right w:val="single" w:sz="4" w:space="0" w:color="auto"/>
            </w:tcBorders>
            <w:shd w:val="clear" w:color="auto" w:fill="auto"/>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E.E. Centro</w:t>
            </w:r>
            <w:r>
              <w:rPr>
                <w:rFonts w:ascii="Calibri" w:eastAsia="Times New Roman" w:hAnsi="Calibri" w:cs="Calibri"/>
                <w:b/>
                <w:bCs/>
                <w:color w:val="000000"/>
                <w:sz w:val="16"/>
                <w:szCs w:val="16"/>
                <w:lang w:eastAsia="es-CR"/>
              </w:rPr>
              <w:t xml:space="preserve"> </w:t>
            </w:r>
            <w:r w:rsidRPr="00814E69">
              <w:rPr>
                <w:rFonts w:ascii="Calibri" w:eastAsia="Times New Roman" w:hAnsi="Calibri" w:cs="Calibri"/>
                <w:b/>
                <w:bCs/>
                <w:color w:val="000000"/>
                <w:sz w:val="16"/>
                <w:szCs w:val="16"/>
                <w:lang w:eastAsia="es-CR"/>
              </w:rPr>
              <w:t>sur</w:t>
            </w:r>
          </w:p>
        </w:tc>
        <w:tc>
          <w:tcPr>
            <w:tcW w:w="1416" w:type="dxa"/>
            <w:tcBorders>
              <w:top w:val="nil"/>
              <w:left w:val="single" w:sz="8" w:space="0" w:color="auto"/>
              <w:bottom w:val="single" w:sz="8" w:space="0" w:color="auto"/>
              <w:right w:val="nil"/>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1.154.888,1 </w:t>
            </w:r>
          </w:p>
        </w:tc>
        <w:tc>
          <w:tcPr>
            <w:tcW w:w="1422"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-1.689.391,8 </w:t>
            </w:r>
          </w:p>
        </w:tc>
        <w:tc>
          <w:tcPr>
            <w:tcW w:w="1413"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9A61B8" w:rsidRPr="00814E69" w:rsidTr="00A67F73">
        <w:trPr>
          <w:trHeight w:val="285"/>
          <w:jc w:val="center"/>
        </w:trPr>
        <w:tc>
          <w:tcPr>
            <w:tcW w:w="1413" w:type="dxa"/>
            <w:vMerge/>
            <w:tcBorders>
              <w:left w:val="single" w:sz="4" w:space="0" w:color="auto"/>
              <w:bottom w:val="single" w:sz="4" w:space="0" w:color="auto"/>
              <w:right w:val="single" w:sz="4" w:space="0" w:color="auto"/>
            </w:tcBorders>
            <w:shd w:val="clear" w:color="auto" w:fill="auto"/>
            <w:vAlign w:val="center"/>
          </w:tcPr>
          <w:p w:rsidR="009A61B8" w:rsidRPr="00496C40" w:rsidRDefault="009A61B8" w:rsidP="009A61B8">
            <w:pPr>
              <w:spacing w:after="0" w:line="240" w:lineRule="auto"/>
              <w:rPr>
                <w:rFonts w:ascii="Calibri" w:eastAsia="Times New Roman" w:hAnsi="Calibri" w:cs="Calibri"/>
                <w:bCs/>
                <w:color w:val="000000"/>
                <w:sz w:val="16"/>
                <w:szCs w:val="16"/>
                <w:lang w:eastAsia="es-CR"/>
              </w:rPr>
            </w:pPr>
          </w:p>
        </w:tc>
        <w:tc>
          <w:tcPr>
            <w:tcW w:w="1134" w:type="dxa"/>
            <w:vMerge/>
            <w:tcBorders>
              <w:left w:val="single" w:sz="4" w:space="0" w:color="auto"/>
              <w:bottom w:val="single" w:sz="4" w:space="0" w:color="auto"/>
              <w:right w:val="single" w:sz="4" w:space="0" w:color="auto"/>
            </w:tcBorders>
            <w:shd w:val="clear" w:color="auto" w:fill="auto"/>
            <w:vAlign w:val="center"/>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61B8" w:rsidRPr="00814E69" w:rsidRDefault="009A61B8" w:rsidP="009A61B8">
            <w:pPr>
              <w:spacing w:after="0" w:line="240" w:lineRule="auto"/>
              <w:rPr>
                <w:rFonts w:ascii="Calibri" w:eastAsia="Times New Roman" w:hAnsi="Calibri" w:cs="Calibri"/>
                <w:b/>
                <w:bCs/>
                <w:color w:val="000000"/>
                <w:sz w:val="16"/>
                <w:szCs w:val="16"/>
                <w:lang w:eastAsia="es-CR"/>
              </w:rPr>
            </w:pPr>
            <w:r w:rsidRPr="00814E69">
              <w:rPr>
                <w:rFonts w:ascii="Calibri" w:eastAsia="Times New Roman" w:hAnsi="Calibri" w:cs="Calibri"/>
                <w:b/>
                <w:bCs/>
                <w:color w:val="000000"/>
                <w:sz w:val="16"/>
                <w:szCs w:val="16"/>
                <w:lang w:eastAsia="es-CR"/>
              </w:rPr>
              <w:t>E.E. Galápagos</w:t>
            </w:r>
          </w:p>
        </w:tc>
        <w:tc>
          <w:tcPr>
            <w:tcW w:w="1416" w:type="dxa"/>
            <w:tcBorders>
              <w:top w:val="nil"/>
              <w:left w:val="single" w:sz="8" w:space="0" w:color="auto"/>
              <w:bottom w:val="single" w:sz="8" w:space="0" w:color="auto"/>
              <w:right w:val="nil"/>
            </w:tcBorders>
            <w:vAlign w:val="center"/>
          </w:tcPr>
          <w:p w:rsidR="009A61B8" w:rsidRPr="009A61B8" w:rsidRDefault="009A61B8" w:rsidP="009A61B8">
            <w:pPr>
              <w:spacing w:after="0" w:line="240" w:lineRule="auto"/>
              <w:jc w:val="right"/>
              <w:rPr>
                <w:rFonts w:ascii="Calibri" w:eastAsia="Times New Roman" w:hAnsi="Calibri" w:cs="Calibri"/>
                <w:bCs/>
                <w:color w:val="000000"/>
                <w:sz w:val="16"/>
                <w:szCs w:val="16"/>
                <w:lang w:eastAsia="es-CR"/>
              </w:rPr>
            </w:pPr>
            <w:r w:rsidRPr="009A61B8">
              <w:rPr>
                <w:rFonts w:ascii="Calibri" w:eastAsia="Times New Roman" w:hAnsi="Calibri" w:cs="Calibri"/>
                <w:bCs/>
                <w:color w:val="000000"/>
                <w:sz w:val="16"/>
                <w:szCs w:val="16"/>
                <w:lang w:eastAsia="es-CR"/>
              </w:rPr>
              <w:t xml:space="preserve"> 303.772,3 </w:t>
            </w:r>
          </w:p>
        </w:tc>
        <w:tc>
          <w:tcPr>
            <w:tcW w:w="1422"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 xml:space="preserve"> -499.527,7 </w:t>
            </w:r>
          </w:p>
        </w:tc>
        <w:tc>
          <w:tcPr>
            <w:tcW w:w="1413" w:type="dxa"/>
            <w:tcBorders>
              <w:top w:val="single" w:sz="4" w:space="0" w:color="auto"/>
              <w:left w:val="single" w:sz="4" w:space="0" w:color="auto"/>
              <w:bottom w:val="single" w:sz="8" w:space="0" w:color="auto"/>
              <w:right w:val="single" w:sz="4" w:space="0" w:color="auto"/>
            </w:tcBorders>
            <w:vAlign w:val="center"/>
          </w:tcPr>
          <w:p w:rsidR="009A61B8" w:rsidRPr="002A0F6E" w:rsidRDefault="009A61B8" w:rsidP="009A61B8">
            <w:pPr>
              <w:spacing w:after="0" w:line="240" w:lineRule="auto"/>
              <w:jc w:val="right"/>
              <w:rPr>
                <w:rFonts w:ascii="Calibri" w:eastAsia="Times New Roman" w:hAnsi="Calibri" w:cs="Calibri"/>
                <w:bCs/>
                <w:color w:val="FF0000"/>
                <w:sz w:val="16"/>
                <w:szCs w:val="16"/>
                <w:lang w:eastAsia="es-CR"/>
              </w:rPr>
            </w:pPr>
            <w:r w:rsidRPr="002A0F6E">
              <w:rPr>
                <w:rFonts w:ascii="Calibri" w:eastAsia="Times New Roman" w:hAnsi="Calibri" w:cs="Calibri"/>
                <w:bCs/>
                <w:color w:val="FF0000"/>
                <w:sz w:val="16"/>
                <w:szCs w:val="16"/>
                <w:lang w:eastAsia="es-CR"/>
              </w:rPr>
              <w:t>Indefinida</w:t>
            </w:r>
          </w:p>
        </w:tc>
      </w:tr>
      <w:tr w:rsidR="009A61B8" w:rsidRPr="00814E69" w:rsidTr="009A61B8">
        <w:trPr>
          <w:trHeight w:val="285"/>
          <w:jc w:val="center"/>
        </w:trPr>
        <w:tc>
          <w:tcPr>
            <w:tcW w:w="4531" w:type="dxa"/>
            <w:gridSpan w:val="3"/>
            <w:tcBorders>
              <w:top w:val="single" w:sz="4" w:space="0" w:color="auto"/>
              <w:left w:val="single" w:sz="4" w:space="0" w:color="auto"/>
              <w:bottom w:val="single" w:sz="4" w:space="0" w:color="auto"/>
              <w:right w:val="nil"/>
            </w:tcBorders>
            <w:shd w:val="clear" w:color="auto" w:fill="FFC000"/>
            <w:noWrap/>
            <w:vAlign w:val="center"/>
            <w:hideMark/>
          </w:tcPr>
          <w:p w:rsidR="009A61B8" w:rsidRPr="006B226A" w:rsidRDefault="009A61B8" w:rsidP="009A61B8">
            <w:pPr>
              <w:spacing w:after="0" w:line="240" w:lineRule="auto"/>
              <w:jc w:val="center"/>
              <w:rPr>
                <w:rFonts w:ascii="Calibri" w:eastAsia="Times New Roman" w:hAnsi="Calibri" w:cs="Calibri"/>
                <w:b/>
                <w:bCs/>
                <w:color w:val="000000"/>
                <w:sz w:val="16"/>
                <w:szCs w:val="16"/>
                <w:lang w:eastAsia="es-CR"/>
              </w:rPr>
            </w:pPr>
            <w:r w:rsidRPr="006B226A">
              <w:rPr>
                <w:rFonts w:ascii="Calibri" w:eastAsia="Times New Roman" w:hAnsi="Calibri" w:cs="Calibri"/>
                <w:b/>
                <w:bCs/>
                <w:color w:val="000000"/>
                <w:sz w:val="16"/>
                <w:szCs w:val="16"/>
                <w:lang w:eastAsia="es-CR"/>
              </w:rPr>
              <w:t>Sub Total C II. Distribución</w:t>
            </w:r>
          </w:p>
        </w:tc>
        <w:tc>
          <w:tcPr>
            <w:tcW w:w="1416" w:type="dxa"/>
            <w:tcBorders>
              <w:top w:val="nil"/>
              <w:left w:val="single" w:sz="8" w:space="0" w:color="auto"/>
              <w:bottom w:val="single" w:sz="8" w:space="0" w:color="auto"/>
              <w:right w:val="nil"/>
            </w:tcBorders>
            <w:shd w:val="clear" w:color="auto" w:fill="FFC000"/>
            <w:vAlign w:val="center"/>
          </w:tcPr>
          <w:p w:rsidR="009A61B8" w:rsidRPr="009A61B8" w:rsidRDefault="009A61B8" w:rsidP="009A61B8">
            <w:pPr>
              <w:spacing w:after="0" w:line="240" w:lineRule="auto"/>
              <w:jc w:val="right"/>
              <w:rPr>
                <w:rFonts w:ascii="Calibri" w:eastAsia="Times New Roman" w:hAnsi="Calibri" w:cs="Calibri"/>
                <w:b/>
                <w:bCs/>
                <w:color w:val="000000"/>
                <w:sz w:val="16"/>
                <w:szCs w:val="16"/>
                <w:lang w:eastAsia="es-CR"/>
              </w:rPr>
            </w:pPr>
            <w:r w:rsidRPr="009A61B8">
              <w:rPr>
                <w:rFonts w:ascii="Calibri" w:eastAsia="Times New Roman" w:hAnsi="Calibri" w:cs="Calibri"/>
                <w:b/>
                <w:bCs/>
                <w:color w:val="000000"/>
                <w:sz w:val="16"/>
                <w:szCs w:val="16"/>
                <w:lang w:eastAsia="es-CR"/>
              </w:rPr>
              <w:t xml:space="preserve"> 12.955.557,3 </w:t>
            </w:r>
          </w:p>
        </w:tc>
        <w:tc>
          <w:tcPr>
            <w:tcW w:w="1422" w:type="dxa"/>
            <w:tcBorders>
              <w:top w:val="single" w:sz="4" w:space="0" w:color="auto"/>
              <w:left w:val="single" w:sz="4" w:space="0" w:color="auto"/>
              <w:bottom w:val="single" w:sz="8" w:space="0" w:color="auto"/>
              <w:right w:val="single" w:sz="4" w:space="0" w:color="auto"/>
            </w:tcBorders>
            <w:shd w:val="clear" w:color="auto" w:fill="FFC000"/>
            <w:vAlign w:val="center"/>
          </w:tcPr>
          <w:p w:rsidR="009A61B8" w:rsidRPr="009A61B8" w:rsidRDefault="009A61B8" w:rsidP="009A61B8">
            <w:pPr>
              <w:spacing w:after="0" w:line="240" w:lineRule="auto"/>
              <w:jc w:val="right"/>
              <w:rPr>
                <w:rFonts w:ascii="Calibri" w:eastAsia="Times New Roman" w:hAnsi="Calibri" w:cs="Calibri"/>
                <w:b/>
                <w:bCs/>
                <w:color w:val="000000"/>
                <w:sz w:val="16"/>
                <w:szCs w:val="16"/>
                <w:lang w:eastAsia="es-CR"/>
              </w:rPr>
            </w:pPr>
            <w:r w:rsidRPr="009A61B8">
              <w:rPr>
                <w:rFonts w:ascii="Calibri" w:eastAsia="Times New Roman" w:hAnsi="Calibri" w:cs="Calibri"/>
                <w:b/>
                <w:bCs/>
                <w:color w:val="000000"/>
                <w:sz w:val="16"/>
                <w:szCs w:val="16"/>
                <w:lang w:eastAsia="es-CR"/>
              </w:rPr>
              <w:t xml:space="preserve"> 130.880.547,9 </w:t>
            </w:r>
          </w:p>
        </w:tc>
        <w:tc>
          <w:tcPr>
            <w:tcW w:w="1413" w:type="dxa"/>
            <w:tcBorders>
              <w:top w:val="single" w:sz="4" w:space="0" w:color="auto"/>
              <w:left w:val="single" w:sz="4" w:space="0" w:color="auto"/>
              <w:bottom w:val="single" w:sz="8" w:space="0" w:color="auto"/>
              <w:right w:val="single" w:sz="4" w:space="0" w:color="auto"/>
            </w:tcBorders>
            <w:shd w:val="clear" w:color="auto" w:fill="FFC000"/>
            <w:vAlign w:val="center"/>
          </w:tcPr>
          <w:p w:rsidR="009A61B8" w:rsidRPr="009A61B8" w:rsidRDefault="009A61B8" w:rsidP="009A61B8">
            <w:pPr>
              <w:spacing w:after="0" w:line="240" w:lineRule="auto"/>
              <w:jc w:val="right"/>
              <w:rPr>
                <w:rFonts w:ascii="Calibri" w:eastAsia="Times New Roman" w:hAnsi="Calibri" w:cs="Calibri"/>
                <w:b/>
                <w:bCs/>
                <w:color w:val="000000"/>
                <w:sz w:val="16"/>
                <w:szCs w:val="16"/>
                <w:lang w:eastAsia="es-CR"/>
              </w:rPr>
            </w:pPr>
            <w:r w:rsidRPr="009A61B8">
              <w:rPr>
                <w:rFonts w:ascii="Calibri" w:eastAsia="Times New Roman" w:hAnsi="Calibri" w:cs="Calibri"/>
                <w:b/>
                <w:bCs/>
                <w:color w:val="000000"/>
                <w:sz w:val="16"/>
                <w:szCs w:val="16"/>
                <w:lang w:eastAsia="es-CR"/>
              </w:rPr>
              <w:t>49,6%</w:t>
            </w:r>
          </w:p>
        </w:tc>
      </w:tr>
      <w:tr w:rsidR="009A61B8" w:rsidRPr="00814E69" w:rsidTr="009A61B8">
        <w:trPr>
          <w:trHeight w:val="426"/>
          <w:jc w:val="center"/>
        </w:trPr>
        <w:tc>
          <w:tcPr>
            <w:tcW w:w="4531" w:type="dxa"/>
            <w:gridSpan w:val="3"/>
            <w:tcBorders>
              <w:top w:val="single" w:sz="4" w:space="0" w:color="auto"/>
              <w:left w:val="single" w:sz="4" w:space="0" w:color="auto"/>
              <w:bottom w:val="single" w:sz="4" w:space="0" w:color="auto"/>
              <w:right w:val="nil"/>
            </w:tcBorders>
            <w:shd w:val="clear" w:color="auto" w:fill="F7CAAC" w:themeFill="accent2" w:themeFillTint="66"/>
            <w:noWrap/>
            <w:vAlign w:val="center"/>
          </w:tcPr>
          <w:p w:rsidR="009A61B8" w:rsidRPr="005A4253" w:rsidRDefault="009A61B8" w:rsidP="009A61B8">
            <w:pPr>
              <w:spacing w:after="0" w:line="240" w:lineRule="auto"/>
              <w:jc w:val="center"/>
              <w:rPr>
                <w:rFonts w:ascii="Calibri" w:eastAsia="Times New Roman" w:hAnsi="Calibri" w:cs="Calibri"/>
                <w:b/>
                <w:bCs/>
                <w:color w:val="000000"/>
                <w:sz w:val="20"/>
                <w:szCs w:val="16"/>
                <w:lang w:eastAsia="es-CR"/>
              </w:rPr>
            </w:pPr>
            <w:r w:rsidRPr="005A4253">
              <w:rPr>
                <w:rFonts w:ascii="Calibri" w:eastAsia="Times New Roman" w:hAnsi="Calibri" w:cs="Calibri"/>
                <w:b/>
                <w:bCs/>
                <w:color w:val="000000"/>
                <w:sz w:val="20"/>
                <w:szCs w:val="16"/>
                <w:lang w:eastAsia="es-CR"/>
              </w:rPr>
              <w:t>TOTAL</w:t>
            </w:r>
          </w:p>
        </w:tc>
        <w:tc>
          <w:tcPr>
            <w:tcW w:w="1416" w:type="dxa"/>
            <w:tcBorders>
              <w:top w:val="nil"/>
              <w:left w:val="single" w:sz="8" w:space="0" w:color="auto"/>
              <w:bottom w:val="single" w:sz="8" w:space="0" w:color="auto"/>
              <w:right w:val="nil"/>
            </w:tcBorders>
            <w:shd w:val="clear" w:color="auto" w:fill="F7CAAC" w:themeFill="accent2" w:themeFillTint="66"/>
            <w:vAlign w:val="center"/>
          </w:tcPr>
          <w:p w:rsidR="009A61B8" w:rsidRPr="009A61B8" w:rsidRDefault="009A61B8" w:rsidP="009A61B8">
            <w:pPr>
              <w:spacing w:after="0" w:line="240" w:lineRule="auto"/>
              <w:jc w:val="right"/>
              <w:rPr>
                <w:rFonts w:ascii="Calibri" w:eastAsia="Times New Roman" w:hAnsi="Calibri" w:cs="Calibri"/>
                <w:b/>
                <w:bCs/>
                <w:color w:val="000000"/>
                <w:sz w:val="20"/>
                <w:szCs w:val="16"/>
                <w:lang w:eastAsia="es-CR"/>
              </w:rPr>
            </w:pPr>
            <w:r w:rsidRPr="009A61B8">
              <w:rPr>
                <w:rFonts w:ascii="Calibri" w:eastAsia="Times New Roman" w:hAnsi="Calibri" w:cs="Calibri"/>
                <w:b/>
                <w:bCs/>
                <w:color w:val="000000"/>
                <w:sz w:val="20"/>
                <w:szCs w:val="16"/>
                <w:lang w:eastAsia="es-CR"/>
              </w:rPr>
              <w:t xml:space="preserve"> 37.578.477,8 </w:t>
            </w:r>
          </w:p>
        </w:tc>
        <w:tc>
          <w:tcPr>
            <w:tcW w:w="1422" w:type="dxa"/>
            <w:tcBorders>
              <w:top w:val="single" w:sz="4" w:space="0" w:color="auto"/>
              <w:left w:val="single" w:sz="4" w:space="0" w:color="auto"/>
              <w:bottom w:val="single" w:sz="8" w:space="0" w:color="auto"/>
              <w:right w:val="single" w:sz="4" w:space="0" w:color="auto"/>
            </w:tcBorders>
            <w:shd w:val="clear" w:color="auto" w:fill="F7CAAC" w:themeFill="accent2" w:themeFillTint="66"/>
            <w:vAlign w:val="center"/>
          </w:tcPr>
          <w:p w:rsidR="009A61B8" w:rsidRPr="009A61B8" w:rsidRDefault="009A61B8" w:rsidP="009A61B8">
            <w:pPr>
              <w:spacing w:after="0" w:line="240" w:lineRule="auto"/>
              <w:jc w:val="right"/>
              <w:rPr>
                <w:rFonts w:ascii="Calibri" w:eastAsia="Times New Roman" w:hAnsi="Calibri" w:cs="Calibri"/>
                <w:b/>
                <w:bCs/>
                <w:color w:val="000000"/>
                <w:sz w:val="20"/>
                <w:szCs w:val="16"/>
                <w:lang w:eastAsia="es-CR"/>
              </w:rPr>
            </w:pPr>
            <w:r w:rsidRPr="009A61B8">
              <w:rPr>
                <w:rFonts w:ascii="Calibri" w:eastAsia="Times New Roman" w:hAnsi="Calibri" w:cs="Calibri"/>
                <w:b/>
                <w:bCs/>
                <w:color w:val="000000"/>
                <w:sz w:val="20"/>
                <w:szCs w:val="16"/>
                <w:lang w:eastAsia="es-CR"/>
              </w:rPr>
              <w:t xml:space="preserve"> 613.258.902,2 </w:t>
            </w:r>
          </w:p>
        </w:tc>
        <w:tc>
          <w:tcPr>
            <w:tcW w:w="1413" w:type="dxa"/>
            <w:tcBorders>
              <w:top w:val="single" w:sz="4" w:space="0" w:color="auto"/>
              <w:left w:val="single" w:sz="4" w:space="0" w:color="auto"/>
              <w:bottom w:val="single" w:sz="8" w:space="0" w:color="auto"/>
              <w:right w:val="single" w:sz="4" w:space="0" w:color="auto"/>
            </w:tcBorders>
            <w:shd w:val="clear" w:color="auto" w:fill="F7CAAC" w:themeFill="accent2" w:themeFillTint="66"/>
            <w:vAlign w:val="center"/>
          </w:tcPr>
          <w:p w:rsidR="009A61B8" w:rsidRPr="009A61B8" w:rsidRDefault="009A61B8" w:rsidP="009A61B8">
            <w:pPr>
              <w:spacing w:after="0" w:line="240" w:lineRule="auto"/>
              <w:jc w:val="right"/>
              <w:rPr>
                <w:rFonts w:ascii="Calibri" w:eastAsia="Times New Roman" w:hAnsi="Calibri" w:cs="Calibri"/>
                <w:b/>
                <w:bCs/>
                <w:color w:val="000000"/>
                <w:sz w:val="20"/>
                <w:szCs w:val="16"/>
                <w:lang w:eastAsia="es-CR"/>
              </w:rPr>
            </w:pPr>
            <w:r w:rsidRPr="009A61B8">
              <w:rPr>
                <w:rFonts w:ascii="Calibri" w:eastAsia="Times New Roman" w:hAnsi="Calibri" w:cs="Calibri"/>
                <w:b/>
                <w:bCs/>
                <w:color w:val="000000"/>
                <w:sz w:val="20"/>
                <w:szCs w:val="16"/>
                <w:lang w:eastAsia="es-CR"/>
              </w:rPr>
              <w:t>52,1%</w:t>
            </w:r>
          </w:p>
        </w:tc>
      </w:tr>
    </w:tbl>
    <w:p w:rsidR="00B82CDF" w:rsidRDefault="00B82CDF" w:rsidP="00B82CDF">
      <w:pPr>
        <w:jc w:val="both"/>
        <w:rPr>
          <w:lang w:val="es-CL"/>
        </w:rPr>
      </w:pPr>
    </w:p>
    <w:p w:rsidR="009803B9" w:rsidRDefault="009803B9" w:rsidP="00B82CDF">
      <w:pPr>
        <w:jc w:val="both"/>
        <w:rPr>
          <w:lang w:val="es-CL"/>
        </w:rPr>
      </w:pPr>
    </w:p>
    <w:p w:rsidR="009803B9" w:rsidRDefault="009803B9" w:rsidP="00B82CDF">
      <w:pPr>
        <w:jc w:val="both"/>
        <w:rPr>
          <w:lang w:val="es-CL"/>
        </w:rPr>
      </w:pPr>
    </w:p>
    <w:p w:rsidR="00764982" w:rsidRDefault="00764982" w:rsidP="00764982">
      <w:pPr>
        <w:pStyle w:val="Heading2"/>
        <w:rPr>
          <w:lang w:val="es-CL"/>
        </w:rPr>
      </w:pPr>
      <w:bookmarkStart w:id="22" w:name="_Toc491617765"/>
      <w:r>
        <w:rPr>
          <w:lang w:val="es-CL"/>
        </w:rPr>
        <w:t xml:space="preserve">C.II: </w:t>
      </w:r>
      <w:r w:rsidRPr="00680F6F">
        <w:rPr>
          <w:lang w:val="es-CL"/>
        </w:rPr>
        <w:t xml:space="preserve">Proyectos </w:t>
      </w:r>
      <w:r>
        <w:rPr>
          <w:lang w:val="es-CL"/>
        </w:rPr>
        <w:t>FERUM</w:t>
      </w:r>
      <w:bookmarkEnd w:id="22"/>
    </w:p>
    <w:p w:rsidR="00F82EF5" w:rsidRPr="00F82EF5" w:rsidRDefault="00F82EF5" w:rsidP="00F82EF5">
      <w:pPr>
        <w:jc w:val="both"/>
        <w:rPr>
          <w:lang w:val="es-CL"/>
        </w:rPr>
      </w:pPr>
      <w:r w:rsidRPr="00F82EF5">
        <w:rPr>
          <w:lang w:val="es-CL"/>
        </w:rPr>
        <w:t>En general los proyectos del FERUM</w:t>
      </w:r>
      <w:r w:rsidR="00FA5131">
        <w:rPr>
          <w:lang w:val="es-CL"/>
        </w:rPr>
        <w:t xml:space="preserve"> (Fondo de Electrificación Rural y Urbano Marginal)</w:t>
      </w:r>
      <w:r w:rsidRPr="00F82EF5">
        <w:rPr>
          <w:lang w:val="es-CL"/>
        </w:rPr>
        <w:t>, tienen la finalidad de satisfacer los requerimientos de crecimiento de las viviendas de zona</w:t>
      </w:r>
      <w:r w:rsidR="00F979C8">
        <w:rPr>
          <w:lang w:val="es-CL"/>
        </w:rPr>
        <w:t>s</w:t>
      </w:r>
      <w:r w:rsidRPr="00F82EF5">
        <w:rPr>
          <w:lang w:val="es-CL"/>
        </w:rPr>
        <w:t xml:space="preserve"> rural</w:t>
      </w:r>
      <w:r w:rsidR="00F979C8">
        <w:rPr>
          <w:lang w:val="es-CL"/>
        </w:rPr>
        <w:t>es</w:t>
      </w:r>
      <w:r w:rsidRPr="00F82EF5">
        <w:rPr>
          <w:lang w:val="es-CL"/>
        </w:rPr>
        <w:t xml:space="preserve"> y urban</w:t>
      </w:r>
      <w:r w:rsidR="00F979C8">
        <w:rPr>
          <w:lang w:val="es-CL"/>
        </w:rPr>
        <w:t>o</w:t>
      </w:r>
      <w:r w:rsidRPr="00F82EF5">
        <w:rPr>
          <w:lang w:val="es-CL"/>
        </w:rPr>
        <w:t xml:space="preserve"> marginal</w:t>
      </w:r>
      <w:r w:rsidR="00F979C8">
        <w:rPr>
          <w:lang w:val="es-CL"/>
        </w:rPr>
        <w:t>es</w:t>
      </w:r>
      <w:r w:rsidRPr="00F82EF5">
        <w:rPr>
          <w:lang w:val="es-CL"/>
        </w:rPr>
        <w:t>, cumpliendo con los estándares de calidad, confiabilidad y seguridad, establecidos en la normativa vigente, respetando el medio ambiente y asumiendo una responsabilidad social. La línea base se ha determinado principalmente por los indicadores cobertura de servicio eléctrico y los nuevos clientes incorporados al sistema. Estos proyectos involucran comunidades a las cuales es factible dotar del servicio eléctrico extendiendo las redes de energía eléctrica que existen en el entorno más cercano.</w:t>
      </w:r>
    </w:p>
    <w:p w:rsidR="00764982" w:rsidRDefault="00F82EF5" w:rsidP="00F82EF5">
      <w:pPr>
        <w:jc w:val="both"/>
        <w:rPr>
          <w:lang w:val="es-CL"/>
        </w:rPr>
      </w:pPr>
      <w:r w:rsidRPr="00F82EF5">
        <w:rPr>
          <w:lang w:val="es-CL"/>
        </w:rPr>
        <w:t>Para 201</w:t>
      </w:r>
      <w:r w:rsidR="00F979C8">
        <w:rPr>
          <w:lang w:val="es-CL"/>
        </w:rPr>
        <w:t>8</w:t>
      </w:r>
      <w:r w:rsidRPr="00F82EF5">
        <w:rPr>
          <w:lang w:val="es-CL"/>
        </w:rPr>
        <w:t xml:space="preserve">, se han </w:t>
      </w:r>
      <w:r w:rsidR="00F979C8">
        <w:rPr>
          <w:lang w:val="es-CL"/>
        </w:rPr>
        <w:t>prioriza</w:t>
      </w:r>
      <w:r w:rsidRPr="00F82EF5">
        <w:rPr>
          <w:lang w:val="es-CL"/>
        </w:rPr>
        <w:t xml:space="preserve">do </w:t>
      </w:r>
      <w:r w:rsidR="00F979C8">
        <w:rPr>
          <w:lang w:val="es-CL"/>
        </w:rPr>
        <w:t>435</w:t>
      </w:r>
      <w:r w:rsidRPr="00F82EF5">
        <w:rPr>
          <w:lang w:val="es-CL"/>
        </w:rPr>
        <w:t xml:space="preserve"> proyectos, que favorecen entre </w:t>
      </w:r>
      <w:r w:rsidR="00F979C8">
        <w:rPr>
          <w:lang w:val="es-CL"/>
        </w:rPr>
        <w:t>3</w:t>
      </w:r>
      <w:r w:rsidRPr="00F82EF5">
        <w:rPr>
          <w:lang w:val="es-CL"/>
        </w:rPr>
        <w:t xml:space="preserve"> y </w:t>
      </w:r>
      <w:r w:rsidR="00F979C8">
        <w:rPr>
          <w:lang w:val="es-CL"/>
        </w:rPr>
        <w:t>940</w:t>
      </w:r>
      <w:r w:rsidRPr="00F82EF5">
        <w:rPr>
          <w:lang w:val="es-CL"/>
        </w:rPr>
        <w:t xml:space="preserve"> viviendas cada uno, con un promedio de </w:t>
      </w:r>
      <w:r w:rsidR="00F979C8">
        <w:rPr>
          <w:lang w:val="es-CL"/>
        </w:rPr>
        <w:t>27</w:t>
      </w:r>
      <w:r w:rsidRPr="00F82EF5">
        <w:rPr>
          <w:lang w:val="es-CL"/>
        </w:rPr>
        <w:t>. La tabla siguiente, los presenta agrupados por Empresa Eléctrica (E.E.), totalizando la inversión estimada a ejecutar por cada una de ellas.</w:t>
      </w:r>
    </w:p>
    <w:p w:rsidR="00501A5C" w:rsidRPr="00501A5C" w:rsidRDefault="00501A5C" w:rsidP="00501A5C">
      <w:pPr>
        <w:spacing w:after="0"/>
        <w:jc w:val="center"/>
        <w:rPr>
          <w:b/>
          <w:lang w:val="es-CL"/>
        </w:rPr>
      </w:pPr>
      <w:r w:rsidRPr="00AC5AD7">
        <w:rPr>
          <w:b/>
          <w:lang w:val="es-CL"/>
        </w:rPr>
        <w:t>Tabla N°20 Proyectos FERUM</w:t>
      </w:r>
    </w:p>
    <w:tbl>
      <w:tblPr>
        <w:tblW w:w="0" w:type="auto"/>
        <w:jc w:val="center"/>
        <w:tblLook w:val="04A0" w:firstRow="1" w:lastRow="0" w:firstColumn="1" w:lastColumn="0" w:noHBand="0" w:noVBand="1"/>
      </w:tblPr>
      <w:tblGrid>
        <w:gridCol w:w="2405"/>
        <w:gridCol w:w="1125"/>
        <w:gridCol w:w="860"/>
        <w:gridCol w:w="992"/>
        <w:gridCol w:w="1843"/>
      </w:tblGrid>
      <w:tr w:rsidR="00F979C8" w:rsidTr="00E11B7F">
        <w:trPr>
          <w:jc w:val="center"/>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979C8" w:rsidRPr="00F979C8" w:rsidRDefault="00F979C8" w:rsidP="00FA5131">
            <w:pPr>
              <w:jc w:val="center"/>
              <w:rPr>
                <w:b/>
              </w:rPr>
            </w:pPr>
            <w:r w:rsidRPr="00F979C8">
              <w:rPr>
                <w:b/>
              </w:rPr>
              <w:t>Empresa</w:t>
            </w:r>
          </w:p>
        </w:tc>
        <w:tc>
          <w:tcPr>
            <w:tcW w:w="11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979C8" w:rsidRPr="00F979C8" w:rsidRDefault="00FA5131" w:rsidP="00F979C8">
            <w:pPr>
              <w:jc w:val="center"/>
              <w:rPr>
                <w:b/>
              </w:rPr>
            </w:pPr>
            <w:r>
              <w:rPr>
                <w:b/>
              </w:rPr>
              <w:t xml:space="preserve">Cantidad </w:t>
            </w:r>
            <w:r w:rsidR="00F979C8" w:rsidRPr="00F979C8">
              <w:rPr>
                <w:b/>
              </w:rPr>
              <w:t>Proyectos</w:t>
            </w:r>
          </w:p>
        </w:tc>
        <w:tc>
          <w:tcPr>
            <w:tcW w:w="8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979C8" w:rsidRPr="00F979C8" w:rsidRDefault="00F979C8" w:rsidP="00F979C8">
            <w:pPr>
              <w:jc w:val="center"/>
              <w:rPr>
                <w:b/>
              </w:rPr>
            </w:pPr>
            <w:r w:rsidRPr="00F979C8">
              <w:rPr>
                <w:b/>
              </w:rPr>
              <w:t>Vcs</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979C8" w:rsidRPr="00F979C8" w:rsidRDefault="00F979C8" w:rsidP="00F979C8">
            <w:pPr>
              <w:jc w:val="center"/>
              <w:rPr>
                <w:b/>
              </w:rPr>
            </w:pPr>
            <w:r w:rsidRPr="00F979C8">
              <w:rPr>
                <w:b/>
              </w:rPr>
              <w:t>Vss</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979C8" w:rsidRPr="00F979C8" w:rsidRDefault="00F979C8" w:rsidP="00F6353C">
            <w:pPr>
              <w:jc w:val="center"/>
              <w:rPr>
                <w:b/>
              </w:rPr>
            </w:pPr>
            <w:r w:rsidRPr="00F979C8">
              <w:rPr>
                <w:b/>
              </w:rPr>
              <w:t>Inversión (US$)</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Bolivar</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28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322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1.254.042,2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El Oro</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24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376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431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1.330.749,0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Esmeraldas</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25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1.272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3.495.447,5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Guayaquil</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8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320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3.233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2.779.115,7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Guayas Los Rios</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34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696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1.253.695,2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Los Rios</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61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14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1.227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2.238.401,9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Manabi</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36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238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900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1.917.244,3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Milagro</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36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69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354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955.960,4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Sta Elena</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44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359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1.030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2.022.222,9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Sto Domingo</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42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34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306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1.077.047,9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CNEL Sucumbios</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13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989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2.595.058,0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Ambato</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12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23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720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1.193.214,8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Azogues</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9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64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199.850,3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Centrosur</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22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45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362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1.015.515,4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Cotopaxi</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19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32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243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616.671,2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Galapagos</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46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243.353,2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Norte</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21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20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426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1.167.465,2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Quito</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23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156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547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1.361.997,7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Riobamba</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42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328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621.434,4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rPr>
                <w:rFonts w:ascii="Calibri" w:hAnsi="Calibri" w:cs="Calibri"/>
                <w:color w:val="000000"/>
              </w:rPr>
            </w:pPr>
            <w:r>
              <w:rPr>
                <w:rFonts w:ascii="Calibri" w:hAnsi="Calibri" w:cs="Calibri"/>
                <w:color w:val="000000"/>
              </w:rPr>
              <w:t>E.E. Sur</w:t>
            </w:r>
          </w:p>
        </w:tc>
        <w:tc>
          <w:tcPr>
            <w:tcW w:w="1125"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71 </w:t>
            </w:r>
          </w:p>
        </w:tc>
        <w:tc>
          <w:tcPr>
            <w:tcW w:w="860"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403 </w:t>
            </w:r>
          </w:p>
        </w:tc>
        <w:tc>
          <w:tcPr>
            <w:tcW w:w="992"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1.079 </w:t>
            </w:r>
          </w:p>
        </w:tc>
        <w:tc>
          <w:tcPr>
            <w:tcW w:w="1843" w:type="dxa"/>
            <w:tcBorders>
              <w:top w:val="single" w:sz="4" w:space="0" w:color="auto"/>
              <w:left w:val="single" w:sz="4" w:space="0" w:color="auto"/>
              <w:bottom w:val="single" w:sz="4" w:space="0" w:color="auto"/>
              <w:right w:val="single" w:sz="4" w:space="0" w:color="auto"/>
            </w:tcBorders>
            <w:vAlign w:val="bottom"/>
          </w:tcPr>
          <w:p w:rsidR="003C1C85" w:rsidRDefault="003C1C85" w:rsidP="003C1C85">
            <w:pPr>
              <w:jc w:val="right"/>
              <w:rPr>
                <w:rFonts w:ascii="Calibri" w:hAnsi="Calibri" w:cs="Calibri"/>
                <w:color w:val="000000"/>
              </w:rPr>
            </w:pPr>
            <w:r>
              <w:rPr>
                <w:rFonts w:ascii="Calibri" w:hAnsi="Calibri" w:cs="Calibri"/>
                <w:color w:val="000000"/>
              </w:rPr>
              <w:t xml:space="preserve"> 3.068.439,5 </w:t>
            </w:r>
          </w:p>
        </w:tc>
      </w:tr>
      <w:tr w:rsidR="003C1C85" w:rsidTr="003C1C85">
        <w:trPr>
          <w:jc w:val="center"/>
        </w:trPr>
        <w:tc>
          <w:tcPr>
            <w:tcW w:w="2405" w:type="dxa"/>
            <w:tcBorders>
              <w:top w:val="single" w:sz="4" w:space="0" w:color="auto"/>
              <w:left w:val="single" w:sz="4" w:space="0" w:color="auto"/>
              <w:bottom w:val="single" w:sz="4" w:space="0" w:color="auto"/>
              <w:right w:val="single" w:sz="4" w:space="0" w:color="auto"/>
            </w:tcBorders>
            <w:shd w:val="clear" w:color="D9E1F2" w:fill="D9E1F2"/>
            <w:vAlign w:val="bottom"/>
          </w:tcPr>
          <w:p w:rsidR="003C1C85" w:rsidRDefault="003C1C85" w:rsidP="003C1C85">
            <w:pPr>
              <w:rPr>
                <w:rFonts w:ascii="Calibri" w:hAnsi="Calibri" w:cs="Calibri"/>
                <w:b/>
                <w:bCs/>
                <w:color w:val="000000"/>
              </w:rPr>
            </w:pPr>
            <w:r>
              <w:rPr>
                <w:rFonts w:ascii="Calibri" w:hAnsi="Calibri" w:cs="Calibri"/>
                <w:b/>
                <w:bCs/>
                <w:color w:val="000000"/>
              </w:rPr>
              <w:t>Total general</w:t>
            </w:r>
          </w:p>
        </w:tc>
        <w:tc>
          <w:tcPr>
            <w:tcW w:w="1125" w:type="dxa"/>
            <w:tcBorders>
              <w:top w:val="single" w:sz="4" w:space="0" w:color="auto"/>
              <w:left w:val="single" w:sz="4" w:space="0" w:color="auto"/>
              <w:bottom w:val="single" w:sz="4" w:space="0" w:color="auto"/>
              <w:right w:val="single" w:sz="4" w:space="0" w:color="auto"/>
            </w:tcBorders>
            <w:shd w:val="clear" w:color="D9E1F2" w:fill="D9E1F2"/>
            <w:vAlign w:val="bottom"/>
          </w:tcPr>
          <w:p w:rsidR="003C1C85" w:rsidRDefault="003C1C85" w:rsidP="003C1C85">
            <w:pPr>
              <w:jc w:val="right"/>
              <w:rPr>
                <w:rFonts w:ascii="Calibri" w:hAnsi="Calibri" w:cs="Calibri"/>
                <w:b/>
                <w:bCs/>
                <w:color w:val="000000"/>
              </w:rPr>
            </w:pPr>
            <w:r>
              <w:rPr>
                <w:rFonts w:ascii="Calibri" w:hAnsi="Calibri" w:cs="Calibri"/>
                <w:b/>
                <w:bCs/>
                <w:color w:val="000000"/>
              </w:rPr>
              <w:t xml:space="preserve"> 568 </w:t>
            </w:r>
          </w:p>
        </w:tc>
        <w:tc>
          <w:tcPr>
            <w:tcW w:w="860" w:type="dxa"/>
            <w:tcBorders>
              <w:top w:val="single" w:sz="4" w:space="0" w:color="auto"/>
              <w:left w:val="single" w:sz="4" w:space="0" w:color="auto"/>
              <w:bottom w:val="single" w:sz="4" w:space="0" w:color="auto"/>
              <w:right w:val="single" w:sz="4" w:space="0" w:color="auto"/>
            </w:tcBorders>
            <w:shd w:val="clear" w:color="D9E1F2" w:fill="D9E1F2"/>
            <w:vAlign w:val="bottom"/>
          </w:tcPr>
          <w:p w:rsidR="003C1C85" w:rsidRDefault="003C1C85" w:rsidP="003C1C85">
            <w:pPr>
              <w:jc w:val="right"/>
              <w:rPr>
                <w:rFonts w:ascii="Calibri" w:hAnsi="Calibri" w:cs="Calibri"/>
                <w:b/>
                <w:bCs/>
                <w:color w:val="000000"/>
              </w:rPr>
            </w:pPr>
            <w:r>
              <w:rPr>
                <w:rFonts w:ascii="Calibri" w:hAnsi="Calibri" w:cs="Calibri"/>
                <w:b/>
                <w:bCs/>
                <w:color w:val="000000"/>
              </w:rPr>
              <w:t xml:space="preserve"> 2.105 </w:t>
            </w:r>
          </w:p>
        </w:tc>
        <w:tc>
          <w:tcPr>
            <w:tcW w:w="992" w:type="dxa"/>
            <w:tcBorders>
              <w:top w:val="single" w:sz="4" w:space="0" w:color="auto"/>
              <w:left w:val="single" w:sz="4" w:space="0" w:color="auto"/>
              <w:bottom w:val="single" w:sz="4" w:space="0" w:color="auto"/>
              <w:right w:val="single" w:sz="4" w:space="0" w:color="auto"/>
            </w:tcBorders>
            <w:shd w:val="clear" w:color="D9E1F2" w:fill="D9E1F2"/>
            <w:vAlign w:val="bottom"/>
          </w:tcPr>
          <w:p w:rsidR="003C1C85" w:rsidRDefault="003C1C85" w:rsidP="003C1C85">
            <w:pPr>
              <w:jc w:val="right"/>
              <w:rPr>
                <w:rFonts w:ascii="Calibri" w:hAnsi="Calibri" w:cs="Calibri"/>
                <w:b/>
                <w:bCs/>
                <w:color w:val="000000"/>
              </w:rPr>
            </w:pPr>
            <w:r>
              <w:rPr>
                <w:rFonts w:ascii="Calibri" w:hAnsi="Calibri" w:cs="Calibri"/>
                <w:b/>
                <w:bCs/>
                <w:color w:val="000000"/>
              </w:rPr>
              <w:t xml:space="preserve"> 14.575 </w:t>
            </w:r>
          </w:p>
        </w:tc>
        <w:tc>
          <w:tcPr>
            <w:tcW w:w="1843" w:type="dxa"/>
            <w:tcBorders>
              <w:top w:val="single" w:sz="4" w:space="0" w:color="auto"/>
              <w:left w:val="single" w:sz="4" w:space="0" w:color="auto"/>
              <w:bottom w:val="single" w:sz="4" w:space="0" w:color="auto"/>
              <w:right w:val="single" w:sz="4" w:space="0" w:color="auto"/>
            </w:tcBorders>
            <w:shd w:val="clear" w:color="D9E1F2" w:fill="D9E1F2"/>
            <w:vAlign w:val="bottom"/>
          </w:tcPr>
          <w:p w:rsidR="003C1C85" w:rsidRDefault="003C1C85" w:rsidP="003C1C85">
            <w:pPr>
              <w:jc w:val="right"/>
              <w:rPr>
                <w:rFonts w:ascii="Calibri" w:hAnsi="Calibri" w:cs="Calibri"/>
                <w:b/>
                <w:bCs/>
                <w:color w:val="000000"/>
              </w:rPr>
            </w:pPr>
            <w:r>
              <w:rPr>
                <w:rFonts w:ascii="Calibri" w:hAnsi="Calibri" w:cs="Calibri"/>
                <w:b/>
                <w:bCs/>
                <w:color w:val="000000"/>
              </w:rPr>
              <w:t xml:space="preserve"> 30.406.926,8 </w:t>
            </w:r>
          </w:p>
        </w:tc>
      </w:tr>
    </w:tbl>
    <w:p w:rsidR="00CE4BA2" w:rsidRDefault="00CE4BA2" w:rsidP="00FA5131">
      <w:pPr>
        <w:pStyle w:val="Heading3"/>
        <w:rPr>
          <w:lang w:val="es-CL"/>
        </w:rPr>
      </w:pPr>
    </w:p>
    <w:p w:rsidR="001D6D32" w:rsidRDefault="001D6D32" w:rsidP="00FA5131">
      <w:pPr>
        <w:pStyle w:val="Heading3"/>
        <w:rPr>
          <w:lang w:val="es-CL"/>
        </w:rPr>
      </w:pPr>
    </w:p>
    <w:p w:rsidR="001D6D32" w:rsidRDefault="001D6D32" w:rsidP="00FA5131">
      <w:pPr>
        <w:pStyle w:val="Heading3"/>
        <w:rPr>
          <w:lang w:val="es-CL"/>
        </w:rPr>
      </w:pPr>
    </w:p>
    <w:p w:rsidR="006B6863" w:rsidRPr="00501A5C" w:rsidRDefault="00501A5C" w:rsidP="00FA5131">
      <w:pPr>
        <w:pStyle w:val="Heading3"/>
        <w:rPr>
          <w:lang w:val="es-CL"/>
        </w:rPr>
      </w:pPr>
      <w:bookmarkStart w:id="23" w:name="_Toc491617766"/>
      <w:r w:rsidRPr="00501A5C">
        <w:rPr>
          <w:lang w:val="es-CL"/>
        </w:rPr>
        <w:t>Situación Sin Proyecto</w:t>
      </w:r>
      <w:bookmarkEnd w:id="23"/>
    </w:p>
    <w:p w:rsidR="00C51189" w:rsidRDefault="00501A5C" w:rsidP="00F56913">
      <w:pPr>
        <w:jc w:val="both"/>
        <w:rPr>
          <w:lang w:val="es-CL"/>
        </w:rPr>
      </w:pPr>
      <w:r>
        <w:rPr>
          <w:lang w:val="es-CL"/>
        </w:rPr>
        <w:t>En la condición sin proyecto, todas las viviendas con suministro Vcs, cuentan con medidor y servicio normal de electricidad. Por otra parte, las viviendas categorizadas como Sin Suministro (Vss) pueden estar en 2 posibles condiciones:</w:t>
      </w:r>
    </w:p>
    <w:p w:rsidR="00501A5C" w:rsidRDefault="00501A5C" w:rsidP="00501A5C">
      <w:pPr>
        <w:pStyle w:val="ListParagraph"/>
        <w:numPr>
          <w:ilvl w:val="0"/>
          <w:numId w:val="11"/>
        </w:numPr>
        <w:jc w:val="both"/>
        <w:rPr>
          <w:lang w:val="es-CL"/>
        </w:rPr>
      </w:pPr>
      <w:r>
        <w:rPr>
          <w:lang w:val="es-CL"/>
        </w:rPr>
        <w:t>Vss, sin acceso a la red de energía eléctrica, supliendo sus necesidades básicas con energías sustitutas, como velas, pilas y kerosene. Situación encontrada normalmente en zonas rurales no costeras.</w:t>
      </w:r>
    </w:p>
    <w:p w:rsidR="00501A5C" w:rsidRDefault="00501A5C" w:rsidP="00501A5C">
      <w:pPr>
        <w:pStyle w:val="ListParagraph"/>
        <w:numPr>
          <w:ilvl w:val="0"/>
          <w:numId w:val="11"/>
        </w:numPr>
        <w:jc w:val="both"/>
        <w:rPr>
          <w:lang w:val="es-CL"/>
        </w:rPr>
      </w:pPr>
      <w:r>
        <w:rPr>
          <w:lang w:val="es-CL"/>
        </w:rPr>
        <w:t>Vss, con acceso a la red de energía eléctrica, pero conectadas de manera informal, es decir, sin medidor de consumo y, por tanto, sin facturación por parte de la EED correspondiente. Situación encontrada habitualmente en zonas Urbano-Marginales y en la Costa.</w:t>
      </w:r>
    </w:p>
    <w:p w:rsidR="00501A5C" w:rsidRPr="00501A5C" w:rsidRDefault="00501A5C" w:rsidP="00501A5C">
      <w:pPr>
        <w:pStyle w:val="ListParagraph"/>
        <w:jc w:val="both"/>
        <w:rPr>
          <w:lang w:val="es-CL"/>
        </w:rPr>
      </w:pPr>
    </w:p>
    <w:p w:rsidR="005C6D62" w:rsidRDefault="00501A5C" w:rsidP="00F56913">
      <w:pPr>
        <w:jc w:val="both"/>
        <w:rPr>
          <w:lang w:val="es-CL"/>
        </w:rPr>
      </w:pPr>
      <w:r>
        <w:rPr>
          <w:lang w:val="es-CL"/>
        </w:rPr>
        <w:t>En adelante, todas las proyecciones sin y con proyecto consideran estas 2 posibilidades.</w:t>
      </w:r>
    </w:p>
    <w:p w:rsidR="00FA5131" w:rsidRDefault="00FA5131" w:rsidP="00F56913">
      <w:pPr>
        <w:jc w:val="both"/>
        <w:rPr>
          <w:lang w:val="es-CL"/>
        </w:rPr>
      </w:pPr>
      <w:r>
        <w:rPr>
          <w:lang w:val="es-CL"/>
        </w:rPr>
        <w:t xml:space="preserve">También en una situación sin proyecto se asume que el número de viviendas no cambia con el tiempo, entendiendo </w:t>
      </w:r>
      <w:r w:rsidR="00B92B10">
        <w:rPr>
          <w:lang w:val="es-CL"/>
        </w:rPr>
        <w:t>que,</w:t>
      </w:r>
      <w:r>
        <w:rPr>
          <w:lang w:val="es-CL"/>
        </w:rPr>
        <w:t xml:space="preserve"> aunque haya crecimiento, éste puede ser compensado por un fuerte componente de migración desde estas zonas.</w:t>
      </w:r>
    </w:p>
    <w:p w:rsidR="00FA5131" w:rsidRDefault="00FA5131" w:rsidP="00F56913">
      <w:pPr>
        <w:jc w:val="both"/>
        <w:rPr>
          <w:lang w:val="es-CL"/>
        </w:rPr>
      </w:pPr>
    </w:p>
    <w:p w:rsidR="00E11B7F" w:rsidRDefault="00E11B7F" w:rsidP="00F56913">
      <w:pPr>
        <w:jc w:val="both"/>
        <w:rPr>
          <w:lang w:val="es-CL"/>
        </w:rPr>
      </w:pPr>
    </w:p>
    <w:p w:rsidR="00E11B7F" w:rsidRDefault="00E11B7F" w:rsidP="00F56913">
      <w:pPr>
        <w:jc w:val="both"/>
        <w:rPr>
          <w:lang w:val="es-CL"/>
        </w:rPr>
      </w:pPr>
    </w:p>
    <w:p w:rsidR="00FA5131" w:rsidRDefault="00FA5131" w:rsidP="00F56913">
      <w:pPr>
        <w:jc w:val="both"/>
        <w:rPr>
          <w:lang w:val="es-CL"/>
        </w:rPr>
      </w:pPr>
      <w:r w:rsidRPr="00B92B10">
        <w:rPr>
          <w:b/>
          <w:lang w:val="es-CL"/>
        </w:rPr>
        <w:t>Hipótesis de Demanda por Cocinas Eléctricas de Inducción</w:t>
      </w:r>
      <w:r w:rsidR="00CE4BA2">
        <w:rPr>
          <w:b/>
          <w:lang w:val="es-CL"/>
        </w:rPr>
        <w:t xml:space="preserve"> (CEI)</w:t>
      </w:r>
      <w:r>
        <w:rPr>
          <w:lang w:val="es-CL"/>
        </w:rPr>
        <w:t>.</w:t>
      </w:r>
    </w:p>
    <w:p w:rsidR="00FA5131" w:rsidRDefault="00B92B10" w:rsidP="00F56913">
      <w:pPr>
        <w:jc w:val="both"/>
        <w:rPr>
          <w:lang w:val="es-CL"/>
        </w:rPr>
      </w:pPr>
      <w:r>
        <w:rPr>
          <w:lang w:val="es-CL"/>
        </w:rPr>
        <w:t xml:space="preserve">Como parte de la demanda proyectada de estas zonas, con y sin proyecto, se asume que existe una </w:t>
      </w:r>
      <w:r w:rsidR="00CE4BA2">
        <w:rPr>
          <w:lang w:val="es-CL"/>
        </w:rPr>
        <w:t>cobertura</w:t>
      </w:r>
      <w:r>
        <w:rPr>
          <w:lang w:val="es-CL"/>
        </w:rPr>
        <w:t xml:space="preserve"> de CEIs en un 20% de la población y esta crece paulatinamente, hasta llegar a un 85% de las viviendas hacia el final del horizonte de evaluación</w:t>
      </w:r>
      <w:r>
        <w:rPr>
          <w:rStyle w:val="FootnoteReference"/>
          <w:lang w:val="es-CL"/>
        </w:rPr>
        <w:footnoteReference w:id="21"/>
      </w:r>
      <w:r>
        <w:rPr>
          <w:lang w:val="es-CL"/>
        </w:rPr>
        <w:t>.</w:t>
      </w:r>
    </w:p>
    <w:p w:rsidR="00B92B10" w:rsidRDefault="00B92B10" w:rsidP="00F56913">
      <w:pPr>
        <w:jc w:val="both"/>
        <w:rPr>
          <w:lang w:val="es-CL"/>
        </w:rPr>
      </w:pPr>
    </w:p>
    <w:p w:rsidR="00FA5131" w:rsidRDefault="00B92B10" w:rsidP="00F56913">
      <w:pPr>
        <w:jc w:val="both"/>
        <w:rPr>
          <w:lang w:val="es-CL"/>
        </w:rPr>
      </w:pPr>
      <w:r>
        <w:rPr>
          <w:noProof/>
          <w:lang w:val="en-US"/>
        </w:rPr>
        <w:drawing>
          <wp:inline distT="0" distB="0" distL="0" distR="0" wp14:anchorId="5AAABE93">
            <wp:extent cx="5596931" cy="1809506"/>
            <wp:effectExtent l="0" t="0" r="381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8234" cy="1826093"/>
                    </a:xfrm>
                    <a:prstGeom prst="rect">
                      <a:avLst/>
                    </a:prstGeom>
                    <a:noFill/>
                  </pic:spPr>
                </pic:pic>
              </a:graphicData>
            </a:graphic>
          </wp:inline>
        </w:drawing>
      </w:r>
    </w:p>
    <w:p w:rsidR="00501A5C" w:rsidRDefault="00B92B10" w:rsidP="00F56913">
      <w:pPr>
        <w:jc w:val="both"/>
        <w:rPr>
          <w:lang w:val="es-CL"/>
        </w:rPr>
      </w:pPr>
      <w:r w:rsidRPr="00B92B10">
        <w:rPr>
          <w:b/>
          <w:lang w:val="es-CL"/>
        </w:rPr>
        <w:t>Figura 11</w:t>
      </w:r>
      <w:r>
        <w:rPr>
          <w:lang w:val="es-CL"/>
        </w:rPr>
        <w:t>. Proyección cobertu</w:t>
      </w:r>
      <w:r w:rsidR="00CE4BA2">
        <w:rPr>
          <w:lang w:val="es-CL"/>
        </w:rPr>
        <w:t>ra de Cocinas Eléctricas de Indu</w:t>
      </w:r>
      <w:r>
        <w:rPr>
          <w:lang w:val="es-CL"/>
        </w:rPr>
        <w:t>cción en Poblaciones con proyectos FERUM</w:t>
      </w:r>
    </w:p>
    <w:p w:rsidR="00501A5C" w:rsidRDefault="001B6BC2" w:rsidP="00F56913">
      <w:pPr>
        <w:jc w:val="both"/>
        <w:rPr>
          <w:lang w:val="es-CL"/>
        </w:rPr>
      </w:pPr>
      <w:r>
        <w:rPr>
          <w:lang w:val="es-CL"/>
        </w:rPr>
        <w:t>Como media se asume que las CEI consumen 40 kWh/Mes y este consumo se adiciona al consumo medio esperado para viviendas acogidas a este tipo de proyecto.</w:t>
      </w:r>
    </w:p>
    <w:p w:rsidR="001B6BC2" w:rsidRDefault="001B6BC2" w:rsidP="00F56913">
      <w:pPr>
        <w:jc w:val="both"/>
        <w:rPr>
          <w:lang w:val="es-CL"/>
        </w:rPr>
      </w:pPr>
    </w:p>
    <w:p w:rsidR="001B6BC2" w:rsidRPr="001B6BC2" w:rsidRDefault="001B6BC2" w:rsidP="00F56913">
      <w:pPr>
        <w:jc w:val="both"/>
        <w:rPr>
          <w:b/>
          <w:lang w:val="es-CL"/>
        </w:rPr>
      </w:pPr>
      <w:r w:rsidRPr="001B6BC2">
        <w:rPr>
          <w:b/>
          <w:lang w:val="es-CL"/>
        </w:rPr>
        <w:t xml:space="preserve">Proyección de la </w:t>
      </w:r>
      <w:r w:rsidR="00077DB8">
        <w:rPr>
          <w:b/>
          <w:lang w:val="es-CL"/>
        </w:rPr>
        <w:t>Venta</w:t>
      </w:r>
      <w:r w:rsidRPr="001B6BC2">
        <w:rPr>
          <w:b/>
          <w:lang w:val="es-CL"/>
        </w:rPr>
        <w:t xml:space="preserve"> de Energía Sin Proyecto</w:t>
      </w:r>
    </w:p>
    <w:p w:rsidR="001B6BC2" w:rsidRDefault="001B6BC2" w:rsidP="00F56913">
      <w:pPr>
        <w:jc w:val="both"/>
        <w:rPr>
          <w:lang w:val="es-CL"/>
        </w:rPr>
      </w:pPr>
      <w:r>
        <w:rPr>
          <w:lang w:val="es-CL"/>
        </w:rPr>
        <w:t>Para una cantidad de viviendas iniciales con suministro Vcs y considerando la hipótesis de cobertura de cocinas eléctricas de inducción, la demanda proyectada para un año i queda expresada como sigue.</w:t>
      </w:r>
    </w:p>
    <w:p w:rsidR="001B6BC2" w:rsidRDefault="001B6BC2" w:rsidP="00F56913">
      <w:pPr>
        <w:jc w:val="both"/>
        <w:rPr>
          <w:lang w:val="es-CL"/>
        </w:rPr>
      </w:pPr>
      <m:oMathPara>
        <m:oMath>
          <m:r>
            <w:rPr>
              <w:rFonts w:ascii="Cambria Math" w:hAnsi="Cambria Math"/>
              <w:lang w:val="es-CL"/>
            </w:rPr>
            <m:t>E</m:t>
          </m:r>
          <m:d>
            <m:dPr>
              <m:ctrlPr>
                <w:rPr>
                  <w:rFonts w:ascii="Cambria Math" w:hAnsi="Cambria Math"/>
                  <w:i/>
                  <w:lang w:val="es-CL"/>
                </w:rPr>
              </m:ctrlPr>
            </m:dPr>
            <m:e>
              <m:r>
                <w:rPr>
                  <w:rFonts w:ascii="Cambria Math" w:hAnsi="Cambria Math"/>
                  <w:lang w:val="es-CL"/>
                </w:rPr>
                <m:t>i</m:t>
              </m:r>
            </m:e>
          </m:d>
          <m:r>
            <w:rPr>
              <w:rFonts w:ascii="Cambria Math" w:hAnsi="Cambria Math"/>
              <w:lang w:val="es-CL"/>
            </w:rPr>
            <m:t>=12*Vcs*</m:t>
          </m:r>
          <m:d>
            <m:dPr>
              <m:begChr m:val="["/>
              <m:endChr m:val="]"/>
              <m:ctrlPr>
                <w:rPr>
                  <w:rFonts w:ascii="Cambria Math" w:hAnsi="Cambria Math"/>
                  <w:i/>
                  <w:lang w:val="es-CL"/>
                </w:rPr>
              </m:ctrlPr>
            </m:dPr>
            <m:e>
              <m:sSub>
                <m:sSubPr>
                  <m:ctrlPr>
                    <w:rPr>
                      <w:rFonts w:ascii="Cambria Math" w:hAnsi="Cambria Math"/>
                      <w:i/>
                      <w:lang w:val="es-CL"/>
                    </w:rPr>
                  </m:ctrlPr>
                </m:sSubPr>
                <m:e>
                  <m:r>
                    <w:rPr>
                      <w:rFonts w:ascii="Cambria Math" w:hAnsi="Cambria Math"/>
                      <w:lang w:val="es-CL"/>
                    </w:rPr>
                    <m:t>pc</m:t>
                  </m:r>
                </m:e>
                <m:sub>
                  <m:r>
                    <w:rPr>
                      <w:rFonts w:ascii="Cambria Math" w:hAnsi="Cambria Math"/>
                      <w:lang w:val="es-CL"/>
                    </w:rPr>
                    <m:t>i</m:t>
                  </m:r>
                </m:sub>
              </m:sSub>
              <m:r>
                <w:rPr>
                  <w:rFonts w:ascii="Cambria Math" w:hAnsi="Cambria Math"/>
                  <w:lang w:val="es-CL"/>
                </w:rPr>
                <m:t>*Cc+(1-</m:t>
              </m:r>
              <m:sSub>
                <m:sSubPr>
                  <m:ctrlPr>
                    <w:rPr>
                      <w:rFonts w:ascii="Cambria Math" w:hAnsi="Cambria Math"/>
                      <w:i/>
                      <w:lang w:val="es-CL"/>
                    </w:rPr>
                  </m:ctrlPr>
                </m:sSubPr>
                <m:e>
                  <m:r>
                    <w:rPr>
                      <w:rFonts w:ascii="Cambria Math" w:hAnsi="Cambria Math"/>
                      <w:lang w:val="es-CL"/>
                    </w:rPr>
                    <m:t>pc</m:t>
                  </m:r>
                </m:e>
                <m:sub>
                  <m:r>
                    <w:rPr>
                      <w:rFonts w:ascii="Cambria Math" w:hAnsi="Cambria Math"/>
                      <w:lang w:val="es-CL"/>
                    </w:rPr>
                    <m:t>i</m:t>
                  </m:r>
                </m:sub>
              </m:sSub>
              <m:r>
                <w:rPr>
                  <w:rFonts w:ascii="Cambria Math" w:hAnsi="Cambria Math"/>
                  <w:lang w:val="es-CL"/>
                </w:rPr>
                <m:t>)Co</m:t>
              </m:r>
              <m:sSup>
                <m:sSupPr>
                  <m:ctrlPr>
                    <w:rPr>
                      <w:rFonts w:ascii="Cambria Math" w:hAnsi="Cambria Math"/>
                      <w:i/>
                      <w:lang w:val="es-CL"/>
                    </w:rPr>
                  </m:ctrlPr>
                </m:sSupPr>
                <m:e>
                  <m:r>
                    <w:rPr>
                      <w:rFonts w:ascii="Cambria Math" w:hAnsi="Cambria Math"/>
                      <w:lang w:val="es-CL"/>
                    </w:rPr>
                    <m:t>(1+rc)</m:t>
                  </m:r>
                </m:e>
                <m:sup>
                  <m:r>
                    <w:rPr>
                      <w:rFonts w:ascii="Cambria Math" w:hAnsi="Cambria Math"/>
                      <w:lang w:val="es-CL"/>
                    </w:rPr>
                    <m:t>i</m:t>
                  </m:r>
                </m:sup>
              </m:sSup>
            </m:e>
          </m:d>
        </m:oMath>
      </m:oMathPara>
    </w:p>
    <w:p w:rsidR="00B92B10" w:rsidRDefault="00077DB8" w:rsidP="00F56913">
      <w:pPr>
        <w:jc w:val="both"/>
        <w:rPr>
          <w:lang w:val="es-CL"/>
        </w:rPr>
      </w:pPr>
      <w:r>
        <w:rPr>
          <w:lang w:val="es-CL"/>
        </w:rPr>
        <w:t>Donde</w:t>
      </w:r>
    </w:p>
    <w:p w:rsidR="00077DB8" w:rsidRDefault="00077DB8" w:rsidP="00077DB8">
      <w:pPr>
        <w:ind w:left="708"/>
        <w:jc w:val="both"/>
        <w:rPr>
          <w:lang w:val="es-CL"/>
        </w:rPr>
      </w:pPr>
      <w:r w:rsidRPr="00077DB8">
        <w:rPr>
          <w:b/>
          <w:lang w:val="es-CL"/>
        </w:rPr>
        <w:t>E(i):</w:t>
      </w:r>
      <w:r>
        <w:rPr>
          <w:lang w:val="es-CL"/>
        </w:rPr>
        <w:t xml:space="preserve"> Energía consumida </w:t>
      </w:r>
      <w:r w:rsidR="00E51BB5">
        <w:rPr>
          <w:lang w:val="es-CL"/>
        </w:rPr>
        <w:t xml:space="preserve">y leída </w:t>
      </w:r>
      <w:r>
        <w:rPr>
          <w:lang w:val="es-CL"/>
        </w:rPr>
        <w:t>en el año i</w:t>
      </w:r>
      <w:r w:rsidR="00E51BB5">
        <w:rPr>
          <w:lang w:val="es-CL"/>
        </w:rPr>
        <w:t>, por las viviendas con suministro.</w:t>
      </w:r>
    </w:p>
    <w:p w:rsidR="00077DB8" w:rsidRDefault="00077DB8" w:rsidP="00077DB8">
      <w:pPr>
        <w:ind w:left="708"/>
        <w:jc w:val="both"/>
        <w:rPr>
          <w:lang w:val="es-CL"/>
        </w:rPr>
      </w:pPr>
      <w:r w:rsidRPr="00077DB8">
        <w:rPr>
          <w:b/>
          <w:lang w:val="es-CL"/>
        </w:rPr>
        <w:t>Vcs:</w:t>
      </w:r>
      <w:r>
        <w:rPr>
          <w:lang w:val="es-CL"/>
        </w:rPr>
        <w:t xml:space="preserve"> Número de viviendas iniciales con suministro (sin proyecto)</w:t>
      </w:r>
    </w:p>
    <w:p w:rsidR="00077DB8" w:rsidRDefault="00077DB8" w:rsidP="00077DB8">
      <w:pPr>
        <w:ind w:left="708"/>
        <w:jc w:val="both"/>
        <w:rPr>
          <w:lang w:val="es-CL"/>
        </w:rPr>
      </w:pPr>
      <w:r w:rsidRPr="00077DB8">
        <w:rPr>
          <w:b/>
          <w:lang w:val="es-CL"/>
        </w:rPr>
        <w:t>Pci</w:t>
      </w:r>
      <w:r>
        <w:rPr>
          <w:lang w:val="es-CL"/>
        </w:rPr>
        <w:t>: Porcentaje de Viviendas con Cocinas Eléctricas de Inducción (CEI) en el año i.</w:t>
      </w:r>
    </w:p>
    <w:p w:rsidR="00077DB8" w:rsidRDefault="00077DB8" w:rsidP="00077DB8">
      <w:pPr>
        <w:ind w:left="708"/>
        <w:jc w:val="both"/>
        <w:rPr>
          <w:lang w:val="es-CL"/>
        </w:rPr>
      </w:pPr>
      <w:r w:rsidRPr="00077DB8">
        <w:rPr>
          <w:b/>
          <w:lang w:val="es-CL"/>
        </w:rPr>
        <w:t>Cc:</w:t>
      </w:r>
      <w:r>
        <w:rPr>
          <w:lang w:val="es-CL"/>
        </w:rPr>
        <w:t xml:space="preserve"> Consumo esperado mensual de cada CEI.</w:t>
      </w:r>
    </w:p>
    <w:p w:rsidR="00077DB8" w:rsidRDefault="00077DB8" w:rsidP="00077DB8">
      <w:pPr>
        <w:ind w:left="708"/>
        <w:jc w:val="both"/>
        <w:rPr>
          <w:lang w:val="es-CL"/>
        </w:rPr>
      </w:pPr>
      <w:r w:rsidRPr="00077DB8">
        <w:rPr>
          <w:b/>
          <w:lang w:val="es-CL"/>
        </w:rPr>
        <w:t>Co:</w:t>
      </w:r>
      <w:r>
        <w:rPr>
          <w:lang w:val="es-CL"/>
        </w:rPr>
        <w:t xml:space="preserve"> Consumo esperado mensual de una vivienda sin CEI.</w:t>
      </w:r>
    </w:p>
    <w:p w:rsidR="00077DB8" w:rsidRDefault="00077DB8" w:rsidP="00077DB8">
      <w:pPr>
        <w:ind w:left="708"/>
        <w:jc w:val="both"/>
        <w:rPr>
          <w:lang w:val="es-CL"/>
        </w:rPr>
      </w:pPr>
      <w:r w:rsidRPr="00077DB8">
        <w:rPr>
          <w:b/>
          <w:lang w:val="es-CL"/>
        </w:rPr>
        <w:t>rc:</w:t>
      </w:r>
      <w:r>
        <w:rPr>
          <w:lang w:val="es-CL"/>
        </w:rPr>
        <w:t xml:space="preserve"> Tasa de crecimiento anual del Consumo esperado de una vivienda sin CEI.</w:t>
      </w:r>
    </w:p>
    <w:p w:rsidR="00077DB8" w:rsidRDefault="00077DB8" w:rsidP="00F56913">
      <w:pPr>
        <w:jc w:val="both"/>
        <w:rPr>
          <w:lang w:val="es-CL"/>
        </w:rPr>
      </w:pPr>
    </w:p>
    <w:p w:rsidR="00810BA0" w:rsidRDefault="00810BA0" w:rsidP="00F56913">
      <w:pPr>
        <w:jc w:val="both"/>
        <w:rPr>
          <w:lang w:val="es-CL"/>
        </w:rPr>
      </w:pPr>
      <w:r>
        <w:rPr>
          <w:lang w:val="es-CL"/>
        </w:rPr>
        <w:t>Las ventas de energía, sin proyecto, se calculan considerando la energía E(i), multiplicada por el Precio Medio de Venta de la respectiva Distribuidora (US$/kWh) y adicionando mensualmente el cargo tarifario de comercialización de 1.414 US$/Mes/Cliente</w:t>
      </w:r>
    </w:p>
    <w:p w:rsidR="00810BA0" w:rsidRDefault="00810BA0" w:rsidP="00F56913">
      <w:pPr>
        <w:jc w:val="both"/>
        <w:rPr>
          <w:lang w:val="es-CL"/>
        </w:rPr>
      </w:pPr>
    </w:p>
    <w:p w:rsidR="00810BA0" w:rsidRDefault="00810BA0" w:rsidP="00F56913">
      <w:pPr>
        <w:jc w:val="both"/>
        <w:rPr>
          <w:lang w:val="es-CL"/>
        </w:rPr>
      </w:pPr>
      <w:r>
        <w:rPr>
          <w:lang w:val="es-CL"/>
        </w:rPr>
        <w:t>Las siguientes tablas muestran cómo se ha estimado el Cargo Variable Tarifario Medio de Venta de la energía para viviendas Sin y Con Cocinas Eléctricas de Inducción para años posteriores al 2017 (cuando se supone que no existirá el Subsidio PEC).</w:t>
      </w:r>
    </w:p>
    <w:p w:rsidR="00810BA0" w:rsidRDefault="00810BA0" w:rsidP="00F56913">
      <w:pPr>
        <w:jc w:val="both"/>
        <w:rPr>
          <w:lang w:val="es-CL"/>
        </w:rPr>
      </w:pPr>
    </w:p>
    <w:p w:rsidR="00810BA0" w:rsidRDefault="00DE5270" w:rsidP="00F56913">
      <w:pPr>
        <w:jc w:val="both"/>
        <w:rPr>
          <w:lang w:val="es-CL"/>
        </w:rPr>
      </w:pPr>
      <w:r w:rsidRPr="00DE5270">
        <w:rPr>
          <w:noProof/>
          <w:lang w:val="en-US"/>
        </w:rPr>
        <w:drawing>
          <wp:inline distT="0" distB="0" distL="0" distR="0">
            <wp:extent cx="5612130" cy="2132908"/>
            <wp:effectExtent l="0" t="0" r="762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132908"/>
                    </a:xfrm>
                    <a:prstGeom prst="rect">
                      <a:avLst/>
                    </a:prstGeom>
                    <a:noFill/>
                    <a:ln>
                      <a:noFill/>
                    </a:ln>
                  </pic:spPr>
                </pic:pic>
              </a:graphicData>
            </a:graphic>
          </wp:inline>
        </w:drawing>
      </w:r>
    </w:p>
    <w:p w:rsidR="00DE5270" w:rsidRDefault="00DE5270" w:rsidP="00F56913">
      <w:pPr>
        <w:jc w:val="both"/>
        <w:rPr>
          <w:lang w:val="es-CL"/>
        </w:rPr>
      </w:pPr>
      <w:r w:rsidRPr="00DE5270">
        <w:rPr>
          <w:b/>
          <w:lang w:val="es-CL"/>
        </w:rPr>
        <w:t>Figura 12. Viviendas Sin CEI.</w:t>
      </w:r>
      <w:r>
        <w:rPr>
          <w:lang w:val="es-CL"/>
        </w:rPr>
        <w:t xml:space="preserve"> Estimación del cargo variable (US$/kWh) a partir del consumo estimado por vivienda (kWh/Cliente) y las tarifas residenciales escalonadas vigentes en Baja Tensión.</w:t>
      </w:r>
    </w:p>
    <w:p w:rsidR="00DE5270" w:rsidRDefault="00DE5270" w:rsidP="00F56913">
      <w:pPr>
        <w:jc w:val="both"/>
        <w:rPr>
          <w:lang w:val="es-CL"/>
        </w:rPr>
      </w:pPr>
      <w:r w:rsidRPr="00DE5270">
        <w:rPr>
          <w:noProof/>
          <w:lang w:val="en-US"/>
        </w:rPr>
        <w:drawing>
          <wp:inline distT="0" distB="0" distL="0" distR="0">
            <wp:extent cx="5612130" cy="2195561"/>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195561"/>
                    </a:xfrm>
                    <a:prstGeom prst="rect">
                      <a:avLst/>
                    </a:prstGeom>
                    <a:noFill/>
                    <a:ln>
                      <a:noFill/>
                    </a:ln>
                  </pic:spPr>
                </pic:pic>
              </a:graphicData>
            </a:graphic>
          </wp:inline>
        </w:drawing>
      </w:r>
    </w:p>
    <w:p w:rsidR="00DE5270" w:rsidRDefault="00DE5270" w:rsidP="00DE5270">
      <w:pPr>
        <w:jc w:val="both"/>
        <w:rPr>
          <w:lang w:val="es-CL"/>
        </w:rPr>
      </w:pPr>
      <w:r w:rsidRPr="00DE5270">
        <w:rPr>
          <w:b/>
          <w:lang w:val="es-CL"/>
        </w:rPr>
        <w:t>Figura 1</w:t>
      </w:r>
      <w:r>
        <w:rPr>
          <w:b/>
          <w:lang w:val="es-CL"/>
        </w:rPr>
        <w:t>3</w:t>
      </w:r>
      <w:r w:rsidRPr="00DE5270">
        <w:rPr>
          <w:b/>
          <w:lang w:val="es-CL"/>
        </w:rPr>
        <w:t xml:space="preserve">. Viviendas </w:t>
      </w:r>
      <w:r>
        <w:rPr>
          <w:b/>
          <w:lang w:val="es-CL"/>
        </w:rPr>
        <w:t>Con</w:t>
      </w:r>
      <w:r w:rsidRPr="00DE5270">
        <w:rPr>
          <w:b/>
          <w:lang w:val="es-CL"/>
        </w:rPr>
        <w:t xml:space="preserve"> CEI.</w:t>
      </w:r>
      <w:r>
        <w:rPr>
          <w:lang w:val="es-CL"/>
        </w:rPr>
        <w:t xml:space="preserve"> Estimación del cargo variable (US$/kWh) a partir del consumo estimado por vivienda (kWh/Cliente) y las tarifas residenciales escalonadas vigentes en Baja Tensión.</w:t>
      </w:r>
    </w:p>
    <w:p w:rsidR="00810BA0" w:rsidRDefault="00810BA0" w:rsidP="00F56913">
      <w:pPr>
        <w:jc w:val="both"/>
        <w:rPr>
          <w:lang w:val="es-CL"/>
        </w:rPr>
      </w:pPr>
    </w:p>
    <w:p w:rsidR="00DE5270" w:rsidRDefault="00DE5270" w:rsidP="00F56913">
      <w:pPr>
        <w:jc w:val="both"/>
        <w:rPr>
          <w:lang w:val="es-CL"/>
        </w:rPr>
      </w:pPr>
    </w:p>
    <w:p w:rsidR="00077DB8" w:rsidRDefault="00077DB8" w:rsidP="00F56913">
      <w:pPr>
        <w:jc w:val="both"/>
        <w:rPr>
          <w:lang w:val="es-CL"/>
        </w:rPr>
      </w:pPr>
      <w:r>
        <w:rPr>
          <w:lang w:val="es-CL"/>
        </w:rPr>
        <w:t>La siguiente figura muestra la proyección de la venta de energía sin proyecto resultante de estas definiciones</w:t>
      </w:r>
      <w:r w:rsidR="003B547C">
        <w:rPr>
          <w:lang w:val="es-CL"/>
        </w:rPr>
        <w:t xml:space="preserve"> para el total de zonas que serán atendidas por los 435 proyectos</w:t>
      </w:r>
      <w:r>
        <w:rPr>
          <w:lang w:val="es-CL"/>
        </w:rPr>
        <w:t>.</w:t>
      </w:r>
    </w:p>
    <w:p w:rsidR="00DE5270" w:rsidRDefault="00DE5270" w:rsidP="00F56913">
      <w:pPr>
        <w:jc w:val="both"/>
        <w:rPr>
          <w:lang w:val="es-CL"/>
        </w:rPr>
      </w:pPr>
    </w:p>
    <w:p w:rsidR="00810BA0" w:rsidRDefault="00A67F73" w:rsidP="00CE4BA2">
      <w:pPr>
        <w:jc w:val="center"/>
        <w:rPr>
          <w:lang w:val="es-CL"/>
        </w:rPr>
      </w:pPr>
      <w:r>
        <w:rPr>
          <w:noProof/>
          <w:lang w:val="en-US"/>
        </w:rPr>
        <w:drawing>
          <wp:inline distT="0" distB="0" distL="0" distR="0" wp14:anchorId="29E95D68">
            <wp:extent cx="5614481" cy="1866001"/>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0977" cy="1881454"/>
                    </a:xfrm>
                    <a:prstGeom prst="rect">
                      <a:avLst/>
                    </a:prstGeom>
                    <a:noFill/>
                  </pic:spPr>
                </pic:pic>
              </a:graphicData>
            </a:graphic>
          </wp:inline>
        </w:drawing>
      </w:r>
    </w:p>
    <w:p w:rsidR="00DE5270" w:rsidRDefault="00DE5270" w:rsidP="00DE5270">
      <w:pPr>
        <w:jc w:val="center"/>
        <w:rPr>
          <w:lang w:val="es-CL"/>
        </w:rPr>
      </w:pPr>
      <w:r w:rsidRPr="00A67F73">
        <w:rPr>
          <w:b/>
          <w:lang w:val="es-CL"/>
        </w:rPr>
        <w:t>Figura 14</w:t>
      </w:r>
      <w:r w:rsidRPr="00A67F73">
        <w:rPr>
          <w:lang w:val="es-CL"/>
        </w:rPr>
        <w:t>. Proyección de Ventas de Energía Sin Proyecto</w:t>
      </w:r>
    </w:p>
    <w:p w:rsidR="00077DB8" w:rsidRDefault="00077DB8" w:rsidP="00F56913">
      <w:pPr>
        <w:jc w:val="both"/>
        <w:rPr>
          <w:lang w:val="es-CL"/>
        </w:rPr>
      </w:pPr>
    </w:p>
    <w:p w:rsidR="00077DB8" w:rsidRDefault="00077DB8" w:rsidP="00F56913">
      <w:pPr>
        <w:jc w:val="both"/>
        <w:rPr>
          <w:lang w:val="es-CL"/>
        </w:rPr>
      </w:pPr>
    </w:p>
    <w:p w:rsidR="00077DB8" w:rsidRPr="00376E5A" w:rsidRDefault="00ED476C" w:rsidP="00F56913">
      <w:pPr>
        <w:jc w:val="both"/>
        <w:rPr>
          <w:b/>
          <w:lang w:val="es-CL"/>
        </w:rPr>
      </w:pPr>
      <w:r w:rsidRPr="00376E5A">
        <w:rPr>
          <w:b/>
          <w:lang w:val="es-CL"/>
        </w:rPr>
        <w:t>Proyección Compras de Energía Sin Proyecto</w:t>
      </w:r>
    </w:p>
    <w:p w:rsidR="00ED476C" w:rsidRDefault="00E51BB5" w:rsidP="00F56913">
      <w:pPr>
        <w:jc w:val="both"/>
        <w:rPr>
          <w:lang w:val="es-CL"/>
        </w:rPr>
      </w:pPr>
      <w:r>
        <w:rPr>
          <w:lang w:val="es-CL"/>
        </w:rPr>
        <w:t>En la situación sin proyecto, la EED debe comprar energía por 2 conceptos:</w:t>
      </w:r>
    </w:p>
    <w:p w:rsidR="00E51BB5" w:rsidRDefault="00E51BB5" w:rsidP="00E51BB5">
      <w:pPr>
        <w:pStyle w:val="ListParagraph"/>
        <w:numPr>
          <w:ilvl w:val="0"/>
          <w:numId w:val="12"/>
        </w:numPr>
        <w:jc w:val="both"/>
        <w:rPr>
          <w:lang w:val="es-CL"/>
        </w:rPr>
      </w:pPr>
      <w:r>
        <w:rPr>
          <w:lang w:val="es-CL"/>
        </w:rPr>
        <w:t>Energía demandada por las Viviendas Con Suministro</w:t>
      </w:r>
    </w:p>
    <w:p w:rsidR="00E51BB5" w:rsidRDefault="00E51BB5" w:rsidP="00E51BB5">
      <w:pPr>
        <w:pStyle w:val="ListParagraph"/>
        <w:numPr>
          <w:ilvl w:val="0"/>
          <w:numId w:val="12"/>
        </w:numPr>
        <w:jc w:val="both"/>
        <w:rPr>
          <w:lang w:val="es-CL"/>
        </w:rPr>
      </w:pPr>
      <w:r>
        <w:rPr>
          <w:lang w:val="es-CL"/>
        </w:rPr>
        <w:t>Energía demanda por las Viviendas Sin Suministro, pero que se encuentran conectadas a la red eléctrica de manera informal (sin medidor).</w:t>
      </w:r>
    </w:p>
    <w:p w:rsidR="00E51BB5" w:rsidRPr="003B7CF7" w:rsidRDefault="00E51BB5" w:rsidP="00E51BB5">
      <w:pPr>
        <w:jc w:val="both"/>
        <w:rPr>
          <w:b/>
          <w:i/>
          <w:lang w:val="es-CL"/>
        </w:rPr>
      </w:pPr>
      <w:r w:rsidRPr="003B7CF7">
        <w:rPr>
          <w:b/>
          <w:i/>
          <w:lang w:val="es-CL"/>
        </w:rPr>
        <w:t>Compra Para Viviendas Con Suministro:</w:t>
      </w:r>
    </w:p>
    <w:p w:rsidR="00E51BB5" w:rsidRPr="00376E5A" w:rsidRDefault="00E51BB5" w:rsidP="00376E5A">
      <w:pPr>
        <w:jc w:val="center"/>
        <w:rPr>
          <w:b/>
          <w:lang w:val="en-US"/>
        </w:rPr>
      </w:pPr>
      <w:r w:rsidRPr="00376E5A">
        <w:rPr>
          <w:b/>
          <w:lang w:val="en-US"/>
        </w:rPr>
        <w:t>Ec(Vcs)(i) = E(i)/(1-Pd)</w:t>
      </w:r>
    </w:p>
    <w:p w:rsidR="00E51BB5" w:rsidRPr="0086570A" w:rsidRDefault="00E51BB5" w:rsidP="00E51BB5">
      <w:pPr>
        <w:jc w:val="both"/>
      </w:pPr>
      <w:r w:rsidRPr="0086570A">
        <w:t>Donde:</w:t>
      </w:r>
    </w:p>
    <w:p w:rsidR="00E51BB5" w:rsidRDefault="00E51BB5" w:rsidP="00376E5A">
      <w:pPr>
        <w:ind w:left="708"/>
        <w:jc w:val="both"/>
      </w:pPr>
      <w:r w:rsidRPr="00376E5A">
        <w:rPr>
          <w:b/>
        </w:rPr>
        <w:t>Ec(Vcs)(i):</w:t>
      </w:r>
      <w:r w:rsidRPr="00E51BB5">
        <w:t xml:space="preserve"> Energía a comprar para cubrir la demanda de energ</w:t>
      </w:r>
      <w:r>
        <w:t>ía de las viviendas Con Suministro, en el año i.</w:t>
      </w:r>
    </w:p>
    <w:p w:rsidR="00E51BB5" w:rsidRDefault="00E51BB5" w:rsidP="00376E5A">
      <w:pPr>
        <w:ind w:left="708"/>
        <w:jc w:val="both"/>
      </w:pPr>
      <w:r w:rsidRPr="00376E5A">
        <w:rPr>
          <w:b/>
        </w:rPr>
        <w:t>E(i):</w:t>
      </w:r>
      <w:r>
        <w:t xml:space="preserve"> Energía consumida y leída en el año i, por las viviendas con suministro.</w:t>
      </w:r>
    </w:p>
    <w:p w:rsidR="00376E5A" w:rsidRPr="00E51BB5" w:rsidRDefault="00376E5A" w:rsidP="00376E5A">
      <w:pPr>
        <w:ind w:left="708"/>
        <w:jc w:val="both"/>
      </w:pPr>
      <w:r w:rsidRPr="00376E5A">
        <w:rPr>
          <w:b/>
        </w:rPr>
        <w:t>Pd:</w:t>
      </w:r>
      <w:r>
        <w:t xml:space="preserve"> Pérdidas Técnicas en Distribución</w:t>
      </w:r>
    </w:p>
    <w:p w:rsidR="00E51BB5" w:rsidRDefault="00E51BB5" w:rsidP="00E51BB5">
      <w:pPr>
        <w:jc w:val="both"/>
      </w:pPr>
    </w:p>
    <w:p w:rsidR="00376E5A" w:rsidRPr="003B7CF7" w:rsidRDefault="00376E5A" w:rsidP="00E51BB5">
      <w:pPr>
        <w:jc w:val="both"/>
        <w:rPr>
          <w:b/>
          <w:i/>
        </w:rPr>
      </w:pPr>
      <w:r w:rsidRPr="003B7CF7">
        <w:rPr>
          <w:b/>
          <w:i/>
        </w:rPr>
        <w:t xml:space="preserve">Compra para Viviendas Sin Suministro, </w:t>
      </w:r>
      <w:r w:rsidR="00F10A5F" w:rsidRPr="003B7CF7">
        <w:rPr>
          <w:b/>
          <w:i/>
        </w:rPr>
        <w:t xml:space="preserve">pero </w:t>
      </w:r>
      <w:r w:rsidRPr="003B7CF7">
        <w:rPr>
          <w:b/>
          <w:i/>
        </w:rPr>
        <w:t xml:space="preserve">conectadas sin </w:t>
      </w:r>
      <w:r w:rsidR="00F10A5F" w:rsidRPr="003B7CF7">
        <w:rPr>
          <w:b/>
          <w:i/>
        </w:rPr>
        <w:t xml:space="preserve">un </w:t>
      </w:r>
      <w:r w:rsidRPr="003B7CF7">
        <w:rPr>
          <w:b/>
          <w:i/>
        </w:rPr>
        <w:t>medidor.</w:t>
      </w:r>
    </w:p>
    <w:p w:rsidR="00376E5A" w:rsidRDefault="00376E5A" w:rsidP="00E51BB5">
      <w:pPr>
        <w:jc w:val="both"/>
      </w:pPr>
    </w:p>
    <w:p w:rsidR="00376E5A" w:rsidRPr="00F10A5F" w:rsidRDefault="00376E5A" w:rsidP="00F10A5F">
      <w:pPr>
        <w:jc w:val="center"/>
        <w:rPr>
          <w:b/>
          <w:lang w:val="en-US"/>
        </w:rPr>
      </w:pPr>
      <w:r w:rsidRPr="00F10A5F">
        <w:rPr>
          <w:b/>
          <w:lang w:val="en-US"/>
        </w:rPr>
        <w:t xml:space="preserve">Ec(Vss)(i) = </w:t>
      </w:r>
      <w:r w:rsidR="00F10A5F" w:rsidRPr="00F10A5F">
        <w:rPr>
          <w:b/>
          <w:lang w:val="en-US"/>
        </w:rPr>
        <w:t xml:space="preserve">12 * </w:t>
      </w:r>
      <w:r w:rsidRPr="00F10A5F">
        <w:rPr>
          <w:b/>
          <w:lang w:val="en-US"/>
        </w:rPr>
        <w:t>Vss</w:t>
      </w:r>
      <w:r w:rsidR="00F10A5F" w:rsidRPr="00F10A5F">
        <w:rPr>
          <w:b/>
          <w:lang w:val="en-US"/>
        </w:rPr>
        <w:t xml:space="preserve"> </w:t>
      </w:r>
      <w:r w:rsidRPr="00F10A5F">
        <w:rPr>
          <w:b/>
          <w:lang w:val="en-US"/>
        </w:rPr>
        <w:t>* Co*</w:t>
      </w:r>
      <w:r w:rsidR="00F10A5F" w:rsidRPr="00F10A5F">
        <w:rPr>
          <w:b/>
          <w:lang w:val="en-US"/>
        </w:rPr>
        <w:t xml:space="preserve"> </w:t>
      </w:r>
      <w:r w:rsidRPr="00F10A5F">
        <w:rPr>
          <w:b/>
          <w:lang w:val="en-US"/>
        </w:rPr>
        <w:t>FSC/(1-Pd)</w:t>
      </w:r>
    </w:p>
    <w:p w:rsidR="00077DB8" w:rsidRPr="00F10A5F" w:rsidRDefault="00F10A5F" w:rsidP="00F56913">
      <w:pPr>
        <w:jc w:val="both"/>
      </w:pPr>
      <w:r w:rsidRPr="00F10A5F">
        <w:t>Donde:</w:t>
      </w:r>
    </w:p>
    <w:p w:rsidR="00F10A5F" w:rsidRDefault="00F10A5F" w:rsidP="00F10A5F">
      <w:pPr>
        <w:ind w:left="708"/>
        <w:jc w:val="both"/>
      </w:pPr>
      <w:r w:rsidRPr="00F10A5F">
        <w:rPr>
          <w:b/>
        </w:rPr>
        <w:t>Ec(Vss)(i)</w:t>
      </w:r>
      <w:r w:rsidRPr="00F10A5F">
        <w:t xml:space="preserve">: Energía que la EED debe comprar como consecuencia del </w:t>
      </w:r>
      <w:r>
        <w:t>consumo</w:t>
      </w:r>
      <w:r w:rsidRPr="00F10A5F">
        <w:t xml:space="preserve"> informal que se observa en las Viviendas sin suministro conectadas a la red el</w:t>
      </w:r>
      <w:r>
        <w:t>éctrica sin un medidor.</w:t>
      </w:r>
    </w:p>
    <w:p w:rsidR="00F10A5F" w:rsidRDefault="00F10A5F" w:rsidP="00F10A5F">
      <w:pPr>
        <w:ind w:left="708"/>
        <w:jc w:val="both"/>
      </w:pPr>
      <w:r w:rsidRPr="00F10A5F">
        <w:rPr>
          <w:b/>
        </w:rPr>
        <w:t>Vss:</w:t>
      </w:r>
      <w:r>
        <w:t xml:space="preserve"> Número de viviendas sin suministro ubicadas en zonas Urbano-Marginales o Rural Costera. No cuentan las zonas rurales del interior.</w:t>
      </w:r>
    </w:p>
    <w:p w:rsidR="00F10A5F" w:rsidRDefault="00F10A5F" w:rsidP="00F10A5F">
      <w:pPr>
        <w:ind w:left="708"/>
        <w:jc w:val="both"/>
      </w:pPr>
      <w:r w:rsidRPr="00F10A5F">
        <w:rPr>
          <w:b/>
        </w:rPr>
        <w:t>Co:</w:t>
      </w:r>
      <w:r>
        <w:t xml:space="preserve"> Consumo mensual esperado para viviendas sin cocina eléctrica de inducción.</w:t>
      </w:r>
    </w:p>
    <w:p w:rsidR="00F10A5F" w:rsidRDefault="00F10A5F" w:rsidP="00F10A5F">
      <w:pPr>
        <w:ind w:left="708"/>
        <w:jc w:val="both"/>
      </w:pPr>
      <w:r w:rsidRPr="00F10A5F">
        <w:rPr>
          <w:b/>
        </w:rPr>
        <w:t>FSC:</w:t>
      </w:r>
      <w:r>
        <w:t xml:space="preserve"> Factor de Sobre Consumo. Valor superior a la unidad que representa un comportamiento de consumo sin el límite económico de una factura mensual. Valor típico aportado por el consultor: 2.2.</w:t>
      </w:r>
    </w:p>
    <w:p w:rsidR="00F10A5F" w:rsidRDefault="00F10A5F" w:rsidP="00F10A5F">
      <w:pPr>
        <w:ind w:left="708"/>
        <w:jc w:val="both"/>
      </w:pPr>
      <w:r w:rsidRPr="00F10A5F">
        <w:rPr>
          <w:b/>
        </w:rPr>
        <w:t>Pd:</w:t>
      </w:r>
      <w:r>
        <w:t xml:space="preserve"> Pérdidas técnicas en distribución.</w:t>
      </w:r>
    </w:p>
    <w:p w:rsidR="00CD6998" w:rsidRDefault="00890090" w:rsidP="00F56913">
      <w:pPr>
        <w:jc w:val="both"/>
      </w:pPr>
      <w:r>
        <w:rPr>
          <w:noProof/>
          <w:lang w:val="en-US"/>
        </w:rPr>
        <w:drawing>
          <wp:anchor distT="0" distB="0" distL="114300" distR="114300" simplePos="0" relativeHeight="251660288" behindDoc="0" locked="0" layoutInCell="1" allowOverlap="1">
            <wp:simplePos x="0" y="0"/>
            <wp:positionH relativeFrom="column">
              <wp:posOffset>45085</wp:posOffset>
            </wp:positionH>
            <wp:positionV relativeFrom="paragraph">
              <wp:posOffset>170180</wp:posOffset>
            </wp:positionV>
            <wp:extent cx="3456305" cy="186436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6305" cy="1864360"/>
                    </a:xfrm>
                    <a:prstGeom prst="rect">
                      <a:avLst/>
                    </a:prstGeom>
                    <a:noFill/>
                  </pic:spPr>
                </pic:pic>
              </a:graphicData>
            </a:graphic>
            <wp14:sizeRelH relativeFrom="margin">
              <wp14:pctWidth>0</wp14:pctWidth>
            </wp14:sizeRelH>
            <wp14:sizeRelV relativeFrom="margin">
              <wp14:pctHeight>0</wp14:pctHeight>
            </wp14:sizeRelV>
          </wp:anchor>
        </w:drawing>
      </w:r>
    </w:p>
    <w:p w:rsidR="003B7CF7" w:rsidRDefault="003B7CF7" w:rsidP="00F56913">
      <w:pPr>
        <w:jc w:val="both"/>
        <w:rPr>
          <w:b/>
        </w:rPr>
      </w:pPr>
    </w:p>
    <w:p w:rsidR="003B7CF7" w:rsidRDefault="003B7CF7" w:rsidP="00F56913">
      <w:pPr>
        <w:jc w:val="both"/>
        <w:rPr>
          <w:b/>
        </w:rPr>
      </w:pPr>
    </w:p>
    <w:p w:rsidR="00CD6998" w:rsidRDefault="003B7CF7" w:rsidP="00F56913">
      <w:pPr>
        <w:jc w:val="both"/>
      </w:pPr>
      <w:r w:rsidRPr="00890090">
        <w:rPr>
          <w:b/>
        </w:rPr>
        <w:t>Figura 15.</w:t>
      </w:r>
      <w:r w:rsidRPr="00890090">
        <w:t xml:space="preserve"> </w:t>
      </w:r>
      <w:r w:rsidR="00CD6998" w:rsidRPr="00890090">
        <w:t xml:space="preserve">Consumo mensual no registrado, </w:t>
      </w:r>
      <w:r w:rsidR="00890090" w:rsidRPr="00890090">
        <w:t xml:space="preserve">con Sobre Consumo, </w:t>
      </w:r>
      <w:r w:rsidR="00CD6998" w:rsidRPr="00890090">
        <w:t>según viviendas sin suministro</w:t>
      </w:r>
      <w:r w:rsidRPr="00890090">
        <w:t xml:space="preserve"> identificadas por proyectos FERUM en zonas Urbano-Marginales y Rural Costa</w:t>
      </w:r>
      <w:r>
        <w:t>.</w:t>
      </w:r>
    </w:p>
    <w:p w:rsidR="00CD6998" w:rsidRPr="00F10A5F" w:rsidRDefault="00CD6998" w:rsidP="00F56913">
      <w:pPr>
        <w:jc w:val="both"/>
      </w:pPr>
    </w:p>
    <w:p w:rsidR="00F10A5F" w:rsidRDefault="00F10A5F" w:rsidP="00F56913">
      <w:pPr>
        <w:jc w:val="both"/>
      </w:pPr>
      <w:r>
        <w:t>Para determinar el costo monetario por compra de energía Sin Proyecto, se considera el Precio Medio de Compra de cada EED, registrado en las Estadísticas Multianuales del Sector Eléctrico 2016.</w:t>
      </w:r>
    </w:p>
    <w:p w:rsidR="00F10A5F" w:rsidRDefault="00F10A5F" w:rsidP="00F56913">
      <w:pPr>
        <w:jc w:val="both"/>
      </w:pPr>
      <w:r>
        <w:t xml:space="preserve">Con esto, resulta el costo de compra de energía </w:t>
      </w:r>
      <w:r w:rsidR="003230D4">
        <w:t xml:space="preserve">sin proyecto </w:t>
      </w:r>
      <w:r>
        <w:t xml:space="preserve">que se </w:t>
      </w:r>
      <w:r w:rsidR="003230D4">
        <w:t>proyecta según</w:t>
      </w:r>
      <w:r>
        <w:t xml:space="preserve"> la siguiente figura.</w:t>
      </w:r>
    </w:p>
    <w:p w:rsidR="00F10A5F" w:rsidRDefault="00020E04" w:rsidP="003230D4">
      <w:r>
        <w:rPr>
          <w:noProof/>
          <w:lang w:val="en-US"/>
        </w:rPr>
        <w:drawing>
          <wp:inline distT="0" distB="0" distL="0" distR="0" wp14:anchorId="0876D5AF">
            <wp:extent cx="5587960" cy="20982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7677" cy="2113209"/>
                    </a:xfrm>
                    <a:prstGeom prst="rect">
                      <a:avLst/>
                    </a:prstGeom>
                    <a:noFill/>
                  </pic:spPr>
                </pic:pic>
              </a:graphicData>
            </a:graphic>
          </wp:inline>
        </w:drawing>
      </w:r>
    </w:p>
    <w:p w:rsidR="00CE4BA2" w:rsidRPr="00F10A5F" w:rsidRDefault="00CE4BA2" w:rsidP="00F56913">
      <w:pPr>
        <w:jc w:val="both"/>
      </w:pPr>
      <w:r w:rsidRPr="00020E04">
        <w:rPr>
          <w:b/>
        </w:rPr>
        <w:t>Figura 16.</w:t>
      </w:r>
      <w:r w:rsidRPr="00020E04">
        <w:t xml:space="preserve"> Proyección de las Compras de Energía Sin Proyecto para el total de zonas consideradas por el proyecto FERUM. Resulta ser mucho mayor que la proyección de ventas de energía sin proyecto en las mismas zonas (ver figura 14).</w:t>
      </w:r>
    </w:p>
    <w:p w:rsidR="00F10A5F" w:rsidRDefault="003230D4" w:rsidP="003230D4">
      <w:pPr>
        <w:pStyle w:val="Heading3"/>
      </w:pPr>
      <w:bookmarkStart w:id="24" w:name="_Toc491617767"/>
      <w:r>
        <w:t>Evaluación Financiera Proyectos FERUM</w:t>
      </w:r>
      <w:bookmarkEnd w:id="24"/>
    </w:p>
    <w:p w:rsidR="003230D4" w:rsidRDefault="003230D4" w:rsidP="00F56913">
      <w:pPr>
        <w:jc w:val="both"/>
      </w:pPr>
      <w:r>
        <w:t>La evaluación financiera de los proyectos FERUM considera los siguientes flujos monetarios desde el punto de vista de cada entidad ejecutora (cada Distribuidora).</w:t>
      </w:r>
    </w:p>
    <w:p w:rsidR="003230D4" w:rsidRDefault="003230D4" w:rsidP="003230D4">
      <w:pPr>
        <w:pStyle w:val="ListParagraph"/>
        <w:numPr>
          <w:ilvl w:val="0"/>
          <w:numId w:val="13"/>
        </w:numPr>
        <w:jc w:val="both"/>
      </w:pPr>
      <w:r>
        <w:t>Inversión</w:t>
      </w:r>
    </w:p>
    <w:p w:rsidR="003230D4" w:rsidRDefault="003230D4" w:rsidP="003230D4">
      <w:pPr>
        <w:pStyle w:val="ListParagraph"/>
        <w:numPr>
          <w:ilvl w:val="0"/>
          <w:numId w:val="13"/>
        </w:numPr>
        <w:jc w:val="both"/>
      </w:pPr>
      <w:r>
        <w:t>Mayor Venta de Energía</w:t>
      </w:r>
    </w:p>
    <w:p w:rsidR="003230D4" w:rsidRDefault="003230D4" w:rsidP="003230D4">
      <w:pPr>
        <w:pStyle w:val="ListParagraph"/>
        <w:numPr>
          <w:ilvl w:val="0"/>
          <w:numId w:val="13"/>
        </w:numPr>
        <w:jc w:val="both"/>
      </w:pPr>
      <w:r>
        <w:t>Mayor Compra de Energía</w:t>
      </w:r>
    </w:p>
    <w:p w:rsidR="003230D4" w:rsidRDefault="003230D4" w:rsidP="003230D4">
      <w:pPr>
        <w:pStyle w:val="ListParagraph"/>
        <w:numPr>
          <w:ilvl w:val="0"/>
          <w:numId w:val="13"/>
        </w:numPr>
        <w:jc w:val="both"/>
      </w:pPr>
      <w:r>
        <w:t>Mayor Costo de Operación y Mantenimiento</w:t>
      </w:r>
    </w:p>
    <w:p w:rsidR="003230D4" w:rsidRDefault="003230D4" w:rsidP="003230D4">
      <w:pPr>
        <w:pStyle w:val="ListParagraph"/>
        <w:numPr>
          <w:ilvl w:val="0"/>
          <w:numId w:val="13"/>
        </w:numPr>
        <w:jc w:val="both"/>
      </w:pPr>
      <w:r>
        <w:t>Mayor Costo de Comercialización</w:t>
      </w:r>
      <w:r w:rsidR="00774098">
        <w:t>, asumido como el costo reconocido tarifariamente (1.414 US$/Mes), por cada vivienda incorporada al servicio de la EED.</w:t>
      </w:r>
    </w:p>
    <w:p w:rsidR="003230D4" w:rsidRDefault="003230D4" w:rsidP="003230D4">
      <w:pPr>
        <w:jc w:val="both"/>
      </w:pPr>
    </w:p>
    <w:p w:rsidR="003230D4" w:rsidRPr="00E87B5D" w:rsidRDefault="003230D4" w:rsidP="003230D4">
      <w:pPr>
        <w:jc w:val="both"/>
        <w:rPr>
          <w:b/>
        </w:rPr>
      </w:pPr>
      <w:r w:rsidRPr="00E87B5D">
        <w:rPr>
          <w:b/>
        </w:rPr>
        <w:t>Mayor Venta de Energía.</w:t>
      </w:r>
    </w:p>
    <w:p w:rsidR="00E87B5D" w:rsidRDefault="003230D4" w:rsidP="003230D4">
      <w:pPr>
        <w:jc w:val="both"/>
      </w:pPr>
      <w:r>
        <w:t xml:space="preserve">Como consecuencia directa del proyecto se suman 2 situaciones: </w:t>
      </w:r>
    </w:p>
    <w:p w:rsidR="003230D4" w:rsidRDefault="003230D4" w:rsidP="00E87B5D">
      <w:pPr>
        <w:pStyle w:val="ListParagraph"/>
        <w:numPr>
          <w:ilvl w:val="0"/>
          <w:numId w:val="14"/>
        </w:numPr>
        <w:jc w:val="both"/>
      </w:pPr>
      <w:r>
        <w:t xml:space="preserve">Las viviendas sin suministro se incorporan a una situación </w:t>
      </w:r>
      <w:r w:rsidR="00E87B5D">
        <w:t>de consumo medido y facturado.</w:t>
      </w:r>
    </w:p>
    <w:p w:rsidR="00E87B5D" w:rsidRDefault="00E87B5D" w:rsidP="00E87B5D">
      <w:pPr>
        <w:pStyle w:val="ListParagraph"/>
        <w:numPr>
          <w:ilvl w:val="0"/>
          <w:numId w:val="14"/>
        </w:numPr>
        <w:jc w:val="both"/>
      </w:pPr>
      <w:r>
        <w:t>El número total de viviendas de la zona comienza a crecer y prosperar, dadas las mejores condiciones de servicio prestado por la EED.</w:t>
      </w:r>
    </w:p>
    <w:p w:rsidR="00E87B5D" w:rsidRDefault="00E87B5D" w:rsidP="00E87B5D">
      <w:pPr>
        <w:jc w:val="both"/>
      </w:pPr>
      <w:r>
        <w:t>La incorporación de Viviendas Sin Suministro al conjunto de Clientes de la EED considera una demanda mensual de energía idéntica a las Viviendas Con Suministro descritas en la situación sin proyecto.</w:t>
      </w:r>
    </w:p>
    <w:p w:rsidR="00E87B5D" w:rsidRDefault="00E87B5D" w:rsidP="00E87B5D">
      <w:pPr>
        <w:jc w:val="both"/>
      </w:pPr>
    </w:p>
    <w:p w:rsidR="00C41F85" w:rsidRDefault="00C41F85" w:rsidP="00E87B5D">
      <w:pPr>
        <w:jc w:val="both"/>
      </w:pPr>
    </w:p>
    <w:p w:rsidR="00E87B5D" w:rsidRPr="00E87B5D" w:rsidRDefault="00E87B5D" w:rsidP="00E87B5D">
      <w:pPr>
        <w:jc w:val="both"/>
        <w:rPr>
          <w:b/>
        </w:rPr>
      </w:pPr>
      <w:r w:rsidRPr="00E87B5D">
        <w:rPr>
          <w:b/>
        </w:rPr>
        <w:t xml:space="preserve">Hipótesis </w:t>
      </w:r>
      <w:r w:rsidR="00D31E31">
        <w:rPr>
          <w:b/>
        </w:rPr>
        <w:t xml:space="preserve">especial </w:t>
      </w:r>
      <w:r w:rsidRPr="00E87B5D">
        <w:rPr>
          <w:b/>
        </w:rPr>
        <w:t>de crecimiento.</w:t>
      </w:r>
    </w:p>
    <w:p w:rsidR="00E87B5D" w:rsidRDefault="00E87B5D" w:rsidP="00E87B5D">
      <w:pPr>
        <w:jc w:val="both"/>
      </w:pPr>
      <w:r>
        <w:t>El crecimiento de la demanda a partir del primer año de ejecución del proyecto considera que anualmente se incorporan nuevas viviendas a una tasa rv%. Al mismo tiempo, cada vivienda incorporada manifiesta un incremento anual de consumo unitario (entendido como el consumo sin CEI) a una tasa rc%.</w:t>
      </w:r>
    </w:p>
    <w:p w:rsidR="00E87B5D" w:rsidRDefault="00E87B5D" w:rsidP="00E87B5D">
      <w:pPr>
        <w:jc w:val="both"/>
      </w:pPr>
    </w:p>
    <w:p w:rsidR="00E87B5D" w:rsidRDefault="00E87B5D" w:rsidP="00E87B5D">
      <w:pPr>
        <w:jc w:val="both"/>
      </w:pPr>
      <w:r>
        <w:t>Así, en un año cualquiera “k”. En una zona de proyecto FERUM se observaría un nivel de consumo de energía dado por la siguiente expresión:</w:t>
      </w:r>
    </w:p>
    <w:p w:rsidR="00E87B5D" w:rsidRPr="00E87B5D" w:rsidRDefault="00DC47D1" w:rsidP="00E87B5D">
      <w:pPr>
        <w:jc w:val="both"/>
        <w:rPr>
          <w:rFonts w:eastAsiaTheme="minorEastAsia"/>
        </w:rPr>
      </w:pPr>
      <m:oMathPara>
        <m:oMath>
          <m:sSub>
            <m:sSubPr>
              <m:ctrlPr>
                <w:rPr>
                  <w:rFonts w:ascii="Cambria Math" w:hAnsi="Cambria Math"/>
                  <w:i/>
                  <w:sz w:val="24"/>
                </w:rPr>
              </m:ctrlPr>
            </m:sSubPr>
            <m:e>
              <m:r>
                <w:rPr>
                  <w:rFonts w:ascii="Cambria Math" w:hAnsi="Cambria Math"/>
                  <w:sz w:val="24"/>
                </w:rPr>
                <m:t>CT</m:t>
              </m:r>
            </m:e>
            <m:sub>
              <m:r>
                <w:rPr>
                  <w:rFonts w:ascii="Cambria Math" w:hAnsi="Cambria Math"/>
                  <w:sz w:val="24"/>
                </w:rPr>
                <m:t>k</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o</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k</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k</m:t>
              </m:r>
            </m:sup>
            <m:e>
              <m:sSub>
                <m:sSubPr>
                  <m:ctrlPr>
                    <w:rPr>
                      <w:rFonts w:ascii="Cambria Math" w:hAnsi="Cambria Math"/>
                      <w:i/>
                      <w:sz w:val="24"/>
                    </w:rPr>
                  </m:ctrlPr>
                </m:sSubPr>
                <m:e>
                  <m:r>
                    <w:rPr>
                      <w:rFonts w:ascii="Cambria Math" w:hAnsi="Cambria Math"/>
                      <w:sz w:val="24"/>
                    </w:rPr>
                    <m:t>dV</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k-i</m:t>
                  </m:r>
                </m:sub>
              </m:sSub>
            </m:e>
          </m:nary>
        </m:oMath>
      </m:oMathPara>
    </w:p>
    <w:p w:rsidR="00E87B5D" w:rsidRDefault="00F91AB1" w:rsidP="00E87B5D">
      <w:pPr>
        <w:jc w:val="both"/>
        <w:rPr>
          <w:rFonts w:eastAsiaTheme="minorEastAsia"/>
        </w:rPr>
      </w:pPr>
      <w:r>
        <w:rPr>
          <w:rFonts w:eastAsiaTheme="minorEastAsia"/>
        </w:rPr>
        <w:t>Donde:</w:t>
      </w:r>
    </w:p>
    <w:p w:rsidR="00F91AB1" w:rsidRDefault="00DC47D1" w:rsidP="00F91AB1">
      <w:pPr>
        <w:ind w:left="708"/>
        <w:jc w:val="both"/>
        <w:rPr>
          <w:rFonts w:eastAsiaTheme="minorEastAsia"/>
        </w:rPr>
      </w:pPr>
      <m:oMath>
        <m:sSub>
          <m:sSubPr>
            <m:ctrlPr>
              <w:rPr>
                <w:rFonts w:ascii="Cambria Math" w:hAnsi="Cambria Math"/>
                <w:b/>
                <w:i/>
              </w:rPr>
            </m:ctrlPr>
          </m:sSubPr>
          <m:e>
            <m:r>
              <m:rPr>
                <m:sty m:val="bi"/>
              </m:rPr>
              <w:rPr>
                <w:rFonts w:ascii="Cambria Math" w:hAnsi="Cambria Math"/>
              </w:rPr>
              <m:t>CT</m:t>
            </m:r>
          </m:e>
          <m:sub>
            <m:r>
              <m:rPr>
                <m:sty m:val="bi"/>
              </m:rPr>
              <w:rPr>
                <w:rFonts w:ascii="Cambria Math" w:hAnsi="Cambria Math"/>
              </w:rPr>
              <m:t>k</m:t>
            </m:r>
          </m:sub>
        </m:sSub>
      </m:oMath>
      <w:r w:rsidR="00F91AB1" w:rsidRPr="00F91AB1">
        <w:rPr>
          <w:rFonts w:eastAsiaTheme="minorEastAsia"/>
          <w:b/>
        </w:rPr>
        <w:t>:</w:t>
      </w:r>
      <w:r w:rsidR="00F91AB1">
        <w:rPr>
          <w:rFonts w:eastAsiaTheme="minorEastAsia"/>
        </w:rPr>
        <w:t xml:space="preserve"> Consumo Total de Energía en el año k.</w:t>
      </w:r>
    </w:p>
    <w:p w:rsidR="00F91AB1" w:rsidRDefault="00DC47D1" w:rsidP="00F91AB1">
      <w:pPr>
        <w:ind w:left="708"/>
        <w:jc w:val="both"/>
        <w:rPr>
          <w:rFonts w:eastAsiaTheme="minorEastAsia"/>
        </w:rPr>
      </w:pP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o</m:t>
            </m:r>
          </m:sub>
        </m:sSub>
      </m:oMath>
      <w:r w:rsidR="00F91AB1" w:rsidRPr="00F91AB1">
        <w:rPr>
          <w:rFonts w:eastAsiaTheme="minorEastAsia"/>
          <w:b/>
        </w:rPr>
        <w:t xml:space="preserve">: </w:t>
      </w:r>
      <w:r w:rsidR="00F91AB1">
        <w:rPr>
          <w:rFonts w:eastAsiaTheme="minorEastAsia"/>
        </w:rPr>
        <w:t>Número total de viviendas resultantes con suministro al ejecutar el proyecto en el año inicial.</w:t>
      </w:r>
    </w:p>
    <w:p w:rsidR="00F91AB1" w:rsidRDefault="00DC47D1" w:rsidP="00F91AB1">
      <w:pPr>
        <w:ind w:left="708"/>
        <w:jc w:val="both"/>
        <w:rPr>
          <w:rFonts w:eastAsiaTheme="minorEastAsia"/>
        </w:rPr>
      </w:pP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x</m:t>
            </m:r>
          </m:sub>
        </m:sSub>
      </m:oMath>
      <w:r w:rsidR="00F91AB1" w:rsidRPr="00F91AB1">
        <w:rPr>
          <w:rFonts w:eastAsiaTheme="minorEastAsia"/>
          <w:b/>
        </w:rPr>
        <w:t>:</w:t>
      </w:r>
      <w:r w:rsidR="00F91AB1">
        <w:rPr>
          <w:rFonts w:eastAsiaTheme="minorEastAsia"/>
        </w:rPr>
        <w:t xml:space="preserve"> Consumo unitario de las viviendas que llevan “x” años de conexión.</w:t>
      </w:r>
    </w:p>
    <w:p w:rsidR="00F91AB1" w:rsidRDefault="00DC47D1" w:rsidP="00F91AB1">
      <w:pPr>
        <w:ind w:left="708"/>
        <w:jc w:val="both"/>
        <w:rPr>
          <w:rFonts w:eastAsiaTheme="minorEastAsia"/>
        </w:rPr>
      </w:pPr>
      <m:oMath>
        <m:sSub>
          <m:sSubPr>
            <m:ctrlPr>
              <w:rPr>
                <w:rFonts w:ascii="Cambria Math" w:hAnsi="Cambria Math"/>
                <w:b/>
                <w:i/>
              </w:rPr>
            </m:ctrlPr>
          </m:sSubPr>
          <m:e>
            <m:r>
              <m:rPr>
                <m:sty m:val="bi"/>
              </m:rPr>
              <w:rPr>
                <w:rFonts w:ascii="Cambria Math" w:hAnsi="Cambria Math"/>
              </w:rPr>
              <m:t>dV</m:t>
            </m:r>
          </m:e>
          <m:sub>
            <m:r>
              <m:rPr>
                <m:sty m:val="bi"/>
              </m:rPr>
              <w:rPr>
                <w:rFonts w:ascii="Cambria Math" w:hAnsi="Cambria Math"/>
              </w:rPr>
              <m:t>i</m:t>
            </m:r>
          </m:sub>
        </m:sSub>
      </m:oMath>
      <w:r w:rsidR="00F91AB1" w:rsidRPr="00F91AB1">
        <w:rPr>
          <w:rFonts w:eastAsiaTheme="minorEastAsia"/>
          <w:b/>
        </w:rPr>
        <w:t>:</w:t>
      </w:r>
      <w:r w:rsidR="00F91AB1">
        <w:rPr>
          <w:rFonts w:eastAsiaTheme="minorEastAsia"/>
        </w:rPr>
        <w:t xml:space="preserve"> Número de viviendas incorporadas a la zona en el año i.</w:t>
      </w:r>
    </w:p>
    <w:p w:rsidR="00F91AB1" w:rsidRDefault="00F91AB1" w:rsidP="00E87B5D">
      <w:pPr>
        <w:jc w:val="both"/>
        <w:rPr>
          <w:rFonts w:eastAsiaTheme="minorEastAsia"/>
        </w:rPr>
      </w:pPr>
      <w:r>
        <w:rPr>
          <w:rFonts w:eastAsiaTheme="minorEastAsia"/>
        </w:rPr>
        <w:t>Por otra parte, se tiene en general que:</w:t>
      </w:r>
    </w:p>
    <w:p w:rsidR="00F91AB1" w:rsidRPr="002258C5" w:rsidRDefault="00DC47D1" w:rsidP="00E87B5D">
      <w:pPr>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m:t>
              </m:r>
            </m:sub>
          </m:sSub>
          <m:sSup>
            <m:sSupPr>
              <m:ctrlPr>
                <w:rPr>
                  <w:rFonts w:ascii="Cambria Math" w:eastAsiaTheme="minorEastAsia" w:hAnsi="Cambria Math"/>
                  <w:i/>
                </w:rPr>
              </m:ctrlPr>
            </m:sSupPr>
            <m:e>
              <m:r>
                <w:rPr>
                  <w:rFonts w:ascii="Cambria Math" w:eastAsiaTheme="minorEastAsia" w:hAnsi="Cambria Math"/>
                </w:rPr>
                <m:t>(1+rc)</m:t>
              </m:r>
            </m:e>
            <m:sup>
              <m:r>
                <w:rPr>
                  <w:rFonts w:ascii="Cambria Math" w:eastAsiaTheme="minorEastAsia" w:hAnsi="Cambria Math"/>
                </w:rPr>
                <m:t>x</m:t>
              </m:r>
            </m:sup>
          </m:sSup>
        </m:oMath>
      </m:oMathPara>
    </w:p>
    <w:p w:rsidR="00F91AB1" w:rsidRPr="002258C5" w:rsidRDefault="00DC47D1" w:rsidP="00E87B5D">
      <w:pPr>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dV</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m:t>
              </m:r>
            </m:sub>
          </m:sSub>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(1+rv)</m:t>
                  </m:r>
                </m:e>
                <m:sup>
                  <m:r>
                    <w:rPr>
                      <w:rFonts w:ascii="Cambria Math" w:eastAsiaTheme="minorEastAsia" w:hAnsi="Cambria Math"/>
                    </w:rPr>
                    <m:t>i</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(1+rv)</m:t>
                  </m:r>
                </m:e>
                <m:sup>
                  <m:r>
                    <w:rPr>
                      <w:rFonts w:ascii="Cambria Math" w:eastAsiaTheme="minorEastAsia" w:hAnsi="Cambria Math"/>
                    </w:rPr>
                    <m:t>i-1</m:t>
                  </m:r>
                </m:sup>
              </m:sSup>
            </m:e>
          </m:d>
        </m:oMath>
      </m:oMathPara>
    </w:p>
    <w:p w:rsidR="00F91AB1" w:rsidRDefault="002258C5" w:rsidP="00E87B5D">
      <w:pPr>
        <w:jc w:val="both"/>
      </w:pPr>
      <w:r>
        <w:t>Donde:</w:t>
      </w:r>
    </w:p>
    <w:p w:rsidR="002258C5" w:rsidRDefault="00DC47D1" w:rsidP="002258C5">
      <w:pPr>
        <w:ind w:left="708"/>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m:t>
            </m:r>
          </m:sub>
        </m:sSub>
      </m:oMath>
      <w:r w:rsidR="002258C5">
        <w:rPr>
          <w:rFonts w:eastAsiaTheme="minorEastAsia"/>
        </w:rPr>
        <w:t>: Consumo unitario de energía de una vivienda recién incorporada a la zona.</w:t>
      </w:r>
    </w:p>
    <w:p w:rsidR="00E87B5D" w:rsidRDefault="002258C5" w:rsidP="002258C5">
      <w:pPr>
        <w:ind w:left="708"/>
        <w:jc w:val="both"/>
        <w:rPr>
          <w:rFonts w:eastAsiaTheme="minorEastAsia"/>
        </w:rPr>
      </w:pPr>
      <m:oMath>
        <m:r>
          <w:rPr>
            <w:rFonts w:ascii="Cambria Math" w:eastAsiaTheme="minorEastAsia" w:hAnsi="Cambria Math"/>
          </w:rPr>
          <m:t>rc</m:t>
        </m:r>
      </m:oMath>
      <w:r>
        <w:rPr>
          <w:rFonts w:eastAsiaTheme="minorEastAsia"/>
        </w:rPr>
        <w:t>: Tasa de crecimiento anual del consumo unitario de energía.</w:t>
      </w:r>
    </w:p>
    <w:p w:rsidR="002258C5" w:rsidRPr="002258C5" w:rsidRDefault="002258C5" w:rsidP="002258C5">
      <w:pPr>
        <w:ind w:left="708"/>
        <w:jc w:val="both"/>
      </w:pPr>
      <m:oMath>
        <m:r>
          <w:rPr>
            <w:rFonts w:ascii="Cambria Math" w:eastAsiaTheme="minorEastAsia" w:hAnsi="Cambria Math"/>
          </w:rPr>
          <m:t>rv</m:t>
        </m:r>
      </m:oMath>
      <w:r>
        <w:rPr>
          <w:rFonts w:eastAsiaTheme="minorEastAsia"/>
        </w:rPr>
        <w:t>: Tasa de crecimiento anual de la cantidad de viviendas en la zona.</w:t>
      </w:r>
    </w:p>
    <w:p w:rsidR="002258C5" w:rsidRDefault="002258C5" w:rsidP="00F56913">
      <w:pPr>
        <w:jc w:val="both"/>
      </w:pPr>
    </w:p>
    <w:p w:rsidR="002258C5" w:rsidRDefault="002258C5" w:rsidP="00F56913">
      <w:pPr>
        <w:jc w:val="both"/>
        <w:rPr>
          <w:lang w:val="es-CL"/>
        </w:rPr>
      </w:pPr>
      <w:r>
        <w:rPr>
          <w:lang w:val="es-CL"/>
        </w:rPr>
        <w:t>Asimismo, el consumo esperado de una vivienda de la zona debe incorporar la hipótesis de cobertura de CEIs. Es decir, para el cálculo de consumo de cada año, debe considerarse el consumo medio esperado Co’</w:t>
      </w:r>
    </w:p>
    <w:p w:rsidR="003230D4" w:rsidRDefault="00DC47D1" w:rsidP="00F56913">
      <w:pPr>
        <w:jc w:val="both"/>
        <w:rPr>
          <w:lang w:val="es-CL"/>
        </w:rPr>
      </w:pPr>
      <m:oMathPara>
        <m:oMath>
          <m:sSub>
            <m:sSubPr>
              <m:ctrlPr>
                <w:rPr>
                  <w:rFonts w:ascii="Cambria Math" w:hAnsi="Cambria Math"/>
                  <w:i/>
                  <w:lang w:val="es-CL"/>
                </w:rPr>
              </m:ctrlPr>
            </m:sSubPr>
            <m:e>
              <m:r>
                <w:rPr>
                  <w:rFonts w:ascii="Cambria Math" w:hAnsi="Cambria Math"/>
                  <w:lang w:val="es-CL"/>
                </w:rPr>
                <m:t>C</m:t>
              </m:r>
              <m:sSup>
                <m:sSupPr>
                  <m:ctrlPr>
                    <w:rPr>
                      <w:rFonts w:ascii="Cambria Math" w:hAnsi="Cambria Math"/>
                      <w:i/>
                      <w:lang w:val="es-CL"/>
                    </w:rPr>
                  </m:ctrlPr>
                </m:sSupPr>
                <m:e>
                  <m:r>
                    <w:rPr>
                      <w:rFonts w:ascii="Cambria Math" w:hAnsi="Cambria Math"/>
                      <w:lang w:val="es-CL"/>
                    </w:rPr>
                    <m:t>o</m:t>
                  </m:r>
                </m:e>
                <m:sup>
                  <m:r>
                    <w:rPr>
                      <w:rFonts w:ascii="Cambria Math" w:hAnsi="Cambria Math"/>
                      <w:lang w:val="es-CL"/>
                    </w:rPr>
                    <m:t>'</m:t>
                  </m:r>
                </m:sup>
              </m:sSup>
              <m:r>
                <w:rPr>
                  <w:rFonts w:ascii="Cambria Math" w:hAnsi="Cambria Math"/>
                  <w:lang w:val="es-CL"/>
                </w:rPr>
                <m:t>=pc</m:t>
              </m:r>
            </m:e>
            <m:sub>
              <m:r>
                <w:rPr>
                  <w:rFonts w:ascii="Cambria Math" w:hAnsi="Cambria Math"/>
                  <w:lang w:val="es-CL"/>
                </w:rPr>
                <m:t>i</m:t>
              </m:r>
            </m:sub>
          </m:sSub>
          <m:r>
            <w:rPr>
              <w:rFonts w:ascii="Cambria Math" w:hAnsi="Cambria Math"/>
              <w:lang w:val="es-CL"/>
            </w:rPr>
            <m:t>*Cc+(1-</m:t>
          </m:r>
          <m:sSub>
            <m:sSubPr>
              <m:ctrlPr>
                <w:rPr>
                  <w:rFonts w:ascii="Cambria Math" w:hAnsi="Cambria Math"/>
                  <w:i/>
                  <w:lang w:val="es-CL"/>
                </w:rPr>
              </m:ctrlPr>
            </m:sSubPr>
            <m:e>
              <m:r>
                <w:rPr>
                  <w:rFonts w:ascii="Cambria Math" w:hAnsi="Cambria Math"/>
                  <w:lang w:val="es-CL"/>
                </w:rPr>
                <m:t>pc</m:t>
              </m:r>
            </m:e>
            <m:sub>
              <m:r>
                <w:rPr>
                  <w:rFonts w:ascii="Cambria Math" w:hAnsi="Cambria Math"/>
                  <w:lang w:val="es-CL"/>
                </w:rPr>
                <m:t>i</m:t>
              </m:r>
            </m:sub>
          </m:sSub>
          <m:r>
            <w:rPr>
              <w:rFonts w:ascii="Cambria Math" w:hAnsi="Cambria Math"/>
              <w:lang w:val="es-CL"/>
            </w:rPr>
            <m:t>)Co</m:t>
          </m:r>
        </m:oMath>
      </m:oMathPara>
    </w:p>
    <w:p w:rsidR="002258C5" w:rsidRDefault="002258C5" w:rsidP="00F56913">
      <w:pPr>
        <w:jc w:val="both"/>
        <w:rPr>
          <w:lang w:val="es-CL"/>
        </w:rPr>
      </w:pPr>
    </w:p>
    <w:p w:rsidR="003230D4" w:rsidRDefault="002258C5" w:rsidP="00F56913">
      <w:pPr>
        <w:jc w:val="both"/>
        <w:rPr>
          <w:lang w:val="es-CL"/>
        </w:rPr>
      </w:pPr>
      <w:r>
        <w:rPr>
          <w:lang w:val="es-CL"/>
        </w:rPr>
        <w:t>Donde, pc</w:t>
      </w:r>
      <w:r w:rsidRPr="002258C5">
        <w:rPr>
          <w:vertAlign w:val="subscript"/>
          <w:lang w:val="es-CL"/>
        </w:rPr>
        <w:t>i</w:t>
      </w:r>
      <w:r>
        <w:rPr>
          <w:lang w:val="es-CL"/>
        </w:rPr>
        <w:t xml:space="preserve"> representa la cobertura de cocinas de inducción esperada para el año i, y Cc es el consumo adicional esperado por cada CEI.</w:t>
      </w:r>
    </w:p>
    <w:p w:rsidR="002258C5" w:rsidRDefault="002258C5" w:rsidP="00F56913">
      <w:pPr>
        <w:jc w:val="both"/>
        <w:rPr>
          <w:lang w:val="es-CL"/>
        </w:rPr>
      </w:pPr>
      <w:r>
        <w:rPr>
          <w:lang w:val="es-CL"/>
        </w:rPr>
        <w:t>Con lo anterior, y considerando los precios medios de venta de energía de cada distribuidora (registrados en la Estadística Multianual del Sector Eléctrico 2016), se obtiene una proyección de Venta de Energía Con Proyecto, según se muestra en la gráfica siguiente.</w:t>
      </w:r>
    </w:p>
    <w:p w:rsidR="002258C5" w:rsidRDefault="002258C5" w:rsidP="00F56913">
      <w:pPr>
        <w:jc w:val="both"/>
        <w:rPr>
          <w:lang w:val="es-CL"/>
        </w:rPr>
      </w:pPr>
    </w:p>
    <w:p w:rsidR="002258C5" w:rsidRDefault="00C41F85" w:rsidP="00F56913">
      <w:pPr>
        <w:jc w:val="both"/>
        <w:rPr>
          <w:lang w:val="es-CL"/>
        </w:rPr>
      </w:pPr>
      <w:r>
        <w:rPr>
          <w:noProof/>
          <w:lang w:val="en-US"/>
        </w:rPr>
        <w:drawing>
          <wp:inline distT="0" distB="0" distL="0" distR="0" wp14:anchorId="0D299055">
            <wp:extent cx="5587827" cy="1427883"/>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9382" cy="1443612"/>
                    </a:xfrm>
                    <a:prstGeom prst="rect">
                      <a:avLst/>
                    </a:prstGeom>
                    <a:noFill/>
                  </pic:spPr>
                </pic:pic>
              </a:graphicData>
            </a:graphic>
          </wp:inline>
        </w:drawing>
      </w:r>
    </w:p>
    <w:p w:rsidR="002258C5" w:rsidRDefault="002258C5" w:rsidP="00F56913">
      <w:pPr>
        <w:jc w:val="both"/>
        <w:rPr>
          <w:lang w:val="es-CL"/>
        </w:rPr>
      </w:pPr>
      <w:r w:rsidRPr="00C41F85">
        <w:rPr>
          <w:b/>
          <w:lang w:val="es-CL"/>
        </w:rPr>
        <w:t>Figura 17</w:t>
      </w:r>
      <w:r w:rsidRPr="00C41F85">
        <w:rPr>
          <w:lang w:val="es-CL"/>
        </w:rPr>
        <w:t>. Proyección de Ventas de Energía Con Proyecto. Se observa un valor en el año de ejecución 2018, dado que al tratarse de 435 proyectos que irán incorporando viviendas desde 2018, se asume que al menos un 30% del consumo de viviendas sin suministro podrá contabilizarse durante el mismo año de ejecución del proyecto.</w:t>
      </w:r>
    </w:p>
    <w:p w:rsidR="002258C5" w:rsidRDefault="002258C5" w:rsidP="00F56913">
      <w:pPr>
        <w:jc w:val="both"/>
        <w:rPr>
          <w:lang w:val="es-CL"/>
        </w:rPr>
      </w:pPr>
    </w:p>
    <w:p w:rsidR="002258C5" w:rsidRDefault="00C10786" w:rsidP="00F56913">
      <w:pPr>
        <w:jc w:val="both"/>
        <w:rPr>
          <w:lang w:val="es-CL"/>
        </w:rPr>
      </w:pPr>
      <w:r>
        <w:rPr>
          <w:lang w:val="es-CL"/>
        </w:rPr>
        <w:t>Con esto, el beneficio financiero por Mayor Venta de Energía resulta de la diferencia entre las Ventas Con Proyecto, menos las Ventas Sin Proyecto.</w:t>
      </w:r>
    </w:p>
    <w:p w:rsidR="00C10786" w:rsidRDefault="00C41F85" w:rsidP="00F56913">
      <w:pPr>
        <w:jc w:val="both"/>
        <w:rPr>
          <w:lang w:val="es-CL"/>
        </w:rPr>
      </w:pPr>
      <w:r>
        <w:rPr>
          <w:noProof/>
          <w:lang w:val="en-US"/>
        </w:rPr>
        <w:drawing>
          <wp:inline distT="0" distB="0" distL="0" distR="0" wp14:anchorId="42EB2301">
            <wp:extent cx="5608225" cy="159075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4669" cy="1603925"/>
                    </a:xfrm>
                    <a:prstGeom prst="rect">
                      <a:avLst/>
                    </a:prstGeom>
                    <a:noFill/>
                  </pic:spPr>
                </pic:pic>
              </a:graphicData>
            </a:graphic>
          </wp:inline>
        </w:drawing>
      </w:r>
    </w:p>
    <w:p w:rsidR="00C10786" w:rsidRDefault="00C10786" w:rsidP="00F56913">
      <w:pPr>
        <w:jc w:val="both"/>
        <w:rPr>
          <w:lang w:val="es-CL"/>
        </w:rPr>
      </w:pPr>
      <w:r w:rsidRPr="00C41F85">
        <w:rPr>
          <w:b/>
          <w:lang w:val="es-CL"/>
        </w:rPr>
        <w:t>Figura 18</w:t>
      </w:r>
      <w:r w:rsidRPr="00C41F85">
        <w:rPr>
          <w:lang w:val="es-CL"/>
        </w:rPr>
        <w:t xml:space="preserve">. El beneficio por mayor venta de </w:t>
      </w:r>
      <w:r w:rsidR="00450D60" w:rsidRPr="00C41F85">
        <w:rPr>
          <w:lang w:val="es-CL"/>
        </w:rPr>
        <w:t>energía</w:t>
      </w:r>
      <w:r w:rsidRPr="00C41F85">
        <w:rPr>
          <w:lang w:val="es-CL"/>
        </w:rPr>
        <w:t xml:space="preserve"> resulta de la diferencia de las Ventas Con Proyecto (Vcp), menos las Ventas Sin Proyecto (Vsp).</w:t>
      </w:r>
    </w:p>
    <w:p w:rsidR="00C10786" w:rsidRDefault="00C10786" w:rsidP="00F56913">
      <w:pPr>
        <w:jc w:val="both"/>
        <w:rPr>
          <w:lang w:val="es-CL"/>
        </w:rPr>
      </w:pPr>
    </w:p>
    <w:p w:rsidR="00450D60" w:rsidRDefault="00450D60" w:rsidP="00F56913">
      <w:pPr>
        <w:jc w:val="both"/>
        <w:rPr>
          <w:lang w:val="es-CL"/>
        </w:rPr>
      </w:pPr>
    </w:p>
    <w:p w:rsidR="00C10786" w:rsidRPr="00450D60" w:rsidRDefault="00450D60" w:rsidP="00F56913">
      <w:pPr>
        <w:jc w:val="both"/>
        <w:rPr>
          <w:b/>
          <w:lang w:val="es-CL"/>
        </w:rPr>
      </w:pPr>
      <w:r w:rsidRPr="00450D60">
        <w:rPr>
          <w:b/>
          <w:lang w:val="es-CL"/>
        </w:rPr>
        <w:t>Mayor Compra de Energía</w:t>
      </w:r>
    </w:p>
    <w:p w:rsidR="00450D60" w:rsidRDefault="00450D60" w:rsidP="00F56913">
      <w:pPr>
        <w:jc w:val="both"/>
        <w:rPr>
          <w:lang w:val="es-CL"/>
        </w:rPr>
      </w:pPr>
      <w:r>
        <w:rPr>
          <w:lang w:val="es-CL"/>
        </w:rPr>
        <w:t xml:space="preserve">Si bien las ventas de energía han aumentado con proyecto, no se sabe a priori si las compras de energía </w:t>
      </w:r>
      <w:r w:rsidR="006F6416">
        <w:rPr>
          <w:lang w:val="es-CL"/>
        </w:rPr>
        <w:t xml:space="preserve">con Proyecto </w:t>
      </w:r>
      <w:r>
        <w:rPr>
          <w:lang w:val="es-CL"/>
        </w:rPr>
        <w:t>tendrán el mismo comportamiento, pues aquellos consumos no registrados de una parte de las viviendas sin suministro</w:t>
      </w:r>
      <w:r w:rsidR="006F6416">
        <w:rPr>
          <w:lang w:val="es-CL"/>
        </w:rPr>
        <w:t>, al regularizarse tras la instalación de un medidor de consumo, tenderán necesariamente a reducirse hasta los niveles esperados en la zona, adaptándose a la señal económica inequívoca que se impone al comenzar un régimen periódico de lectura y facturación por lo consumido.</w:t>
      </w:r>
    </w:p>
    <w:p w:rsidR="006F6416" w:rsidRDefault="006F6416" w:rsidP="009A6184">
      <w:pPr>
        <w:jc w:val="both"/>
        <w:rPr>
          <w:lang w:val="es-CL"/>
        </w:rPr>
      </w:pPr>
      <w:r>
        <w:rPr>
          <w:lang w:val="es-CL"/>
        </w:rPr>
        <w:t>La energía comprada Con Proyecto (Ec), se estiman basados en la energía vendida con proyecto (Ev), más las pérdidas técnicas atribuibles a las redes de distribución (Pd%)</w:t>
      </w:r>
      <w:r w:rsidR="009A6184">
        <w:rPr>
          <w:lang w:val="es-CL"/>
        </w:rPr>
        <w:t xml:space="preserve">:    </w:t>
      </w:r>
      <w:r w:rsidRPr="009A6184">
        <w:rPr>
          <w:b/>
          <w:lang w:val="es-CL"/>
        </w:rPr>
        <w:t>Ec = Ev/(1-Pd)</w:t>
      </w:r>
    </w:p>
    <w:p w:rsidR="009A6184" w:rsidRDefault="009A6184" w:rsidP="00F56913">
      <w:pPr>
        <w:jc w:val="both"/>
        <w:rPr>
          <w:lang w:val="es-CL"/>
        </w:rPr>
      </w:pPr>
    </w:p>
    <w:p w:rsidR="006F6416" w:rsidRDefault="006F6416" w:rsidP="00F56913">
      <w:pPr>
        <w:jc w:val="both"/>
        <w:rPr>
          <w:lang w:val="es-CL"/>
        </w:rPr>
      </w:pPr>
      <w:r>
        <w:rPr>
          <w:lang w:val="es-CL"/>
        </w:rPr>
        <w:t>Y, el costo asociado a dicha compra se determina sobre la base de los Precios Medios de Compra (US$/kWh), de cada EED, según consta en los registros de la estadística multianual del sector eléctrico 2016.</w:t>
      </w:r>
    </w:p>
    <w:p w:rsidR="006F6416" w:rsidRDefault="00C41F85" w:rsidP="009A6184">
      <w:pPr>
        <w:jc w:val="center"/>
        <w:rPr>
          <w:lang w:val="es-CL"/>
        </w:rPr>
      </w:pPr>
      <w:r>
        <w:rPr>
          <w:noProof/>
          <w:lang w:val="en-US"/>
        </w:rPr>
        <w:drawing>
          <wp:inline distT="0" distB="0" distL="0" distR="0" wp14:anchorId="6F4748BE">
            <wp:extent cx="5495803" cy="1599717"/>
            <wp:effectExtent l="0" t="0" r="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5406" cy="1619977"/>
                    </a:xfrm>
                    <a:prstGeom prst="rect">
                      <a:avLst/>
                    </a:prstGeom>
                    <a:noFill/>
                  </pic:spPr>
                </pic:pic>
              </a:graphicData>
            </a:graphic>
          </wp:inline>
        </w:drawing>
      </w:r>
    </w:p>
    <w:p w:rsidR="009A6184" w:rsidRDefault="009A6184" w:rsidP="009A6184">
      <w:pPr>
        <w:jc w:val="center"/>
        <w:rPr>
          <w:lang w:val="es-CL"/>
        </w:rPr>
      </w:pPr>
      <w:r w:rsidRPr="00C41F85">
        <w:rPr>
          <w:b/>
          <w:lang w:val="es-CL"/>
        </w:rPr>
        <w:t>Figura 19</w:t>
      </w:r>
      <w:r w:rsidRPr="00C41F85">
        <w:rPr>
          <w:lang w:val="es-CL"/>
        </w:rPr>
        <w:t>. Compras de Energía Con Proyecto</w:t>
      </w:r>
    </w:p>
    <w:p w:rsidR="006F6416" w:rsidRDefault="006F6416" w:rsidP="00F56913">
      <w:pPr>
        <w:jc w:val="both"/>
        <w:rPr>
          <w:lang w:val="es-CL"/>
        </w:rPr>
      </w:pPr>
    </w:p>
    <w:p w:rsidR="003230D4" w:rsidRDefault="009A6184" w:rsidP="00F56913">
      <w:pPr>
        <w:jc w:val="both"/>
        <w:rPr>
          <w:lang w:val="es-CL"/>
        </w:rPr>
      </w:pPr>
      <w:r>
        <w:rPr>
          <w:lang w:val="es-CL"/>
        </w:rPr>
        <w:t>De esta forma, para estimar el Costo por mayor compra de energía de los proyectos FERUM, se considera la diferencia de las Compras Con Proyecto, menos las Compras Sin Proyecto.</w:t>
      </w:r>
    </w:p>
    <w:p w:rsidR="009A6184" w:rsidRDefault="002C38C4" w:rsidP="00F56913">
      <w:pPr>
        <w:jc w:val="both"/>
        <w:rPr>
          <w:lang w:val="es-CL"/>
        </w:rPr>
      </w:pPr>
      <w:r>
        <w:rPr>
          <w:noProof/>
          <w:lang w:val="en-US"/>
        </w:rPr>
        <w:drawing>
          <wp:inline distT="0" distB="0" distL="0" distR="0" wp14:anchorId="2F00CF9A">
            <wp:extent cx="5574231" cy="2206169"/>
            <wp:effectExtent l="0" t="0" r="7620" b="381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4967" cy="2222291"/>
                    </a:xfrm>
                    <a:prstGeom prst="rect">
                      <a:avLst/>
                    </a:prstGeom>
                    <a:noFill/>
                  </pic:spPr>
                </pic:pic>
              </a:graphicData>
            </a:graphic>
          </wp:inline>
        </w:drawing>
      </w:r>
    </w:p>
    <w:p w:rsidR="005E5400" w:rsidRDefault="005E5400" w:rsidP="00F56913">
      <w:pPr>
        <w:jc w:val="both"/>
        <w:rPr>
          <w:lang w:val="es-CL"/>
        </w:rPr>
      </w:pPr>
      <w:r w:rsidRPr="00CE0AF1">
        <w:rPr>
          <w:b/>
          <w:lang w:val="es-CL"/>
        </w:rPr>
        <w:t>Figura 20.</w:t>
      </w:r>
      <w:r w:rsidRPr="00CE0AF1">
        <w:rPr>
          <w:lang w:val="es-CL"/>
        </w:rPr>
        <w:t xml:space="preserve"> Costo por Mayor Compra de Energía. Corresponde a la diferencia de las Compras de Energía Con Proyecto (Ccp), menos las Compras de Energía Sin Proyecto (Csp). Para el caso de los parámetros supuestos este “Mayor Costo” asociado al proyecto resulta </w:t>
      </w:r>
      <w:r w:rsidRPr="00CE0AF1">
        <w:rPr>
          <w:u w:val="single"/>
          <w:lang w:val="es-CL"/>
        </w:rPr>
        <w:t>ser negativo</w:t>
      </w:r>
      <w:r w:rsidRPr="00CE0AF1">
        <w:rPr>
          <w:lang w:val="es-CL"/>
        </w:rPr>
        <w:t xml:space="preserve">. Representando en definitiva un ahorro neto de US$ </w:t>
      </w:r>
      <w:r w:rsidR="00CE0AF1">
        <w:rPr>
          <w:lang w:val="es-CL"/>
        </w:rPr>
        <w:t>1,41</w:t>
      </w:r>
      <w:r w:rsidRPr="00CE0AF1">
        <w:rPr>
          <w:lang w:val="es-CL"/>
        </w:rPr>
        <w:t xml:space="preserve"> mil</w:t>
      </w:r>
      <w:r w:rsidR="00CE0AF1">
        <w:rPr>
          <w:lang w:val="es-CL"/>
        </w:rPr>
        <w:t>lones</w:t>
      </w:r>
      <w:r w:rsidRPr="00CE0AF1">
        <w:rPr>
          <w:lang w:val="es-CL"/>
        </w:rPr>
        <w:t xml:space="preserve"> en 2018, </w:t>
      </w:r>
      <w:r w:rsidR="002625B2">
        <w:rPr>
          <w:lang w:val="es-CL"/>
        </w:rPr>
        <w:t>reduciéndose</w:t>
      </w:r>
      <w:r w:rsidRPr="00CE0AF1">
        <w:rPr>
          <w:lang w:val="es-CL"/>
        </w:rPr>
        <w:t xml:space="preserve"> hasta los US$ </w:t>
      </w:r>
      <w:r w:rsidR="00CE0AF1">
        <w:rPr>
          <w:lang w:val="es-CL"/>
        </w:rPr>
        <w:t>94</w:t>
      </w:r>
      <w:r w:rsidRPr="00CE0AF1">
        <w:rPr>
          <w:lang w:val="es-CL"/>
        </w:rPr>
        <w:t xml:space="preserve"> mil en 2038.</w:t>
      </w:r>
    </w:p>
    <w:p w:rsidR="005E5400" w:rsidRDefault="005E5400" w:rsidP="00F56913">
      <w:pPr>
        <w:jc w:val="both"/>
        <w:rPr>
          <w:lang w:val="es-CL"/>
        </w:rPr>
      </w:pPr>
    </w:p>
    <w:p w:rsidR="005E5400" w:rsidRPr="00D31E31" w:rsidRDefault="00876273" w:rsidP="00F56913">
      <w:pPr>
        <w:jc w:val="both"/>
        <w:rPr>
          <w:b/>
          <w:lang w:val="es-CL"/>
        </w:rPr>
      </w:pPr>
      <w:r w:rsidRPr="00D31E31">
        <w:rPr>
          <w:b/>
          <w:lang w:val="es-CL"/>
        </w:rPr>
        <w:t>Mayor Costo de Operación y Mantenimiento</w:t>
      </w:r>
    </w:p>
    <w:p w:rsidR="00876273" w:rsidRDefault="00876273" w:rsidP="00F56913">
      <w:pPr>
        <w:jc w:val="both"/>
        <w:rPr>
          <w:lang w:val="es-CL"/>
        </w:rPr>
      </w:pPr>
      <w:r>
        <w:rPr>
          <w:lang w:val="es-CL"/>
        </w:rPr>
        <w:t>Los costos de operación y mantenimiento se consideran, en general, como un porcentaje de la inversión, según se resume en la tabla siguiente.</w:t>
      </w:r>
    </w:p>
    <w:p w:rsidR="003D24CD" w:rsidRPr="003D24CD" w:rsidRDefault="003D24CD" w:rsidP="003D24CD">
      <w:pPr>
        <w:spacing w:after="0"/>
        <w:jc w:val="center"/>
        <w:rPr>
          <w:b/>
          <w:lang w:val="es-CL"/>
        </w:rPr>
      </w:pPr>
      <w:r w:rsidRPr="003D24CD">
        <w:rPr>
          <w:b/>
          <w:lang w:val="es-CL"/>
        </w:rPr>
        <w:t>Tabla N°21 Costos de Operación y Mantenimiento Redes FERUM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tblGrid>
      <w:tr w:rsidR="00C23719" w:rsidRPr="00C23719" w:rsidTr="00000D0F">
        <w:trPr>
          <w:trHeight w:val="285"/>
          <w:jc w:val="center"/>
        </w:trPr>
        <w:tc>
          <w:tcPr>
            <w:tcW w:w="3256" w:type="dxa"/>
            <w:shd w:val="clear" w:color="auto" w:fill="D9E2F3" w:themeFill="accent1" w:themeFillTint="33"/>
            <w:noWrap/>
            <w:hideMark/>
          </w:tcPr>
          <w:p w:rsidR="00C23719" w:rsidRPr="003D24CD" w:rsidRDefault="00C23719" w:rsidP="003D24CD">
            <w:pPr>
              <w:jc w:val="center"/>
              <w:rPr>
                <w:rFonts w:ascii="Calibri" w:eastAsia="Times New Roman" w:hAnsi="Calibri" w:cs="Calibri"/>
                <w:b/>
                <w:color w:val="000000"/>
                <w:lang w:eastAsia="es-CR"/>
              </w:rPr>
            </w:pPr>
            <w:r w:rsidRPr="003D24CD">
              <w:rPr>
                <w:rFonts w:ascii="Calibri" w:eastAsia="Times New Roman" w:hAnsi="Calibri" w:cs="Calibri"/>
                <w:b/>
                <w:color w:val="000000"/>
                <w:lang w:eastAsia="es-CR"/>
              </w:rPr>
              <w:t>Tipo de Red</w:t>
            </w:r>
          </w:p>
        </w:tc>
        <w:tc>
          <w:tcPr>
            <w:tcW w:w="1984" w:type="dxa"/>
            <w:shd w:val="clear" w:color="auto" w:fill="D9E2F3" w:themeFill="accent1" w:themeFillTint="33"/>
            <w:noWrap/>
            <w:hideMark/>
          </w:tcPr>
          <w:p w:rsidR="00C23719" w:rsidRPr="003D24CD" w:rsidRDefault="00C23719" w:rsidP="003D24CD">
            <w:pPr>
              <w:jc w:val="center"/>
              <w:rPr>
                <w:rFonts w:ascii="Calibri" w:eastAsia="Times New Roman" w:hAnsi="Calibri" w:cs="Calibri"/>
                <w:b/>
                <w:color w:val="000000"/>
                <w:lang w:eastAsia="es-CR"/>
              </w:rPr>
            </w:pPr>
            <w:r w:rsidRPr="003D24CD">
              <w:rPr>
                <w:rFonts w:ascii="Calibri" w:eastAsia="Times New Roman" w:hAnsi="Calibri" w:cs="Calibri"/>
                <w:b/>
                <w:color w:val="000000"/>
                <w:lang w:eastAsia="es-CR"/>
              </w:rPr>
              <w:t>% de la Inversión</w:t>
            </w:r>
          </w:p>
        </w:tc>
      </w:tr>
      <w:tr w:rsidR="00C23719" w:rsidRPr="00C23719" w:rsidTr="00000D0F">
        <w:trPr>
          <w:trHeight w:val="285"/>
          <w:jc w:val="center"/>
        </w:trPr>
        <w:tc>
          <w:tcPr>
            <w:tcW w:w="3256" w:type="dxa"/>
            <w:noWrap/>
            <w:hideMark/>
          </w:tcPr>
          <w:p w:rsidR="00C23719" w:rsidRPr="00C23719" w:rsidRDefault="00C23719" w:rsidP="00C23719">
            <w:pPr>
              <w:rPr>
                <w:rFonts w:ascii="Calibri" w:eastAsia="Times New Roman" w:hAnsi="Calibri" w:cs="Calibri"/>
                <w:color w:val="000000"/>
                <w:lang w:eastAsia="es-CR"/>
              </w:rPr>
            </w:pPr>
            <w:r w:rsidRPr="00C23719">
              <w:rPr>
                <w:rFonts w:ascii="Calibri" w:eastAsia="Times New Roman" w:hAnsi="Calibri" w:cs="Calibri"/>
                <w:color w:val="000000"/>
                <w:lang w:eastAsia="es-CR"/>
              </w:rPr>
              <w:t>acometidas y medidores</w:t>
            </w:r>
          </w:p>
        </w:tc>
        <w:tc>
          <w:tcPr>
            <w:tcW w:w="1984" w:type="dxa"/>
            <w:noWrap/>
            <w:hideMark/>
          </w:tcPr>
          <w:p w:rsidR="00C23719" w:rsidRPr="00C23719" w:rsidRDefault="00C23719" w:rsidP="003D24CD">
            <w:pPr>
              <w:jc w:val="center"/>
              <w:rPr>
                <w:rFonts w:ascii="Calibri" w:eastAsia="Times New Roman" w:hAnsi="Calibri" w:cs="Calibri"/>
                <w:color w:val="000000"/>
                <w:lang w:eastAsia="es-CR"/>
              </w:rPr>
            </w:pPr>
            <w:r w:rsidRPr="00C23719">
              <w:rPr>
                <w:rFonts w:ascii="Calibri" w:eastAsia="Times New Roman" w:hAnsi="Calibri" w:cs="Calibri"/>
                <w:color w:val="000000"/>
                <w:lang w:eastAsia="es-CR"/>
              </w:rPr>
              <w:t>4%</w:t>
            </w:r>
          </w:p>
        </w:tc>
      </w:tr>
      <w:tr w:rsidR="00C23719" w:rsidRPr="00C23719" w:rsidTr="00000D0F">
        <w:trPr>
          <w:trHeight w:val="285"/>
          <w:jc w:val="center"/>
        </w:trPr>
        <w:tc>
          <w:tcPr>
            <w:tcW w:w="3256" w:type="dxa"/>
            <w:noWrap/>
            <w:hideMark/>
          </w:tcPr>
          <w:p w:rsidR="00C23719" w:rsidRPr="00C23719" w:rsidRDefault="00C23719" w:rsidP="00C23719">
            <w:pPr>
              <w:rPr>
                <w:rFonts w:ascii="Calibri" w:eastAsia="Times New Roman" w:hAnsi="Calibri" w:cs="Calibri"/>
                <w:color w:val="000000"/>
                <w:lang w:eastAsia="es-CR"/>
              </w:rPr>
            </w:pPr>
            <w:r w:rsidRPr="00C23719">
              <w:rPr>
                <w:rFonts w:ascii="Calibri" w:eastAsia="Times New Roman" w:hAnsi="Calibri" w:cs="Calibri"/>
                <w:color w:val="000000"/>
                <w:lang w:eastAsia="es-CR"/>
              </w:rPr>
              <w:t>Red MT</w:t>
            </w:r>
          </w:p>
        </w:tc>
        <w:tc>
          <w:tcPr>
            <w:tcW w:w="1984" w:type="dxa"/>
            <w:noWrap/>
            <w:hideMark/>
          </w:tcPr>
          <w:p w:rsidR="00C23719" w:rsidRPr="00C23719" w:rsidRDefault="00C23719" w:rsidP="003D24CD">
            <w:pPr>
              <w:jc w:val="center"/>
              <w:rPr>
                <w:rFonts w:ascii="Calibri" w:eastAsia="Times New Roman" w:hAnsi="Calibri" w:cs="Calibri"/>
                <w:color w:val="000000"/>
                <w:lang w:eastAsia="es-CR"/>
              </w:rPr>
            </w:pPr>
            <w:r w:rsidRPr="00C23719">
              <w:rPr>
                <w:rFonts w:ascii="Calibri" w:eastAsia="Times New Roman" w:hAnsi="Calibri" w:cs="Calibri"/>
                <w:color w:val="000000"/>
                <w:lang w:eastAsia="es-CR"/>
              </w:rPr>
              <w:t>6%</w:t>
            </w:r>
          </w:p>
        </w:tc>
      </w:tr>
      <w:tr w:rsidR="00C23719" w:rsidRPr="00C23719" w:rsidTr="00000D0F">
        <w:trPr>
          <w:trHeight w:val="285"/>
          <w:jc w:val="center"/>
        </w:trPr>
        <w:tc>
          <w:tcPr>
            <w:tcW w:w="3256" w:type="dxa"/>
            <w:noWrap/>
            <w:hideMark/>
          </w:tcPr>
          <w:p w:rsidR="00C23719" w:rsidRPr="00C23719" w:rsidRDefault="00C23719" w:rsidP="00C23719">
            <w:pPr>
              <w:rPr>
                <w:rFonts w:ascii="Calibri" w:eastAsia="Times New Roman" w:hAnsi="Calibri" w:cs="Calibri"/>
                <w:color w:val="000000"/>
                <w:lang w:eastAsia="es-CR"/>
              </w:rPr>
            </w:pPr>
            <w:r w:rsidRPr="00C23719">
              <w:rPr>
                <w:rFonts w:ascii="Calibri" w:eastAsia="Times New Roman" w:hAnsi="Calibri" w:cs="Calibri"/>
                <w:color w:val="000000"/>
                <w:lang w:eastAsia="es-CR"/>
              </w:rPr>
              <w:t>Transformadores de Distribución</w:t>
            </w:r>
          </w:p>
        </w:tc>
        <w:tc>
          <w:tcPr>
            <w:tcW w:w="1984" w:type="dxa"/>
            <w:noWrap/>
            <w:hideMark/>
          </w:tcPr>
          <w:p w:rsidR="00C23719" w:rsidRPr="00C23719" w:rsidRDefault="00C23719" w:rsidP="003D24CD">
            <w:pPr>
              <w:jc w:val="center"/>
              <w:rPr>
                <w:rFonts w:ascii="Calibri" w:eastAsia="Times New Roman" w:hAnsi="Calibri" w:cs="Calibri"/>
                <w:color w:val="000000"/>
                <w:lang w:eastAsia="es-CR"/>
              </w:rPr>
            </w:pPr>
            <w:r w:rsidRPr="00C23719">
              <w:rPr>
                <w:rFonts w:ascii="Calibri" w:eastAsia="Times New Roman" w:hAnsi="Calibri" w:cs="Calibri"/>
                <w:color w:val="000000"/>
                <w:lang w:eastAsia="es-CR"/>
              </w:rPr>
              <w:t>9%</w:t>
            </w:r>
          </w:p>
        </w:tc>
      </w:tr>
      <w:tr w:rsidR="00C23719" w:rsidRPr="00C23719" w:rsidTr="00000D0F">
        <w:trPr>
          <w:trHeight w:val="285"/>
          <w:jc w:val="center"/>
        </w:trPr>
        <w:tc>
          <w:tcPr>
            <w:tcW w:w="3256" w:type="dxa"/>
            <w:noWrap/>
            <w:hideMark/>
          </w:tcPr>
          <w:p w:rsidR="00C23719" w:rsidRPr="00C23719" w:rsidRDefault="00C23719" w:rsidP="00C23719">
            <w:pPr>
              <w:rPr>
                <w:rFonts w:ascii="Calibri" w:eastAsia="Times New Roman" w:hAnsi="Calibri" w:cs="Calibri"/>
                <w:color w:val="000000"/>
                <w:lang w:eastAsia="es-CR"/>
              </w:rPr>
            </w:pPr>
            <w:r w:rsidRPr="00C23719">
              <w:rPr>
                <w:rFonts w:ascii="Calibri" w:eastAsia="Times New Roman" w:hAnsi="Calibri" w:cs="Calibri"/>
                <w:color w:val="000000"/>
                <w:lang w:eastAsia="es-CR"/>
              </w:rPr>
              <w:t>Red BT</w:t>
            </w:r>
          </w:p>
        </w:tc>
        <w:tc>
          <w:tcPr>
            <w:tcW w:w="1984" w:type="dxa"/>
            <w:noWrap/>
            <w:hideMark/>
          </w:tcPr>
          <w:p w:rsidR="00C23719" w:rsidRPr="00C23719" w:rsidRDefault="00C23719" w:rsidP="003D24CD">
            <w:pPr>
              <w:jc w:val="center"/>
              <w:rPr>
                <w:rFonts w:ascii="Calibri" w:eastAsia="Times New Roman" w:hAnsi="Calibri" w:cs="Calibri"/>
                <w:color w:val="000000"/>
                <w:lang w:eastAsia="es-CR"/>
              </w:rPr>
            </w:pPr>
            <w:r w:rsidRPr="00C23719">
              <w:rPr>
                <w:rFonts w:ascii="Calibri" w:eastAsia="Times New Roman" w:hAnsi="Calibri" w:cs="Calibri"/>
                <w:color w:val="000000"/>
                <w:lang w:eastAsia="es-CR"/>
              </w:rPr>
              <w:t>9%</w:t>
            </w:r>
          </w:p>
        </w:tc>
      </w:tr>
      <w:tr w:rsidR="00C23719" w:rsidRPr="00C23719" w:rsidTr="00000D0F">
        <w:trPr>
          <w:trHeight w:val="285"/>
          <w:jc w:val="center"/>
        </w:trPr>
        <w:tc>
          <w:tcPr>
            <w:tcW w:w="3256" w:type="dxa"/>
            <w:noWrap/>
            <w:hideMark/>
          </w:tcPr>
          <w:p w:rsidR="00C23719" w:rsidRPr="00C23719" w:rsidRDefault="00C23719" w:rsidP="00C23719">
            <w:pPr>
              <w:rPr>
                <w:rFonts w:ascii="Calibri" w:eastAsia="Times New Roman" w:hAnsi="Calibri" w:cs="Calibri"/>
                <w:color w:val="000000"/>
                <w:lang w:eastAsia="es-CR"/>
              </w:rPr>
            </w:pPr>
            <w:r w:rsidRPr="00C23719">
              <w:rPr>
                <w:rFonts w:ascii="Calibri" w:eastAsia="Times New Roman" w:hAnsi="Calibri" w:cs="Calibri"/>
                <w:color w:val="000000"/>
                <w:lang w:eastAsia="es-CR"/>
              </w:rPr>
              <w:t>Alumbrado Público</w:t>
            </w:r>
          </w:p>
        </w:tc>
        <w:tc>
          <w:tcPr>
            <w:tcW w:w="1984" w:type="dxa"/>
            <w:noWrap/>
            <w:hideMark/>
          </w:tcPr>
          <w:p w:rsidR="00C23719" w:rsidRPr="00C23719" w:rsidRDefault="00C23719" w:rsidP="003D24CD">
            <w:pPr>
              <w:jc w:val="center"/>
              <w:rPr>
                <w:rFonts w:ascii="Calibri" w:eastAsia="Times New Roman" w:hAnsi="Calibri" w:cs="Calibri"/>
                <w:color w:val="000000"/>
                <w:lang w:eastAsia="es-CR"/>
              </w:rPr>
            </w:pPr>
            <w:r w:rsidRPr="00C23719">
              <w:rPr>
                <w:rFonts w:ascii="Calibri" w:eastAsia="Times New Roman" w:hAnsi="Calibri" w:cs="Calibri"/>
                <w:color w:val="000000"/>
                <w:lang w:eastAsia="es-CR"/>
              </w:rPr>
              <w:t>9%</w:t>
            </w:r>
          </w:p>
        </w:tc>
      </w:tr>
    </w:tbl>
    <w:p w:rsidR="00876273" w:rsidRDefault="00876273" w:rsidP="00F56913">
      <w:pPr>
        <w:jc w:val="both"/>
        <w:rPr>
          <w:lang w:val="es-CL"/>
        </w:rPr>
      </w:pPr>
    </w:p>
    <w:p w:rsidR="003D24CD" w:rsidRDefault="003D24CD" w:rsidP="00F56913">
      <w:pPr>
        <w:jc w:val="both"/>
        <w:rPr>
          <w:lang w:val="es-CL"/>
        </w:rPr>
      </w:pPr>
      <w:r>
        <w:rPr>
          <w:lang w:val="es-CL"/>
        </w:rPr>
        <w:t>No obstante, considerando lo anterior se hacen 2 alcances adicionales:</w:t>
      </w:r>
    </w:p>
    <w:p w:rsidR="003D24CD" w:rsidRDefault="003D24CD" w:rsidP="003D24CD">
      <w:pPr>
        <w:pStyle w:val="ListParagraph"/>
        <w:numPr>
          <w:ilvl w:val="0"/>
          <w:numId w:val="15"/>
        </w:numPr>
        <w:jc w:val="both"/>
        <w:rPr>
          <w:lang w:val="es-CL"/>
        </w:rPr>
      </w:pPr>
      <w:r>
        <w:rPr>
          <w:lang w:val="es-CL"/>
        </w:rPr>
        <w:t>Antes de la ejecución de los proyectos, se asume que ya existe un esfuerzo de mantenimiento que se considera equivalente al 30% de los costos de mantenimiento de la red mejorada, extendida y reconfigurada.</w:t>
      </w:r>
    </w:p>
    <w:p w:rsidR="003D24CD" w:rsidRPr="003D24CD" w:rsidRDefault="003D24CD" w:rsidP="003D24CD">
      <w:pPr>
        <w:pStyle w:val="ListParagraph"/>
        <w:numPr>
          <w:ilvl w:val="0"/>
          <w:numId w:val="15"/>
        </w:numPr>
        <w:jc w:val="both"/>
        <w:rPr>
          <w:lang w:val="es-CL"/>
        </w:rPr>
      </w:pPr>
      <w:r>
        <w:rPr>
          <w:lang w:val="es-CL"/>
        </w:rPr>
        <w:t>Los costos de mantenimiento se incrementan de forma gradual, alcanzando el 100% de su valor estimado (según Tabla N°21</w:t>
      </w:r>
      <w:r w:rsidR="00774098">
        <w:rPr>
          <w:lang w:val="es-CL"/>
        </w:rPr>
        <w:t>) a</w:t>
      </w:r>
      <w:r>
        <w:rPr>
          <w:lang w:val="es-CL"/>
        </w:rPr>
        <w:t xml:space="preserve"> partir del 5 año del horizonte de evaluación.</w:t>
      </w:r>
    </w:p>
    <w:p w:rsidR="009A6184" w:rsidRDefault="00774098" w:rsidP="00F56913">
      <w:pPr>
        <w:jc w:val="both"/>
        <w:rPr>
          <w:lang w:val="es-CL"/>
        </w:rPr>
      </w:pPr>
      <w:r>
        <w:rPr>
          <w:lang w:val="es-CL"/>
        </w:rPr>
        <w:t>Con estos antecedentes la evaluación financiera de estos proyectos se resume en la tabla siguiente.</w:t>
      </w:r>
    </w:p>
    <w:p w:rsidR="00774098" w:rsidRDefault="00774098" w:rsidP="00F56913">
      <w:pPr>
        <w:jc w:val="both"/>
        <w:rPr>
          <w:lang w:val="es-CL"/>
        </w:rPr>
      </w:pPr>
    </w:p>
    <w:p w:rsidR="00880F9D" w:rsidRPr="00880F9D" w:rsidRDefault="00880F9D" w:rsidP="00880F9D">
      <w:pPr>
        <w:spacing w:after="0"/>
        <w:jc w:val="center"/>
        <w:rPr>
          <w:b/>
          <w:lang w:val="es-CL"/>
        </w:rPr>
      </w:pPr>
      <w:r w:rsidRPr="009607E7">
        <w:rPr>
          <w:b/>
          <w:lang w:val="es-CL"/>
        </w:rPr>
        <w:t>Tabla N°22 Resultado Evaluación Financiera Proyectos FERUM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9"/>
        <w:gridCol w:w="851"/>
        <w:gridCol w:w="992"/>
        <w:gridCol w:w="1417"/>
        <w:gridCol w:w="1520"/>
        <w:gridCol w:w="1076"/>
      </w:tblGrid>
      <w:tr w:rsidR="00BE7ADD" w:rsidRPr="00F979C8" w:rsidTr="00000D0F">
        <w:trPr>
          <w:jc w:val="center"/>
        </w:trPr>
        <w:tc>
          <w:tcPr>
            <w:tcW w:w="2263" w:type="dxa"/>
            <w:shd w:val="clear" w:color="auto" w:fill="D9E2F3" w:themeFill="accent1" w:themeFillTint="33"/>
            <w:vAlign w:val="center"/>
          </w:tcPr>
          <w:p w:rsidR="00BE7ADD" w:rsidRPr="00F979C8" w:rsidRDefault="00BE7ADD" w:rsidP="002071B0">
            <w:pPr>
              <w:jc w:val="center"/>
              <w:rPr>
                <w:b/>
              </w:rPr>
            </w:pPr>
            <w:r w:rsidRPr="00F979C8">
              <w:rPr>
                <w:b/>
              </w:rPr>
              <w:t>Empresa</w:t>
            </w:r>
          </w:p>
        </w:tc>
        <w:tc>
          <w:tcPr>
            <w:tcW w:w="709" w:type="dxa"/>
            <w:shd w:val="clear" w:color="auto" w:fill="D9E2F3" w:themeFill="accent1" w:themeFillTint="33"/>
            <w:vAlign w:val="center"/>
          </w:tcPr>
          <w:p w:rsidR="00BE7ADD" w:rsidRPr="00F979C8" w:rsidRDefault="00560C38" w:rsidP="002071B0">
            <w:pPr>
              <w:jc w:val="center"/>
              <w:rPr>
                <w:b/>
              </w:rPr>
            </w:pPr>
            <w:r>
              <w:rPr>
                <w:b/>
              </w:rPr>
              <w:t># Pr.</w:t>
            </w:r>
          </w:p>
        </w:tc>
        <w:tc>
          <w:tcPr>
            <w:tcW w:w="851" w:type="dxa"/>
            <w:shd w:val="clear" w:color="auto" w:fill="D9E2F3" w:themeFill="accent1" w:themeFillTint="33"/>
            <w:vAlign w:val="center"/>
          </w:tcPr>
          <w:p w:rsidR="00BE7ADD" w:rsidRPr="00F979C8" w:rsidRDefault="00BE7ADD" w:rsidP="002071B0">
            <w:pPr>
              <w:jc w:val="center"/>
              <w:rPr>
                <w:b/>
              </w:rPr>
            </w:pPr>
            <w:r w:rsidRPr="00F979C8">
              <w:rPr>
                <w:b/>
              </w:rPr>
              <w:t>Vcs</w:t>
            </w:r>
          </w:p>
        </w:tc>
        <w:tc>
          <w:tcPr>
            <w:tcW w:w="992" w:type="dxa"/>
            <w:shd w:val="clear" w:color="auto" w:fill="D9E2F3" w:themeFill="accent1" w:themeFillTint="33"/>
            <w:vAlign w:val="center"/>
          </w:tcPr>
          <w:p w:rsidR="00BE7ADD" w:rsidRPr="00F979C8" w:rsidRDefault="00BE7ADD" w:rsidP="002071B0">
            <w:pPr>
              <w:jc w:val="center"/>
              <w:rPr>
                <w:b/>
              </w:rPr>
            </w:pPr>
            <w:r w:rsidRPr="00F979C8">
              <w:rPr>
                <w:b/>
              </w:rPr>
              <w:t>Vss</w:t>
            </w:r>
          </w:p>
        </w:tc>
        <w:tc>
          <w:tcPr>
            <w:tcW w:w="1417" w:type="dxa"/>
            <w:shd w:val="clear" w:color="auto" w:fill="D9E2F3" w:themeFill="accent1" w:themeFillTint="33"/>
            <w:vAlign w:val="center"/>
          </w:tcPr>
          <w:p w:rsidR="00BE7ADD" w:rsidRPr="00F979C8" w:rsidRDefault="00BE7ADD" w:rsidP="002071B0">
            <w:pPr>
              <w:jc w:val="center"/>
              <w:rPr>
                <w:b/>
              </w:rPr>
            </w:pPr>
            <w:r w:rsidRPr="00F979C8">
              <w:rPr>
                <w:b/>
              </w:rPr>
              <w:t>Inversión (US$)</w:t>
            </w:r>
          </w:p>
        </w:tc>
        <w:tc>
          <w:tcPr>
            <w:tcW w:w="1520" w:type="dxa"/>
            <w:shd w:val="clear" w:color="auto" w:fill="D9E2F3" w:themeFill="accent1" w:themeFillTint="33"/>
            <w:vAlign w:val="center"/>
          </w:tcPr>
          <w:p w:rsidR="00BE7ADD" w:rsidRPr="00F979C8" w:rsidRDefault="00BE7ADD" w:rsidP="002071B0">
            <w:pPr>
              <w:jc w:val="center"/>
              <w:rPr>
                <w:b/>
              </w:rPr>
            </w:pPr>
            <w:r>
              <w:rPr>
                <w:b/>
              </w:rPr>
              <w:t>VAN F (US$)</w:t>
            </w:r>
          </w:p>
        </w:tc>
        <w:tc>
          <w:tcPr>
            <w:tcW w:w="1076" w:type="dxa"/>
            <w:shd w:val="clear" w:color="auto" w:fill="D9E2F3" w:themeFill="accent1" w:themeFillTint="33"/>
            <w:vAlign w:val="center"/>
          </w:tcPr>
          <w:p w:rsidR="00BE7ADD" w:rsidRPr="00F979C8" w:rsidRDefault="00BE7ADD" w:rsidP="008B2618">
            <w:pPr>
              <w:jc w:val="center"/>
              <w:rPr>
                <w:b/>
              </w:rPr>
            </w:pPr>
            <w:r>
              <w:rPr>
                <w:b/>
              </w:rPr>
              <w:t>TIR F</w:t>
            </w:r>
          </w:p>
        </w:tc>
      </w:tr>
      <w:tr w:rsidR="007508CA" w:rsidRPr="00D55F73" w:rsidTr="00000D0F">
        <w:trPr>
          <w:jc w:val="center"/>
        </w:trPr>
        <w:tc>
          <w:tcPr>
            <w:tcW w:w="2263" w:type="dxa"/>
            <w:vAlign w:val="bottom"/>
          </w:tcPr>
          <w:p w:rsidR="007508CA" w:rsidRDefault="007508CA" w:rsidP="007508CA">
            <w:pPr>
              <w:rPr>
                <w:rFonts w:ascii="Calibri" w:hAnsi="Calibri" w:cs="Calibri"/>
                <w:color w:val="000000"/>
              </w:rPr>
            </w:pPr>
            <w:r>
              <w:rPr>
                <w:rFonts w:ascii="Calibri" w:hAnsi="Calibri" w:cs="Calibri"/>
                <w:color w:val="000000"/>
              </w:rPr>
              <w:t>CNEL Bolivar</w:t>
            </w:r>
          </w:p>
        </w:tc>
        <w:tc>
          <w:tcPr>
            <w:tcW w:w="709" w:type="dxa"/>
            <w:vAlign w:val="bottom"/>
          </w:tcPr>
          <w:p w:rsidR="007508CA" w:rsidRDefault="007508CA" w:rsidP="007508CA">
            <w:pPr>
              <w:jc w:val="right"/>
              <w:rPr>
                <w:rFonts w:ascii="Calibri" w:hAnsi="Calibri" w:cs="Calibri"/>
                <w:color w:val="000000"/>
              </w:rPr>
            </w:pPr>
            <w:r>
              <w:rPr>
                <w:rFonts w:ascii="Calibri" w:hAnsi="Calibri" w:cs="Calibri"/>
                <w:color w:val="000000"/>
              </w:rPr>
              <w:t xml:space="preserve"> 28 </w:t>
            </w:r>
          </w:p>
        </w:tc>
        <w:tc>
          <w:tcPr>
            <w:tcW w:w="851" w:type="dxa"/>
            <w:vAlign w:val="bottom"/>
          </w:tcPr>
          <w:p w:rsidR="007508CA" w:rsidRDefault="007508CA" w:rsidP="007508CA">
            <w:pPr>
              <w:jc w:val="right"/>
              <w:rPr>
                <w:rFonts w:ascii="Calibri" w:hAnsi="Calibri" w:cs="Calibri"/>
                <w:color w:val="000000"/>
              </w:rPr>
            </w:pPr>
            <w:r>
              <w:rPr>
                <w:rFonts w:ascii="Calibri" w:hAnsi="Calibri" w:cs="Calibri"/>
                <w:color w:val="000000"/>
              </w:rPr>
              <w:t xml:space="preserve"> - </w:t>
            </w:r>
          </w:p>
        </w:tc>
        <w:tc>
          <w:tcPr>
            <w:tcW w:w="992" w:type="dxa"/>
            <w:vAlign w:val="bottom"/>
          </w:tcPr>
          <w:p w:rsidR="007508CA" w:rsidRDefault="007508CA" w:rsidP="007508CA">
            <w:pPr>
              <w:jc w:val="right"/>
              <w:rPr>
                <w:rFonts w:ascii="Calibri" w:hAnsi="Calibri" w:cs="Calibri"/>
                <w:color w:val="000000"/>
              </w:rPr>
            </w:pPr>
            <w:r>
              <w:rPr>
                <w:rFonts w:ascii="Calibri" w:hAnsi="Calibri" w:cs="Calibri"/>
                <w:color w:val="000000"/>
              </w:rPr>
              <w:t xml:space="preserve"> 322 </w:t>
            </w:r>
          </w:p>
        </w:tc>
        <w:tc>
          <w:tcPr>
            <w:tcW w:w="1417" w:type="dxa"/>
            <w:vAlign w:val="bottom"/>
          </w:tcPr>
          <w:p w:rsidR="007508CA" w:rsidRDefault="007508CA" w:rsidP="007508CA">
            <w:pPr>
              <w:jc w:val="right"/>
              <w:rPr>
                <w:rFonts w:ascii="Calibri" w:hAnsi="Calibri" w:cs="Calibri"/>
                <w:color w:val="000000"/>
              </w:rPr>
            </w:pPr>
            <w:r>
              <w:rPr>
                <w:rFonts w:ascii="Calibri" w:hAnsi="Calibri" w:cs="Calibri"/>
                <w:color w:val="000000"/>
              </w:rPr>
              <w:t xml:space="preserve"> 1.254.042,2 </w:t>
            </w:r>
          </w:p>
        </w:tc>
        <w:tc>
          <w:tcPr>
            <w:tcW w:w="1520" w:type="dxa"/>
            <w:vAlign w:val="bottom"/>
          </w:tcPr>
          <w:p w:rsidR="007508CA" w:rsidRDefault="007508CA" w:rsidP="007508CA">
            <w:pPr>
              <w:jc w:val="right"/>
              <w:rPr>
                <w:rFonts w:ascii="Calibri" w:hAnsi="Calibri" w:cs="Calibri"/>
                <w:color w:val="FF0000"/>
              </w:rPr>
            </w:pPr>
            <w:r>
              <w:rPr>
                <w:rFonts w:ascii="Calibri" w:hAnsi="Calibri" w:cs="Calibri"/>
                <w:color w:val="FF0000"/>
              </w:rPr>
              <w:t xml:space="preserve"> -1.332.127,5 </w:t>
            </w:r>
          </w:p>
        </w:tc>
        <w:tc>
          <w:tcPr>
            <w:tcW w:w="1076" w:type="dxa"/>
            <w:vAlign w:val="bottom"/>
          </w:tcPr>
          <w:p w:rsidR="007508CA" w:rsidRDefault="007508CA" w:rsidP="007508CA">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El Oro</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24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376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431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1.330.749,0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-688.276,5 </w:t>
            </w:r>
          </w:p>
        </w:tc>
        <w:tc>
          <w:tcPr>
            <w:tcW w:w="1076" w:type="dxa"/>
            <w:vAlign w:val="bottom"/>
          </w:tcPr>
          <w:p w:rsidR="009607E7" w:rsidRDefault="009607E7" w:rsidP="009607E7">
            <w:pPr>
              <w:jc w:val="right"/>
              <w:rPr>
                <w:rFonts w:ascii="Calibri" w:hAnsi="Calibri" w:cs="Calibri"/>
                <w:color w:val="000000"/>
              </w:rPr>
            </w:pPr>
            <w:r>
              <w:rPr>
                <w:rFonts w:ascii="Calibri" w:hAnsi="Calibri" w:cs="Calibri"/>
                <w:color w:val="000000"/>
              </w:rPr>
              <w:t>1,47%</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Esmeraldas</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25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1.272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3.495.447,5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-2.000.642,5 </w:t>
            </w:r>
          </w:p>
        </w:tc>
        <w:tc>
          <w:tcPr>
            <w:tcW w:w="1076" w:type="dxa"/>
            <w:vAlign w:val="bottom"/>
          </w:tcPr>
          <w:p w:rsidR="009607E7" w:rsidRDefault="009607E7" w:rsidP="009607E7">
            <w:pPr>
              <w:jc w:val="right"/>
              <w:rPr>
                <w:rFonts w:ascii="Calibri" w:hAnsi="Calibri" w:cs="Calibri"/>
                <w:color w:val="FF0000"/>
              </w:rPr>
            </w:pPr>
            <w:r>
              <w:rPr>
                <w:rFonts w:ascii="Calibri" w:hAnsi="Calibri" w:cs="Calibri"/>
                <w:color w:val="FF0000"/>
              </w:rPr>
              <w:t>-0,21%</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Guayaquil</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8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320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3.233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2.779.115,7 </w:t>
            </w:r>
          </w:p>
        </w:tc>
        <w:tc>
          <w:tcPr>
            <w:tcW w:w="1520"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5.100.507,2 </w:t>
            </w:r>
          </w:p>
        </w:tc>
        <w:tc>
          <w:tcPr>
            <w:tcW w:w="1076" w:type="dxa"/>
            <w:vAlign w:val="bottom"/>
          </w:tcPr>
          <w:p w:rsidR="009607E7" w:rsidRDefault="009607E7" w:rsidP="009607E7">
            <w:pPr>
              <w:jc w:val="right"/>
              <w:rPr>
                <w:rFonts w:ascii="Calibri" w:hAnsi="Calibri" w:cs="Calibri"/>
                <w:color w:val="000000"/>
              </w:rPr>
            </w:pPr>
            <w:r>
              <w:rPr>
                <w:rFonts w:ascii="Calibri" w:hAnsi="Calibri" w:cs="Calibri"/>
                <w:color w:val="000000"/>
              </w:rPr>
              <w:t>48,94%</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Guayas Los Rios</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34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696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1.253.695,2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-86.501,9 </w:t>
            </w:r>
          </w:p>
        </w:tc>
        <w:tc>
          <w:tcPr>
            <w:tcW w:w="1076" w:type="dxa"/>
            <w:vAlign w:val="bottom"/>
          </w:tcPr>
          <w:p w:rsidR="009607E7" w:rsidRDefault="009607E7" w:rsidP="009607E7">
            <w:pPr>
              <w:jc w:val="right"/>
              <w:rPr>
                <w:rFonts w:ascii="Calibri" w:hAnsi="Calibri" w:cs="Calibri"/>
                <w:color w:val="000000"/>
              </w:rPr>
            </w:pPr>
            <w:r>
              <w:rPr>
                <w:rFonts w:ascii="Calibri" w:hAnsi="Calibri" w:cs="Calibri"/>
                <w:color w:val="000000"/>
              </w:rPr>
              <w:t>10,71%</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Los Rios</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61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14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1.227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2.238.401,9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-879.298,5 </w:t>
            </w:r>
          </w:p>
        </w:tc>
        <w:tc>
          <w:tcPr>
            <w:tcW w:w="1076" w:type="dxa"/>
            <w:vAlign w:val="bottom"/>
          </w:tcPr>
          <w:p w:rsidR="009607E7" w:rsidRDefault="009607E7" w:rsidP="009607E7">
            <w:pPr>
              <w:jc w:val="right"/>
              <w:rPr>
                <w:rFonts w:ascii="Calibri" w:hAnsi="Calibri" w:cs="Calibri"/>
                <w:color w:val="000000"/>
              </w:rPr>
            </w:pPr>
            <w:r>
              <w:rPr>
                <w:rFonts w:ascii="Calibri" w:hAnsi="Calibri" w:cs="Calibri"/>
                <w:color w:val="000000"/>
              </w:rPr>
              <w:t>4,16%</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Manabi</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36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238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900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1.917.244,3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-948.290,3 </w:t>
            </w:r>
          </w:p>
        </w:tc>
        <w:tc>
          <w:tcPr>
            <w:tcW w:w="1076" w:type="dxa"/>
            <w:vAlign w:val="bottom"/>
          </w:tcPr>
          <w:p w:rsidR="009607E7" w:rsidRDefault="009607E7" w:rsidP="009607E7">
            <w:pPr>
              <w:jc w:val="right"/>
              <w:rPr>
                <w:rFonts w:ascii="Calibri" w:hAnsi="Calibri" w:cs="Calibri"/>
                <w:color w:val="000000"/>
              </w:rPr>
            </w:pPr>
            <w:r>
              <w:rPr>
                <w:rFonts w:ascii="Calibri" w:hAnsi="Calibri" w:cs="Calibri"/>
                <w:color w:val="000000"/>
              </w:rPr>
              <w:t>1,93%</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Milagro</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36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69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354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955.960,4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-609.461,1 </w:t>
            </w:r>
          </w:p>
        </w:tc>
        <w:tc>
          <w:tcPr>
            <w:tcW w:w="1076" w:type="dxa"/>
            <w:vAlign w:val="bottom"/>
          </w:tcPr>
          <w:p w:rsidR="009607E7" w:rsidRDefault="009607E7" w:rsidP="009607E7">
            <w:pPr>
              <w:jc w:val="right"/>
              <w:rPr>
                <w:rFonts w:ascii="Calibri" w:hAnsi="Calibri" w:cs="Calibri"/>
                <w:color w:val="FF0000"/>
              </w:rPr>
            </w:pPr>
            <w:r>
              <w:rPr>
                <w:rFonts w:ascii="Calibri" w:hAnsi="Calibri" w:cs="Calibri"/>
                <w:color w:val="FF0000"/>
              </w:rPr>
              <w:t>-1,87%</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Sta Elena</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44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359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1.030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2.022.222,9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-844.536,7 </w:t>
            </w:r>
          </w:p>
        </w:tc>
        <w:tc>
          <w:tcPr>
            <w:tcW w:w="1076" w:type="dxa"/>
            <w:vAlign w:val="bottom"/>
          </w:tcPr>
          <w:p w:rsidR="009607E7" w:rsidRDefault="009607E7" w:rsidP="009607E7">
            <w:pPr>
              <w:jc w:val="right"/>
              <w:rPr>
                <w:rFonts w:ascii="Calibri" w:hAnsi="Calibri" w:cs="Calibri"/>
                <w:color w:val="000000"/>
              </w:rPr>
            </w:pPr>
            <w:r>
              <w:rPr>
                <w:rFonts w:ascii="Calibri" w:hAnsi="Calibri" w:cs="Calibri"/>
                <w:color w:val="000000"/>
              </w:rPr>
              <w:t>3,75%</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Sto Domingo</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42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34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306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1.077.047,9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-1.064.975,4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CNEL Sucumbios</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13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989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2.595.058,0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-2.729.448,4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Ambato</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12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23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720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1.193.214,8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-1.204.868,8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Azogues</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9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64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199.850,3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-222.137,6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Centrosur</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22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45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362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1.015.515,4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-1.080.518,2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Cotopaxi</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19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32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243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616.671,2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-628.425,8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Galapagos</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46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243.353,2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-242.331,8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Norte</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21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20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426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1.167.465,2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-1.159.206,7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Quito</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23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156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547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1.361.997,7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-748.341,3 </w:t>
            </w:r>
          </w:p>
        </w:tc>
        <w:tc>
          <w:tcPr>
            <w:tcW w:w="1076" w:type="dxa"/>
            <w:vAlign w:val="bottom"/>
          </w:tcPr>
          <w:p w:rsidR="009607E7" w:rsidRDefault="009607E7" w:rsidP="009607E7">
            <w:pPr>
              <w:jc w:val="right"/>
              <w:rPr>
                <w:rFonts w:ascii="Calibri" w:hAnsi="Calibri" w:cs="Calibri"/>
                <w:color w:val="000000"/>
              </w:rPr>
            </w:pPr>
            <w:r>
              <w:rPr>
                <w:rFonts w:ascii="Calibri" w:hAnsi="Calibri" w:cs="Calibri"/>
                <w:color w:val="000000"/>
              </w:rPr>
              <w:t>0,39%</w:t>
            </w:r>
          </w:p>
        </w:tc>
      </w:tr>
      <w:tr w:rsidR="009607E7" w:rsidRPr="00D55F73"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Riobamba</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42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328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621.434,4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-649.722,5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Tr="00000D0F">
        <w:trPr>
          <w:jc w:val="center"/>
        </w:trPr>
        <w:tc>
          <w:tcPr>
            <w:tcW w:w="2263" w:type="dxa"/>
            <w:vAlign w:val="bottom"/>
          </w:tcPr>
          <w:p w:rsidR="009607E7" w:rsidRDefault="009607E7" w:rsidP="009607E7">
            <w:pPr>
              <w:rPr>
                <w:rFonts w:ascii="Calibri" w:hAnsi="Calibri" w:cs="Calibri"/>
                <w:color w:val="000000"/>
              </w:rPr>
            </w:pPr>
            <w:r>
              <w:rPr>
                <w:rFonts w:ascii="Calibri" w:hAnsi="Calibri" w:cs="Calibri"/>
                <w:color w:val="000000"/>
              </w:rPr>
              <w:t>E.E. Sur</w:t>
            </w:r>
          </w:p>
        </w:tc>
        <w:tc>
          <w:tcPr>
            <w:tcW w:w="709"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71 </w:t>
            </w:r>
          </w:p>
        </w:tc>
        <w:tc>
          <w:tcPr>
            <w:tcW w:w="851"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403 </w:t>
            </w:r>
          </w:p>
        </w:tc>
        <w:tc>
          <w:tcPr>
            <w:tcW w:w="992"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1.079 </w:t>
            </w:r>
          </w:p>
        </w:tc>
        <w:tc>
          <w:tcPr>
            <w:tcW w:w="1417" w:type="dxa"/>
            <w:vAlign w:val="bottom"/>
          </w:tcPr>
          <w:p w:rsidR="009607E7" w:rsidRDefault="009607E7" w:rsidP="009607E7">
            <w:pPr>
              <w:jc w:val="right"/>
              <w:rPr>
                <w:rFonts w:ascii="Calibri" w:hAnsi="Calibri" w:cs="Calibri"/>
                <w:color w:val="000000"/>
              </w:rPr>
            </w:pPr>
            <w:r>
              <w:rPr>
                <w:rFonts w:ascii="Calibri" w:hAnsi="Calibri" w:cs="Calibri"/>
                <w:color w:val="000000"/>
              </w:rPr>
              <w:t xml:space="preserve"> 3.068.439,5 </w:t>
            </w:r>
          </w:p>
        </w:tc>
        <w:tc>
          <w:tcPr>
            <w:tcW w:w="1520" w:type="dxa"/>
            <w:vAlign w:val="bottom"/>
          </w:tcPr>
          <w:p w:rsidR="009607E7" w:rsidRDefault="009607E7" w:rsidP="009607E7">
            <w:pPr>
              <w:jc w:val="right"/>
              <w:rPr>
                <w:rFonts w:ascii="Calibri" w:hAnsi="Calibri" w:cs="Calibri"/>
                <w:color w:val="FF0000"/>
              </w:rPr>
            </w:pPr>
            <w:r>
              <w:rPr>
                <w:rFonts w:ascii="Calibri" w:hAnsi="Calibri" w:cs="Calibri"/>
                <w:color w:val="FF0000"/>
              </w:rPr>
              <w:t xml:space="preserve"> -3.413.320,2 </w:t>
            </w:r>
          </w:p>
        </w:tc>
        <w:tc>
          <w:tcPr>
            <w:tcW w:w="1076" w:type="dxa"/>
            <w:vAlign w:val="bottom"/>
          </w:tcPr>
          <w:p w:rsidR="009607E7" w:rsidRDefault="009607E7" w:rsidP="009607E7">
            <w:pPr>
              <w:rPr>
                <w:rFonts w:ascii="Calibri" w:hAnsi="Calibri" w:cs="Calibri"/>
                <w:color w:val="000000"/>
              </w:rPr>
            </w:pPr>
            <w:r>
              <w:rPr>
                <w:rFonts w:ascii="Calibri" w:hAnsi="Calibri" w:cs="Calibri"/>
                <w:color w:val="000000"/>
              </w:rPr>
              <w:t>indef</w:t>
            </w:r>
          </w:p>
        </w:tc>
      </w:tr>
      <w:tr w:rsidR="009607E7" w:rsidRPr="00F979C8" w:rsidTr="00000D0F">
        <w:trPr>
          <w:trHeight w:val="344"/>
          <w:jc w:val="center"/>
        </w:trPr>
        <w:tc>
          <w:tcPr>
            <w:tcW w:w="2263" w:type="dxa"/>
            <w:shd w:val="clear" w:color="auto" w:fill="D9E2F3" w:themeFill="accent1" w:themeFillTint="33"/>
            <w:vAlign w:val="center"/>
          </w:tcPr>
          <w:p w:rsidR="009607E7" w:rsidRPr="00F979C8" w:rsidRDefault="009607E7" w:rsidP="009607E7">
            <w:pPr>
              <w:jc w:val="both"/>
              <w:rPr>
                <w:b/>
                <w:lang w:val="es-CL"/>
              </w:rPr>
            </w:pPr>
            <w:r w:rsidRPr="00F979C8">
              <w:rPr>
                <w:b/>
                <w:lang w:val="es-CL"/>
              </w:rPr>
              <w:t>TOTAL</w:t>
            </w:r>
          </w:p>
        </w:tc>
        <w:tc>
          <w:tcPr>
            <w:tcW w:w="709" w:type="dxa"/>
            <w:shd w:val="clear" w:color="auto" w:fill="D9E2F3" w:themeFill="accent1" w:themeFillTint="33"/>
            <w:vAlign w:val="center"/>
          </w:tcPr>
          <w:p w:rsidR="009607E7" w:rsidRDefault="009607E7" w:rsidP="009607E7">
            <w:pPr>
              <w:jc w:val="right"/>
              <w:rPr>
                <w:rFonts w:ascii="Calibri" w:hAnsi="Calibri" w:cs="Calibri"/>
                <w:b/>
                <w:bCs/>
                <w:color w:val="000000"/>
              </w:rPr>
            </w:pPr>
            <w:r>
              <w:rPr>
                <w:rFonts w:ascii="Calibri" w:hAnsi="Calibri" w:cs="Calibri"/>
                <w:b/>
                <w:bCs/>
                <w:color w:val="000000"/>
              </w:rPr>
              <w:t xml:space="preserve"> 568 </w:t>
            </w:r>
          </w:p>
        </w:tc>
        <w:tc>
          <w:tcPr>
            <w:tcW w:w="851" w:type="dxa"/>
            <w:shd w:val="clear" w:color="auto" w:fill="D9E2F3" w:themeFill="accent1" w:themeFillTint="33"/>
            <w:vAlign w:val="center"/>
          </w:tcPr>
          <w:p w:rsidR="009607E7" w:rsidRDefault="009607E7" w:rsidP="009607E7">
            <w:pPr>
              <w:jc w:val="right"/>
              <w:rPr>
                <w:rFonts w:ascii="Calibri" w:hAnsi="Calibri" w:cs="Calibri"/>
                <w:b/>
                <w:bCs/>
                <w:color w:val="000000"/>
              </w:rPr>
            </w:pPr>
            <w:r>
              <w:rPr>
                <w:rFonts w:ascii="Calibri" w:hAnsi="Calibri" w:cs="Calibri"/>
                <w:b/>
                <w:bCs/>
                <w:color w:val="000000"/>
              </w:rPr>
              <w:t xml:space="preserve"> 2.105 </w:t>
            </w:r>
          </w:p>
        </w:tc>
        <w:tc>
          <w:tcPr>
            <w:tcW w:w="992" w:type="dxa"/>
            <w:shd w:val="clear" w:color="auto" w:fill="D9E2F3" w:themeFill="accent1" w:themeFillTint="33"/>
            <w:vAlign w:val="center"/>
          </w:tcPr>
          <w:p w:rsidR="009607E7" w:rsidRDefault="009607E7" w:rsidP="009607E7">
            <w:pPr>
              <w:jc w:val="right"/>
              <w:rPr>
                <w:rFonts w:ascii="Calibri" w:hAnsi="Calibri" w:cs="Calibri"/>
                <w:b/>
                <w:bCs/>
                <w:color w:val="000000"/>
              </w:rPr>
            </w:pPr>
            <w:r>
              <w:rPr>
                <w:rFonts w:ascii="Calibri" w:hAnsi="Calibri" w:cs="Calibri"/>
                <w:b/>
                <w:bCs/>
                <w:color w:val="000000"/>
              </w:rPr>
              <w:t xml:space="preserve"> 14.575 </w:t>
            </w:r>
          </w:p>
        </w:tc>
        <w:tc>
          <w:tcPr>
            <w:tcW w:w="1417" w:type="dxa"/>
            <w:shd w:val="clear" w:color="auto" w:fill="D9E2F3" w:themeFill="accent1" w:themeFillTint="33"/>
            <w:vAlign w:val="center"/>
          </w:tcPr>
          <w:p w:rsidR="009607E7" w:rsidRDefault="009607E7" w:rsidP="009607E7">
            <w:pPr>
              <w:jc w:val="right"/>
              <w:rPr>
                <w:rFonts w:ascii="Calibri" w:hAnsi="Calibri" w:cs="Calibri"/>
                <w:b/>
                <w:bCs/>
                <w:color w:val="000000"/>
              </w:rPr>
            </w:pPr>
            <w:r>
              <w:rPr>
                <w:rFonts w:ascii="Calibri" w:hAnsi="Calibri" w:cs="Calibri"/>
                <w:b/>
                <w:bCs/>
                <w:color w:val="000000"/>
              </w:rPr>
              <w:t xml:space="preserve">30.406.926,8 </w:t>
            </w:r>
          </w:p>
        </w:tc>
        <w:tc>
          <w:tcPr>
            <w:tcW w:w="1520" w:type="dxa"/>
            <w:shd w:val="clear" w:color="auto" w:fill="D9E2F3" w:themeFill="accent1" w:themeFillTint="33"/>
            <w:vAlign w:val="center"/>
          </w:tcPr>
          <w:p w:rsidR="009607E7" w:rsidRPr="009607E7" w:rsidRDefault="009607E7" w:rsidP="009607E7">
            <w:pPr>
              <w:jc w:val="right"/>
              <w:rPr>
                <w:rFonts w:ascii="Calibri" w:hAnsi="Calibri" w:cs="Calibri"/>
                <w:b/>
                <w:color w:val="FF0000"/>
              </w:rPr>
            </w:pPr>
            <w:r w:rsidRPr="009607E7">
              <w:rPr>
                <w:rFonts w:ascii="Calibri" w:hAnsi="Calibri" w:cs="Calibri"/>
                <w:b/>
                <w:color w:val="FF0000"/>
              </w:rPr>
              <w:t xml:space="preserve"> -15.431.924,5 </w:t>
            </w:r>
          </w:p>
        </w:tc>
        <w:tc>
          <w:tcPr>
            <w:tcW w:w="1076" w:type="dxa"/>
            <w:shd w:val="clear" w:color="auto" w:fill="D9E2F3" w:themeFill="accent1" w:themeFillTint="33"/>
            <w:vAlign w:val="center"/>
          </w:tcPr>
          <w:p w:rsidR="009607E7" w:rsidRPr="009607E7" w:rsidRDefault="009607E7" w:rsidP="009607E7">
            <w:pPr>
              <w:jc w:val="right"/>
              <w:rPr>
                <w:rFonts w:ascii="Calibri" w:hAnsi="Calibri" w:cs="Calibri"/>
                <w:b/>
                <w:color w:val="000000"/>
              </w:rPr>
            </w:pPr>
            <w:r w:rsidRPr="009607E7">
              <w:rPr>
                <w:rFonts w:ascii="Calibri" w:hAnsi="Calibri" w:cs="Calibri"/>
                <w:b/>
                <w:color w:val="000000"/>
              </w:rPr>
              <w:t>1,65%</w:t>
            </w:r>
          </w:p>
        </w:tc>
      </w:tr>
    </w:tbl>
    <w:p w:rsidR="00774098" w:rsidRDefault="008B2618" w:rsidP="00F56913">
      <w:pPr>
        <w:jc w:val="both"/>
        <w:rPr>
          <w:lang w:val="es-CL"/>
        </w:rPr>
      </w:pPr>
      <w:r w:rsidRPr="008B2618">
        <w:rPr>
          <w:i/>
          <w:sz w:val="18"/>
          <w:lang w:val="es-CL"/>
        </w:rPr>
        <w:t>Nota: Las celdas con TIR F en blanco, corresponden a proyectos cuyos flujos son todos negativos, lo que deja este indicador indefinido</w:t>
      </w:r>
      <w:r>
        <w:rPr>
          <w:lang w:val="es-CL"/>
        </w:rPr>
        <w:t>.</w:t>
      </w:r>
    </w:p>
    <w:p w:rsidR="00961F70" w:rsidRDefault="00961F70" w:rsidP="003147EB">
      <w:pPr>
        <w:pStyle w:val="Heading3"/>
        <w:rPr>
          <w:lang w:val="es-CL"/>
        </w:rPr>
      </w:pPr>
      <w:bookmarkStart w:id="25" w:name="_Toc491617768"/>
      <w:r>
        <w:rPr>
          <w:lang w:val="es-CL"/>
        </w:rPr>
        <w:t>Evaluación Económica de Proyectos FERUM</w:t>
      </w:r>
      <w:bookmarkEnd w:id="25"/>
    </w:p>
    <w:p w:rsidR="00961F70" w:rsidRDefault="00DB4E83" w:rsidP="00F56913">
      <w:pPr>
        <w:jc w:val="both"/>
        <w:rPr>
          <w:lang w:val="es-CL"/>
        </w:rPr>
      </w:pPr>
      <w:r>
        <w:rPr>
          <w:lang w:val="es-CL"/>
        </w:rPr>
        <w:t>Para la evaluación económica de los proyectos FERUM, se considera un modelo social que interrelaciona los siguientes aspectos.</w:t>
      </w:r>
    </w:p>
    <w:p w:rsidR="00DB4E83" w:rsidRDefault="00DB4E83" w:rsidP="00DB4E83">
      <w:pPr>
        <w:pStyle w:val="ListParagraph"/>
        <w:numPr>
          <w:ilvl w:val="0"/>
          <w:numId w:val="16"/>
        </w:numPr>
        <w:jc w:val="both"/>
        <w:rPr>
          <w:lang w:val="es-CL"/>
        </w:rPr>
      </w:pPr>
      <w:r>
        <w:rPr>
          <w:lang w:val="es-CL"/>
        </w:rPr>
        <w:t>La inversión</w:t>
      </w:r>
    </w:p>
    <w:p w:rsidR="00DB4E83" w:rsidRDefault="00DB4E83" w:rsidP="00DB4E83">
      <w:pPr>
        <w:pStyle w:val="ListParagraph"/>
        <w:numPr>
          <w:ilvl w:val="0"/>
          <w:numId w:val="16"/>
        </w:numPr>
        <w:jc w:val="both"/>
        <w:rPr>
          <w:lang w:val="es-CL"/>
        </w:rPr>
      </w:pPr>
      <w:r>
        <w:rPr>
          <w:lang w:val="es-CL"/>
        </w:rPr>
        <w:t>Beneficios para el Consumidor:</w:t>
      </w:r>
    </w:p>
    <w:p w:rsidR="00DB4E83" w:rsidRPr="00DB4E83" w:rsidRDefault="00DB4E83" w:rsidP="00DB4E83">
      <w:pPr>
        <w:pStyle w:val="ListParagraph"/>
        <w:numPr>
          <w:ilvl w:val="1"/>
          <w:numId w:val="16"/>
        </w:numPr>
        <w:jc w:val="both"/>
        <w:rPr>
          <w:lang w:val="es-CL"/>
        </w:rPr>
      </w:pPr>
      <w:r>
        <w:rPr>
          <w:lang w:val="es-CL"/>
        </w:rPr>
        <w:t>Por el consumo básico esperado + el consumo de las CEI</w:t>
      </w:r>
    </w:p>
    <w:p w:rsidR="00DB4E83" w:rsidRDefault="00DB4E83" w:rsidP="00DB4E83">
      <w:pPr>
        <w:pStyle w:val="ListParagraph"/>
        <w:numPr>
          <w:ilvl w:val="1"/>
          <w:numId w:val="16"/>
        </w:numPr>
        <w:jc w:val="both"/>
        <w:rPr>
          <w:lang w:val="es-CL"/>
        </w:rPr>
      </w:pPr>
      <w:r>
        <w:rPr>
          <w:lang w:val="es-CL"/>
        </w:rPr>
        <w:t>Por reemplazo de energías sustitutas en caso de viviendas sin suministro en zonas rurales.</w:t>
      </w:r>
    </w:p>
    <w:p w:rsidR="00DB4E83" w:rsidRDefault="00DB4E83" w:rsidP="00DB4E83">
      <w:pPr>
        <w:pStyle w:val="ListParagraph"/>
        <w:numPr>
          <w:ilvl w:val="0"/>
          <w:numId w:val="16"/>
        </w:numPr>
        <w:jc w:val="both"/>
        <w:rPr>
          <w:lang w:val="es-CL"/>
        </w:rPr>
      </w:pPr>
      <w:r>
        <w:rPr>
          <w:lang w:val="es-CL"/>
        </w:rPr>
        <w:t>Costos:</w:t>
      </w:r>
    </w:p>
    <w:p w:rsidR="00DB4E83" w:rsidRDefault="00DB4E83" w:rsidP="00DB4E83">
      <w:pPr>
        <w:pStyle w:val="ListParagraph"/>
        <w:numPr>
          <w:ilvl w:val="1"/>
          <w:numId w:val="16"/>
        </w:numPr>
        <w:jc w:val="both"/>
        <w:rPr>
          <w:lang w:val="es-CL"/>
        </w:rPr>
      </w:pPr>
      <w:r>
        <w:rPr>
          <w:lang w:val="es-CL"/>
        </w:rPr>
        <w:t>Costos por producción de energía</w:t>
      </w:r>
    </w:p>
    <w:p w:rsidR="00DB4E83" w:rsidRDefault="00DB4E83" w:rsidP="00DB4E83">
      <w:pPr>
        <w:pStyle w:val="ListParagraph"/>
        <w:numPr>
          <w:ilvl w:val="1"/>
          <w:numId w:val="16"/>
        </w:numPr>
        <w:jc w:val="both"/>
        <w:rPr>
          <w:lang w:val="es-CL"/>
        </w:rPr>
      </w:pPr>
      <w:r>
        <w:rPr>
          <w:lang w:val="es-CL"/>
        </w:rPr>
        <w:t>Subsidios por consumo de combustible para producción de energía</w:t>
      </w:r>
    </w:p>
    <w:p w:rsidR="00DB4E83" w:rsidRDefault="00DB4E83" w:rsidP="00DB4E83">
      <w:pPr>
        <w:pStyle w:val="ListParagraph"/>
        <w:numPr>
          <w:ilvl w:val="1"/>
          <w:numId w:val="16"/>
        </w:numPr>
        <w:jc w:val="both"/>
        <w:rPr>
          <w:lang w:val="es-CL"/>
        </w:rPr>
      </w:pPr>
      <w:r>
        <w:rPr>
          <w:lang w:val="es-CL"/>
        </w:rPr>
        <w:t>Costos de Operación y Mantenimiento</w:t>
      </w:r>
    </w:p>
    <w:p w:rsidR="00DB4E83" w:rsidRDefault="00DB4E83" w:rsidP="00DB4E83">
      <w:pPr>
        <w:pStyle w:val="ListParagraph"/>
        <w:numPr>
          <w:ilvl w:val="1"/>
          <w:numId w:val="16"/>
        </w:numPr>
        <w:jc w:val="both"/>
        <w:rPr>
          <w:lang w:val="es-CL"/>
        </w:rPr>
      </w:pPr>
      <w:r>
        <w:rPr>
          <w:lang w:val="es-CL"/>
        </w:rPr>
        <w:t>Subsidio Tarifa Dignidad.</w:t>
      </w:r>
    </w:p>
    <w:p w:rsidR="003147EB" w:rsidRDefault="003147EB" w:rsidP="003147EB">
      <w:pPr>
        <w:jc w:val="both"/>
        <w:rPr>
          <w:lang w:val="es-CL"/>
        </w:rPr>
      </w:pPr>
    </w:p>
    <w:p w:rsidR="00B81027" w:rsidRPr="0090188F" w:rsidRDefault="00B81027" w:rsidP="00B81027">
      <w:pPr>
        <w:jc w:val="both"/>
        <w:rPr>
          <w:b/>
          <w:lang w:val="es-CL"/>
        </w:rPr>
      </w:pPr>
      <w:r w:rsidRPr="0090188F">
        <w:rPr>
          <w:b/>
          <w:lang w:val="es-CL"/>
        </w:rPr>
        <w:t>Inversión y Costos de Operación y Mantenimiento valorados a Precios Sombra</w:t>
      </w:r>
    </w:p>
    <w:p w:rsidR="00B81027" w:rsidRPr="0090188F" w:rsidRDefault="00B81027" w:rsidP="00B81027">
      <w:pPr>
        <w:jc w:val="both"/>
        <w:rPr>
          <w:lang w:val="es-CL"/>
        </w:rPr>
      </w:pPr>
      <w:r w:rsidRPr="0090188F">
        <w:rPr>
          <w:lang w:val="es-CL"/>
        </w:rPr>
        <w:t>La inversión es expresa como valor social, ponderando sus distintas partidas de equipamiento y mano de obra, por las Razones de Precio Cuenta</w:t>
      </w:r>
      <w:r w:rsidRPr="0090188F">
        <w:rPr>
          <w:rStyle w:val="FootnoteReference"/>
          <w:lang w:val="es-CL"/>
        </w:rPr>
        <w:footnoteReference w:id="22"/>
      </w:r>
      <w:r w:rsidRPr="0090188F">
        <w:rPr>
          <w:lang w:val="es-CL"/>
        </w:rPr>
        <w:t>, según se resume en el Cuadro C.</w:t>
      </w:r>
    </w:p>
    <w:p w:rsidR="00C939C3" w:rsidRPr="0090188F" w:rsidRDefault="00C939C3" w:rsidP="00B81027">
      <w:pPr>
        <w:jc w:val="both"/>
        <w:rPr>
          <w:b/>
          <w:lang w:val="es-CL"/>
        </w:rPr>
      </w:pPr>
    </w:p>
    <w:p w:rsidR="00B81027" w:rsidRPr="0090188F" w:rsidRDefault="00B81027" w:rsidP="00B81027">
      <w:pPr>
        <w:jc w:val="both"/>
        <w:rPr>
          <w:b/>
          <w:lang w:val="es-CL"/>
        </w:rPr>
      </w:pPr>
      <w:r w:rsidRPr="0090188F">
        <w:rPr>
          <w:b/>
          <w:lang w:val="es-CL"/>
        </w:rPr>
        <w:t>Cuadro C. Valoración Social de las Inversiones (US$)</w:t>
      </w:r>
    </w:p>
    <w:tbl>
      <w:tblPr>
        <w:tblStyle w:val="TableGrid"/>
        <w:tblW w:w="8216" w:type="dxa"/>
        <w:tblLook w:val="04A0" w:firstRow="1" w:lastRow="0" w:firstColumn="1" w:lastColumn="0" w:noHBand="0" w:noVBand="1"/>
      </w:tblPr>
      <w:tblGrid>
        <w:gridCol w:w="2204"/>
        <w:gridCol w:w="2025"/>
        <w:gridCol w:w="1543"/>
        <w:gridCol w:w="2444"/>
      </w:tblGrid>
      <w:tr w:rsidR="00B81027" w:rsidRPr="0090188F" w:rsidTr="00F51FDB">
        <w:trPr>
          <w:trHeight w:val="392"/>
        </w:trPr>
        <w:tc>
          <w:tcPr>
            <w:tcW w:w="2204" w:type="dxa"/>
            <w:shd w:val="clear" w:color="auto" w:fill="E7E6E6" w:themeFill="background2"/>
            <w:vAlign w:val="center"/>
          </w:tcPr>
          <w:p w:rsidR="00B81027" w:rsidRPr="0090188F" w:rsidRDefault="00B81027" w:rsidP="00B81027">
            <w:pPr>
              <w:jc w:val="center"/>
              <w:rPr>
                <w:b/>
                <w:lang w:val="es-CL"/>
              </w:rPr>
            </w:pPr>
            <w:r w:rsidRPr="0090188F">
              <w:rPr>
                <w:b/>
                <w:lang w:val="es-CL"/>
              </w:rPr>
              <w:t>Categoría Inversión</w:t>
            </w:r>
          </w:p>
        </w:tc>
        <w:tc>
          <w:tcPr>
            <w:tcW w:w="2025" w:type="dxa"/>
            <w:shd w:val="clear" w:color="auto" w:fill="E7E6E6" w:themeFill="background2"/>
            <w:vAlign w:val="center"/>
          </w:tcPr>
          <w:p w:rsidR="00B81027" w:rsidRPr="0090188F" w:rsidRDefault="00B81027" w:rsidP="00B81027">
            <w:pPr>
              <w:jc w:val="center"/>
              <w:rPr>
                <w:b/>
                <w:lang w:val="es-CL"/>
              </w:rPr>
            </w:pPr>
            <w:r w:rsidRPr="0090188F">
              <w:rPr>
                <w:b/>
                <w:lang w:val="es-CL"/>
              </w:rPr>
              <w:t>Inversión Financiera</w:t>
            </w:r>
          </w:p>
        </w:tc>
        <w:tc>
          <w:tcPr>
            <w:tcW w:w="1543" w:type="dxa"/>
            <w:shd w:val="clear" w:color="auto" w:fill="E7E6E6" w:themeFill="background2"/>
            <w:vAlign w:val="center"/>
          </w:tcPr>
          <w:p w:rsidR="00B81027" w:rsidRPr="0090188F" w:rsidRDefault="00B81027" w:rsidP="00F16824">
            <w:pPr>
              <w:jc w:val="center"/>
              <w:rPr>
                <w:b/>
                <w:lang w:val="es-CL"/>
              </w:rPr>
            </w:pPr>
            <w:r w:rsidRPr="0090188F">
              <w:rPr>
                <w:b/>
                <w:lang w:val="es-CL"/>
              </w:rPr>
              <w:t>RPC</w:t>
            </w:r>
          </w:p>
        </w:tc>
        <w:tc>
          <w:tcPr>
            <w:tcW w:w="2444" w:type="dxa"/>
            <w:shd w:val="clear" w:color="auto" w:fill="E7E6E6" w:themeFill="background2"/>
            <w:vAlign w:val="center"/>
          </w:tcPr>
          <w:p w:rsidR="00B81027" w:rsidRPr="0090188F" w:rsidRDefault="00B81027" w:rsidP="00B81027">
            <w:pPr>
              <w:jc w:val="center"/>
              <w:rPr>
                <w:b/>
                <w:lang w:val="es-CL"/>
              </w:rPr>
            </w:pPr>
            <w:r w:rsidRPr="0090188F">
              <w:rPr>
                <w:b/>
                <w:lang w:val="es-CL"/>
              </w:rPr>
              <w:t>Inversión Social</w:t>
            </w:r>
          </w:p>
        </w:tc>
      </w:tr>
      <w:tr w:rsidR="00B81027" w:rsidRPr="0090188F" w:rsidTr="00F51FDB">
        <w:trPr>
          <w:trHeight w:val="394"/>
        </w:trPr>
        <w:tc>
          <w:tcPr>
            <w:tcW w:w="2204" w:type="dxa"/>
            <w:vAlign w:val="center"/>
          </w:tcPr>
          <w:p w:rsidR="00B81027" w:rsidRPr="0090188F" w:rsidRDefault="00C939C3" w:rsidP="00B81027">
            <w:pPr>
              <w:jc w:val="both"/>
              <w:rPr>
                <w:lang w:val="es-CL"/>
              </w:rPr>
            </w:pPr>
            <w:r w:rsidRPr="0090188F">
              <w:rPr>
                <w:lang w:val="es-CL"/>
              </w:rPr>
              <w:t>Red MT</w:t>
            </w:r>
          </w:p>
        </w:tc>
        <w:tc>
          <w:tcPr>
            <w:tcW w:w="2025" w:type="dxa"/>
            <w:vAlign w:val="center"/>
          </w:tcPr>
          <w:p w:rsidR="00B81027" w:rsidRPr="0090188F" w:rsidRDefault="00C939C3" w:rsidP="00B81027">
            <w:pPr>
              <w:jc w:val="right"/>
              <w:rPr>
                <w:lang w:val="es-CL"/>
              </w:rPr>
            </w:pPr>
            <w:r w:rsidRPr="0090188F">
              <w:rPr>
                <w:lang w:val="es-CL"/>
              </w:rPr>
              <w:t>6,634,896.15</w:t>
            </w:r>
          </w:p>
        </w:tc>
        <w:tc>
          <w:tcPr>
            <w:tcW w:w="1543" w:type="dxa"/>
            <w:vAlign w:val="center"/>
          </w:tcPr>
          <w:p w:rsidR="00B81027" w:rsidRPr="0090188F" w:rsidRDefault="00C939C3" w:rsidP="00F16824">
            <w:pPr>
              <w:jc w:val="center"/>
              <w:rPr>
                <w:lang w:val="es-CL"/>
              </w:rPr>
            </w:pPr>
            <w:r w:rsidRPr="0090188F">
              <w:rPr>
                <w:lang w:val="es-CL"/>
              </w:rPr>
              <w:t>0.738</w:t>
            </w:r>
          </w:p>
        </w:tc>
        <w:tc>
          <w:tcPr>
            <w:tcW w:w="2444" w:type="dxa"/>
            <w:vAlign w:val="center"/>
          </w:tcPr>
          <w:p w:rsidR="00B81027" w:rsidRPr="0090188F" w:rsidRDefault="008D578B" w:rsidP="00B81027">
            <w:pPr>
              <w:jc w:val="right"/>
              <w:rPr>
                <w:lang w:val="es-CL"/>
              </w:rPr>
            </w:pPr>
            <w:r w:rsidRPr="0090188F">
              <w:rPr>
                <w:lang w:val="es-CL"/>
              </w:rPr>
              <w:t>4,897,880.3</w:t>
            </w:r>
          </w:p>
        </w:tc>
      </w:tr>
      <w:tr w:rsidR="00B81027" w:rsidRPr="0090188F" w:rsidTr="00F51FDB">
        <w:trPr>
          <w:trHeight w:val="394"/>
        </w:trPr>
        <w:tc>
          <w:tcPr>
            <w:tcW w:w="2204" w:type="dxa"/>
            <w:vAlign w:val="center"/>
          </w:tcPr>
          <w:p w:rsidR="00B81027" w:rsidRPr="0090188F" w:rsidRDefault="00C939C3" w:rsidP="00B81027">
            <w:pPr>
              <w:jc w:val="both"/>
              <w:rPr>
                <w:lang w:val="es-CL"/>
              </w:rPr>
            </w:pPr>
            <w:r w:rsidRPr="0090188F">
              <w:rPr>
                <w:lang w:val="es-CL"/>
              </w:rPr>
              <w:t>Red BT</w:t>
            </w:r>
          </w:p>
        </w:tc>
        <w:tc>
          <w:tcPr>
            <w:tcW w:w="2025" w:type="dxa"/>
            <w:vAlign w:val="center"/>
          </w:tcPr>
          <w:p w:rsidR="00B81027" w:rsidRPr="0090188F" w:rsidRDefault="00C939C3" w:rsidP="00B81027">
            <w:pPr>
              <w:jc w:val="right"/>
              <w:rPr>
                <w:lang w:val="es-CL"/>
              </w:rPr>
            </w:pPr>
            <w:r w:rsidRPr="0090188F">
              <w:rPr>
                <w:lang w:val="es-CL"/>
              </w:rPr>
              <w:t>4,566,818.62</w:t>
            </w:r>
          </w:p>
        </w:tc>
        <w:tc>
          <w:tcPr>
            <w:tcW w:w="1543" w:type="dxa"/>
            <w:vAlign w:val="center"/>
          </w:tcPr>
          <w:p w:rsidR="00B81027" w:rsidRPr="0090188F" w:rsidRDefault="00C939C3" w:rsidP="00F16824">
            <w:pPr>
              <w:jc w:val="center"/>
              <w:rPr>
                <w:lang w:val="es-CL"/>
              </w:rPr>
            </w:pPr>
            <w:r w:rsidRPr="0090188F">
              <w:rPr>
                <w:lang w:val="es-CL"/>
              </w:rPr>
              <w:t>0.726</w:t>
            </w:r>
          </w:p>
        </w:tc>
        <w:tc>
          <w:tcPr>
            <w:tcW w:w="2444" w:type="dxa"/>
            <w:vAlign w:val="center"/>
          </w:tcPr>
          <w:p w:rsidR="00B81027" w:rsidRPr="0090188F" w:rsidRDefault="008D578B" w:rsidP="00B81027">
            <w:pPr>
              <w:jc w:val="right"/>
              <w:rPr>
                <w:lang w:val="es-CL"/>
              </w:rPr>
            </w:pPr>
            <w:r w:rsidRPr="0090188F">
              <w:rPr>
                <w:lang w:val="es-CL"/>
              </w:rPr>
              <w:t>3,313,592.2</w:t>
            </w:r>
          </w:p>
        </w:tc>
      </w:tr>
      <w:tr w:rsidR="00B81027" w:rsidRPr="0090188F" w:rsidTr="00F51FDB">
        <w:trPr>
          <w:trHeight w:val="394"/>
        </w:trPr>
        <w:tc>
          <w:tcPr>
            <w:tcW w:w="2204" w:type="dxa"/>
            <w:vAlign w:val="center"/>
          </w:tcPr>
          <w:p w:rsidR="00B81027" w:rsidRPr="0090188F" w:rsidRDefault="00C939C3" w:rsidP="00B81027">
            <w:pPr>
              <w:jc w:val="both"/>
              <w:rPr>
                <w:lang w:val="es-CL"/>
              </w:rPr>
            </w:pPr>
            <w:r w:rsidRPr="0090188F">
              <w:rPr>
                <w:lang w:val="es-CL"/>
              </w:rPr>
              <w:t>Transformadores</w:t>
            </w:r>
          </w:p>
        </w:tc>
        <w:tc>
          <w:tcPr>
            <w:tcW w:w="2025" w:type="dxa"/>
            <w:vAlign w:val="center"/>
          </w:tcPr>
          <w:p w:rsidR="00B81027" w:rsidRPr="0090188F" w:rsidRDefault="00527FFD" w:rsidP="00B81027">
            <w:pPr>
              <w:jc w:val="right"/>
              <w:rPr>
                <w:lang w:val="es-CL"/>
              </w:rPr>
            </w:pPr>
            <w:r w:rsidRPr="0090188F">
              <w:rPr>
                <w:lang w:val="es-CL"/>
              </w:rPr>
              <w:t>4,134,962.68</w:t>
            </w:r>
          </w:p>
        </w:tc>
        <w:tc>
          <w:tcPr>
            <w:tcW w:w="1543" w:type="dxa"/>
            <w:vAlign w:val="center"/>
          </w:tcPr>
          <w:p w:rsidR="00B81027" w:rsidRPr="0090188F" w:rsidRDefault="00C939C3" w:rsidP="00F16824">
            <w:pPr>
              <w:jc w:val="center"/>
              <w:rPr>
                <w:lang w:val="es-CL"/>
              </w:rPr>
            </w:pPr>
            <w:r w:rsidRPr="0090188F">
              <w:rPr>
                <w:lang w:val="es-CL"/>
              </w:rPr>
              <w:t>0.866</w:t>
            </w:r>
          </w:p>
        </w:tc>
        <w:tc>
          <w:tcPr>
            <w:tcW w:w="2444" w:type="dxa"/>
            <w:vAlign w:val="center"/>
          </w:tcPr>
          <w:p w:rsidR="00B81027" w:rsidRPr="0090188F" w:rsidRDefault="008D578B" w:rsidP="00B81027">
            <w:pPr>
              <w:jc w:val="right"/>
              <w:rPr>
                <w:lang w:val="es-CL"/>
              </w:rPr>
            </w:pPr>
            <w:r w:rsidRPr="0090188F">
              <w:rPr>
                <w:lang w:val="es-CL"/>
              </w:rPr>
              <w:t>3,580,712.3</w:t>
            </w:r>
          </w:p>
        </w:tc>
      </w:tr>
      <w:tr w:rsidR="00B81027" w:rsidRPr="0090188F" w:rsidTr="00F51FDB">
        <w:trPr>
          <w:trHeight w:val="394"/>
        </w:trPr>
        <w:tc>
          <w:tcPr>
            <w:tcW w:w="2204" w:type="dxa"/>
            <w:vAlign w:val="center"/>
          </w:tcPr>
          <w:p w:rsidR="00B81027" w:rsidRPr="0090188F" w:rsidRDefault="00C939C3" w:rsidP="00B81027">
            <w:pPr>
              <w:jc w:val="both"/>
              <w:rPr>
                <w:lang w:val="es-CL"/>
              </w:rPr>
            </w:pPr>
            <w:r w:rsidRPr="0090188F">
              <w:rPr>
                <w:lang w:val="es-CL"/>
              </w:rPr>
              <w:t>Alumbrado Público</w:t>
            </w:r>
          </w:p>
        </w:tc>
        <w:tc>
          <w:tcPr>
            <w:tcW w:w="2025" w:type="dxa"/>
            <w:vAlign w:val="center"/>
          </w:tcPr>
          <w:p w:rsidR="00B81027" w:rsidRPr="0090188F" w:rsidRDefault="00744B12" w:rsidP="00B81027">
            <w:pPr>
              <w:jc w:val="right"/>
              <w:rPr>
                <w:lang w:val="es-CL"/>
              </w:rPr>
            </w:pPr>
            <w:r w:rsidRPr="0090188F">
              <w:rPr>
                <w:lang w:val="es-CL"/>
              </w:rPr>
              <w:t>1,318,912.03</w:t>
            </w:r>
          </w:p>
        </w:tc>
        <w:tc>
          <w:tcPr>
            <w:tcW w:w="1543" w:type="dxa"/>
            <w:vAlign w:val="center"/>
          </w:tcPr>
          <w:p w:rsidR="00B81027" w:rsidRPr="0090188F" w:rsidRDefault="00C939C3" w:rsidP="00F16824">
            <w:pPr>
              <w:jc w:val="center"/>
              <w:rPr>
                <w:lang w:val="es-CL"/>
              </w:rPr>
            </w:pPr>
            <w:r w:rsidRPr="0090188F">
              <w:rPr>
                <w:lang w:val="es-CL"/>
              </w:rPr>
              <w:t>0.751</w:t>
            </w:r>
          </w:p>
        </w:tc>
        <w:tc>
          <w:tcPr>
            <w:tcW w:w="2444" w:type="dxa"/>
            <w:vAlign w:val="center"/>
          </w:tcPr>
          <w:p w:rsidR="00B81027" w:rsidRPr="0090188F" w:rsidRDefault="00F16824" w:rsidP="00B81027">
            <w:pPr>
              <w:jc w:val="right"/>
              <w:rPr>
                <w:lang w:val="es-CL"/>
              </w:rPr>
            </w:pPr>
            <w:r w:rsidRPr="0090188F">
              <w:rPr>
                <w:lang w:val="es-CL"/>
              </w:rPr>
              <w:t>990,265.5</w:t>
            </w:r>
          </w:p>
        </w:tc>
      </w:tr>
      <w:tr w:rsidR="00B81027" w:rsidRPr="0090188F" w:rsidTr="00F51FDB">
        <w:trPr>
          <w:trHeight w:val="394"/>
        </w:trPr>
        <w:tc>
          <w:tcPr>
            <w:tcW w:w="2204" w:type="dxa"/>
            <w:vAlign w:val="center"/>
          </w:tcPr>
          <w:p w:rsidR="00B81027" w:rsidRPr="0090188F" w:rsidRDefault="00C939C3" w:rsidP="00B81027">
            <w:pPr>
              <w:jc w:val="both"/>
              <w:rPr>
                <w:lang w:val="es-CL"/>
              </w:rPr>
            </w:pPr>
            <w:r w:rsidRPr="0090188F">
              <w:rPr>
                <w:lang w:val="es-CL"/>
              </w:rPr>
              <w:t>Acometidas</w:t>
            </w:r>
          </w:p>
        </w:tc>
        <w:tc>
          <w:tcPr>
            <w:tcW w:w="2025" w:type="dxa"/>
            <w:vAlign w:val="center"/>
          </w:tcPr>
          <w:p w:rsidR="00B81027" w:rsidRPr="0090188F" w:rsidRDefault="00744B12" w:rsidP="00B81027">
            <w:pPr>
              <w:jc w:val="right"/>
              <w:rPr>
                <w:lang w:val="es-CL"/>
              </w:rPr>
            </w:pPr>
            <w:r w:rsidRPr="0090188F">
              <w:rPr>
                <w:lang w:val="es-CL"/>
              </w:rPr>
              <w:t>2,066,784.41</w:t>
            </w:r>
          </w:p>
        </w:tc>
        <w:tc>
          <w:tcPr>
            <w:tcW w:w="1543" w:type="dxa"/>
            <w:vAlign w:val="center"/>
          </w:tcPr>
          <w:p w:rsidR="00B81027" w:rsidRPr="0090188F" w:rsidRDefault="00C939C3" w:rsidP="00F16824">
            <w:pPr>
              <w:jc w:val="center"/>
              <w:rPr>
                <w:lang w:val="es-CL"/>
              </w:rPr>
            </w:pPr>
            <w:r w:rsidRPr="0090188F">
              <w:rPr>
                <w:lang w:val="es-CL"/>
              </w:rPr>
              <w:t>0.751</w:t>
            </w:r>
          </w:p>
        </w:tc>
        <w:tc>
          <w:tcPr>
            <w:tcW w:w="2444" w:type="dxa"/>
            <w:vAlign w:val="center"/>
          </w:tcPr>
          <w:p w:rsidR="00B81027" w:rsidRPr="0090188F" w:rsidRDefault="00F16824" w:rsidP="00B81027">
            <w:pPr>
              <w:jc w:val="right"/>
              <w:rPr>
                <w:lang w:val="es-CL"/>
              </w:rPr>
            </w:pPr>
            <w:r w:rsidRPr="0090188F">
              <w:rPr>
                <w:lang w:val="es-CL"/>
              </w:rPr>
              <w:t>1,551,783.1</w:t>
            </w:r>
          </w:p>
        </w:tc>
      </w:tr>
      <w:tr w:rsidR="00B81027" w:rsidRPr="0090188F" w:rsidTr="00F51FDB">
        <w:trPr>
          <w:trHeight w:val="394"/>
        </w:trPr>
        <w:tc>
          <w:tcPr>
            <w:tcW w:w="2204" w:type="dxa"/>
            <w:vAlign w:val="center"/>
          </w:tcPr>
          <w:p w:rsidR="00B81027" w:rsidRPr="0090188F" w:rsidRDefault="00C939C3" w:rsidP="00B81027">
            <w:pPr>
              <w:jc w:val="both"/>
              <w:rPr>
                <w:lang w:val="es-CL"/>
              </w:rPr>
            </w:pPr>
            <w:r w:rsidRPr="0090188F">
              <w:rPr>
                <w:lang w:val="es-CL"/>
              </w:rPr>
              <w:t>Medidores</w:t>
            </w:r>
          </w:p>
        </w:tc>
        <w:tc>
          <w:tcPr>
            <w:tcW w:w="2025" w:type="dxa"/>
            <w:vAlign w:val="center"/>
          </w:tcPr>
          <w:p w:rsidR="00B81027" w:rsidRPr="0090188F" w:rsidRDefault="00744B12" w:rsidP="00B81027">
            <w:pPr>
              <w:jc w:val="right"/>
              <w:rPr>
                <w:lang w:val="es-CL"/>
              </w:rPr>
            </w:pPr>
            <w:r w:rsidRPr="0090188F">
              <w:rPr>
                <w:lang w:val="es-CL"/>
              </w:rPr>
              <w:t>1,441,058.85</w:t>
            </w:r>
          </w:p>
        </w:tc>
        <w:tc>
          <w:tcPr>
            <w:tcW w:w="1543" w:type="dxa"/>
            <w:vAlign w:val="center"/>
          </w:tcPr>
          <w:p w:rsidR="00B81027" w:rsidRPr="0090188F" w:rsidRDefault="00C939C3" w:rsidP="00F16824">
            <w:pPr>
              <w:jc w:val="center"/>
              <w:rPr>
                <w:lang w:val="es-CL"/>
              </w:rPr>
            </w:pPr>
            <w:r w:rsidRPr="0090188F">
              <w:rPr>
                <w:lang w:val="es-CL"/>
              </w:rPr>
              <w:t>0.870</w:t>
            </w:r>
          </w:p>
        </w:tc>
        <w:tc>
          <w:tcPr>
            <w:tcW w:w="2444" w:type="dxa"/>
            <w:vAlign w:val="center"/>
          </w:tcPr>
          <w:p w:rsidR="00B81027" w:rsidRPr="0090188F" w:rsidRDefault="00F16824" w:rsidP="00B81027">
            <w:pPr>
              <w:jc w:val="right"/>
              <w:rPr>
                <w:lang w:val="es-CL"/>
              </w:rPr>
            </w:pPr>
            <w:r w:rsidRPr="0090188F">
              <w:rPr>
                <w:lang w:val="es-CL"/>
              </w:rPr>
              <w:t>1,253,519.5</w:t>
            </w:r>
          </w:p>
        </w:tc>
      </w:tr>
      <w:tr w:rsidR="00B81027" w:rsidRPr="0090188F" w:rsidTr="00F51FDB">
        <w:trPr>
          <w:trHeight w:val="394"/>
        </w:trPr>
        <w:tc>
          <w:tcPr>
            <w:tcW w:w="2204" w:type="dxa"/>
            <w:vAlign w:val="center"/>
          </w:tcPr>
          <w:p w:rsidR="00B81027" w:rsidRPr="0090188F" w:rsidRDefault="00C939C3" w:rsidP="00B81027">
            <w:pPr>
              <w:jc w:val="both"/>
              <w:rPr>
                <w:lang w:val="es-CL"/>
              </w:rPr>
            </w:pPr>
            <w:r w:rsidRPr="0090188F">
              <w:rPr>
                <w:lang w:val="es-CL"/>
              </w:rPr>
              <w:t>Mano de Obra, Tpte. y Gastos Adm.</w:t>
            </w:r>
          </w:p>
        </w:tc>
        <w:tc>
          <w:tcPr>
            <w:tcW w:w="2025" w:type="dxa"/>
            <w:vAlign w:val="center"/>
          </w:tcPr>
          <w:p w:rsidR="00B81027" w:rsidRPr="0090188F" w:rsidRDefault="00B644EB" w:rsidP="00B81027">
            <w:pPr>
              <w:jc w:val="right"/>
              <w:rPr>
                <w:lang w:val="es-CL"/>
              </w:rPr>
            </w:pPr>
            <w:r w:rsidRPr="0090188F">
              <w:rPr>
                <w:lang w:val="es-CL"/>
              </w:rPr>
              <w:t>7,805,682.5</w:t>
            </w:r>
          </w:p>
        </w:tc>
        <w:tc>
          <w:tcPr>
            <w:tcW w:w="1543" w:type="dxa"/>
            <w:vAlign w:val="center"/>
          </w:tcPr>
          <w:p w:rsidR="00B81027" w:rsidRPr="0090188F" w:rsidRDefault="00C939C3" w:rsidP="00F16824">
            <w:pPr>
              <w:jc w:val="center"/>
              <w:rPr>
                <w:lang w:val="es-CL"/>
              </w:rPr>
            </w:pPr>
            <w:r w:rsidRPr="0090188F">
              <w:rPr>
                <w:lang w:val="es-CL"/>
              </w:rPr>
              <w:t>0.811</w:t>
            </w:r>
          </w:p>
        </w:tc>
        <w:tc>
          <w:tcPr>
            <w:tcW w:w="2444" w:type="dxa"/>
            <w:vAlign w:val="center"/>
          </w:tcPr>
          <w:p w:rsidR="00B81027" w:rsidRPr="0090188F" w:rsidRDefault="00F16824" w:rsidP="00B81027">
            <w:pPr>
              <w:jc w:val="right"/>
              <w:rPr>
                <w:lang w:val="es-CL"/>
              </w:rPr>
            </w:pPr>
            <w:r w:rsidRPr="0090188F">
              <w:rPr>
                <w:lang w:val="es-CL"/>
              </w:rPr>
              <w:t>6,333,530.8</w:t>
            </w:r>
          </w:p>
        </w:tc>
      </w:tr>
      <w:tr w:rsidR="00C939C3" w:rsidRPr="0090188F" w:rsidTr="00F51FDB">
        <w:trPr>
          <w:trHeight w:val="394"/>
        </w:trPr>
        <w:tc>
          <w:tcPr>
            <w:tcW w:w="2204" w:type="dxa"/>
            <w:vAlign w:val="center"/>
          </w:tcPr>
          <w:p w:rsidR="00C939C3" w:rsidRPr="0090188F" w:rsidRDefault="00C939C3" w:rsidP="00B81027">
            <w:pPr>
              <w:jc w:val="both"/>
              <w:rPr>
                <w:lang w:val="es-CL"/>
              </w:rPr>
            </w:pPr>
            <w:r w:rsidRPr="0090188F">
              <w:rPr>
                <w:lang w:val="es-CL"/>
              </w:rPr>
              <w:t>No Definida</w:t>
            </w:r>
          </w:p>
        </w:tc>
        <w:tc>
          <w:tcPr>
            <w:tcW w:w="2025" w:type="dxa"/>
            <w:vAlign w:val="center"/>
          </w:tcPr>
          <w:p w:rsidR="00C939C3" w:rsidRPr="0090188F" w:rsidRDefault="008D578B" w:rsidP="00B81027">
            <w:pPr>
              <w:jc w:val="right"/>
              <w:rPr>
                <w:lang w:val="es-CL"/>
              </w:rPr>
            </w:pPr>
            <w:r w:rsidRPr="0090188F">
              <w:rPr>
                <w:lang w:val="es-CL"/>
              </w:rPr>
              <w:t>1,020,634.32</w:t>
            </w:r>
          </w:p>
        </w:tc>
        <w:tc>
          <w:tcPr>
            <w:tcW w:w="1543" w:type="dxa"/>
            <w:vAlign w:val="center"/>
          </w:tcPr>
          <w:p w:rsidR="00C939C3" w:rsidRPr="0090188F" w:rsidRDefault="00C939C3" w:rsidP="00F16824">
            <w:pPr>
              <w:jc w:val="center"/>
              <w:rPr>
                <w:lang w:val="es-CL"/>
              </w:rPr>
            </w:pPr>
            <w:r w:rsidRPr="0090188F">
              <w:rPr>
                <w:lang w:val="es-CL"/>
              </w:rPr>
              <w:t>0.74</w:t>
            </w:r>
          </w:p>
        </w:tc>
        <w:tc>
          <w:tcPr>
            <w:tcW w:w="2444" w:type="dxa"/>
            <w:vAlign w:val="center"/>
          </w:tcPr>
          <w:p w:rsidR="00C939C3" w:rsidRPr="0090188F" w:rsidRDefault="008D578B" w:rsidP="00B81027">
            <w:pPr>
              <w:jc w:val="right"/>
              <w:rPr>
                <w:lang w:val="es-CL"/>
              </w:rPr>
            </w:pPr>
            <w:r w:rsidRPr="0090188F">
              <w:rPr>
                <w:lang w:val="es-CL"/>
              </w:rPr>
              <w:t>752,401.6</w:t>
            </w:r>
          </w:p>
        </w:tc>
      </w:tr>
      <w:tr w:rsidR="00B81027" w:rsidRPr="0090188F" w:rsidTr="00F51FDB">
        <w:trPr>
          <w:trHeight w:val="352"/>
        </w:trPr>
        <w:tc>
          <w:tcPr>
            <w:tcW w:w="2204" w:type="dxa"/>
            <w:vAlign w:val="center"/>
          </w:tcPr>
          <w:p w:rsidR="00B81027" w:rsidRPr="0090188F" w:rsidRDefault="00B81027" w:rsidP="00B81027">
            <w:pPr>
              <w:jc w:val="both"/>
              <w:rPr>
                <w:b/>
                <w:lang w:val="es-CL"/>
              </w:rPr>
            </w:pPr>
            <w:r w:rsidRPr="0090188F">
              <w:rPr>
                <w:b/>
                <w:lang w:val="es-CL"/>
              </w:rPr>
              <w:t>TOTAL</w:t>
            </w:r>
          </w:p>
        </w:tc>
        <w:tc>
          <w:tcPr>
            <w:tcW w:w="2025" w:type="dxa"/>
            <w:vAlign w:val="center"/>
          </w:tcPr>
          <w:p w:rsidR="00B81027" w:rsidRPr="0090188F" w:rsidRDefault="00F16824" w:rsidP="00B81027">
            <w:pPr>
              <w:jc w:val="right"/>
              <w:rPr>
                <w:b/>
                <w:lang w:val="es-CL"/>
              </w:rPr>
            </w:pPr>
            <w:r w:rsidRPr="0090188F">
              <w:rPr>
                <w:b/>
                <w:lang w:val="es-CL"/>
              </w:rPr>
              <w:t>30,406,926.8</w:t>
            </w:r>
          </w:p>
        </w:tc>
        <w:tc>
          <w:tcPr>
            <w:tcW w:w="1543" w:type="dxa"/>
            <w:vAlign w:val="center"/>
          </w:tcPr>
          <w:p w:rsidR="00B81027" w:rsidRPr="0090188F" w:rsidRDefault="0090188F" w:rsidP="00F16824">
            <w:pPr>
              <w:jc w:val="center"/>
              <w:rPr>
                <w:b/>
                <w:lang w:val="es-CL"/>
              </w:rPr>
            </w:pPr>
            <w:r>
              <w:rPr>
                <w:b/>
                <w:lang w:val="es-CL"/>
              </w:rPr>
              <w:t>0.74</w:t>
            </w:r>
          </w:p>
        </w:tc>
        <w:tc>
          <w:tcPr>
            <w:tcW w:w="2444" w:type="dxa"/>
            <w:vAlign w:val="center"/>
          </w:tcPr>
          <w:p w:rsidR="00B81027" w:rsidRPr="0090188F" w:rsidRDefault="00F16824" w:rsidP="00B81027">
            <w:pPr>
              <w:jc w:val="right"/>
              <w:rPr>
                <w:b/>
                <w:lang w:val="es-CL"/>
              </w:rPr>
            </w:pPr>
            <w:r w:rsidRPr="0090188F">
              <w:rPr>
                <w:b/>
                <w:lang w:val="es-CL"/>
              </w:rPr>
              <w:t>22,643,286.98</w:t>
            </w:r>
          </w:p>
        </w:tc>
      </w:tr>
    </w:tbl>
    <w:p w:rsidR="008E1802" w:rsidRPr="0090188F" w:rsidRDefault="008E1802" w:rsidP="00B81027">
      <w:pPr>
        <w:jc w:val="both"/>
        <w:rPr>
          <w:lang w:val="es-CL"/>
        </w:rPr>
      </w:pPr>
    </w:p>
    <w:p w:rsidR="00B81027" w:rsidRDefault="00F51FDB" w:rsidP="00B81027">
      <w:pPr>
        <w:jc w:val="both"/>
        <w:rPr>
          <w:lang w:val="es-CL"/>
        </w:rPr>
      </w:pPr>
      <w:r w:rsidRPr="0090188F">
        <w:rPr>
          <w:lang w:val="es-CL"/>
        </w:rPr>
        <w:t>L</w:t>
      </w:r>
      <w:r w:rsidR="00B81027" w:rsidRPr="0090188F">
        <w:rPr>
          <w:lang w:val="es-CL"/>
        </w:rPr>
        <w:t xml:space="preserve">os Costos de Operación y Mantenimiento, desde el punto de vista social se obtienen </w:t>
      </w:r>
      <w:r w:rsidRPr="0090188F">
        <w:rPr>
          <w:lang w:val="es-CL"/>
        </w:rPr>
        <w:t xml:space="preserve">ponderando </w:t>
      </w:r>
      <w:r>
        <w:rPr>
          <w:lang w:val="es-CL"/>
        </w:rPr>
        <w:t xml:space="preserve">la Razón de Precio Cuenta de 0,849 por estos Costos </w:t>
      </w:r>
      <w:r w:rsidR="008E1802">
        <w:rPr>
          <w:lang w:val="es-CL"/>
        </w:rPr>
        <w:t xml:space="preserve">ya estimados </w:t>
      </w:r>
      <w:r>
        <w:rPr>
          <w:lang w:val="es-CL"/>
        </w:rPr>
        <w:t>desde el punto de vista financiero.</w:t>
      </w:r>
    </w:p>
    <w:p w:rsidR="00B81027" w:rsidRPr="008D4342" w:rsidRDefault="00B81027" w:rsidP="00B81027">
      <w:pPr>
        <w:jc w:val="both"/>
        <w:rPr>
          <w:lang w:val="es-CL"/>
        </w:rPr>
      </w:pPr>
    </w:p>
    <w:p w:rsidR="00B81027" w:rsidRDefault="00B81027" w:rsidP="003147EB">
      <w:pPr>
        <w:jc w:val="both"/>
        <w:rPr>
          <w:lang w:val="es-CL"/>
        </w:rPr>
      </w:pPr>
    </w:p>
    <w:p w:rsidR="00B81027" w:rsidRPr="003147EB" w:rsidRDefault="00B81027" w:rsidP="003147EB">
      <w:pPr>
        <w:jc w:val="both"/>
        <w:rPr>
          <w:lang w:val="es-CL"/>
        </w:rPr>
      </w:pPr>
    </w:p>
    <w:p w:rsidR="009A6184" w:rsidRDefault="00DB4E83" w:rsidP="00DB4E83">
      <w:pPr>
        <w:pBdr>
          <w:top w:val="single" w:sz="4" w:space="1" w:color="auto"/>
          <w:left w:val="single" w:sz="4" w:space="4" w:color="auto"/>
          <w:bottom w:val="single" w:sz="4" w:space="1" w:color="auto"/>
          <w:right w:val="single" w:sz="4" w:space="4" w:color="auto"/>
        </w:pBdr>
        <w:shd w:val="clear" w:color="auto" w:fill="FFF2CC" w:themeFill="accent4" w:themeFillTint="33"/>
        <w:jc w:val="both"/>
        <w:rPr>
          <w:lang w:val="es-CL"/>
        </w:rPr>
      </w:pPr>
      <w:r>
        <w:rPr>
          <w:lang w:val="es-CL"/>
        </w:rPr>
        <w:t xml:space="preserve">Los </w:t>
      </w:r>
      <w:r w:rsidRPr="00DB4E83">
        <w:rPr>
          <w:b/>
          <w:lang w:val="es-CL"/>
        </w:rPr>
        <w:t>beneficios del consumidor</w:t>
      </w:r>
      <w:r>
        <w:rPr>
          <w:lang w:val="es-CL"/>
        </w:rPr>
        <w:t xml:space="preserve">, </w:t>
      </w:r>
      <w:r w:rsidRPr="003147EB">
        <w:rPr>
          <w:b/>
          <w:lang w:val="es-CL"/>
        </w:rPr>
        <w:t>por consumo básico esperado</w:t>
      </w:r>
      <w:r>
        <w:rPr>
          <w:lang w:val="es-CL"/>
        </w:rPr>
        <w:t xml:space="preserve">, así como el </w:t>
      </w:r>
      <w:r w:rsidRPr="003147EB">
        <w:rPr>
          <w:b/>
          <w:lang w:val="es-CL"/>
        </w:rPr>
        <w:t>reemplazo de energías sustitutas</w:t>
      </w:r>
      <w:r>
        <w:rPr>
          <w:lang w:val="es-CL"/>
        </w:rPr>
        <w:t xml:space="preserve"> ya han sido explicados </w:t>
      </w:r>
      <w:r w:rsidR="00DC265B">
        <w:rPr>
          <w:lang w:val="es-CL"/>
        </w:rPr>
        <w:t xml:space="preserve">conceptualmente </w:t>
      </w:r>
      <w:r>
        <w:rPr>
          <w:lang w:val="es-CL"/>
        </w:rPr>
        <w:t xml:space="preserve">en párrafos anteriores. También los </w:t>
      </w:r>
      <w:r w:rsidRPr="003147EB">
        <w:rPr>
          <w:b/>
          <w:lang w:val="es-CL"/>
        </w:rPr>
        <w:t>costos por producción de energía</w:t>
      </w:r>
      <w:r>
        <w:rPr>
          <w:lang w:val="es-CL"/>
        </w:rPr>
        <w:t xml:space="preserve">, así como los </w:t>
      </w:r>
      <w:r w:rsidRPr="003147EB">
        <w:rPr>
          <w:b/>
          <w:lang w:val="es-CL"/>
        </w:rPr>
        <w:t>subsidios de los combustibles</w:t>
      </w:r>
      <w:r>
        <w:rPr>
          <w:lang w:val="es-CL"/>
        </w:rPr>
        <w:t xml:space="preserve"> ligados a dicha producción</w:t>
      </w:r>
      <w:r w:rsidR="009F168F">
        <w:rPr>
          <w:lang w:val="es-CL"/>
        </w:rPr>
        <w:t xml:space="preserve"> adicional</w:t>
      </w:r>
      <w:r>
        <w:rPr>
          <w:lang w:val="es-CL"/>
        </w:rPr>
        <w:t>.</w:t>
      </w:r>
    </w:p>
    <w:p w:rsidR="00DB4E83" w:rsidRDefault="00DB4E83" w:rsidP="00F56913">
      <w:pPr>
        <w:jc w:val="both"/>
        <w:rPr>
          <w:lang w:val="es-CL"/>
        </w:rPr>
      </w:pPr>
    </w:p>
    <w:p w:rsidR="003147EB" w:rsidRPr="003147EB" w:rsidRDefault="003147EB" w:rsidP="00F56913">
      <w:pPr>
        <w:jc w:val="both"/>
        <w:rPr>
          <w:b/>
          <w:lang w:val="es-CL"/>
        </w:rPr>
      </w:pPr>
      <w:r w:rsidRPr="003147EB">
        <w:rPr>
          <w:b/>
          <w:lang w:val="es-CL"/>
        </w:rPr>
        <w:t>Beneficio del consumidor, vinculado al consumo de las CEI</w:t>
      </w:r>
    </w:p>
    <w:p w:rsidR="003147EB" w:rsidRDefault="003147EB" w:rsidP="00F56913">
      <w:pPr>
        <w:jc w:val="both"/>
        <w:rPr>
          <w:lang w:val="es-CL"/>
        </w:rPr>
      </w:pPr>
      <w:r>
        <w:rPr>
          <w:lang w:val="es-CL"/>
        </w:rPr>
        <w:t>Al beneficio por el consumo básico esperado, se adiciona el Beneficio percibido por el consumidor por aquella energía correspondiente a la cocina eléctrica de inducción, cuando corresponda.</w:t>
      </w:r>
    </w:p>
    <w:p w:rsidR="003147EB" w:rsidRDefault="003147EB" w:rsidP="00F56913">
      <w:pPr>
        <w:jc w:val="both"/>
        <w:rPr>
          <w:lang w:val="es-CL"/>
        </w:rPr>
      </w:pPr>
      <w:r>
        <w:rPr>
          <w:lang w:val="es-CL"/>
        </w:rPr>
        <w:t>Se asume que las viviendas que han adquirido una CEI, experimentan un ahorro anual al evitar el gasto energético de una cocina convencional a GLP (Gal Licuado de Petróleo), la cual se estima utiliza 1.15 cilindros/mes, cuyo costo es de US$ 9.46 (en un escenario sin subsidio al GLP)</w:t>
      </w:r>
      <w:r>
        <w:rPr>
          <w:rStyle w:val="FootnoteReference"/>
          <w:lang w:val="es-CL"/>
        </w:rPr>
        <w:footnoteReference w:id="23"/>
      </w:r>
      <w:r>
        <w:rPr>
          <w:lang w:val="es-CL"/>
        </w:rPr>
        <w:t>.</w:t>
      </w:r>
    </w:p>
    <w:p w:rsidR="00DB4E83" w:rsidRDefault="003147EB" w:rsidP="00BE02F0">
      <w:pPr>
        <w:shd w:val="clear" w:color="auto" w:fill="D9E2F3" w:themeFill="accent1" w:themeFillTint="33"/>
        <w:jc w:val="both"/>
        <w:rPr>
          <w:lang w:val="es-CL"/>
        </w:rPr>
      </w:pPr>
      <w:r>
        <w:rPr>
          <w:lang w:val="es-CL"/>
        </w:rPr>
        <w:t xml:space="preserve">Con esto, el ahorro familiar anual es de: </w:t>
      </w:r>
      <w:r w:rsidRPr="003147EB">
        <w:rPr>
          <w:b/>
          <w:lang w:val="es-CL"/>
        </w:rPr>
        <w:t>US$ 130.55</w:t>
      </w:r>
    </w:p>
    <w:p w:rsidR="00C80E22" w:rsidRDefault="00C80E22" w:rsidP="00F56913">
      <w:pPr>
        <w:jc w:val="both"/>
        <w:rPr>
          <w:lang w:val="es-CL"/>
        </w:rPr>
      </w:pPr>
    </w:p>
    <w:p w:rsidR="003147EB" w:rsidRDefault="000A1197" w:rsidP="00C80E22">
      <w:pPr>
        <w:jc w:val="center"/>
        <w:rPr>
          <w:lang w:val="es-CL"/>
        </w:rPr>
      </w:pPr>
      <w:r>
        <w:rPr>
          <w:noProof/>
          <w:lang w:val="en-US"/>
        </w:rPr>
        <w:drawing>
          <wp:inline distT="0" distB="0" distL="0" distR="0" wp14:anchorId="5205E784">
            <wp:extent cx="5037221" cy="183734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3087" cy="1854071"/>
                    </a:xfrm>
                    <a:prstGeom prst="rect">
                      <a:avLst/>
                    </a:prstGeom>
                    <a:noFill/>
                  </pic:spPr>
                </pic:pic>
              </a:graphicData>
            </a:graphic>
          </wp:inline>
        </w:drawing>
      </w:r>
    </w:p>
    <w:p w:rsidR="00C80E22" w:rsidRDefault="00C80E22" w:rsidP="00C80E22">
      <w:pPr>
        <w:jc w:val="center"/>
        <w:rPr>
          <w:lang w:val="es-CL"/>
        </w:rPr>
      </w:pPr>
      <w:r w:rsidRPr="000A1197">
        <w:rPr>
          <w:b/>
          <w:lang w:val="es-CL"/>
        </w:rPr>
        <w:t>Figura 21.</w:t>
      </w:r>
      <w:r w:rsidRPr="000A1197">
        <w:rPr>
          <w:lang w:val="es-CL"/>
        </w:rPr>
        <w:t xml:space="preserve"> Beneficio del Consumidor relacionado con la sustitución de cocinas GLP por CEI.</w:t>
      </w:r>
    </w:p>
    <w:p w:rsidR="0000449C" w:rsidRDefault="0000449C" w:rsidP="00F56913">
      <w:pPr>
        <w:jc w:val="both"/>
        <w:rPr>
          <w:lang w:val="es-CL"/>
        </w:rPr>
      </w:pPr>
    </w:p>
    <w:p w:rsidR="003147EB" w:rsidRPr="0000449C" w:rsidRDefault="003147EB" w:rsidP="00F56913">
      <w:pPr>
        <w:jc w:val="both"/>
        <w:rPr>
          <w:b/>
          <w:lang w:val="es-CL"/>
        </w:rPr>
      </w:pPr>
      <w:r w:rsidRPr="0000449C">
        <w:rPr>
          <w:b/>
          <w:lang w:val="es-CL"/>
        </w:rPr>
        <w:t>Costo por Mayor Subsidio de Tarifa Dignidad</w:t>
      </w:r>
    </w:p>
    <w:p w:rsidR="0000449C" w:rsidRDefault="0000449C" w:rsidP="00F56913">
      <w:pPr>
        <w:jc w:val="both"/>
        <w:rPr>
          <w:lang w:val="es-CL"/>
        </w:rPr>
      </w:pPr>
      <w:r>
        <w:rPr>
          <w:lang w:val="es-CL"/>
        </w:rPr>
        <w:t>Dados los niveles de consumo de las viviendas que se incorporan (Vss) al servicio de las EED, vía proyectos FERUM, están generalmente acogidas al subsidio de Tarifa Dignidad que, si bien no es distinguible para la EED en la evaluación financiera, sí resulta relevante en una evaluación social, en la que deben registrarse las cargas que afectan al bolsillo estatal.</w:t>
      </w:r>
      <w:r w:rsidR="001A4AC9">
        <w:rPr>
          <w:lang w:val="es-CL"/>
        </w:rPr>
        <w:t xml:space="preserve"> </w:t>
      </w:r>
      <w:r>
        <w:rPr>
          <w:lang w:val="es-CL"/>
        </w:rPr>
        <w:t>El siguiente cuadro resume los consumos medios esperados por nueva vivienda, en cada EED, el incremento del mismo con CEI y el límite por el que califican como Tarifa Dignidad.</w:t>
      </w:r>
    </w:p>
    <w:p w:rsidR="00C80E22" w:rsidRDefault="00C80E22" w:rsidP="0000449C">
      <w:pPr>
        <w:spacing w:after="0"/>
        <w:jc w:val="center"/>
        <w:rPr>
          <w:b/>
          <w:lang w:val="es-CL"/>
        </w:rPr>
      </w:pPr>
    </w:p>
    <w:p w:rsidR="0000449C" w:rsidRPr="0000449C" w:rsidRDefault="0000449C" w:rsidP="0000449C">
      <w:pPr>
        <w:spacing w:after="0"/>
        <w:jc w:val="center"/>
        <w:rPr>
          <w:b/>
          <w:lang w:val="es-CL"/>
        </w:rPr>
      </w:pPr>
      <w:r w:rsidRPr="0000449C">
        <w:rPr>
          <w:b/>
          <w:lang w:val="es-CL"/>
        </w:rPr>
        <w:t>Tabla N°23 Consumo esperado y Límite Tarifa Dignidad</w:t>
      </w:r>
    </w:p>
    <w:p w:rsidR="0000449C" w:rsidRDefault="0000449C" w:rsidP="0000449C">
      <w:pPr>
        <w:spacing w:after="0"/>
        <w:jc w:val="center"/>
        <w:rPr>
          <w:lang w:val="es-CL"/>
        </w:rPr>
      </w:pPr>
      <w:r w:rsidRPr="0000449C">
        <w:rPr>
          <w:noProof/>
          <w:lang w:val="en-US"/>
        </w:rPr>
        <w:drawing>
          <wp:inline distT="0" distB="0" distL="0" distR="0">
            <wp:extent cx="3855433" cy="3636458"/>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4113" cy="3644645"/>
                    </a:xfrm>
                    <a:prstGeom prst="rect">
                      <a:avLst/>
                    </a:prstGeom>
                    <a:noFill/>
                    <a:ln>
                      <a:noFill/>
                    </a:ln>
                  </pic:spPr>
                </pic:pic>
              </a:graphicData>
            </a:graphic>
          </wp:inline>
        </w:drawing>
      </w:r>
    </w:p>
    <w:p w:rsidR="0000449C" w:rsidRPr="0000449C" w:rsidRDefault="0000449C" w:rsidP="0000449C">
      <w:pPr>
        <w:spacing w:after="0"/>
        <w:jc w:val="center"/>
        <w:rPr>
          <w:i/>
          <w:lang w:val="es-CL"/>
        </w:rPr>
      </w:pPr>
      <w:r w:rsidRPr="0000449C">
        <w:rPr>
          <w:i/>
          <w:sz w:val="20"/>
          <w:lang w:val="es-CL"/>
        </w:rPr>
        <w:t>Nota: Se destaca aquellos casos en que el subsidio tarifa dignidad no es aplicable</w:t>
      </w:r>
    </w:p>
    <w:p w:rsidR="003147EB" w:rsidRDefault="0000449C" w:rsidP="00F56913">
      <w:pPr>
        <w:jc w:val="both"/>
        <w:rPr>
          <w:lang w:val="es-CL"/>
        </w:rPr>
      </w:pPr>
      <w:r>
        <w:rPr>
          <w:lang w:val="es-CL"/>
        </w:rPr>
        <w:t xml:space="preserve"> </w:t>
      </w:r>
      <w:r w:rsidR="00C80E22">
        <w:rPr>
          <w:lang w:val="es-CL"/>
        </w:rPr>
        <w:t>Con esto, la mayor carga fiscal por subsidio Tarifa Dignidad se proyecta según el siguiente gráfico.</w:t>
      </w:r>
    </w:p>
    <w:p w:rsidR="001D6D32" w:rsidRDefault="001D6D32" w:rsidP="00F56913">
      <w:pPr>
        <w:jc w:val="both"/>
        <w:rPr>
          <w:lang w:val="es-CL"/>
        </w:rPr>
      </w:pPr>
    </w:p>
    <w:p w:rsidR="00C80E22" w:rsidRDefault="001A4AC9" w:rsidP="00F56913">
      <w:pPr>
        <w:jc w:val="both"/>
        <w:rPr>
          <w:lang w:val="es-CL"/>
        </w:rPr>
      </w:pPr>
      <w:r>
        <w:rPr>
          <w:noProof/>
          <w:lang w:val="en-US"/>
        </w:rPr>
        <w:drawing>
          <wp:inline distT="0" distB="0" distL="0" distR="0" wp14:anchorId="1CF2B208">
            <wp:extent cx="5411032" cy="1484035"/>
            <wp:effectExtent l="0" t="0" r="0" b="190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6305" cy="1499194"/>
                    </a:xfrm>
                    <a:prstGeom prst="rect">
                      <a:avLst/>
                    </a:prstGeom>
                    <a:noFill/>
                  </pic:spPr>
                </pic:pic>
              </a:graphicData>
            </a:graphic>
          </wp:inline>
        </w:drawing>
      </w:r>
    </w:p>
    <w:p w:rsidR="00C80E22" w:rsidRDefault="00C80E22" w:rsidP="00F56913">
      <w:pPr>
        <w:jc w:val="both"/>
        <w:rPr>
          <w:lang w:val="es-CL"/>
        </w:rPr>
      </w:pPr>
      <w:r w:rsidRPr="001A4AC9">
        <w:rPr>
          <w:b/>
          <w:lang w:val="es-CL"/>
        </w:rPr>
        <w:t>Figura 22</w:t>
      </w:r>
      <w:r w:rsidRPr="001A4AC9">
        <w:rPr>
          <w:lang w:val="es-CL"/>
        </w:rPr>
        <w:t>. Mayor subsidio por tarifa dignidad. La forma irregular de la proyección se debe a la incorporación paulatina de CEIs, lo que va dejando fuera del subsidio a quienes cumplían con los límites, así como al crecimiento anual del consumo unitario de viviendas sin CEI.</w:t>
      </w:r>
    </w:p>
    <w:p w:rsidR="00C80E22" w:rsidRDefault="006A57CB" w:rsidP="00F56913">
      <w:pPr>
        <w:jc w:val="both"/>
        <w:rPr>
          <w:lang w:val="es-CL"/>
        </w:rPr>
      </w:pPr>
      <w:r>
        <w:rPr>
          <w:lang w:val="es-CL"/>
        </w:rPr>
        <w:t>Los resultados de la Evaluación Económica de proyectos FERUM se resume en la siguiente tabla.</w:t>
      </w:r>
    </w:p>
    <w:p w:rsidR="00DC07C4" w:rsidRDefault="00DC07C4" w:rsidP="00F56913">
      <w:pPr>
        <w:jc w:val="both"/>
        <w:rPr>
          <w:lang w:val="es-CL"/>
        </w:rPr>
      </w:pPr>
    </w:p>
    <w:p w:rsidR="006D5B19" w:rsidRPr="00E633D1" w:rsidRDefault="006D5B19" w:rsidP="006D5B19">
      <w:pPr>
        <w:spacing w:after="0"/>
        <w:jc w:val="center"/>
        <w:rPr>
          <w:b/>
          <w:lang w:val="es-CL"/>
        </w:rPr>
      </w:pPr>
      <w:r w:rsidRPr="00E633D1">
        <w:rPr>
          <w:b/>
          <w:lang w:val="es-CL"/>
        </w:rPr>
        <w:t>Tabla N°24 Resultado Evaluación Económica Proyectos FERUM</w:t>
      </w:r>
    </w:p>
    <w:tbl>
      <w:tblPr>
        <w:tblW w:w="0" w:type="auto"/>
        <w:jc w:val="center"/>
        <w:tblLayout w:type="fixed"/>
        <w:tblLook w:val="04A0" w:firstRow="1" w:lastRow="0" w:firstColumn="1" w:lastColumn="0" w:noHBand="0" w:noVBand="1"/>
      </w:tblPr>
      <w:tblGrid>
        <w:gridCol w:w="2275"/>
        <w:gridCol w:w="712"/>
        <w:gridCol w:w="855"/>
        <w:gridCol w:w="996"/>
        <w:gridCol w:w="1424"/>
        <w:gridCol w:w="1417"/>
        <w:gridCol w:w="1066"/>
      </w:tblGrid>
      <w:tr w:rsidR="006D5B19" w:rsidRPr="00E633D1" w:rsidTr="00E633D1">
        <w:trPr>
          <w:trHeight w:val="696"/>
          <w:jc w:val="center"/>
        </w:trPr>
        <w:tc>
          <w:tcPr>
            <w:tcW w:w="2275"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D5B19" w:rsidRPr="00E633D1" w:rsidRDefault="006D5B19" w:rsidP="002071B0">
            <w:pPr>
              <w:jc w:val="center"/>
              <w:rPr>
                <w:b/>
              </w:rPr>
            </w:pPr>
            <w:r w:rsidRPr="00E633D1">
              <w:rPr>
                <w:b/>
              </w:rPr>
              <w:t>Empresa</w:t>
            </w:r>
          </w:p>
        </w:tc>
        <w:tc>
          <w:tcPr>
            <w:tcW w:w="71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D5B19" w:rsidRPr="00E633D1" w:rsidRDefault="00244B12" w:rsidP="00E633D1">
            <w:pPr>
              <w:jc w:val="center"/>
              <w:rPr>
                <w:b/>
              </w:rPr>
            </w:pPr>
            <w:r>
              <w:rPr>
                <w:b/>
              </w:rPr>
              <w:t>#</w:t>
            </w:r>
            <w:r w:rsidR="006D5B19" w:rsidRPr="00E633D1">
              <w:rPr>
                <w:b/>
              </w:rPr>
              <w:t xml:space="preserve"> Proy.</w:t>
            </w:r>
          </w:p>
        </w:tc>
        <w:tc>
          <w:tcPr>
            <w:tcW w:w="855"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D5B19" w:rsidRPr="00E633D1" w:rsidRDefault="006D5B19" w:rsidP="00E633D1">
            <w:pPr>
              <w:jc w:val="center"/>
              <w:rPr>
                <w:b/>
              </w:rPr>
            </w:pPr>
            <w:r w:rsidRPr="00E633D1">
              <w:rPr>
                <w:b/>
              </w:rPr>
              <w:t>Vcs</w:t>
            </w:r>
          </w:p>
        </w:tc>
        <w:tc>
          <w:tcPr>
            <w:tcW w:w="99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D5B19" w:rsidRPr="00E633D1" w:rsidRDefault="006D5B19" w:rsidP="00E633D1">
            <w:pPr>
              <w:jc w:val="center"/>
              <w:rPr>
                <w:b/>
              </w:rPr>
            </w:pPr>
            <w:r w:rsidRPr="00E633D1">
              <w:rPr>
                <w:b/>
              </w:rPr>
              <w:t>Vss</w:t>
            </w:r>
          </w:p>
        </w:tc>
        <w:tc>
          <w:tcPr>
            <w:tcW w:w="142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D5B19" w:rsidRPr="00E633D1" w:rsidRDefault="006D5B19" w:rsidP="002071B0">
            <w:pPr>
              <w:jc w:val="center"/>
              <w:rPr>
                <w:b/>
              </w:rPr>
            </w:pPr>
            <w:r w:rsidRPr="00E633D1">
              <w:rPr>
                <w:b/>
              </w:rPr>
              <w:t>Inversión (US$)</w:t>
            </w:r>
          </w:p>
        </w:tc>
        <w:tc>
          <w:tcPr>
            <w:tcW w:w="141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D5B19" w:rsidRPr="00E633D1" w:rsidRDefault="006D5B19" w:rsidP="002071B0">
            <w:pPr>
              <w:jc w:val="center"/>
              <w:rPr>
                <w:b/>
              </w:rPr>
            </w:pPr>
            <w:r w:rsidRPr="00E633D1">
              <w:rPr>
                <w:b/>
              </w:rPr>
              <w:t>VAN E (US$)</w:t>
            </w:r>
          </w:p>
        </w:tc>
        <w:tc>
          <w:tcPr>
            <w:tcW w:w="106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D5B19" w:rsidRPr="00E633D1" w:rsidRDefault="006D5B19" w:rsidP="00E633D1">
            <w:pPr>
              <w:jc w:val="center"/>
              <w:rPr>
                <w:b/>
              </w:rPr>
            </w:pPr>
            <w:r w:rsidRPr="00E633D1">
              <w:rPr>
                <w:b/>
              </w:rPr>
              <w:t>TIR E</w:t>
            </w:r>
          </w:p>
        </w:tc>
      </w:tr>
      <w:tr w:rsidR="009D5956" w:rsidRPr="00E633D1" w:rsidTr="00E633D1">
        <w:trPr>
          <w:trHeight w:val="425"/>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Bolívar</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28</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322</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919.778,2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rPr>
                <w:color w:val="FF0000"/>
              </w:rPr>
            </w:pPr>
            <w:r w:rsidRPr="00E633D1">
              <w:rPr>
                <w:color w:val="FF0000"/>
              </w:rPr>
              <w:t xml:space="preserve"> -750.471,7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rPr>
                <w:color w:val="FF0000"/>
              </w:rPr>
            </w:pPr>
            <w:r w:rsidRPr="00E633D1">
              <w:rPr>
                <w:color w:val="FF0000"/>
              </w:rPr>
              <w:t>-4,5%</w:t>
            </w:r>
          </w:p>
        </w:tc>
      </w:tr>
      <w:tr w:rsidR="009D5956"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El Oro</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24</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376</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431</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1.002.931,1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180.918,5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13,6%</w:t>
            </w:r>
          </w:p>
        </w:tc>
      </w:tr>
      <w:tr w:rsidR="009D5956"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Esmeraldas</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25</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1.272</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2.605.862,7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rPr>
                <w:color w:val="FF0000"/>
              </w:rPr>
            </w:pPr>
            <w:r w:rsidRPr="00E633D1">
              <w:rPr>
                <w:color w:val="FF0000"/>
              </w:rPr>
              <w:t xml:space="preserve"> -672.489,7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9,7%</w:t>
            </w:r>
          </w:p>
        </w:tc>
      </w:tr>
      <w:tr w:rsidR="009D5956"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Guayaquil</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8</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320</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3.233</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2.073.824,1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9.251.461,5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48,5%</w:t>
            </w:r>
          </w:p>
        </w:tc>
      </w:tr>
      <w:tr w:rsidR="009D5956" w:rsidRPr="00E633D1" w:rsidTr="00E633D1">
        <w:trPr>
          <w:trHeight w:val="696"/>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Guayas Los Ríos</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34</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696</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876.864,1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517.374,2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16,6%</w:t>
            </w:r>
          </w:p>
        </w:tc>
      </w:tr>
      <w:tr w:rsidR="009D5956"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Los Ríos</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61</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14</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1.227</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1.650.350,7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rPr>
                <w:color w:val="FF0000"/>
              </w:rPr>
            </w:pPr>
            <w:r w:rsidRPr="00E633D1">
              <w:rPr>
                <w:color w:val="FF0000"/>
              </w:rPr>
              <w:t xml:space="preserve"> -242.523,0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10,6%</w:t>
            </w:r>
          </w:p>
        </w:tc>
      </w:tr>
      <w:tr w:rsidR="009D5956"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Manabí</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36</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238</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900</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1.448.740,0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rPr>
                <w:color w:val="FF0000"/>
              </w:rPr>
            </w:pPr>
            <w:r w:rsidRPr="00E633D1">
              <w:rPr>
                <w:color w:val="FF0000"/>
              </w:rPr>
              <w:t xml:space="preserve"> -758.273,1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6,5%</w:t>
            </w:r>
          </w:p>
        </w:tc>
      </w:tr>
      <w:tr w:rsidR="009D5956"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Milagro</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36</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69</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354</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723.758,3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rPr>
                <w:color w:val="FF0000"/>
              </w:rPr>
            </w:pPr>
            <w:r w:rsidRPr="00E633D1">
              <w:rPr>
                <w:color w:val="FF0000"/>
              </w:rPr>
              <w:t xml:space="preserve"> -459.008,1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5,0%</w:t>
            </w:r>
          </w:p>
        </w:tc>
      </w:tr>
      <w:tr w:rsidR="009D5956"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Sta. Elena</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44</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359</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1.030</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1.518.664,5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rPr>
                <w:color w:val="FF0000"/>
              </w:rPr>
            </w:pPr>
            <w:r w:rsidRPr="00E633D1">
              <w:rPr>
                <w:color w:val="FF0000"/>
              </w:rPr>
              <w:t xml:space="preserve"> -186.345,0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10,9%</w:t>
            </w:r>
          </w:p>
        </w:tc>
      </w:tr>
      <w:tr w:rsidR="009D5956"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Sto. Domingo</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42</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34</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306</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794.823,7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rPr>
                <w:color w:val="FF0000"/>
              </w:rPr>
            </w:pPr>
            <w:r w:rsidRPr="00E633D1">
              <w:rPr>
                <w:color w:val="FF0000"/>
              </w:rPr>
              <w:t xml:space="preserve"> -482.771,0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2,5%</w:t>
            </w:r>
          </w:p>
        </w:tc>
      </w:tr>
      <w:tr w:rsidR="009D5956"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9D5956">
            <w:r w:rsidRPr="00E633D1">
              <w:t>CNEL Sucumbíos</w:t>
            </w:r>
          </w:p>
        </w:tc>
        <w:tc>
          <w:tcPr>
            <w:tcW w:w="712"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13</w:t>
            </w:r>
          </w:p>
        </w:tc>
        <w:tc>
          <w:tcPr>
            <w:tcW w:w="855"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w:t>
            </w:r>
          </w:p>
        </w:tc>
        <w:tc>
          <w:tcPr>
            <w:tcW w:w="99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989</w:t>
            </w:r>
          </w:p>
        </w:tc>
        <w:tc>
          <w:tcPr>
            <w:tcW w:w="1424"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1.896.622,0 </w:t>
            </w:r>
          </w:p>
        </w:tc>
        <w:tc>
          <w:tcPr>
            <w:tcW w:w="1417"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right"/>
            </w:pPr>
            <w:r w:rsidRPr="00E633D1">
              <w:t xml:space="preserve"> 994.310,4 </w:t>
            </w:r>
          </w:p>
        </w:tc>
        <w:tc>
          <w:tcPr>
            <w:tcW w:w="1066" w:type="dxa"/>
            <w:tcBorders>
              <w:top w:val="single" w:sz="4" w:space="0" w:color="auto"/>
              <w:left w:val="single" w:sz="4" w:space="0" w:color="auto"/>
              <w:bottom w:val="single" w:sz="4" w:space="0" w:color="auto"/>
              <w:right w:val="single" w:sz="4" w:space="0" w:color="auto"/>
            </w:tcBorders>
            <w:vAlign w:val="center"/>
          </w:tcPr>
          <w:p w:rsidR="009D5956" w:rsidRPr="00E633D1" w:rsidRDefault="009D5956" w:rsidP="00E633D1">
            <w:pPr>
              <w:jc w:val="center"/>
            </w:pPr>
            <w:r w:rsidRPr="00E633D1">
              <w:t>17,0%</w:t>
            </w:r>
          </w:p>
        </w:tc>
      </w:tr>
      <w:tr w:rsidR="00E633D1"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546E5B">
            <w:r w:rsidRPr="00E633D1">
              <w:t>E.E. Ambato</w:t>
            </w:r>
          </w:p>
        </w:tc>
        <w:tc>
          <w:tcPr>
            <w:tcW w:w="712"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12</w:t>
            </w:r>
          </w:p>
        </w:tc>
        <w:tc>
          <w:tcPr>
            <w:tcW w:w="855"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23</w:t>
            </w:r>
          </w:p>
        </w:tc>
        <w:tc>
          <w:tcPr>
            <w:tcW w:w="996"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720</w:t>
            </w:r>
          </w:p>
        </w:tc>
        <w:tc>
          <w:tcPr>
            <w:tcW w:w="1424"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right"/>
            </w:pPr>
            <w:r w:rsidRPr="00E633D1">
              <w:t xml:space="preserve"> 898.417,3 </w:t>
            </w:r>
          </w:p>
        </w:tc>
        <w:tc>
          <w:tcPr>
            <w:tcW w:w="1417"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right"/>
            </w:pPr>
            <w:r w:rsidRPr="00E633D1">
              <w:t xml:space="preserve"> 221.745,4 </w:t>
            </w:r>
          </w:p>
        </w:tc>
        <w:tc>
          <w:tcPr>
            <w:tcW w:w="1066"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15,5%</w:t>
            </w:r>
          </w:p>
        </w:tc>
      </w:tr>
      <w:tr w:rsidR="00E633D1"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546E5B">
            <w:r w:rsidRPr="00E633D1">
              <w:t>E.E. Azogues</w:t>
            </w:r>
          </w:p>
        </w:tc>
        <w:tc>
          <w:tcPr>
            <w:tcW w:w="712"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3</w:t>
            </w:r>
          </w:p>
        </w:tc>
        <w:tc>
          <w:tcPr>
            <w:tcW w:w="855"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9</w:t>
            </w:r>
          </w:p>
        </w:tc>
        <w:tc>
          <w:tcPr>
            <w:tcW w:w="996"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64</w:t>
            </w:r>
          </w:p>
        </w:tc>
        <w:tc>
          <w:tcPr>
            <w:tcW w:w="1424"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right"/>
            </w:pPr>
            <w:r w:rsidRPr="00E633D1">
              <w:t xml:space="preserve"> 144.993,0 </w:t>
            </w:r>
          </w:p>
        </w:tc>
        <w:tc>
          <w:tcPr>
            <w:tcW w:w="1417"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right"/>
              <w:rPr>
                <w:color w:val="FF0000"/>
              </w:rPr>
            </w:pPr>
            <w:r w:rsidRPr="00E633D1">
              <w:rPr>
                <w:color w:val="FF0000"/>
              </w:rPr>
              <w:t xml:space="preserve"> -64.909,1 </w:t>
            </w:r>
          </w:p>
        </w:tc>
        <w:tc>
          <w:tcPr>
            <w:tcW w:w="1066"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4,1%</w:t>
            </w:r>
          </w:p>
        </w:tc>
      </w:tr>
      <w:tr w:rsidR="00E633D1"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546E5B">
            <w:r w:rsidRPr="00E633D1">
              <w:t>E.E. Centro sur</w:t>
            </w:r>
          </w:p>
        </w:tc>
        <w:tc>
          <w:tcPr>
            <w:tcW w:w="712"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22</w:t>
            </w:r>
          </w:p>
        </w:tc>
        <w:tc>
          <w:tcPr>
            <w:tcW w:w="855"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45</w:t>
            </w:r>
          </w:p>
        </w:tc>
        <w:tc>
          <w:tcPr>
            <w:tcW w:w="996"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362</w:t>
            </w:r>
          </w:p>
        </w:tc>
        <w:tc>
          <w:tcPr>
            <w:tcW w:w="1424"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right"/>
            </w:pPr>
            <w:r w:rsidRPr="00E633D1">
              <w:t xml:space="preserve"> 788.049,0 </w:t>
            </w:r>
          </w:p>
        </w:tc>
        <w:tc>
          <w:tcPr>
            <w:tcW w:w="1417"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right"/>
              <w:rPr>
                <w:color w:val="FF0000"/>
              </w:rPr>
            </w:pPr>
            <w:r w:rsidRPr="00E633D1">
              <w:rPr>
                <w:color w:val="FF0000"/>
              </w:rPr>
              <w:t xml:space="preserve"> -152.116,5 </w:t>
            </w:r>
          </w:p>
        </w:tc>
        <w:tc>
          <w:tcPr>
            <w:tcW w:w="1066" w:type="dxa"/>
            <w:tcBorders>
              <w:top w:val="single" w:sz="4" w:space="0" w:color="auto"/>
              <w:left w:val="single" w:sz="4" w:space="0" w:color="auto"/>
              <w:bottom w:val="single" w:sz="4" w:space="0" w:color="auto"/>
              <w:right w:val="single" w:sz="4" w:space="0" w:color="auto"/>
            </w:tcBorders>
            <w:vAlign w:val="center"/>
          </w:tcPr>
          <w:p w:rsidR="00546E5B" w:rsidRPr="00E633D1" w:rsidRDefault="00546E5B" w:rsidP="00E633D1">
            <w:pPr>
              <w:jc w:val="center"/>
            </w:pPr>
            <w:r w:rsidRPr="00E633D1">
              <w:t>9,4%</w:t>
            </w:r>
          </w:p>
        </w:tc>
      </w:tr>
      <w:tr w:rsidR="00E633D1"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r w:rsidRPr="00E633D1">
              <w:t>E.E. Cotopaxi</w:t>
            </w:r>
          </w:p>
        </w:tc>
        <w:tc>
          <w:tcPr>
            <w:tcW w:w="712"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19</w:t>
            </w:r>
          </w:p>
        </w:tc>
        <w:tc>
          <w:tcPr>
            <w:tcW w:w="85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32</w:t>
            </w:r>
          </w:p>
        </w:tc>
        <w:tc>
          <w:tcPr>
            <w:tcW w:w="99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243</w:t>
            </w:r>
          </w:p>
        </w:tc>
        <w:tc>
          <w:tcPr>
            <w:tcW w:w="1424"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480.667,3 </w:t>
            </w:r>
          </w:p>
        </w:tc>
        <w:tc>
          <w:tcPr>
            <w:tcW w:w="1417"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43.374,4 </w:t>
            </w:r>
          </w:p>
        </w:tc>
        <w:tc>
          <w:tcPr>
            <w:tcW w:w="106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12,9%</w:t>
            </w:r>
          </w:p>
        </w:tc>
      </w:tr>
      <w:tr w:rsidR="00E633D1"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r w:rsidRPr="00E633D1">
              <w:t>E.E. Galápagos</w:t>
            </w:r>
          </w:p>
        </w:tc>
        <w:tc>
          <w:tcPr>
            <w:tcW w:w="712"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4</w:t>
            </w:r>
          </w:p>
        </w:tc>
        <w:tc>
          <w:tcPr>
            <w:tcW w:w="85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3</w:t>
            </w:r>
          </w:p>
        </w:tc>
        <w:tc>
          <w:tcPr>
            <w:tcW w:w="99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46</w:t>
            </w:r>
          </w:p>
        </w:tc>
        <w:tc>
          <w:tcPr>
            <w:tcW w:w="1424"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171.966,8 </w:t>
            </w:r>
          </w:p>
        </w:tc>
        <w:tc>
          <w:tcPr>
            <w:tcW w:w="1417"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44.367,4 </w:t>
            </w:r>
          </w:p>
        </w:tc>
        <w:tc>
          <w:tcPr>
            <w:tcW w:w="106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14,9%</w:t>
            </w:r>
          </w:p>
        </w:tc>
      </w:tr>
      <w:tr w:rsidR="00E633D1"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r w:rsidRPr="00E633D1">
              <w:t>E.E. Norte</w:t>
            </w:r>
          </w:p>
        </w:tc>
        <w:tc>
          <w:tcPr>
            <w:tcW w:w="712"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21</w:t>
            </w:r>
          </w:p>
        </w:tc>
        <w:tc>
          <w:tcPr>
            <w:tcW w:w="85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20</w:t>
            </w:r>
          </w:p>
        </w:tc>
        <w:tc>
          <w:tcPr>
            <w:tcW w:w="99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426</w:t>
            </w:r>
          </w:p>
        </w:tc>
        <w:tc>
          <w:tcPr>
            <w:tcW w:w="1424"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880.943,5 </w:t>
            </w:r>
          </w:p>
        </w:tc>
        <w:tc>
          <w:tcPr>
            <w:tcW w:w="1417"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rPr>
                <w:color w:val="FF0000"/>
              </w:rPr>
            </w:pPr>
            <w:r w:rsidRPr="00E633D1">
              <w:rPr>
                <w:color w:val="FF0000"/>
              </w:rPr>
              <w:t xml:space="preserve"> -266.714,0 </w:t>
            </w:r>
          </w:p>
        </w:tc>
        <w:tc>
          <w:tcPr>
            <w:tcW w:w="106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7,2%</w:t>
            </w:r>
          </w:p>
        </w:tc>
      </w:tr>
      <w:tr w:rsidR="00E633D1"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r w:rsidRPr="00E633D1">
              <w:t>E.E. Quito</w:t>
            </w:r>
          </w:p>
        </w:tc>
        <w:tc>
          <w:tcPr>
            <w:tcW w:w="712"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23</w:t>
            </w:r>
          </w:p>
        </w:tc>
        <w:tc>
          <w:tcPr>
            <w:tcW w:w="85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156</w:t>
            </w:r>
          </w:p>
        </w:tc>
        <w:tc>
          <w:tcPr>
            <w:tcW w:w="99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547</w:t>
            </w:r>
          </w:p>
        </w:tc>
        <w:tc>
          <w:tcPr>
            <w:tcW w:w="1424"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1.049.394,9 </w:t>
            </w:r>
          </w:p>
        </w:tc>
        <w:tc>
          <w:tcPr>
            <w:tcW w:w="1417"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1.457.456,8 </w:t>
            </w:r>
          </w:p>
        </w:tc>
        <w:tc>
          <w:tcPr>
            <w:tcW w:w="106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26,6%</w:t>
            </w:r>
          </w:p>
        </w:tc>
      </w:tr>
      <w:tr w:rsidR="00E633D1" w:rsidRPr="00E633D1" w:rsidTr="00E633D1">
        <w:trPr>
          <w:trHeight w:val="428"/>
          <w:jc w:val="center"/>
        </w:trPr>
        <w:tc>
          <w:tcPr>
            <w:tcW w:w="227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r w:rsidRPr="00E633D1">
              <w:t>E.E. Riobamba</w:t>
            </w:r>
          </w:p>
        </w:tc>
        <w:tc>
          <w:tcPr>
            <w:tcW w:w="712"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42</w:t>
            </w:r>
          </w:p>
        </w:tc>
        <w:tc>
          <w:tcPr>
            <w:tcW w:w="85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4</w:t>
            </w:r>
          </w:p>
        </w:tc>
        <w:tc>
          <w:tcPr>
            <w:tcW w:w="99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328</w:t>
            </w:r>
          </w:p>
        </w:tc>
        <w:tc>
          <w:tcPr>
            <w:tcW w:w="1424"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458.603,0 </w:t>
            </w:r>
          </w:p>
        </w:tc>
        <w:tc>
          <w:tcPr>
            <w:tcW w:w="1417"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79.544,5 </w:t>
            </w:r>
          </w:p>
        </w:tc>
        <w:tc>
          <w:tcPr>
            <w:tcW w:w="106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14,6%</w:t>
            </w:r>
          </w:p>
        </w:tc>
      </w:tr>
      <w:tr w:rsidR="00E633D1" w:rsidRPr="00E633D1" w:rsidTr="00E633D1">
        <w:trPr>
          <w:trHeight w:val="420"/>
          <w:jc w:val="center"/>
        </w:trPr>
        <w:tc>
          <w:tcPr>
            <w:tcW w:w="227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r w:rsidRPr="00E633D1">
              <w:t>E.E. Sur</w:t>
            </w:r>
          </w:p>
        </w:tc>
        <w:tc>
          <w:tcPr>
            <w:tcW w:w="712"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71</w:t>
            </w:r>
          </w:p>
        </w:tc>
        <w:tc>
          <w:tcPr>
            <w:tcW w:w="855"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403</w:t>
            </w:r>
          </w:p>
        </w:tc>
        <w:tc>
          <w:tcPr>
            <w:tcW w:w="99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1.079</w:t>
            </w:r>
          </w:p>
        </w:tc>
        <w:tc>
          <w:tcPr>
            <w:tcW w:w="1424"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2.258.032,9 </w:t>
            </w:r>
          </w:p>
        </w:tc>
        <w:tc>
          <w:tcPr>
            <w:tcW w:w="1417"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right"/>
            </w:pPr>
            <w:r w:rsidRPr="00E633D1">
              <w:t xml:space="preserve"> 115.582,2 </w:t>
            </w:r>
          </w:p>
        </w:tc>
        <w:tc>
          <w:tcPr>
            <w:tcW w:w="1066" w:type="dxa"/>
            <w:tcBorders>
              <w:top w:val="single" w:sz="4" w:space="0" w:color="auto"/>
              <w:left w:val="single" w:sz="4" w:space="0" w:color="auto"/>
              <w:bottom w:val="single" w:sz="4" w:space="0" w:color="auto"/>
              <w:right w:val="single" w:sz="4" w:space="0" w:color="auto"/>
            </w:tcBorders>
            <w:vAlign w:val="center"/>
          </w:tcPr>
          <w:p w:rsidR="00E633D1" w:rsidRPr="00E633D1" w:rsidRDefault="00E633D1" w:rsidP="00E633D1">
            <w:pPr>
              <w:jc w:val="center"/>
            </w:pPr>
            <w:r w:rsidRPr="00E633D1">
              <w:t>12,7%</w:t>
            </w:r>
          </w:p>
        </w:tc>
      </w:tr>
      <w:tr w:rsidR="00E633D1" w:rsidRPr="00F979C8" w:rsidTr="00E633D1">
        <w:trPr>
          <w:trHeight w:val="323"/>
          <w:jc w:val="center"/>
        </w:trPr>
        <w:tc>
          <w:tcPr>
            <w:tcW w:w="2275"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633D1" w:rsidRPr="00E633D1" w:rsidRDefault="00E633D1" w:rsidP="00E633D1">
            <w:pPr>
              <w:jc w:val="both"/>
              <w:rPr>
                <w:b/>
                <w:lang w:val="es-CL"/>
              </w:rPr>
            </w:pPr>
            <w:r w:rsidRPr="00E633D1">
              <w:rPr>
                <w:b/>
                <w:lang w:val="es-CL"/>
              </w:rPr>
              <w:t>TOTAL</w:t>
            </w:r>
          </w:p>
        </w:tc>
        <w:tc>
          <w:tcPr>
            <w:tcW w:w="71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633D1" w:rsidRPr="00E633D1" w:rsidRDefault="00E633D1" w:rsidP="00E633D1">
            <w:pPr>
              <w:jc w:val="center"/>
              <w:rPr>
                <w:b/>
              </w:rPr>
            </w:pPr>
            <w:r w:rsidRPr="00E633D1">
              <w:rPr>
                <w:b/>
              </w:rPr>
              <w:t>568</w:t>
            </w:r>
          </w:p>
        </w:tc>
        <w:tc>
          <w:tcPr>
            <w:tcW w:w="855"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633D1" w:rsidRPr="00E633D1" w:rsidRDefault="00E633D1" w:rsidP="00E633D1">
            <w:pPr>
              <w:jc w:val="center"/>
              <w:rPr>
                <w:b/>
              </w:rPr>
            </w:pPr>
            <w:r w:rsidRPr="00E633D1">
              <w:rPr>
                <w:b/>
              </w:rPr>
              <w:t>2.105</w:t>
            </w:r>
          </w:p>
        </w:tc>
        <w:tc>
          <w:tcPr>
            <w:tcW w:w="99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633D1" w:rsidRPr="00E633D1" w:rsidRDefault="00E633D1" w:rsidP="00E633D1">
            <w:pPr>
              <w:jc w:val="center"/>
              <w:rPr>
                <w:b/>
              </w:rPr>
            </w:pPr>
            <w:r w:rsidRPr="00E633D1">
              <w:rPr>
                <w:b/>
              </w:rPr>
              <w:t>14.575</w:t>
            </w:r>
          </w:p>
        </w:tc>
        <w:tc>
          <w:tcPr>
            <w:tcW w:w="142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633D1" w:rsidRPr="00E633D1" w:rsidRDefault="00E633D1" w:rsidP="00E633D1">
            <w:pPr>
              <w:jc w:val="right"/>
              <w:rPr>
                <w:b/>
              </w:rPr>
            </w:pPr>
            <w:r w:rsidRPr="00E633D1">
              <w:rPr>
                <w:b/>
              </w:rPr>
              <w:t xml:space="preserve">22.643.287,0 </w:t>
            </w:r>
          </w:p>
        </w:tc>
        <w:tc>
          <w:tcPr>
            <w:tcW w:w="141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633D1" w:rsidRPr="00E633D1" w:rsidRDefault="00E633D1" w:rsidP="00E633D1">
            <w:pPr>
              <w:jc w:val="right"/>
              <w:rPr>
                <w:b/>
              </w:rPr>
            </w:pPr>
            <w:r w:rsidRPr="00E633D1">
              <w:rPr>
                <w:b/>
              </w:rPr>
              <w:t xml:space="preserve"> 8.870.514,1 </w:t>
            </w:r>
          </w:p>
        </w:tc>
        <w:tc>
          <w:tcPr>
            <w:tcW w:w="106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E633D1" w:rsidRPr="00E633D1" w:rsidRDefault="00E633D1" w:rsidP="00E633D1">
            <w:pPr>
              <w:jc w:val="center"/>
              <w:rPr>
                <w:b/>
              </w:rPr>
            </w:pPr>
            <w:r w:rsidRPr="00E633D1">
              <w:rPr>
                <w:b/>
              </w:rPr>
              <w:t>15,9%</w:t>
            </w:r>
          </w:p>
        </w:tc>
      </w:tr>
    </w:tbl>
    <w:p w:rsidR="006A57CB" w:rsidRDefault="006A57CB" w:rsidP="00F56913">
      <w:pPr>
        <w:jc w:val="both"/>
        <w:rPr>
          <w:lang w:val="es-CL"/>
        </w:rPr>
      </w:pPr>
    </w:p>
    <w:p w:rsidR="006A57CB" w:rsidRDefault="006A57CB" w:rsidP="00F56913">
      <w:pPr>
        <w:jc w:val="both"/>
        <w:rPr>
          <w:lang w:val="es-CL"/>
        </w:rPr>
      </w:pPr>
    </w:p>
    <w:p w:rsidR="00AD6FC7" w:rsidRDefault="00B7009A" w:rsidP="00B232BD">
      <w:pPr>
        <w:pStyle w:val="Heading2"/>
        <w:rPr>
          <w:lang w:val="es-CL"/>
        </w:rPr>
      </w:pPr>
      <w:bookmarkStart w:id="26" w:name="_Toc491617769"/>
      <w:r w:rsidRPr="00D45E56">
        <w:rPr>
          <w:lang w:val="es-CL"/>
        </w:rPr>
        <w:t>C I</w:t>
      </w:r>
      <w:r w:rsidR="00B232BD" w:rsidRPr="00D45E56">
        <w:rPr>
          <w:lang w:val="es-CL"/>
        </w:rPr>
        <w:t>I. Proyectos de Distribución para la Agroindustria</w:t>
      </w:r>
      <w:bookmarkEnd w:id="26"/>
    </w:p>
    <w:p w:rsidR="00AD6FC7" w:rsidRDefault="00F478E8" w:rsidP="00F56913">
      <w:pPr>
        <w:jc w:val="both"/>
        <w:rPr>
          <w:lang w:val="es-CL"/>
        </w:rPr>
      </w:pPr>
      <w:r w:rsidRPr="00F478E8">
        <w:rPr>
          <w:lang w:val="es-CL"/>
        </w:rPr>
        <w:t xml:space="preserve">En la actualidad el sector camaronero forma parte de un plan estratégico del gobierno para sustituir el uso de energía proveniente de la quema de combustibles fósiles por la energía eléctrica. Es así que para poder suplir la demanda de este </w:t>
      </w:r>
      <w:r w:rsidR="00BD75A2">
        <w:rPr>
          <w:lang w:val="es-CL"/>
        </w:rPr>
        <w:t>sector es necesario construir, repotenciar y extender las redes del sistema de distribución nacional de tal forma que las diversas industrias que lo conforman se conecten y puedan contar con energía eléctrica de la mejor calidad para abastecer sus procesos productivos, en especial el bombeo de agua y la aireación de las piscinas donde se cultiva el camarón.</w:t>
      </w:r>
    </w:p>
    <w:p w:rsidR="00CA120E" w:rsidRDefault="00CA120E" w:rsidP="00F56913">
      <w:pPr>
        <w:jc w:val="both"/>
        <w:rPr>
          <w:lang w:val="es-CL"/>
        </w:rPr>
      </w:pPr>
      <w:r>
        <w:rPr>
          <w:lang w:val="es-CL"/>
        </w:rPr>
        <w:t xml:space="preserve">En este sentido se evalúan, como parte de este programa, una cartera de </w:t>
      </w:r>
      <w:r w:rsidR="002071B0">
        <w:rPr>
          <w:lang w:val="es-CL"/>
        </w:rPr>
        <w:t>63</w:t>
      </w:r>
      <w:r>
        <w:rPr>
          <w:lang w:val="es-CL"/>
        </w:rPr>
        <w:t xml:space="preserve"> proyectos de distribución agrupados en </w:t>
      </w:r>
      <w:r w:rsidR="002071B0">
        <w:rPr>
          <w:lang w:val="es-CL"/>
        </w:rPr>
        <w:t>8</w:t>
      </w:r>
      <w:r>
        <w:rPr>
          <w:lang w:val="es-CL"/>
        </w:rPr>
        <w:t xml:space="preserve"> distribuidoras, según se resume en la siguiente tabla.</w:t>
      </w:r>
    </w:p>
    <w:p w:rsidR="00CA120E" w:rsidRDefault="00CA120E" w:rsidP="00F56913">
      <w:pPr>
        <w:jc w:val="both"/>
        <w:rPr>
          <w:lang w:val="es-CL"/>
        </w:rPr>
      </w:pPr>
    </w:p>
    <w:p w:rsidR="002071B0" w:rsidRPr="002071B0" w:rsidRDefault="002071B0" w:rsidP="002071B0">
      <w:pPr>
        <w:spacing w:after="0"/>
        <w:jc w:val="center"/>
        <w:rPr>
          <w:b/>
          <w:lang w:val="es-CL"/>
        </w:rPr>
      </w:pPr>
      <w:r w:rsidRPr="00CE6C82">
        <w:rPr>
          <w:b/>
          <w:lang w:val="es-CL"/>
        </w:rPr>
        <w:t>Tabla N°25 Proyectos de Distribución para abastecer la Agroindustria</w:t>
      </w:r>
    </w:p>
    <w:tbl>
      <w:tblPr>
        <w:tblW w:w="6091" w:type="dxa"/>
        <w:jc w:val="center"/>
        <w:tblCellMar>
          <w:top w:w="15" w:type="dxa"/>
          <w:left w:w="70" w:type="dxa"/>
          <w:bottom w:w="15" w:type="dxa"/>
          <w:right w:w="70" w:type="dxa"/>
        </w:tblCellMar>
        <w:tblLook w:val="04A0" w:firstRow="1" w:lastRow="0" w:firstColumn="1" w:lastColumn="0" w:noHBand="0" w:noVBand="1"/>
      </w:tblPr>
      <w:tblGrid>
        <w:gridCol w:w="1980"/>
        <w:gridCol w:w="1134"/>
        <w:gridCol w:w="1417"/>
        <w:gridCol w:w="1560"/>
      </w:tblGrid>
      <w:tr w:rsidR="002071B0"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shd w:val="clear" w:color="000000" w:fill="DDEBF7"/>
            <w:noWrap/>
            <w:vAlign w:val="center"/>
          </w:tcPr>
          <w:p w:rsidR="002071B0" w:rsidRPr="00814E69" w:rsidRDefault="002071B0" w:rsidP="002071B0">
            <w:pPr>
              <w:spacing w:after="0" w:line="240" w:lineRule="auto"/>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Distribuidora</w:t>
            </w:r>
          </w:p>
        </w:tc>
        <w:tc>
          <w:tcPr>
            <w:tcW w:w="1134" w:type="dxa"/>
            <w:tcBorders>
              <w:top w:val="single" w:sz="4" w:space="0" w:color="auto"/>
              <w:left w:val="single" w:sz="4" w:space="0" w:color="auto"/>
              <w:bottom w:val="single" w:sz="4" w:space="0" w:color="auto"/>
              <w:right w:val="single" w:sz="4" w:space="0" w:color="auto"/>
            </w:tcBorders>
            <w:shd w:val="clear" w:color="000000" w:fill="DDEBF7"/>
            <w:vAlign w:val="center"/>
          </w:tcPr>
          <w:p w:rsidR="002071B0" w:rsidRPr="002071B0" w:rsidRDefault="002071B0" w:rsidP="002071B0">
            <w:pPr>
              <w:spacing w:after="0" w:line="240" w:lineRule="auto"/>
              <w:jc w:val="center"/>
              <w:rPr>
                <w:rFonts w:ascii="Calibri" w:eastAsia="Times New Roman" w:hAnsi="Calibri" w:cs="Calibri"/>
                <w:b/>
                <w:color w:val="000000"/>
                <w:sz w:val="16"/>
                <w:szCs w:val="16"/>
                <w:lang w:eastAsia="es-CR"/>
              </w:rPr>
            </w:pPr>
            <w:r w:rsidRPr="002071B0">
              <w:rPr>
                <w:rFonts w:ascii="Calibri" w:eastAsia="Times New Roman" w:hAnsi="Calibri" w:cs="Calibri"/>
                <w:b/>
                <w:color w:val="000000"/>
                <w:sz w:val="16"/>
                <w:szCs w:val="16"/>
                <w:lang w:eastAsia="es-CR"/>
              </w:rPr>
              <w:t>Proyectos</w:t>
            </w:r>
          </w:p>
        </w:tc>
        <w:tc>
          <w:tcPr>
            <w:tcW w:w="1417" w:type="dxa"/>
            <w:tcBorders>
              <w:top w:val="single" w:sz="4" w:space="0" w:color="auto"/>
              <w:left w:val="single" w:sz="4" w:space="0" w:color="auto"/>
              <w:bottom w:val="single" w:sz="4" w:space="0" w:color="auto"/>
              <w:right w:val="single" w:sz="4" w:space="0" w:color="auto"/>
            </w:tcBorders>
            <w:shd w:val="clear" w:color="000000" w:fill="DDEBF7"/>
          </w:tcPr>
          <w:p w:rsidR="002071B0" w:rsidRPr="002071B0" w:rsidRDefault="002071B0" w:rsidP="002071B0">
            <w:pPr>
              <w:spacing w:after="0" w:line="240" w:lineRule="auto"/>
              <w:jc w:val="center"/>
              <w:rPr>
                <w:rFonts w:ascii="Calibri" w:eastAsia="Times New Roman" w:hAnsi="Calibri" w:cs="Calibri"/>
                <w:b/>
                <w:color w:val="000000"/>
                <w:sz w:val="16"/>
                <w:szCs w:val="16"/>
                <w:lang w:eastAsia="es-CR"/>
              </w:rPr>
            </w:pPr>
            <w:r w:rsidRPr="002071B0">
              <w:rPr>
                <w:rFonts w:ascii="Calibri" w:eastAsia="Times New Roman" w:hAnsi="Calibri" w:cs="Calibri"/>
                <w:b/>
                <w:color w:val="000000"/>
                <w:sz w:val="16"/>
                <w:szCs w:val="16"/>
                <w:lang w:eastAsia="es-CR"/>
              </w:rPr>
              <w:t>Hectáreas de Cultivo</w:t>
            </w:r>
          </w:p>
        </w:tc>
        <w:tc>
          <w:tcPr>
            <w:tcW w:w="1560" w:type="dxa"/>
            <w:tcBorders>
              <w:top w:val="single" w:sz="4" w:space="0" w:color="auto"/>
              <w:left w:val="single" w:sz="4" w:space="0" w:color="auto"/>
              <w:bottom w:val="single" w:sz="4" w:space="0" w:color="auto"/>
              <w:right w:val="single" w:sz="4" w:space="0" w:color="auto"/>
            </w:tcBorders>
            <w:shd w:val="clear" w:color="000000" w:fill="DDEBF7"/>
            <w:vAlign w:val="center"/>
          </w:tcPr>
          <w:p w:rsidR="002071B0" w:rsidRPr="002071B0" w:rsidRDefault="002071B0" w:rsidP="002071B0">
            <w:pPr>
              <w:spacing w:after="0" w:line="240" w:lineRule="auto"/>
              <w:jc w:val="center"/>
              <w:rPr>
                <w:rFonts w:ascii="Calibri" w:eastAsia="Times New Roman" w:hAnsi="Calibri" w:cs="Calibri"/>
                <w:b/>
                <w:color w:val="000000"/>
                <w:sz w:val="16"/>
                <w:szCs w:val="16"/>
                <w:lang w:eastAsia="es-CR"/>
              </w:rPr>
            </w:pPr>
            <w:r w:rsidRPr="002071B0">
              <w:rPr>
                <w:rFonts w:ascii="Calibri" w:eastAsia="Times New Roman" w:hAnsi="Calibri" w:cs="Calibri"/>
                <w:b/>
                <w:color w:val="000000"/>
                <w:sz w:val="16"/>
                <w:szCs w:val="16"/>
                <w:lang w:eastAsia="es-CR"/>
              </w:rPr>
              <w:t>Inversión (US$)</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EL ORO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10</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22.119,3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3.744.850,8 </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ESMERALDAS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2</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2.727,0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2.064.505,8 </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GUAYAQUIL</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5</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5.949,0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3.099.164,6 </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GUAYAS LOS RÍOS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13</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1.850,1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2.278.567,5 </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MANABÍ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5</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4.851,0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1.768.770,4 </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MILAGRO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6</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15.551,9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3.794.206,2 </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SANTA ELENA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3</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974,7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3.857.918,8 </w:t>
            </w:r>
          </w:p>
        </w:tc>
      </w:tr>
      <w:tr w:rsidR="00CE6C82" w:rsidRPr="00814E69" w:rsidTr="00CE6C82">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CE6C82" w:rsidRPr="00CE6C82" w:rsidRDefault="00CE6C82" w:rsidP="00CE6C82">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SANTO DOMINGO</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center"/>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5</w:t>
            </w:r>
          </w:p>
        </w:tc>
        <w:tc>
          <w:tcPr>
            <w:tcW w:w="1417" w:type="dxa"/>
            <w:tcBorders>
              <w:top w:val="single" w:sz="4" w:space="0" w:color="auto"/>
              <w:left w:val="single" w:sz="4" w:space="0" w:color="auto"/>
              <w:bottom w:val="single" w:sz="4" w:space="0" w:color="auto"/>
              <w:right w:val="single" w:sz="4" w:space="0" w:color="auto"/>
            </w:tcBorders>
            <w:vAlign w:val="center"/>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3.239,7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6C82" w:rsidRPr="00CE6C82" w:rsidRDefault="00CE6C82" w:rsidP="00CE6C82">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2.967.696,0 </w:t>
            </w:r>
          </w:p>
        </w:tc>
      </w:tr>
      <w:tr w:rsidR="00CE6C82" w:rsidRPr="00814E69" w:rsidTr="00CE6C82">
        <w:trPr>
          <w:trHeight w:val="275"/>
          <w:jc w:val="center"/>
        </w:trPr>
        <w:tc>
          <w:tcPr>
            <w:tcW w:w="1980" w:type="dxa"/>
            <w:tcBorders>
              <w:top w:val="single" w:sz="4" w:space="0" w:color="auto"/>
              <w:left w:val="single" w:sz="4" w:space="0" w:color="auto"/>
              <w:bottom w:val="single" w:sz="4" w:space="0" w:color="auto"/>
              <w:right w:val="single" w:sz="4" w:space="0" w:color="auto"/>
            </w:tcBorders>
            <w:shd w:val="clear" w:color="000000" w:fill="DDEBF7"/>
            <w:noWrap/>
            <w:vAlign w:val="center"/>
          </w:tcPr>
          <w:p w:rsidR="00CE6C82" w:rsidRPr="00CE6C82" w:rsidRDefault="00CE6C82" w:rsidP="00CE6C82">
            <w:pPr>
              <w:spacing w:after="0" w:line="240" w:lineRule="auto"/>
              <w:rPr>
                <w:rFonts w:ascii="Calibri" w:eastAsia="Times New Roman" w:hAnsi="Calibri" w:cs="Calibri"/>
                <w:b/>
                <w:bCs/>
                <w:color w:val="000000"/>
                <w:sz w:val="16"/>
                <w:szCs w:val="16"/>
                <w:lang w:eastAsia="es-CR"/>
              </w:rPr>
            </w:pPr>
            <w:r w:rsidRPr="00CE6C82">
              <w:rPr>
                <w:rFonts w:ascii="Calibri" w:eastAsia="Times New Roman" w:hAnsi="Calibri" w:cs="Calibri"/>
                <w:b/>
                <w:bCs/>
                <w:color w:val="000000"/>
                <w:sz w:val="16"/>
                <w:szCs w:val="16"/>
                <w:lang w:eastAsia="es-CR"/>
              </w:rPr>
              <w:t>TOTAL</w:t>
            </w:r>
          </w:p>
        </w:tc>
        <w:tc>
          <w:tcPr>
            <w:tcW w:w="1134" w:type="dxa"/>
            <w:tcBorders>
              <w:top w:val="single" w:sz="4" w:space="0" w:color="auto"/>
              <w:left w:val="single" w:sz="4" w:space="0" w:color="auto"/>
              <w:bottom w:val="single" w:sz="4" w:space="0" w:color="auto"/>
              <w:right w:val="single" w:sz="4" w:space="0" w:color="auto"/>
            </w:tcBorders>
            <w:shd w:val="clear" w:color="000000" w:fill="DDEBF7"/>
            <w:vAlign w:val="center"/>
          </w:tcPr>
          <w:p w:rsidR="00CE6C82" w:rsidRPr="00CE6C82" w:rsidRDefault="00CE6C82" w:rsidP="00CE6C82">
            <w:pPr>
              <w:spacing w:after="0" w:line="240" w:lineRule="auto"/>
              <w:jc w:val="center"/>
              <w:rPr>
                <w:rFonts w:ascii="Calibri" w:eastAsia="Times New Roman" w:hAnsi="Calibri" w:cs="Calibri"/>
                <w:b/>
                <w:bCs/>
                <w:color w:val="000000"/>
                <w:sz w:val="16"/>
                <w:szCs w:val="16"/>
                <w:lang w:eastAsia="es-CR"/>
              </w:rPr>
            </w:pPr>
            <w:r w:rsidRPr="00CE6C82">
              <w:rPr>
                <w:rFonts w:ascii="Calibri" w:eastAsia="Times New Roman" w:hAnsi="Calibri" w:cs="Calibri"/>
                <w:b/>
                <w:bCs/>
                <w:color w:val="000000"/>
                <w:sz w:val="16"/>
                <w:szCs w:val="16"/>
                <w:lang w:eastAsia="es-CR"/>
              </w:rPr>
              <w:t>49</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rsidR="00CE6C82" w:rsidRPr="00CE6C82" w:rsidRDefault="00CE6C82" w:rsidP="00CE6C82">
            <w:pPr>
              <w:spacing w:after="0" w:line="240" w:lineRule="auto"/>
              <w:jc w:val="right"/>
              <w:rPr>
                <w:rFonts w:ascii="Calibri" w:eastAsia="Times New Roman" w:hAnsi="Calibri" w:cs="Calibri"/>
                <w:b/>
                <w:bCs/>
                <w:color w:val="000000"/>
                <w:sz w:val="16"/>
                <w:szCs w:val="16"/>
                <w:lang w:eastAsia="es-CR"/>
              </w:rPr>
            </w:pPr>
            <w:r w:rsidRPr="00CE6C82">
              <w:rPr>
                <w:rFonts w:ascii="Calibri" w:eastAsia="Times New Roman" w:hAnsi="Calibri" w:cs="Calibri"/>
                <w:b/>
                <w:bCs/>
                <w:color w:val="000000"/>
                <w:sz w:val="16"/>
                <w:szCs w:val="16"/>
                <w:lang w:eastAsia="es-CR"/>
              </w:rPr>
              <w:t xml:space="preserve"> 57.262,7 </w:t>
            </w:r>
          </w:p>
        </w:tc>
        <w:tc>
          <w:tcPr>
            <w:tcW w:w="1560" w:type="dxa"/>
            <w:tcBorders>
              <w:top w:val="single" w:sz="4" w:space="0" w:color="auto"/>
              <w:left w:val="single" w:sz="4" w:space="0" w:color="auto"/>
              <w:bottom w:val="single" w:sz="4" w:space="0" w:color="auto"/>
              <w:right w:val="single" w:sz="4" w:space="0" w:color="auto"/>
            </w:tcBorders>
            <w:shd w:val="clear" w:color="000000" w:fill="DDEBF7"/>
            <w:vAlign w:val="center"/>
          </w:tcPr>
          <w:p w:rsidR="00CE6C82" w:rsidRPr="00CE6C82" w:rsidRDefault="00CE6C82" w:rsidP="00CE6C82">
            <w:pPr>
              <w:spacing w:after="0" w:line="240" w:lineRule="auto"/>
              <w:jc w:val="right"/>
              <w:rPr>
                <w:rFonts w:ascii="Calibri" w:eastAsia="Times New Roman" w:hAnsi="Calibri" w:cs="Calibri"/>
                <w:b/>
                <w:bCs/>
                <w:color w:val="000000"/>
                <w:sz w:val="16"/>
                <w:szCs w:val="16"/>
                <w:lang w:eastAsia="es-CR"/>
              </w:rPr>
            </w:pPr>
            <w:r w:rsidRPr="00CE6C82">
              <w:rPr>
                <w:rFonts w:ascii="Calibri" w:eastAsia="Times New Roman" w:hAnsi="Calibri" w:cs="Calibri"/>
                <w:b/>
                <w:bCs/>
                <w:color w:val="000000"/>
                <w:sz w:val="16"/>
                <w:szCs w:val="16"/>
                <w:lang w:eastAsia="es-CR"/>
              </w:rPr>
              <w:t xml:space="preserve"> 23.575.680,0 </w:t>
            </w:r>
          </w:p>
        </w:tc>
      </w:tr>
    </w:tbl>
    <w:p w:rsidR="00CA120E" w:rsidRDefault="00CA120E" w:rsidP="00F56913">
      <w:pPr>
        <w:jc w:val="both"/>
        <w:rPr>
          <w:lang w:val="es-CL"/>
        </w:rPr>
      </w:pPr>
    </w:p>
    <w:p w:rsidR="002071B0" w:rsidRDefault="002071B0" w:rsidP="00F56913">
      <w:pPr>
        <w:jc w:val="both"/>
        <w:rPr>
          <w:lang w:val="es-CL"/>
        </w:rPr>
      </w:pPr>
      <w:r>
        <w:rPr>
          <w:lang w:val="es-CL"/>
        </w:rPr>
        <w:t>En general cada proyecto se mide por la inversión en extensión, refuerzo y mejora de redes de distribución, así como por la dimensión total de las granjas camaroneras que se atenderán, medida en hectáreas.</w:t>
      </w:r>
    </w:p>
    <w:p w:rsidR="001D6D32" w:rsidRDefault="001D6D32" w:rsidP="00F56913">
      <w:pPr>
        <w:jc w:val="both"/>
        <w:rPr>
          <w:lang w:val="es-CL"/>
        </w:rPr>
      </w:pPr>
    </w:p>
    <w:p w:rsidR="002071B0" w:rsidRDefault="000D6F8C" w:rsidP="002071B0">
      <w:pPr>
        <w:jc w:val="center"/>
        <w:rPr>
          <w:lang w:val="es-CL"/>
        </w:rPr>
      </w:pPr>
      <w:r>
        <w:rPr>
          <w:noProof/>
          <w:lang w:val="en-US"/>
        </w:rPr>
        <w:drawing>
          <wp:anchor distT="0" distB="0" distL="114300" distR="114300" simplePos="0" relativeHeight="251661312" behindDoc="0" locked="0" layoutInCell="1" allowOverlap="1">
            <wp:simplePos x="0" y="0"/>
            <wp:positionH relativeFrom="column">
              <wp:posOffset>-1905</wp:posOffset>
            </wp:positionH>
            <wp:positionV relativeFrom="paragraph">
              <wp:posOffset>204422</wp:posOffset>
            </wp:positionV>
            <wp:extent cx="3200400" cy="1740535"/>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ista aerea camaroneras Guayaqui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0400" cy="1740535"/>
                    </a:xfrm>
                    <a:prstGeom prst="rect">
                      <a:avLst/>
                    </a:prstGeom>
                  </pic:spPr>
                </pic:pic>
              </a:graphicData>
            </a:graphic>
            <wp14:sizeRelH relativeFrom="margin">
              <wp14:pctWidth>0</wp14:pctWidth>
            </wp14:sizeRelH>
            <wp14:sizeRelV relativeFrom="margin">
              <wp14:pctHeight>0</wp14:pctHeight>
            </wp14:sizeRelV>
          </wp:anchor>
        </w:drawing>
      </w:r>
    </w:p>
    <w:p w:rsidR="000D6F8C" w:rsidRDefault="000D6F8C" w:rsidP="000D6F8C">
      <w:pPr>
        <w:jc w:val="both"/>
        <w:rPr>
          <w:b/>
          <w:lang w:val="es-CL"/>
        </w:rPr>
      </w:pPr>
    </w:p>
    <w:p w:rsidR="000D6F8C" w:rsidRDefault="000D6F8C" w:rsidP="000D6F8C">
      <w:pPr>
        <w:jc w:val="both"/>
        <w:rPr>
          <w:b/>
          <w:lang w:val="es-CL"/>
        </w:rPr>
      </w:pPr>
    </w:p>
    <w:p w:rsidR="002071B0" w:rsidRDefault="002071B0" w:rsidP="000D6F8C">
      <w:pPr>
        <w:jc w:val="both"/>
        <w:rPr>
          <w:lang w:val="es-CL"/>
        </w:rPr>
      </w:pPr>
      <w:r w:rsidRPr="002071B0">
        <w:rPr>
          <w:b/>
          <w:lang w:val="es-CL"/>
        </w:rPr>
        <w:t>Figura 23</w:t>
      </w:r>
      <w:r>
        <w:rPr>
          <w:lang w:val="es-CL"/>
        </w:rPr>
        <w:t>. Las granjas camaroneras comprometen extensas áreas con sus piscinas de cultivo. El agua de ellas debe bombearse y airearse con fuerza motriz (térmica o eléctrica). Fotografía: Vista aérea de una camaronera en Guayaquil.</w:t>
      </w:r>
    </w:p>
    <w:p w:rsidR="002071B0" w:rsidRDefault="002071B0" w:rsidP="002071B0">
      <w:pPr>
        <w:rPr>
          <w:lang w:val="es-CL"/>
        </w:rPr>
      </w:pPr>
    </w:p>
    <w:p w:rsidR="001D6D32" w:rsidRDefault="001D6D32" w:rsidP="002071B0">
      <w:pPr>
        <w:rPr>
          <w:lang w:val="es-CL"/>
        </w:rPr>
      </w:pPr>
    </w:p>
    <w:p w:rsidR="00BD75A2" w:rsidRPr="009B1CC0" w:rsidRDefault="002A0161" w:rsidP="002071B0">
      <w:pPr>
        <w:rPr>
          <w:b/>
          <w:lang w:val="es-CL"/>
        </w:rPr>
      </w:pPr>
      <w:r w:rsidRPr="009B1CC0">
        <w:rPr>
          <w:b/>
          <w:lang w:val="es-CL"/>
        </w:rPr>
        <w:t>Hipótesis de demanda eléctrica.</w:t>
      </w:r>
    </w:p>
    <w:p w:rsidR="002A0161" w:rsidRDefault="002A0161" w:rsidP="002071B0">
      <w:pPr>
        <w:rPr>
          <w:lang w:val="es-CL"/>
        </w:rPr>
      </w:pPr>
      <w:r>
        <w:rPr>
          <w:lang w:val="es-CL"/>
        </w:rPr>
        <w:t xml:space="preserve">Se espera </w:t>
      </w:r>
      <w:r w:rsidR="00B47200">
        <w:rPr>
          <w:lang w:val="es-CL"/>
        </w:rPr>
        <w:t>que,</w:t>
      </w:r>
      <w:r>
        <w:rPr>
          <w:lang w:val="es-CL"/>
        </w:rPr>
        <w:t xml:space="preserve"> con el cambio tecnológico gradual de las camaroneras, basado hoy en combustibles fósiles </w:t>
      </w:r>
      <w:r w:rsidR="00B47200">
        <w:rPr>
          <w:lang w:val="es-CL"/>
        </w:rPr>
        <w:t xml:space="preserve">y tendiendo </w:t>
      </w:r>
      <w:r>
        <w:rPr>
          <w:lang w:val="es-CL"/>
        </w:rPr>
        <w:t>al uso pleno de energía eléctrica, las demandas dominantes correspondan a 2 funciones clave:</w:t>
      </w:r>
    </w:p>
    <w:p w:rsidR="002A0161" w:rsidRDefault="002A0161" w:rsidP="002A0161">
      <w:pPr>
        <w:pStyle w:val="ListParagraph"/>
        <w:numPr>
          <w:ilvl w:val="0"/>
          <w:numId w:val="17"/>
        </w:numPr>
        <w:rPr>
          <w:lang w:val="es-CL"/>
        </w:rPr>
      </w:pPr>
      <w:r>
        <w:rPr>
          <w:lang w:val="es-CL"/>
        </w:rPr>
        <w:t xml:space="preserve">Bombeo de Agua, que </w:t>
      </w:r>
      <w:r w:rsidR="00B47200">
        <w:rPr>
          <w:lang w:val="es-CL"/>
        </w:rPr>
        <w:t>óptimamente ocurriría por unas 3 horas en cada pleamar</w:t>
      </w:r>
      <w:r w:rsidR="00CE6C82">
        <w:rPr>
          <w:lang w:val="es-CL"/>
        </w:rPr>
        <w:t xml:space="preserve"> (marea alta)</w:t>
      </w:r>
      <w:r w:rsidR="00B47200">
        <w:rPr>
          <w:lang w:val="es-CL"/>
        </w:rPr>
        <w:t>.</w:t>
      </w:r>
    </w:p>
    <w:p w:rsidR="002A0161" w:rsidRPr="002A0161" w:rsidRDefault="002A0161" w:rsidP="002A0161">
      <w:pPr>
        <w:pStyle w:val="ListParagraph"/>
        <w:numPr>
          <w:ilvl w:val="0"/>
          <w:numId w:val="17"/>
        </w:numPr>
        <w:rPr>
          <w:lang w:val="es-CL"/>
        </w:rPr>
      </w:pPr>
      <w:r>
        <w:rPr>
          <w:lang w:val="es-CL"/>
        </w:rPr>
        <w:t>Aireación</w:t>
      </w:r>
      <w:r w:rsidR="00B47200">
        <w:rPr>
          <w:lang w:val="es-CL"/>
        </w:rPr>
        <w:t>, que debe ser constante.</w:t>
      </w:r>
    </w:p>
    <w:p w:rsidR="00BD75A2" w:rsidRDefault="009B1CC0" w:rsidP="00F56913">
      <w:pPr>
        <w:jc w:val="both"/>
        <w:rPr>
          <w:lang w:val="es-CL"/>
        </w:rPr>
      </w:pPr>
      <w:r>
        <w:rPr>
          <w:lang w:val="es-CL"/>
        </w:rPr>
        <w:t>Por otra parte, una pequeña fracción de estos proyectos está destinado a abastecer otras agroindustrias como la cacaotera y la bananera. En ese caso, se adopta sólo la noción de bombeo de agua para operaciones de riego.</w:t>
      </w:r>
    </w:p>
    <w:p w:rsidR="009B1CC0" w:rsidRDefault="009B1CC0" w:rsidP="00F56913">
      <w:pPr>
        <w:jc w:val="both"/>
        <w:rPr>
          <w:lang w:val="es-CL"/>
        </w:rPr>
      </w:pPr>
    </w:p>
    <w:p w:rsidR="009B1CC0" w:rsidRDefault="00AB6B6F" w:rsidP="00F56913">
      <w:pPr>
        <w:jc w:val="both"/>
        <w:rPr>
          <w:lang w:val="es-CL"/>
        </w:rPr>
      </w:pPr>
      <w:r w:rsidRPr="00A831B9">
        <w:rPr>
          <w:b/>
          <w:i/>
          <w:lang w:val="es-CL"/>
        </w:rPr>
        <w:t>Bombeo de Agua:</w:t>
      </w:r>
      <w:r>
        <w:rPr>
          <w:lang w:val="es-CL"/>
        </w:rPr>
        <w:t xml:space="preserve"> De acuerdo a estudios estadísticos </w:t>
      </w:r>
      <w:r w:rsidR="00A831B9">
        <w:rPr>
          <w:lang w:val="es-CL"/>
        </w:rPr>
        <w:t>facilitados</w:t>
      </w:r>
      <w:r>
        <w:rPr>
          <w:lang w:val="es-CL"/>
        </w:rPr>
        <w:t xml:space="preserve"> por el MEER</w:t>
      </w:r>
      <w:r w:rsidR="00A831B9">
        <w:rPr>
          <w:lang w:val="es-CL"/>
        </w:rPr>
        <w:t xml:space="preserve">, se espera que las camaroneras adopten fuerza eléctrica de bombeo con una capacidad instalada </w:t>
      </w:r>
      <w:r w:rsidR="00C229F7">
        <w:rPr>
          <w:lang w:val="es-CL"/>
        </w:rPr>
        <w:t xml:space="preserve">media </w:t>
      </w:r>
      <w:r w:rsidR="00A831B9">
        <w:rPr>
          <w:lang w:val="es-CL"/>
        </w:rPr>
        <w:t>de 3.8 kVA/Hectárea, mismas que operarán un promedio de 3 horas, durante las horas de Pleamar (marea alta) aprovechando el aumento del nivel de las aguas y especialmente las contra corrientes río arriba.</w:t>
      </w:r>
    </w:p>
    <w:p w:rsidR="00A831B9" w:rsidRDefault="00A831B9" w:rsidP="00F56913">
      <w:pPr>
        <w:jc w:val="both"/>
        <w:rPr>
          <w:lang w:val="es-CL"/>
        </w:rPr>
      </w:pPr>
      <w:r w:rsidRPr="00D6187C">
        <w:rPr>
          <w:b/>
          <w:lang w:val="es-CL"/>
        </w:rPr>
        <w:t>Aireadores:</w:t>
      </w:r>
      <w:r>
        <w:rPr>
          <w:lang w:val="es-CL"/>
        </w:rPr>
        <w:t xml:space="preserve"> </w:t>
      </w:r>
      <w:r w:rsidR="00FC554E">
        <w:rPr>
          <w:lang w:val="es-CL"/>
        </w:rPr>
        <w:t>Se estima la potencia de estos equipos en 3 kVA po</w:t>
      </w:r>
      <w:r w:rsidR="00D6187C">
        <w:rPr>
          <w:lang w:val="es-CL"/>
        </w:rPr>
        <w:t>r</w:t>
      </w:r>
      <w:r w:rsidR="00FC554E">
        <w:rPr>
          <w:lang w:val="es-CL"/>
        </w:rPr>
        <w:t xml:space="preserve"> hectárea de cultivo</w:t>
      </w:r>
      <w:r w:rsidR="00D6187C">
        <w:rPr>
          <w:lang w:val="es-CL"/>
        </w:rPr>
        <w:t>, de uso prácticamente permanente</w:t>
      </w:r>
      <w:r w:rsidR="00B920EB">
        <w:rPr>
          <w:lang w:val="es-CL"/>
        </w:rPr>
        <w:t>, velando por la salud y crecimiento del camarón</w:t>
      </w:r>
      <w:r w:rsidR="00D6187C">
        <w:rPr>
          <w:lang w:val="es-CL"/>
        </w:rPr>
        <w:t>.</w:t>
      </w:r>
    </w:p>
    <w:p w:rsidR="00D6187C" w:rsidRDefault="00D6187C" w:rsidP="00F56913">
      <w:pPr>
        <w:jc w:val="both"/>
        <w:rPr>
          <w:lang w:val="es-CL"/>
        </w:rPr>
      </w:pPr>
      <w:r w:rsidRPr="00D6187C">
        <w:rPr>
          <w:noProof/>
          <w:lang w:val="en-US"/>
        </w:rPr>
        <w:drawing>
          <wp:anchor distT="0" distB="0" distL="114300" distR="114300" simplePos="0" relativeHeight="251662336" behindDoc="0" locked="0" layoutInCell="1" allowOverlap="1">
            <wp:simplePos x="0" y="0"/>
            <wp:positionH relativeFrom="column">
              <wp:posOffset>15240</wp:posOffset>
            </wp:positionH>
            <wp:positionV relativeFrom="paragraph">
              <wp:posOffset>231775</wp:posOffset>
            </wp:positionV>
            <wp:extent cx="3759200" cy="1854200"/>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1528" r="-12" b="39131"/>
                    <a:stretch/>
                  </pic:blipFill>
                  <pic:spPr bwMode="auto">
                    <a:xfrm>
                      <a:off x="0" y="0"/>
                      <a:ext cx="3759200" cy="185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187C" w:rsidRDefault="00D6187C" w:rsidP="00F56913">
      <w:pPr>
        <w:jc w:val="both"/>
        <w:rPr>
          <w:lang w:val="es-CL"/>
        </w:rPr>
      </w:pPr>
    </w:p>
    <w:p w:rsidR="00D6187C" w:rsidRDefault="00D6187C" w:rsidP="00F56913">
      <w:pPr>
        <w:jc w:val="both"/>
        <w:rPr>
          <w:lang w:val="es-CL"/>
        </w:rPr>
      </w:pPr>
    </w:p>
    <w:p w:rsidR="00D6187C" w:rsidRDefault="00D6187C" w:rsidP="00F56913">
      <w:pPr>
        <w:jc w:val="both"/>
        <w:rPr>
          <w:lang w:val="es-CL"/>
        </w:rPr>
      </w:pPr>
    </w:p>
    <w:p w:rsidR="00D6187C" w:rsidRDefault="00D6187C" w:rsidP="00F56913">
      <w:pPr>
        <w:jc w:val="both"/>
        <w:rPr>
          <w:lang w:val="es-CL"/>
        </w:rPr>
      </w:pPr>
    </w:p>
    <w:p w:rsidR="00D6187C" w:rsidRDefault="00D6187C" w:rsidP="00D6187C">
      <w:pPr>
        <w:rPr>
          <w:b/>
          <w:lang w:val="es-CL"/>
        </w:rPr>
      </w:pPr>
    </w:p>
    <w:p w:rsidR="00D6187C" w:rsidRDefault="00D6187C" w:rsidP="00D6187C">
      <w:pPr>
        <w:rPr>
          <w:lang w:val="es-CL"/>
        </w:rPr>
      </w:pPr>
      <w:r w:rsidRPr="00D6187C">
        <w:rPr>
          <w:b/>
          <w:lang w:val="es-CL"/>
        </w:rPr>
        <w:t>Figura 24</w:t>
      </w:r>
      <w:r>
        <w:rPr>
          <w:lang w:val="es-CL"/>
        </w:rPr>
        <w:t>. Uso de Aireadores en camaroneras</w:t>
      </w:r>
    </w:p>
    <w:p w:rsidR="003F21A0" w:rsidRDefault="003F21A0" w:rsidP="00F56913">
      <w:pPr>
        <w:jc w:val="both"/>
        <w:rPr>
          <w:lang w:val="es-CL"/>
        </w:rPr>
      </w:pPr>
    </w:p>
    <w:p w:rsidR="00290752" w:rsidRDefault="00290752" w:rsidP="00F56913">
      <w:pPr>
        <w:jc w:val="both"/>
        <w:rPr>
          <w:lang w:val="es-CL"/>
        </w:rPr>
      </w:pPr>
    </w:p>
    <w:p w:rsidR="00D6187C" w:rsidRDefault="00CB39A9" w:rsidP="00F56913">
      <w:pPr>
        <w:jc w:val="both"/>
        <w:rPr>
          <w:lang w:val="es-CL"/>
        </w:rPr>
      </w:pPr>
      <w:r>
        <w:rPr>
          <w:lang w:val="es-CL"/>
        </w:rPr>
        <w:t>De esta forma, la curva diaria de demanda queda representada por la siguiente gráfica:</w:t>
      </w:r>
    </w:p>
    <w:p w:rsidR="00CB39A9" w:rsidRDefault="00290752" w:rsidP="00F56913">
      <w:pPr>
        <w:jc w:val="both"/>
        <w:rPr>
          <w:lang w:val="es-CL"/>
        </w:rPr>
      </w:pPr>
      <w:r>
        <w:rPr>
          <w:noProof/>
          <w:lang w:val="en-US"/>
        </w:rPr>
        <w:drawing>
          <wp:inline distT="0" distB="0" distL="0" distR="0" wp14:anchorId="07881538">
            <wp:extent cx="5539957" cy="2341525"/>
            <wp:effectExtent l="0" t="0" r="3810"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67831" cy="2353306"/>
                    </a:xfrm>
                    <a:prstGeom prst="rect">
                      <a:avLst/>
                    </a:prstGeom>
                    <a:noFill/>
                  </pic:spPr>
                </pic:pic>
              </a:graphicData>
            </a:graphic>
          </wp:inline>
        </w:drawing>
      </w:r>
    </w:p>
    <w:p w:rsidR="00290752" w:rsidRDefault="00290752" w:rsidP="00F56913">
      <w:pPr>
        <w:jc w:val="both"/>
        <w:rPr>
          <w:lang w:val="es-CL"/>
        </w:rPr>
      </w:pPr>
      <w:r w:rsidRPr="00290752">
        <w:rPr>
          <w:b/>
          <w:lang w:val="es-CL"/>
        </w:rPr>
        <w:t>Figura 25</w:t>
      </w:r>
      <w:r>
        <w:rPr>
          <w:lang w:val="es-CL"/>
        </w:rPr>
        <w:t>. Modelo de Demanda horaria y relación con las mareas.</w:t>
      </w:r>
    </w:p>
    <w:p w:rsidR="00290752" w:rsidRDefault="00290752" w:rsidP="00F56913">
      <w:pPr>
        <w:jc w:val="both"/>
        <w:rPr>
          <w:lang w:val="es-CL"/>
        </w:rPr>
      </w:pPr>
    </w:p>
    <w:p w:rsidR="00290752" w:rsidRDefault="00290752" w:rsidP="00F56913">
      <w:pPr>
        <w:jc w:val="both"/>
        <w:rPr>
          <w:lang w:val="es-CL"/>
        </w:rPr>
      </w:pPr>
      <w:r>
        <w:rPr>
          <w:lang w:val="es-CL"/>
        </w:rPr>
        <w:t xml:space="preserve">El modelo que relaciona la demanda máxima de los camaroneros con el ciclo diario de mareas, debe considerar que la componente principal de las mareas es la “Marea Lunar” cuyo ciclo es de </w:t>
      </w:r>
      <w:r w:rsidR="0095537C">
        <w:rPr>
          <w:lang w:val="es-CL"/>
        </w:rPr>
        <w:t>12</w:t>
      </w:r>
      <w:r>
        <w:rPr>
          <w:lang w:val="es-CL"/>
        </w:rPr>
        <w:t xml:space="preserve"> horas y </w:t>
      </w:r>
      <w:r w:rsidR="0095537C">
        <w:rPr>
          <w:lang w:val="es-CL"/>
        </w:rPr>
        <w:t>25</w:t>
      </w:r>
      <w:r>
        <w:rPr>
          <w:lang w:val="es-CL"/>
        </w:rPr>
        <w:t xml:space="preserve"> minutos</w:t>
      </w:r>
      <w:r w:rsidR="0095537C">
        <w:rPr>
          <w:lang w:val="es-CL"/>
        </w:rPr>
        <w:t xml:space="preserve"> (2 eventos por cada ciclo lunar)</w:t>
      </w:r>
      <w:r w:rsidR="005C6146">
        <w:rPr>
          <w:lang w:val="es-CL"/>
        </w:rPr>
        <w:t>. Con ello, si bien es esperable tener 2 eventos de pleamar al día, éstos no se registrarán a la misma hora pudiendo o no coincidir con los horarios d</w:t>
      </w:r>
      <w:r w:rsidR="0095537C">
        <w:rPr>
          <w:lang w:val="es-CL"/>
        </w:rPr>
        <w:t>e</w:t>
      </w:r>
      <w:r w:rsidR="005C6146">
        <w:rPr>
          <w:lang w:val="es-CL"/>
        </w:rPr>
        <w:t xml:space="preserve"> demanda máxima que rigen tarifas con demanda horaria.</w:t>
      </w:r>
      <w:r w:rsidR="004D06CD">
        <w:rPr>
          <w:lang w:val="es-CL"/>
        </w:rPr>
        <w:t xml:space="preserve"> La siguiente tabla muestra el resultado de este modelo, contabilizando cuantas horas al año se tendrá los niveles de demanda máxima en cada hora del día.</w:t>
      </w:r>
    </w:p>
    <w:p w:rsidR="00D6187C" w:rsidRDefault="00D6187C" w:rsidP="00F56913">
      <w:pPr>
        <w:jc w:val="both"/>
        <w:rPr>
          <w:lang w:val="es-CL"/>
        </w:rPr>
      </w:pPr>
    </w:p>
    <w:p w:rsidR="004D06CD" w:rsidRDefault="004D06CD" w:rsidP="00F56913">
      <w:pPr>
        <w:jc w:val="both"/>
        <w:rPr>
          <w:lang w:val="es-CL"/>
        </w:rPr>
      </w:pPr>
      <w:r>
        <w:rPr>
          <w:noProof/>
          <w:lang w:val="en-US"/>
        </w:rPr>
        <w:drawing>
          <wp:inline distT="0" distB="0" distL="0" distR="0" wp14:anchorId="1AE54B5C">
            <wp:extent cx="5491398" cy="2491080"/>
            <wp:effectExtent l="0" t="0" r="0" b="508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7750" cy="2503034"/>
                    </a:xfrm>
                    <a:prstGeom prst="rect">
                      <a:avLst/>
                    </a:prstGeom>
                    <a:noFill/>
                  </pic:spPr>
                </pic:pic>
              </a:graphicData>
            </a:graphic>
          </wp:inline>
        </w:drawing>
      </w:r>
    </w:p>
    <w:p w:rsidR="004D06CD" w:rsidRDefault="004D06CD" w:rsidP="00F56913">
      <w:pPr>
        <w:jc w:val="both"/>
        <w:rPr>
          <w:lang w:val="es-CL"/>
        </w:rPr>
      </w:pPr>
      <w:r w:rsidRPr="0095537C">
        <w:rPr>
          <w:b/>
          <w:lang w:val="es-CL"/>
        </w:rPr>
        <w:t>Figura 26</w:t>
      </w:r>
      <w:r>
        <w:rPr>
          <w:lang w:val="es-CL"/>
        </w:rPr>
        <w:t xml:space="preserve">. Días al año en que se espera bombeo a cada hora del día. </w:t>
      </w:r>
      <w:r w:rsidR="0095537C">
        <w:rPr>
          <w:lang w:val="es-CL"/>
        </w:rPr>
        <w:t>Cada hora del día tendrá presencia de bombeo entre 85 y 90 días por año.</w:t>
      </w:r>
    </w:p>
    <w:p w:rsidR="0095537C" w:rsidRDefault="0095537C" w:rsidP="00F56913">
      <w:pPr>
        <w:jc w:val="both"/>
        <w:rPr>
          <w:lang w:val="es-CL"/>
        </w:rPr>
      </w:pPr>
    </w:p>
    <w:p w:rsidR="00D6187C" w:rsidRDefault="00D6187C" w:rsidP="00F56913">
      <w:pPr>
        <w:jc w:val="both"/>
        <w:rPr>
          <w:lang w:val="es-CL"/>
        </w:rPr>
      </w:pPr>
    </w:p>
    <w:p w:rsidR="0095537C" w:rsidRDefault="0095537C" w:rsidP="003903AA">
      <w:pPr>
        <w:pStyle w:val="Heading3"/>
        <w:rPr>
          <w:lang w:val="es-CL"/>
        </w:rPr>
      </w:pPr>
      <w:bookmarkStart w:id="27" w:name="_Toc491617770"/>
      <w:r>
        <w:rPr>
          <w:lang w:val="es-CL"/>
        </w:rPr>
        <w:t>Evaluación Financiera Proyectos de Extensión de redes para la Agroindustria</w:t>
      </w:r>
      <w:bookmarkEnd w:id="27"/>
    </w:p>
    <w:p w:rsidR="003903AA" w:rsidRDefault="003903AA" w:rsidP="00F56913">
      <w:pPr>
        <w:jc w:val="both"/>
        <w:rPr>
          <w:lang w:val="es-CL"/>
        </w:rPr>
      </w:pPr>
    </w:p>
    <w:p w:rsidR="0095537C" w:rsidRDefault="0095537C" w:rsidP="00F56913">
      <w:pPr>
        <w:jc w:val="both"/>
        <w:rPr>
          <w:lang w:val="es-CL"/>
        </w:rPr>
      </w:pPr>
      <w:r>
        <w:rPr>
          <w:lang w:val="es-CL"/>
        </w:rPr>
        <w:t>La evaluación financiera se desarrolla considerando los ingresos y costos asociados al proyecto, desde la perspectiva de la caja de cada entidad ejecutora del mismo. En este caso, cada EED.</w:t>
      </w:r>
    </w:p>
    <w:p w:rsidR="0095537C" w:rsidRDefault="0095537C" w:rsidP="00F56913">
      <w:pPr>
        <w:jc w:val="both"/>
        <w:rPr>
          <w:lang w:val="es-CL"/>
        </w:rPr>
      </w:pPr>
      <w:r>
        <w:rPr>
          <w:lang w:val="es-CL"/>
        </w:rPr>
        <w:t>Los elementos de flujo monetario considerados son:</w:t>
      </w:r>
    </w:p>
    <w:p w:rsidR="0095537C" w:rsidRDefault="0095537C" w:rsidP="0095537C">
      <w:pPr>
        <w:pStyle w:val="ListParagraph"/>
        <w:numPr>
          <w:ilvl w:val="0"/>
          <w:numId w:val="18"/>
        </w:numPr>
        <w:jc w:val="both"/>
        <w:rPr>
          <w:lang w:val="es-CL"/>
        </w:rPr>
      </w:pPr>
      <w:r>
        <w:rPr>
          <w:lang w:val="es-CL"/>
        </w:rPr>
        <w:t>Inversión</w:t>
      </w:r>
    </w:p>
    <w:p w:rsidR="0095537C" w:rsidRDefault="0095537C" w:rsidP="0095537C">
      <w:pPr>
        <w:pStyle w:val="ListParagraph"/>
        <w:numPr>
          <w:ilvl w:val="0"/>
          <w:numId w:val="18"/>
        </w:numPr>
        <w:jc w:val="both"/>
        <w:rPr>
          <w:lang w:val="es-CL"/>
        </w:rPr>
      </w:pPr>
      <w:r>
        <w:rPr>
          <w:lang w:val="es-CL"/>
        </w:rPr>
        <w:t>Ingresos por Venta de Energía</w:t>
      </w:r>
    </w:p>
    <w:p w:rsidR="0095537C" w:rsidRDefault="0095537C" w:rsidP="0095537C">
      <w:pPr>
        <w:pStyle w:val="ListParagraph"/>
        <w:numPr>
          <w:ilvl w:val="0"/>
          <w:numId w:val="18"/>
        </w:numPr>
        <w:jc w:val="both"/>
        <w:rPr>
          <w:lang w:val="es-CL"/>
        </w:rPr>
      </w:pPr>
      <w:r>
        <w:rPr>
          <w:lang w:val="es-CL"/>
        </w:rPr>
        <w:t>Egresos por Compra de Energía</w:t>
      </w:r>
    </w:p>
    <w:p w:rsidR="0095537C" w:rsidRDefault="0095537C" w:rsidP="0095537C">
      <w:pPr>
        <w:pStyle w:val="ListParagraph"/>
        <w:numPr>
          <w:ilvl w:val="0"/>
          <w:numId w:val="18"/>
        </w:numPr>
        <w:jc w:val="both"/>
        <w:rPr>
          <w:lang w:val="es-CL"/>
        </w:rPr>
      </w:pPr>
      <w:r>
        <w:rPr>
          <w:lang w:val="es-CL"/>
        </w:rPr>
        <w:t>Costos de Operación y Mantenimiento de redes</w:t>
      </w:r>
    </w:p>
    <w:p w:rsidR="003903AA" w:rsidRDefault="003903AA" w:rsidP="003903AA">
      <w:pPr>
        <w:pStyle w:val="ListParagraph"/>
        <w:numPr>
          <w:ilvl w:val="0"/>
          <w:numId w:val="18"/>
        </w:numPr>
        <w:jc w:val="both"/>
      </w:pPr>
      <w:r>
        <w:t>Mayor Costo de Comercialización, asumido como el costo reconocido tarifariamente (1.414 US$/Mes), por cada nuevo cliente incorporado al servicio de la EED.</w:t>
      </w:r>
    </w:p>
    <w:p w:rsidR="0095537C" w:rsidRDefault="0095537C" w:rsidP="0095537C">
      <w:pPr>
        <w:jc w:val="both"/>
      </w:pPr>
    </w:p>
    <w:p w:rsidR="00835A5B" w:rsidRPr="00292463" w:rsidRDefault="00835A5B" w:rsidP="0095537C">
      <w:pPr>
        <w:jc w:val="both"/>
        <w:rPr>
          <w:b/>
        </w:rPr>
      </w:pPr>
      <w:r w:rsidRPr="00292463">
        <w:rPr>
          <w:b/>
        </w:rPr>
        <w:t>Supuesto de Gradualidad Lineal de Ingreso</w:t>
      </w:r>
    </w:p>
    <w:p w:rsidR="00835A5B" w:rsidRDefault="00835A5B" w:rsidP="0095537C">
      <w:pPr>
        <w:jc w:val="both"/>
      </w:pPr>
      <w:r>
        <w:t xml:space="preserve">Se estima que el total de camaroneros objetivo de estos proyectos se incorporará gradualmente al programa. De forma </w:t>
      </w:r>
      <w:r w:rsidR="00292463">
        <w:t>conservadora, en esta evaluación se ha asumido que dicha meta se alcanzará en 10 años, siendo un factor de incertidumbre y por tanto un parámetro a sensibilizar.</w:t>
      </w:r>
    </w:p>
    <w:p w:rsidR="00292463" w:rsidRDefault="00292463" w:rsidP="0095537C">
      <w:pPr>
        <w:jc w:val="both"/>
      </w:pPr>
    </w:p>
    <w:p w:rsidR="00AF065F" w:rsidRDefault="00AF065F" w:rsidP="0095537C">
      <w:pPr>
        <w:jc w:val="both"/>
      </w:pPr>
    </w:p>
    <w:p w:rsidR="00AF065F" w:rsidRPr="003903AA" w:rsidRDefault="00AF065F" w:rsidP="0095537C">
      <w:pPr>
        <w:jc w:val="both"/>
      </w:pPr>
    </w:p>
    <w:p w:rsidR="0095537C" w:rsidRPr="003903AA" w:rsidRDefault="003903AA" w:rsidP="0095537C">
      <w:pPr>
        <w:jc w:val="both"/>
        <w:rPr>
          <w:b/>
          <w:lang w:val="es-CL"/>
        </w:rPr>
      </w:pPr>
      <w:r w:rsidRPr="003903AA">
        <w:rPr>
          <w:b/>
          <w:lang w:val="es-CL"/>
        </w:rPr>
        <w:t>Ingresos por Venta de Energía</w:t>
      </w:r>
    </w:p>
    <w:p w:rsidR="003903AA" w:rsidRDefault="003903AA" w:rsidP="0095537C">
      <w:pPr>
        <w:jc w:val="both"/>
        <w:rPr>
          <w:lang w:val="es-CL"/>
        </w:rPr>
      </w:pPr>
      <w:r>
        <w:rPr>
          <w:lang w:val="es-CL"/>
        </w:rPr>
        <w:t>La potencia y energía serán suministradas por cada EED principalmente en niveles de Media Tensión (13,8 kV).</w:t>
      </w:r>
    </w:p>
    <w:p w:rsidR="003903AA" w:rsidRDefault="003903AA" w:rsidP="0095537C">
      <w:pPr>
        <w:jc w:val="both"/>
        <w:rPr>
          <w:lang w:val="es-CL"/>
        </w:rPr>
      </w:pPr>
      <w:r>
        <w:rPr>
          <w:lang w:val="es-CL"/>
        </w:rPr>
        <w:t>Para efectos de valorar la facturación mensua</w:t>
      </w:r>
      <w:r w:rsidR="00835A5B">
        <w:rPr>
          <w:lang w:val="es-CL"/>
        </w:rPr>
        <w:t xml:space="preserve">l, se estima que la tarifa, según el Pliego Tarifario 2017 será: </w:t>
      </w:r>
      <w:r w:rsidR="00835A5B" w:rsidRPr="00835A5B">
        <w:rPr>
          <w:b/>
          <w:lang w:val="es-CL"/>
        </w:rPr>
        <w:t>Media Tensión con Demanda Horaria – Bombeo de Agua</w:t>
      </w:r>
      <w:r w:rsidR="00835A5B">
        <w:rPr>
          <w:lang w:val="es-CL"/>
        </w:rPr>
        <w:t>. La cual es diferenciada para Guayaquil, respecto de las otras EED, según se resume en la siguiente tabla.</w:t>
      </w:r>
    </w:p>
    <w:p w:rsidR="00835A5B" w:rsidRDefault="00835A5B" w:rsidP="0095537C">
      <w:pPr>
        <w:jc w:val="both"/>
        <w:rPr>
          <w:lang w:val="es-CL"/>
        </w:rPr>
      </w:pPr>
    </w:p>
    <w:p w:rsidR="00835A5B" w:rsidRDefault="00835A5B" w:rsidP="00835A5B">
      <w:pPr>
        <w:spacing w:after="0"/>
        <w:jc w:val="center"/>
        <w:rPr>
          <w:b/>
          <w:lang w:val="es-CL"/>
        </w:rPr>
      </w:pPr>
      <w:r w:rsidRPr="00CE6C82">
        <w:rPr>
          <w:b/>
          <w:lang w:val="es-CL"/>
        </w:rPr>
        <w:t>Tabla N°2</w:t>
      </w:r>
      <w:r>
        <w:rPr>
          <w:b/>
          <w:lang w:val="es-CL"/>
        </w:rPr>
        <w:t>6</w:t>
      </w:r>
      <w:r w:rsidRPr="00CE6C82">
        <w:rPr>
          <w:b/>
          <w:lang w:val="es-CL"/>
        </w:rPr>
        <w:t xml:space="preserve"> </w:t>
      </w:r>
      <w:r>
        <w:rPr>
          <w:b/>
          <w:lang w:val="es-CL"/>
        </w:rPr>
        <w:t>Tarifa Media Tensión con Demanda Horaria – Bombeo de Agua</w:t>
      </w:r>
    </w:p>
    <w:p w:rsidR="00835A5B" w:rsidRPr="002071B0" w:rsidRDefault="00835A5B" w:rsidP="00835A5B">
      <w:pPr>
        <w:spacing w:after="0"/>
        <w:jc w:val="center"/>
        <w:rPr>
          <w:b/>
          <w:lang w:val="es-CL"/>
        </w:rPr>
      </w:pPr>
      <w:r>
        <w:rPr>
          <w:b/>
          <w:lang w:val="es-CL"/>
        </w:rPr>
        <w:t>Pliego Tarifario 2017</w:t>
      </w:r>
    </w:p>
    <w:tbl>
      <w:tblPr>
        <w:tblW w:w="7650" w:type="dxa"/>
        <w:jc w:val="center"/>
        <w:tblCellMar>
          <w:top w:w="15" w:type="dxa"/>
          <w:left w:w="70" w:type="dxa"/>
          <w:bottom w:w="15" w:type="dxa"/>
          <w:right w:w="70" w:type="dxa"/>
        </w:tblCellMar>
        <w:tblLook w:val="04A0" w:firstRow="1" w:lastRow="0" w:firstColumn="1" w:lastColumn="0" w:noHBand="0" w:noVBand="1"/>
      </w:tblPr>
      <w:tblGrid>
        <w:gridCol w:w="1980"/>
        <w:gridCol w:w="1113"/>
        <w:gridCol w:w="1377"/>
        <w:gridCol w:w="1195"/>
        <w:gridCol w:w="1985"/>
      </w:tblGrid>
      <w:tr w:rsidR="00835A5B" w:rsidRPr="00814E69" w:rsidTr="00835A5B">
        <w:trPr>
          <w:trHeight w:val="285"/>
          <w:jc w:val="center"/>
        </w:trPr>
        <w:tc>
          <w:tcPr>
            <w:tcW w:w="1980" w:type="dxa"/>
            <w:vMerge w:val="restart"/>
            <w:tcBorders>
              <w:top w:val="single" w:sz="4" w:space="0" w:color="auto"/>
              <w:left w:val="single" w:sz="4" w:space="0" w:color="auto"/>
              <w:right w:val="single" w:sz="4" w:space="0" w:color="auto"/>
            </w:tcBorders>
            <w:shd w:val="clear" w:color="000000" w:fill="DDEBF7"/>
            <w:noWrap/>
            <w:vAlign w:val="center"/>
          </w:tcPr>
          <w:p w:rsidR="00835A5B" w:rsidRPr="00814E69" w:rsidRDefault="00835A5B" w:rsidP="009E6EEF">
            <w:pPr>
              <w:spacing w:after="0" w:line="240" w:lineRule="auto"/>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Distribuidora</w:t>
            </w:r>
          </w:p>
        </w:tc>
        <w:tc>
          <w:tcPr>
            <w:tcW w:w="1113" w:type="dxa"/>
            <w:vMerge w:val="restart"/>
            <w:tcBorders>
              <w:top w:val="single" w:sz="4" w:space="0" w:color="auto"/>
              <w:left w:val="single" w:sz="4" w:space="0" w:color="auto"/>
              <w:right w:val="single" w:sz="4" w:space="0" w:color="auto"/>
            </w:tcBorders>
            <w:shd w:val="clear" w:color="000000" w:fill="DDEBF7"/>
            <w:vAlign w:val="center"/>
          </w:tcPr>
          <w:p w:rsidR="00835A5B" w:rsidRPr="002071B0" w:rsidRDefault="00835A5B"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Demanda (US$/kW)</w:t>
            </w:r>
          </w:p>
        </w:tc>
        <w:tc>
          <w:tcPr>
            <w:tcW w:w="2572" w:type="dxa"/>
            <w:gridSpan w:val="2"/>
            <w:tcBorders>
              <w:top w:val="single" w:sz="4" w:space="0" w:color="auto"/>
              <w:left w:val="single" w:sz="4" w:space="0" w:color="auto"/>
              <w:bottom w:val="single" w:sz="4" w:space="0" w:color="auto"/>
              <w:right w:val="single" w:sz="4" w:space="0" w:color="auto"/>
            </w:tcBorders>
            <w:shd w:val="clear" w:color="000000" w:fill="DDEBF7"/>
            <w:vAlign w:val="center"/>
          </w:tcPr>
          <w:p w:rsidR="00835A5B" w:rsidRPr="002071B0" w:rsidRDefault="00835A5B"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Energía (US$/kWh)</w:t>
            </w:r>
          </w:p>
        </w:tc>
        <w:tc>
          <w:tcPr>
            <w:tcW w:w="1985" w:type="dxa"/>
            <w:vMerge w:val="restart"/>
            <w:tcBorders>
              <w:top w:val="single" w:sz="4" w:space="0" w:color="auto"/>
              <w:left w:val="single" w:sz="4" w:space="0" w:color="auto"/>
              <w:right w:val="single" w:sz="4" w:space="0" w:color="auto"/>
            </w:tcBorders>
            <w:shd w:val="clear" w:color="000000" w:fill="DDEBF7"/>
            <w:vAlign w:val="center"/>
          </w:tcPr>
          <w:p w:rsidR="00835A5B" w:rsidRDefault="00835A5B"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Comercialización</w:t>
            </w:r>
          </w:p>
          <w:p w:rsidR="00835A5B" w:rsidRDefault="00835A5B"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 xml:space="preserve"> (US$/Consumidor)</w:t>
            </w:r>
          </w:p>
        </w:tc>
      </w:tr>
      <w:tr w:rsidR="00835A5B" w:rsidRPr="00814E69" w:rsidTr="00835A5B">
        <w:trPr>
          <w:trHeight w:val="285"/>
          <w:jc w:val="center"/>
        </w:trPr>
        <w:tc>
          <w:tcPr>
            <w:tcW w:w="1980" w:type="dxa"/>
            <w:vMerge/>
            <w:tcBorders>
              <w:left w:val="single" w:sz="4" w:space="0" w:color="auto"/>
              <w:bottom w:val="single" w:sz="4" w:space="0" w:color="auto"/>
              <w:right w:val="single" w:sz="4" w:space="0" w:color="auto"/>
            </w:tcBorders>
            <w:shd w:val="clear" w:color="000000" w:fill="DDEBF7"/>
            <w:noWrap/>
            <w:vAlign w:val="center"/>
          </w:tcPr>
          <w:p w:rsidR="00835A5B" w:rsidRDefault="00835A5B" w:rsidP="009E6EEF">
            <w:pPr>
              <w:spacing w:after="0" w:line="240" w:lineRule="auto"/>
              <w:rPr>
                <w:rFonts w:ascii="Calibri" w:eastAsia="Times New Roman" w:hAnsi="Calibri" w:cs="Calibri"/>
                <w:b/>
                <w:bCs/>
                <w:color w:val="000000"/>
                <w:sz w:val="16"/>
                <w:szCs w:val="16"/>
                <w:lang w:eastAsia="es-CR"/>
              </w:rPr>
            </w:pPr>
          </w:p>
        </w:tc>
        <w:tc>
          <w:tcPr>
            <w:tcW w:w="1113" w:type="dxa"/>
            <w:vMerge/>
            <w:tcBorders>
              <w:left w:val="single" w:sz="4" w:space="0" w:color="auto"/>
              <w:bottom w:val="single" w:sz="4" w:space="0" w:color="auto"/>
              <w:right w:val="single" w:sz="4" w:space="0" w:color="auto"/>
            </w:tcBorders>
            <w:shd w:val="clear" w:color="000000" w:fill="DDEBF7"/>
            <w:vAlign w:val="center"/>
          </w:tcPr>
          <w:p w:rsidR="00835A5B" w:rsidRDefault="00835A5B" w:rsidP="009E6EEF">
            <w:pPr>
              <w:spacing w:after="0" w:line="240" w:lineRule="auto"/>
              <w:jc w:val="center"/>
              <w:rPr>
                <w:rFonts w:ascii="Calibri" w:eastAsia="Times New Roman" w:hAnsi="Calibri" w:cs="Calibri"/>
                <w:b/>
                <w:color w:val="000000"/>
                <w:sz w:val="16"/>
                <w:szCs w:val="16"/>
                <w:lang w:eastAsia="es-CR"/>
              </w:rPr>
            </w:pPr>
          </w:p>
        </w:tc>
        <w:tc>
          <w:tcPr>
            <w:tcW w:w="1377" w:type="dxa"/>
            <w:tcBorders>
              <w:top w:val="single" w:sz="4" w:space="0" w:color="auto"/>
              <w:left w:val="single" w:sz="4" w:space="0" w:color="auto"/>
              <w:bottom w:val="single" w:sz="4" w:space="0" w:color="auto"/>
              <w:right w:val="single" w:sz="4" w:space="0" w:color="auto"/>
            </w:tcBorders>
            <w:shd w:val="clear" w:color="000000" w:fill="DDEBF7"/>
            <w:vAlign w:val="center"/>
          </w:tcPr>
          <w:p w:rsidR="00835A5B" w:rsidRPr="002071B0" w:rsidRDefault="00835A5B"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07h00 hasta 22h00</w:t>
            </w:r>
          </w:p>
        </w:tc>
        <w:tc>
          <w:tcPr>
            <w:tcW w:w="1195" w:type="dxa"/>
            <w:tcBorders>
              <w:top w:val="single" w:sz="4" w:space="0" w:color="auto"/>
              <w:left w:val="single" w:sz="4" w:space="0" w:color="auto"/>
              <w:bottom w:val="single" w:sz="4" w:space="0" w:color="auto"/>
              <w:right w:val="single" w:sz="4" w:space="0" w:color="auto"/>
            </w:tcBorders>
            <w:shd w:val="clear" w:color="000000" w:fill="DDEBF7"/>
            <w:vAlign w:val="center"/>
          </w:tcPr>
          <w:p w:rsidR="00835A5B" w:rsidRPr="002071B0" w:rsidRDefault="00835A5B"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22h00 hasta 07h00</w:t>
            </w:r>
          </w:p>
        </w:tc>
        <w:tc>
          <w:tcPr>
            <w:tcW w:w="1985" w:type="dxa"/>
            <w:vMerge/>
            <w:tcBorders>
              <w:left w:val="single" w:sz="4" w:space="0" w:color="auto"/>
              <w:bottom w:val="single" w:sz="4" w:space="0" w:color="auto"/>
              <w:right w:val="single" w:sz="4" w:space="0" w:color="auto"/>
            </w:tcBorders>
            <w:shd w:val="clear" w:color="000000" w:fill="DDEBF7"/>
            <w:vAlign w:val="center"/>
          </w:tcPr>
          <w:p w:rsidR="00835A5B" w:rsidRDefault="00835A5B" w:rsidP="009E6EEF">
            <w:pPr>
              <w:spacing w:after="0" w:line="240" w:lineRule="auto"/>
              <w:jc w:val="center"/>
              <w:rPr>
                <w:rFonts w:ascii="Calibri" w:eastAsia="Times New Roman" w:hAnsi="Calibri" w:cs="Calibri"/>
                <w:b/>
                <w:color w:val="000000"/>
                <w:sz w:val="16"/>
                <w:szCs w:val="16"/>
                <w:lang w:eastAsia="es-CR"/>
              </w:rPr>
            </w:pP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835A5B" w:rsidRPr="00CE6C82" w:rsidRDefault="00835A5B" w:rsidP="009E6EEF">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EL ORO</w:t>
            </w:r>
          </w:p>
        </w:tc>
        <w:tc>
          <w:tcPr>
            <w:tcW w:w="1113" w:type="dxa"/>
            <w:vMerge w:val="restart"/>
            <w:tcBorders>
              <w:top w:val="single" w:sz="4" w:space="0" w:color="auto"/>
              <w:left w:val="single" w:sz="4" w:space="0" w:color="auto"/>
              <w:right w:val="single" w:sz="4" w:space="0" w:color="auto"/>
            </w:tcBorders>
            <w:vAlign w:val="center"/>
          </w:tcPr>
          <w:p w:rsidR="00835A5B" w:rsidRPr="00CE6C82" w:rsidRDefault="00835A5B" w:rsidP="009E6EEF">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4,576</w:t>
            </w:r>
          </w:p>
        </w:tc>
        <w:tc>
          <w:tcPr>
            <w:tcW w:w="1377" w:type="dxa"/>
            <w:vMerge w:val="restart"/>
            <w:tcBorders>
              <w:top w:val="single" w:sz="4" w:space="0" w:color="auto"/>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0,061</w:t>
            </w:r>
          </w:p>
        </w:tc>
        <w:tc>
          <w:tcPr>
            <w:tcW w:w="1195" w:type="dxa"/>
            <w:vMerge w:val="restart"/>
            <w:tcBorders>
              <w:top w:val="single" w:sz="4" w:space="0" w:color="auto"/>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0,049</w:t>
            </w:r>
          </w:p>
        </w:tc>
        <w:tc>
          <w:tcPr>
            <w:tcW w:w="1985" w:type="dxa"/>
            <w:vMerge w:val="restart"/>
            <w:tcBorders>
              <w:top w:val="single" w:sz="4" w:space="0" w:color="auto"/>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1,414</w:t>
            </w: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835A5B" w:rsidRPr="00CE6C82" w:rsidRDefault="00835A5B" w:rsidP="009E6EEF">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ESMERALDAS</w:t>
            </w:r>
          </w:p>
        </w:tc>
        <w:tc>
          <w:tcPr>
            <w:tcW w:w="1113" w:type="dxa"/>
            <w:vMerge/>
            <w:tcBorders>
              <w:left w:val="single" w:sz="4" w:space="0" w:color="auto"/>
              <w:right w:val="single" w:sz="4" w:space="0" w:color="auto"/>
            </w:tcBorders>
            <w:vAlign w:val="center"/>
          </w:tcPr>
          <w:p w:rsidR="00835A5B" w:rsidRPr="00CE6C82" w:rsidRDefault="00835A5B" w:rsidP="009E6EEF">
            <w:pPr>
              <w:spacing w:after="0" w:line="240" w:lineRule="auto"/>
              <w:jc w:val="center"/>
              <w:rPr>
                <w:rFonts w:ascii="Calibri" w:eastAsia="Times New Roman" w:hAnsi="Calibri" w:cs="Calibri"/>
                <w:bCs/>
                <w:color w:val="000000"/>
                <w:sz w:val="16"/>
                <w:szCs w:val="16"/>
                <w:lang w:eastAsia="es-CR"/>
              </w:rPr>
            </w:pPr>
          </w:p>
        </w:tc>
        <w:tc>
          <w:tcPr>
            <w:tcW w:w="1377"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19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98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835A5B" w:rsidRPr="00CE6C82" w:rsidRDefault="00835A5B" w:rsidP="009E6EEF">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GUAYAS LOS RÍOS</w:t>
            </w:r>
          </w:p>
        </w:tc>
        <w:tc>
          <w:tcPr>
            <w:tcW w:w="1113" w:type="dxa"/>
            <w:vMerge/>
            <w:tcBorders>
              <w:left w:val="single" w:sz="4" w:space="0" w:color="auto"/>
              <w:right w:val="single" w:sz="4" w:space="0" w:color="auto"/>
            </w:tcBorders>
            <w:vAlign w:val="center"/>
          </w:tcPr>
          <w:p w:rsidR="00835A5B" w:rsidRPr="00CE6C82" w:rsidRDefault="00835A5B" w:rsidP="009E6EEF">
            <w:pPr>
              <w:spacing w:after="0" w:line="240" w:lineRule="auto"/>
              <w:jc w:val="center"/>
              <w:rPr>
                <w:rFonts w:ascii="Calibri" w:eastAsia="Times New Roman" w:hAnsi="Calibri" w:cs="Calibri"/>
                <w:bCs/>
                <w:color w:val="000000"/>
                <w:sz w:val="16"/>
                <w:szCs w:val="16"/>
                <w:lang w:eastAsia="es-CR"/>
              </w:rPr>
            </w:pPr>
          </w:p>
        </w:tc>
        <w:tc>
          <w:tcPr>
            <w:tcW w:w="1377"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19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98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835A5B" w:rsidRPr="00CE6C82" w:rsidRDefault="00835A5B" w:rsidP="009E6EEF">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MANABÍ</w:t>
            </w:r>
          </w:p>
        </w:tc>
        <w:tc>
          <w:tcPr>
            <w:tcW w:w="1113" w:type="dxa"/>
            <w:vMerge/>
            <w:tcBorders>
              <w:left w:val="single" w:sz="4" w:space="0" w:color="auto"/>
              <w:right w:val="single" w:sz="4" w:space="0" w:color="auto"/>
            </w:tcBorders>
            <w:vAlign w:val="center"/>
          </w:tcPr>
          <w:p w:rsidR="00835A5B" w:rsidRPr="00CE6C82" w:rsidRDefault="00835A5B" w:rsidP="009E6EEF">
            <w:pPr>
              <w:spacing w:after="0" w:line="240" w:lineRule="auto"/>
              <w:jc w:val="center"/>
              <w:rPr>
                <w:rFonts w:ascii="Calibri" w:eastAsia="Times New Roman" w:hAnsi="Calibri" w:cs="Calibri"/>
                <w:bCs/>
                <w:color w:val="000000"/>
                <w:sz w:val="16"/>
                <w:szCs w:val="16"/>
                <w:lang w:eastAsia="es-CR"/>
              </w:rPr>
            </w:pPr>
          </w:p>
        </w:tc>
        <w:tc>
          <w:tcPr>
            <w:tcW w:w="1377"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19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98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835A5B" w:rsidRPr="00CE6C82" w:rsidRDefault="00835A5B" w:rsidP="009E6EEF">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MILAGRO</w:t>
            </w:r>
          </w:p>
        </w:tc>
        <w:tc>
          <w:tcPr>
            <w:tcW w:w="1113" w:type="dxa"/>
            <w:vMerge/>
            <w:tcBorders>
              <w:left w:val="single" w:sz="4" w:space="0" w:color="auto"/>
              <w:right w:val="single" w:sz="4" w:space="0" w:color="auto"/>
            </w:tcBorders>
            <w:vAlign w:val="center"/>
          </w:tcPr>
          <w:p w:rsidR="00835A5B" w:rsidRPr="00CE6C82" w:rsidRDefault="00835A5B" w:rsidP="009E6EEF">
            <w:pPr>
              <w:spacing w:after="0" w:line="240" w:lineRule="auto"/>
              <w:jc w:val="center"/>
              <w:rPr>
                <w:rFonts w:ascii="Calibri" w:eastAsia="Times New Roman" w:hAnsi="Calibri" w:cs="Calibri"/>
                <w:bCs/>
                <w:color w:val="000000"/>
                <w:sz w:val="16"/>
                <w:szCs w:val="16"/>
                <w:lang w:eastAsia="es-CR"/>
              </w:rPr>
            </w:pPr>
          </w:p>
        </w:tc>
        <w:tc>
          <w:tcPr>
            <w:tcW w:w="1377"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19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98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835A5B" w:rsidRPr="00CE6C82" w:rsidRDefault="00835A5B" w:rsidP="009E6EEF">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SANTA ELENA</w:t>
            </w:r>
          </w:p>
        </w:tc>
        <w:tc>
          <w:tcPr>
            <w:tcW w:w="1113" w:type="dxa"/>
            <w:vMerge/>
            <w:tcBorders>
              <w:left w:val="single" w:sz="4" w:space="0" w:color="auto"/>
              <w:right w:val="single" w:sz="4" w:space="0" w:color="auto"/>
            </w:tcBorders>
            <w:vAlign w:val="center"/>
          </w:tcPr>
          <w:p w:rsidR="00835A5B" w:rsidRPr="00CE6C82" w:rsidRDefault="00835A5B" w:rsidP="009E6EEF">
            <w:pPr>
              <w:spacing w:after="0" w:line="240" w:lineRule="auto"/>
              <w:jc w:val="center"/>
              <w:rPr>
                <w:rFonts w:ascii="Calibri" w:eastAsia="Times New Roman" w:hAnsi="Calibri" w:cs="Calibri"/>
                <w:bCs/>
                <w:color w:val="000000"/>
                <w:sz w:val="16"/>
                <w:szCs w:val="16"/>
                <w:lang w:eastAsia="es-CR"/>
              </w:rPr>
            </w:pPr>
          </w:p>
        </w:tc>
        <w:tc>
          <w:tcPr>
            <w:tcW w:w="1377"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19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985" w:type="dxa"/>
            <w:vMerge/>
            <w:tcBorders>
              <w:left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835A5B" w:rsidRPr="00CE6C82" w:rsidRDefault="00835A5B" w:rsidP="009E6EEF">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SANTO DOMINGO</w:t>
            </w:r>
          </w:p>
        </w:tc>
        <w:tc>
          <w:tcPr>
            <w:tcW w:w="1113" w:type="dxa"/>
            <w:vMerge/>
            <w:tcBorders>
              <w:left w:val="single" w:sz="4" w:space="0" w:color="auto"/>
              <w:bottom w:val="single" w:sz="4" w:space="0" w:color="auto"/>
              <w:right w:val="single" w:sz="4" w:space="0" w:color="auto"/>
            </w:tcBorders>
            <w:vAlign w:val="center"/>
          </w:tcPr>
          <w:p w:rsidR="00835A5B" w:rsidRPr="00CE6C82" w:rsidRDefault="00835A5B" w:rsidP="009E6EEF">
            <w:pPr>
              <w:spacing w:after="0" w:line="240" w:lineRule="auto"/>
              <w:jc w:val="center"/>
              <w:rPr>
                <w:rFonts w:ascii="Calibri" w:eastAsia="Times New Roman" w:hAnsi="Calibri" w:cs="Calibri"/>
                <w:bCs/>
                <w:color w:val="000000"/>
                <w:sz w:val="16"/>
                <w:szCs w:val="16"/>
                <w:lang w:eastAsia="es-CR"/>
              </w:rPr>
            </w:pPr>
          </w:p>
        </w:tc>
        <w:tc>
          <w:tcPr>
            <w:tcW w:w="1377" w:type="dxa"/>
            <w:vMerge/>
            <w:tcBorders>
              <w:left w:val="single" w:sz="4" w:space="0" w:color="auto"/>
              <w:bottom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195" w:type="dxa"/>
            <w:vMerge/>
            <w:tcBorders>
              <w:left w:val="single" w:sz="4" w:space="0" w:color="auto"/>
              <w:bottom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c>
          <w:tcPr>
            <w:tcW w:w="1985" w:type="dxa"/>
            <w:vMerge/>
            <w:tcBorders>
              <w:left w:val="single" w:sz="4" w:space="0" w:color="auto"/>
              <w:bottom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p>
        </w:tc>
      </w:tr>
      <w:tr w:rsidR="00835A5B" w:rsidRPr="00814E69" w:rsidTr="00835A5B">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tcPr>
          <w:p w:rsidR="00835A5B" w:rsidRPr="00CE6C82" w:rsidRDefault="00835A5B" w:rsidP="00835A5B">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GUAYAQUIL</w:t>
            </w:r>
          </w:p>
        </w:tc>
        <w:tc>
          <w:tcPr>
            <w:tcW w:w="1113" w:type="dxa"/>
            <w:tcBorders>
              <w:top w:val="single" w:sz="4" w:space="0" w:color="auto"/>
              <w:left w:val="single" w:sz="4" w:space="0" w:color="auto"/>
              <w:bottom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4,003</w:t>
            </w:r>
          </w:p>
        </w:tc>
        <w:tc>
          <w:tcPr>
            <w:tcW w:w="1377" w:type="dxa"/>
            <w:tcBorders>
              <w:top w:val="single" w:sz="4" w:space="0" w:color="auto"/>
              <w:left w:val="single" w:sz="4" w:space="0" w:color="auto"/>
              <w:bottom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0,052</w:t>
            </w:r>
          </w:p>
        </w:tc>
        <w:tc>
          <w:tcPr>
            <w:tcW w:w="1195" w:type="dxa"/>
            <w:tcBorders>
              <w:top w:val="single" w:sz="4" w:space="0" w:color="auto"/>
              <w:left w:val="single" w:sz="4" w:space="0" w:color="auto"/>
              <w:bottom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0,042</w:t>
            </w:r>
          </w:p>
        </w:tc>
        <w:tc>
          <w:tcPr>
            <w:tcW w:w="1985" w:type="dxa"/>
            <w:tcBorders>
              <w:top w:val="single" w:sz="4" w:space="0" w:color="auto"/>
              <w:left w:val="single" w:sz="4" w:space="0" w:color="auto"/>
              <w:bottom w:val="single" w:sz="4" w:space="0" w:color="auto"/>
              <w:right w:val="single" w:sz="4" w:space="0" w:color="auto"/>
            </w:tcBorders>
            <w:vAlign w:val="center"/>
          </w:tcPr>
          <w:p w:rsidR="00835A5B" w:rsidRPr="00CE6C82" w:rsidRDefault="00835A5B" w:rsidP="00835A5B">
            <w:pPr>
              <w:spacing w:after="0" w:line="240" w:lineRule="auto"/>
              <w:jc w:val="center"/>
              <w:rPr>
                <w:rFonts w:ascii="Calibri" w:eastAsia="Times New Roman" w:hAnsi="Calibri" w:cs="Calibri"/>
                <w:bCs/>
                <w:color w:val="000000"/>
                <w:sz w:val="16"/>
                <w:szCs w:val="16"/>
                <w:lang w:eastAsia="es-CR"/>
              </w:rPr>
            </w:pPr>
            <w:r>
              <w:rPr>
                <w:rFonts w:ascii="Calibri" w:eastAsia="Times New Roman" w:hAnsi="Calibri" w:cs="Calibri"/>
                <w:bCs/>
                <w:color w:val="000000"/>
                <w:sz w:val="16"/>
                <w:szCs w:val="16"/>
                <w:lang w:eastAsia="es-CR"/>
              </w:rPr>
              <w:t>0</w:t>
            </w:r>
          </w:p>
        </w:tc>
      </w:tr>
    </w:tbl>
    <w:p w:rsidR="00835A5B" w:rsidRDefault="00292463" w:rsidP="00835A5B">
      <w:pPr>
        <w:jc w:val="both"/>
        <w:rPr>
          <w:lang w:val="es-CL"/>
        </w:rPr>
      </w:pPr>
      <w:r>
        <w:rPr>
          <w:lang w:val="es-CL"/>
        </w:rPr>
        <w:t>Con estos antecedentes, considerando el modelo de demanda por hectárea la proyección de ingresos por venta de energía (facturación) se resumen en la siguiente gráfica:</w:t>
      </w:r>
    </w:p>
    <w:p w:rsidR="00292463" w:rsidRDefault="00292463" w:rsidP="00835A5B">
      <w:pPr>
        <w:jc w:val="both"/>
        <w:rPr>
          <w:lang w:val="es-CL"/>
        </w:rPr>
      </w:pPr>
    </w:p>
    <w:p w:rsidR="00AF065F" w:rsidRDefault="00AF065F" w:rsidP="00835A5B">
      <w:pPr>
        <w:jc w:val="both"/>
        <w:rPr>
          <w:lang w:val="es-CL"/>
        </w:rPr>
      </w:pPr>
    </w:p>
    <w:p w:rsidR="00292463" w:rsidRDefault="00292463" w:rsidP="00292463">
      <w:pPr>
        <w:jc w:val="center"/>
        <w:rPr>
          <w:lang w:val="es-CL"/>
        </w:rPr>
      </w:pPr>
      <w:r>
        <w:rPr>
          <w:noProof/>
          <w:lang w:val="en-US"/>
        </w:rPr>
        <w:drawing>
          <wp:inline distT="0" distB="0" distL="0" distR="0" wp14:anchorId="41B075A1">
            <wp:extent cx="5674618" cy="1707966"/>
            <wp:effectExtent l="0" t="0" r="2540" b="698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129" cy="1720159"/>
                    </a:xfrm>
                    <a:prstGeom prst="rect">
                      <a:avLst/>
                    </a:prstGeom>
                    <a:noFill/>
                  </pic:spPr>
                </pic:pic>
              </a:graphicData>
            </a:graphic>
          </wp:inline>
        </w:drawing>
      </w:r>
    </w:p>
    <w:p w:rsidR="00292463" w:rsidRDefault="00292463" w:rsidP="00835A5B">
      <w:pPr>
        <w:jc w:val="both"/>
        <w:rPr>
          <w:lang w:val="es-CL"/>
        </w:rPr>
      </w:pPr>
      <w:r w:rsidRPr="00292463">
        <w:rPr>
          <w:b/>
          <w:lang w:val="es-CL"/>
        </w:rPr>
        <w:t>Figura 27</w:t>
      </w:r>
      <w:r>
        <w:rPr>
          <w:lang w:val="es-CL"/>
        </w:rPr>
        <w:t>. Proyección Ingresos por Venta de Energía. Se observa el efecto de asumir conservadoramente que los camaroneros se incorporan de forma gradual durante la primera década de operación de los proyectos evaluados.</w:t>
      </w:r>
    </w:p>
    <w:p w:rsidR="00292463" w:rsidRDefault="00292463" w:rsidP="00835A5B">
      <w:pPr>
        <w:jc w:val="both"/>
        <w:rPr>
          <w:lang w:val="es-CL"/>
        </w:rPr>
      </w:pPr>
    </w:p>
    <w:p w:rsidR="00AF065F" w:rsidRDefault="00AF065F" w:rsidP="00835A5B">
      <w:pPr>
        <w:jc w:val="both"/>
        <w:rPr>
          <w:lang w:val="es-CL"/>
        </w:rPr>
      </w:pPr>
    </w:p>
    <w:p w:rsidR="00292463" w:rsidRPr="00292463" w:rsidRDefault="00292463" w:rsidP="00835A5B">
      <w:pPr>
        <w:jc w:val="both"/>
        <w:rPr>
          <w:b/>
          <w:lang w:val="es-CL"/>
        </w:rPr>
      </w:pPr>
      <w:r w:rsidRPr="00292463">
        <w:rPr>
          <w:b/>
          <w:lang w:val="es-CL"/>
        </w:rPr>
        <w:t>Costos por Compra de Energía</w:t>
      </w:r>
    </w:p>
    <w:p w:rsidR="00292463" w:rsidRDefault="00EF62E4" w:rsidP="00835A5B">
      <w:pPr>
        <w:jc w:val="both"/>
        <w:rPr>
          <w:lang w:val="es-CL"/>
        </w:rPr>
      </w:pPr>
      <w:r>
        <w:rPr>
          <w:lang w:val="es-CL"/>
        </w:rPr>
        <w:t>Asumiendo que, al menos dentro de la zona de influencia de una misma EED, las bombas de agua serán prácticamente coincidentes, se considera que la demanda máxima mensual de potencia de la EED resulta ser la suma de las potencias asociadas con dicho bombeo, más la potencia de aireación asumida como constante.</w:t>
      </w:r>
    </w:p>
    <w:p w:rsidR="00EF62E4" w:rsidRDefault="00EF62E4" w:rsidP="00835A5B">
      <w:pPr>
        <w:jc w:val="both"/>
        <w:rPr>
          <w:lang w:val="es-CL"/>
        </w:rPr>
      </w:pPr>
      <w:r>
        <w:rPr>
          <w:lang w:val="es-CL"/>
        </w:rPr>
        <w:t>Esta demanda máxima, se traduce en un Cargo por Transmisión según la siguiente expresión.</w:t>
      </w:r>
    </w:p>
    <w:p w:rsidR="00EF62E4" w:rsidRDefault="00A21476" w:rsidP="00835A5B">
      <w:pPr>
        <w:jc w:val="both"/>
        <w:rPr>
          <w:lang w:val="es-CL"/>
        </w:rPr>
      </w:pPr>
      <m:oMathPara>
        <m:oMath>
          <m:r>
            <w:rPr>
              <w:rFonts w:ascii="Cambria Math" w:hAnsi="Cambria Math"/>
              <w:lang w:val="es-CL"/>
            </w:rPr>
            <m:t>Compra Potencia (</m:t>
          </m:r>
          <m:f>
            <m:fPr>
              <m:type m:val="skw"/>
              <m:ctrlPr>
                <w:rPr>
                  <w:rFonts w:ascii="Cambria Math" w:hAnsi="Cambria Math"/>
                  <w:i/>
                  <w:lang w:val="es-CL"/>
                </w:rPr>
              </m:ctrlPr>
            </m:fPr>
            <m:num>
              <m:r>
                <w:rPr>
                  <w:rFonts w:ascii="Cambria Math" w:hAnsi="Cambria Math"/>
                  <w:lang w:val="es-CL"/>
                </w:rPr>
                <m:t>US$</m:t>
              </m:r>
            </m:num>
            <m:den>
              <m:r>
                <w:rPr>
                  <w:rFonts w:ascii="Cambria Math" w:hAnsi="Cambria Math"/>
                  <w:lang w:val="es-CL"/>
                </w:rPr>
                <m:t>año i</m:t>
              </m:r>
            </m:den>
          </m:f>
          <m:r>
            <w:rPr>
              <w:rFonts w:ascii="Cambria Math" w:hAnsi="Cambria Math"/>
              <w:lang w:val="es-CL"/>
            </w:rPr>
            <m:t>)=</m:t>
          </m:r>
          <m:f>
            <m:fPr>
              <m:ctrlPr>
                <w:rPr>
                  <w:rFonts w:ascii="Cambria Math" w:hAnsi="Cambria Math"/>
                  <w:i/>
                  <w:lang w:val="es-CL"/>
                </w:rPr>
              </m:ctrlPr>
            </m:fPr>
            <m:num>
              <m:r>
                <w:rPr>
                  <w:rFonts w:ascii="Cambria Math" w:hAnsi="Cambria Math"/>
                  <w:lang w:val="es-CL"/>
                </w:rPr>
                <m:t>Dmax*H*</m:t>
              </m:r>
              <m:sSub>
                <m:sSubPr>
                  <m:ctrlPr>
                    <w:rPr>
                      <w:rFonts w:ascii="Cambria Math" w:hAnsi="Cambria Math"/>
                      <w:i/>
                      <w:lang w:val="es-CL"/>
                    </w:rPr>
                  </m:ctrlPr>
                </m:sSubPr>
                <m:e>
                  <m:r>
                    <w:rPr>
                      <w:rFonts w:ascii="Cambria Math" w:hAnsi="Cambria Math"/>
                      <w:lang w:val="es-CL"/>
                    </w:rPr>
                    <m:t>g</m:t>
                  </m:r>
                </m:e>
                <m:sub>
                  <m:r>
                    <w:rPr>
                      <w:rFonts w:ascii="Cambria Math" w:hAnsi="Cambria Math"/>
                      <w:lang w:val="es-CL"/>
                    </w:rPr>
                    <m:t>i</m:t>
                  </m:r>
                </m:sub>
              </m:sSub>
            </m:num>
            <m:den>
              <m:r>
                <w:rPr>
                  <w:rFonts w:ascii="Cambria Math" w:hAnsi="Cambria Math"/>
                  <w:lang w:val="es-CL"/>
                </w:rPr>
                <m:t>(1-Ptd)</m:t>
              </m:r>
            </m:den>
          </m:f>
          <m:r>
            <w:rPr>
              <w:rFonts w:ascii="Cambria Math" w:hAnsi="Cambria Math"/>
              <w:lang w:val="es-CL"/>
            </w:rPr>
            <m:t>*CT*12</m:t>
          </m:r>
        </m:oMath>
      </m:oMathPara>
    </w:p>
    <w:p w:rsidR="00292463" w:rsidRDefault="00A21476" w:rsidP="00835A5B">
      <w:pPr>
        <w:jc w:val="both"/>
        <w:rPr>
          <w:lang w:val="es-CL"/>
        </w:rPr>
      </w:pPr>
      <w:r>
        <w:rPr>
          <w:lang w:val="es-CL"/>
        </w:rPr>
        <w:t>Donde:</w:t>
      </w:r>
    </w:p>
    <w:p w:rsidR="00A21476" w:rsidRDefault="00A21476" w:rsidP="00A21476">
      <w:pPr>
        <w:ind w:left="708"/>
        <w:jc w:val="both"/>
        <w:rPr>
          <w:lang w:val="es-CL"/>
        </w:rPr>
      </w:pPr>
      <w:r w:rsidRPr="00A21476">
        <w:rPr>
          <w:b/>
          <w:lang w:val="es-CL"/>
        </w:rPr>
        <w:t>Dmax:</w:t>
      </w:r>
      <w:r>
        <w:rPr>
          <w:lang w:val="es-CL"/>
        </w:rPr>
        <w:t xml:space="preserve"> Demanda máxima, en kW, esperada por hectárea con aireadores y bombas trabajando simultáneamente.</w:t>
      </w:r>
    </w:p>
    <w:p w:rsidR="00A21476" w:rsidRDefault="00A21476" w:rsidP="00A21476">
      <w:pPr>
        <w:ind w:left="708"/>
        <w:jc w:val="both"/>
        <w:rPr>
          <w:lang w:val="es-CL"/>
        </w:rPr>
      </w:pPr>
      <w:r w:rsidRPr="00A21476">
        <w:rPr>
          <w:b/>
          <w:lang w:val="es-CL"/>
        </w:rPr>
        <w:t>H:</w:t>
      </w:r>
      <w:r>
        <w:rPr>
          <w:lang w:val="es-CL"/>
        </w:rPr>
        <w:t xml:space="preserve"> Suma total de las hectáreas de cultivo consideradas en estos proyectos.</w:t>
      </w:r>
    </w:p>
    <w:p w:rsidR="00A21476" w:rsidRDefault="00A21476" w:rsidP="00A21476">
      <w:pPr>
        <w:ind w:left="708"/>
        <w:jc w:val="both"/>
        <w:rPr>
          <w:lang w:val="es-CL"/>
        </w:rPr>
      </w:pPr>
      <w:r w:rsidRPr="00A21476">
        <w:rPr>
          <w:b/>
          <w:lang w:val="es-CL"/>
        </w:rPr>
        <w:t>g</w:t>
      </w:r>
      <w:r w:rsidRPr="00A21476">
        <w:rPr>
          <w:b/>
          <w:vertAlign w:val="subscript"/>
          <w:lang w:val="es-CL"/>
        </w:rPr>
        <w:t>i</w:t>
      </w:r>
      <w:r w:rsidRPr="00A21476">
        <w:rPr>
          <w:b/>
          <w:lang w:val="es-CL"/>
        </w:rPr>
        <w:t>:</w:t>
      </w:r>
      <w:r>
        <w:rPr>
          <w:lang w:val="es-CL"/>
        </w:rPr>
        <w:t xml:space="preserve"> Factor de incorporación gradual del año i.</w:t>
      </w:r>
    </w:p>
    <w:p w:rsidR="00A21476" w:rsidRDefault="00A21476" w:rsidP="00A21476">
      <w:pPr>
        <w:ind w:left="708"/>
        <w:jc w:val="both"/>
        <w:rPr>
          <w:lang w:val="es-CL"/>
        </w:rPr>
      </w:pPr>
      <w:r w:rsidRPr="00A21476">
        <w:rPr>
          <w:b/>
          <w:lang w:val="es-CL"/>
        </w:rPr>
        <w:t>Ptd:</w:t>
      </w:r>
      <w:r>
        <w:rPr>
          <w:lang w:val="es-CL"/>
        </w:rPr>
        <w:t xml:space="preserve"> Pérdidas Técnicas en Distribución de la EED correspondiente.</w:t>
      </w:r>
    </w:p>
    <w:p w:rsidR="00A21476" w:rsidRDefault="00A21476" w:rsidP="00A21476">
      <w:pPr>
        <w:ind w:left="708"/>
        <w:jc w:val="both"/>
        <w:rPr>
          <w:lang w:val="es-CL"/>
        </w:rPr>
      </w:pPr>
      <w:r w:rsidRPr="00A21476">
        <w:rPr>
          <w:b/>
          <w:lang w:val="es-CL"/>
        </w:rPr>
        <w:t>CT:</w:t>
      </w:r>
      <w:r>
        <w:rPr>
          <w:lang w:val="es-CL"/>
        </w:rPr>
        <w:t xml:space="preserve"> Cargo por transmisión (1,72 US$/kW) derivado de datos de facturación promedio a las EED´s por este concepto, según Estadísticas ARCONEL 2016.</w:t>
      </w:r>
    </w:p>
    <w:p w:rsidR="00A21476" w:rsidRDefault="00A21476" w:rsidP="00835A5B">
      <w:pPr>
        <w:jc w:val="both"/>
        <w:rPr>
          <w:lang w:val="es-CL"/>
        </w:rPr>
      </w:pPr>
    </w:p>
    <w:p w:rsidR="00835A5B" w:rsidRPr="0095537C" w:rsidRDefault="00835A5B" w:rsidP="0095537C">
      <w:pPr>
        <w:jc w:val="both"/>
        <w:rPr>
          <w:lang w:val="es-CL"/>
        </w:rPr>
      </w:pPr>
    </w:p>
    <w:p w:rsidR="0095537C" w:rsidRDefault="0095537C" w:rsidP="00F56913">
      <w:pPr>
        <w:jc w:val="both"/>
        <w:rPr>
          <w:lang w:val="es-CL"/>
        </w:rPr>
      </w:pPr>
    </w:p>
    <w:p w:rsidR="00A5258B" w:rsidRDefault="00A5258B" w:rsidP="00F56913">
      <w:pPr>
        <w:jc w:val="both"/>
        <w:rPr>
          <w:lang w:val="es-CL"/>
        </w:rPr>
      </w:pPr>
      <w:r>
        <w:rPr>
          <w:lang w:val="es-CL"/>
        </w:rPr>
        <w:t xml:space="preserve">Por otra parte, la demanda por </w:t>
      </w:r>
      <w:r w:rsidR="00963AAB">
        <w:rPr>
          <w:lang w:val="es-CL"/>
        </w:rPr>
        <w:t>energía</w:t>
      </w:r>
      <w:r>
        <w:rPr>
          <w:lang w:val="es-CL"/>
        </w:rPr>
        <w:t xml:space="preserve"> se traduce en un cargo </w:t>
      </w:r>
      <w:r w:rsidR="00831281">
        <w:rPr>
          <w:lang w:val="es-CL"/>
        </w:rPr>
        <w:t>por generación estimado sobre la base de los Costos Medios de Generación (US$/kWh) proyectados por el Plan Maestro de Electricidad 2016-2025, y mantenidos constantes hasta el fin del horizonte de evaluación.</w:t>
      </w:r>
    </w:p>
    <w:p w:rsidR="00963AAB" w:rsidRDefault="00963AAB" w:rsidP="00F56913">
      <w:pPr>
        <w:jc w:val="both"/>
        <w:rPr>
          <w:lang w:val="es-CL"/>
        </w:rPr>
      </w:pPr>
    </w:p>
    <w:p w:rsidR="00831281" w:rsidRPr="00963AAB" w:rsidRDefault="00831281" w:rsidP="00F56913">
      <w:pPr>
        <w:jc w:val="both"/>
        <w:rPr>
          <w:rFonts w:eastAsiaTheme="minorEastAsia"/>
          <w:lang w:val="es-CL"/>
        </w:rPr>
      </w:pPr>
      <m:oMathPara>
        <m:oMath>
          <m:r>
            <w:rPr>
              <w:rFonts w:ascii="Cambria Math" w:hAnsi="Cambria Math"/>
              <w:lang w:val="es-CL"/>
            </w:rPr>
            <m:t>Compra Energía</m:t>
          </m:r>
          <m:d>
            <m:dPr>
              <m:ctrlPr>
                <w:rPr>
                  <w:rFonts w:ascii="Cambria Math" w:hAnsi="Cambria Math"/>
                  <w:i/>
                  <w:lang w:val="es-CL"/>
                </w:rPr>
              </m:ctrlPr>
            </m:dPr>
            <m:e>
              <m:f>
                <m:fPr>
                  <m:type m:val="skw"/>
                  <m:ctrlPr>
                    <w:rPr>
                      <w:rFonts w:ascii="Cambria Math" w:hAnsi="Cambria Math"/>
                      <w:i/>
                      <w:lang w:val="es-CL"/>
                    </w:rPr>
                  </m:ctrlPr>
                </m:fPr>
                <m:num>
                  <m:r>
                    <w:rPr>
                      <w:rFonts w:ascii="Cambria Math" w:hAnsi="Cambria Math"/>
                      <w:lang w:val="es-CL"/>
                    </w:rPr>
                    <m:t>US$</m:t>
                  </m:r>
                </m:num>
                <m:den>
                  <m:r>
                    <w:rPr>
                      <w:rFonts w:ascii="Cambria Math" w:hAnsi="Cambria Math"/>
                      <w:lang w:val="es-CL"/>
                    </w:rPr>
                    <m:t>Año i</m:t>
                  </m:r>
                </m:den>
              </m:f>
            </m:e>
          </m:d>
          <m:r>
            <w:rPr>
              <w:rFonts w:ascii="Cambria Math" w:hAnsi="Cambria Math"/>
              <w:lang w:val="es-CL"/>
            </w:rPr>
            <m:t>=</m:t>
          </m:r>
          <m:f>
            <m:fPr>
              <m:ctrlPr>
                <w:rPr>
                  <w:rFonts w:ascii="Cambria Math" w:hAnsi="Cambria Math"/>
                  <w:i/>
                  <w:lang w:val="es-CL"/>
                </w:rPr>
              </m:ctrlPr>
            </m:fPr>
            <m:num>
              <m:sSub>
                <m:sSubPr>
                  <m:ctrlPr>
                    <w:rPr>
                      <w:rFonts w:ascii="Cambria Math" w:hAnsi="Cambria Math"/>
                      <w:i/>
                      <w:lang w:val="es-CL"/>
                    </w:rPr>
                  </m:ctrlPr>
                </m:sSubPr>
                <m:e>
                  <m:r>
                    <w:rPr>
                      <w:rFonts w:ascii="Cambria Math" w:hAnsi="Cambria Math"/>
                      <w:lang w:val="es-CL"/>
                    </w:rPr>
                    <m:t>E</m:t>
                  </m:r>
                </m:e>
                <m:sub>
                  <m:r>
                    <w:rPr>
                      <w:rFonts w:ascii="Cambria Math" w:hAnsi="Cambria Math"/>
                      <w:lang w:val="es-CL"/>
                    </w:rPr>
                    <m:t>i</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g</m:t>
                  </m:r>
                </m:e>
                <m:sub>
                  <m:r>
                    <w:rPr>
                      <w:rFonts w:ascii="Cambria Math" w:hAnsi="Cambria Math"/>
                      <w:lang w:val="es-CL"/>
                    </w:rPr>
                    <m:t>i</m:t>
                  </m:r>
                </m:sub>
              </m:sSub>
            </m:num>
            <m:den>
              <m:r>
                <w:rPr>
                  <w:rFonts w:ascii="Cambria Math" w:hAnsi="Cambria Math"/>
                  <w:lang w:val="es-CL"/>
                </w:rPr>
                <m:t>(1-Ptd-Ptt)</m:t>
              </m:r>
            </m:den>
          </m:f>
          <m:r>
            <w:rPr>
              <w:rFonts w:ascii="Cambria Math" w:hAnsi="Cambria Math"/>
              <w:lang w:val="es-CL"/>
            </w:rPr>
            <m:t>*</m:t>
          </m:r>
          <m:sSub>
            <m:sSubPr>
              <m:ctrlPr>
                <w:rPr>
                  <w:rFonts w:ascii="Cambria Math" w:hAnsi="Cambria Math"/>
                  <w:i/>
                  <w:lang w:val="es-CL"/>
                </w:rPr>
              </m:ctrlPr>
            </m:sSubPr>
            <m:e>
              <m:r>
                <w:rPr>
                  <w:rFonts w:ascii="Cambria Math" w:hAnsi="Cambria Math"/>
                  <w:lang w:val="es-CL"/>
                </w:rPr>
                <m:t>CMG</m:t>
              </m:r>
            </m:e>
            <m:sub>
              <m:r>
                <w:rPr>
                  <w:rFonts w:ascii="Cambria Math" w:hAnsi="Cambria Math"/>
                  <w:lang w:val="es-CL"/>
                </w:rPr>
                <m:t>i</m:t>
              </m:r>
            </m:sub>
          </m:sSub>
        </m:oMath>
      </m:oMathPara>
    </w:p>
    <w:p w:rsidR="00963AAB" w:rsidRDefault="00963AAB" w:rsidP="00F56913">
      <w:pPr>
        <w:jc w:val="both"/>
        <w:rPr>
          <w:rFonts w:eastAsiaTheme="minorEastAsia"/>
          <w:lang w:val="es-CL"/>
        </w:rPr>
      </w:pPr>
      <w:r>
        <w:rPr>
          <w:rFonts w:eastAsiaTheme="minorEastAsia"/>
          <w:lang w:val="es-CL"/>
        </w:rPr>
        <w:t>Donde:</w:t>
      </w:r>
    </w:p>
    <w:p w:rsidR="00963AAB" w:rsidRDefault="00963AAB" w:rsidP="00963AAB">
      <w:pPr>
        <w:ind w:left="708"/>
        <w:jc w:val="both"/>
        <w:rPr>
          <w:rFonts w:eastAsiaTheme="minorEastAsia"/>
          <w:lang w:val="es-CL"/>
        </w:rPr>
      </w:pPr>
      <w:r w:rsidRPr="00963AAB">
        <w:rPr>
          <w:rFonts w:eastAsiaTheme="minorEastAsia"/>
          <w:b/>
          <w:lang w:val="es-CL"/>
        </w:rPr>
        <w:t>E</w:t>
      </w:r>
      <w:r w:rsidRPr="00963AAB">
        <w:rPr>
          <w:rFonts w:eastAsiaTheme="minorEastAsia"/>
          <w:b/>
          <w:vertAlign w:val="subscript"/>
          <w:lang w:val="es-CL"/>
        </w:rPr>
        <w:t>i</w:t>
      </w:r>
      <w:r w:rsidRPr="00963AAB">
        <w:rPr>
          <w:rFonts w:eastAsiaTheme="minorEastAsia"/>
          <w:b/>
          <w:lang w:val="es-CL"/>
        </w:rPr>
        <w:t>:</w:t>
      </w:r>
      <w:r>
        <w:rPr>
          <w:rFonts w:eastAsiaTheme="minorEastAsia"/>
          <w:lang w:val="es-CL"/>
        </w:rPr>
        <w:t xml:space="preserve"> Energía vendida a los agroindustriales en el año i</w:t>
      </w:r>
    </w:p>
    <w:p w:rsidR="00963AAB" w:rsidRDefault="00963AAB" w:rsidP="00963AAB">
      <w:pPr>
        <w:ind w:left="708"/>
        <w:jc w:val="both"/>
        <w:rPr>
          <w:lang w:val="es-CL"/>
        </w:rPr>
      </w:pPr>
      <w:r w:rsidRPr="00A21476">
        <w:rPr>
          <w:b/>
          <w:lang w:val="es-CL"/>
        </w:rPr>
        <w:t>g</w:t>
      </w:r>
      <w:r w:rsidRPr="00A21476">
        <w:rPr>
          <w:b/>
          <w:vertAlign w:val="subscript"/>
          <w:lang w:val="es-CL"/>
        </w:rPr>
        <w:t>i</w:t>
      </w:r>
      <w:r w:rsidRPr="00A21476">
        <w:rPr>
          <w:b/>
          <w:lang w:val="es-CL"/>
        </w:rPr>
        <w:t>:</w:t>
      </w:r>
      <w:r>
        <w:rPr>
          <w:lang w:val="es-CL"/>
        </w:rPr>
        <w:t xml:space="preserve"> Factor de incorporación gradual del año i.</w:t>
      </w:r>
    </w:p>
    <w:p w:rsidR="00963AAB" w:rsidRDefault="00963AAB" w:rsidP="00963AAB">
      <w:pPr>
        <w:ind w:left="708"/>
        <w:jc w:val="both"/>
        <w:rPr>
          <w:lang w:val="es-CL"/>
        </w:rPr>
      </w:pPr>
      <w:r w:rsidRPr="00A21476">
        <w:rPr>
          <w:b/>
          <w:lang w:val="es-CL"/>
        </w:rPr>
        <w:t>Ptd:</w:t>
      </w:r>
      <w:r>
        <w:rPr>
          <w:lang w:val="es-CL"/>
        </w:rPr>
        <w:t xml:space="preserve"> Pérdidas Técnicas en Distribución de la EED correspondiente.</w:t>
      </w:r>
    </w:p>
    <w:p w:rsidR="00963AAB" w:rsidRDefault="00963AAB" w:rsidP="00963AAB">
      <w:pPr>
        <w:ind w:left="708"/>
        <w:jc w:val="both"/>
        <w:rPr>
          <w:lang w:val="es-CL"/>
        </w:rPr>
      </w:pPr>
      <w:r w:rsidRPr="00963AAB">
        <w:rPr>
          <w:b/>
          <w:lang w:val="es-CL"/>
        </w:rPr>
        <w:t>Ptt:</w:t>
      </w:r>
      <w:r>
        <w:rPr>
          <w:lang w:val="es-CL"/>
        </w:rPr>
        <w:t xml:space="preserve"> Pérdidas técnicas en Transmisión</w:t>
      </w:r>
    </w:p>
    <w:p w:rsidR="00963AAB" w:rsidRDefault="00963AAB" w:rsidP="00963AAB">
      <w:pPr>
        <w:ind w:left="708"/>
        <w:jc w:val="both"/>
        <w:rPr>
          <w:lang w:val="es-CL"/>
        </w:rPr>
      </w:pPr>
      <w:r w:rsidRPr="00963AAB">
        <w:rPr>
          <w:b/>
          <w:lang w:val="es-CL"/>
        </w:rPr>
        <w:t>CMG</w:t>
      </w:r>
      <w:r w:rsidRPr="00963AAB">
        <w:rPr>
          <w:b/>
          <w:vertAlign w:val="subscript"/>
          <w:lang w:val="es-CL"/>
        </w:rPr>
        <w:t>i</w:t>
      </w:r>
      <w:r w:rsidRPr="00963AAB">
        <w:rPr>
          <w:b/>
          <w:lang w:val="es-CL"/>
        </w:rPr>
        <w:t>:</w:t>
      </w:r>
      <w:r>
        <w:rPr>
          <w:lang w:val="es-CL"/>
        </w:rPr>
        <w:t xml:space="preserve"> Costo Medio de Generación proyectado para el año i.</w:t>
      </w:r>
    </w:p>
    <w:p w:rsidR="00A5258B" w:rsidRDefault="00A5258B" w:rsidP="00F56913">
      <w:pPr>
        <w:jc w:val="both"/>
        <w:rPr>
          <w:lang w:val="es-CL"/>
        </w:rPr>
      </w:pPr>
    </w:p>
    <w:p w:rsidR="00963AAB" w:rsidRDefault="00963AAB" w:rsidP="00F56913">
      <w:pPr>
        <w:jc w:val="both"/>
        <w:rPr>
          <w:lang w:val="es-CL"/>
        </w:rPr>
      </w:pPr>
    </w:p>
    <w:p w:rsidR="00AE5F74" w:rsidRDefault="00AE5F74" w:rsidP="00F56913">
      <w:pPr>
        <w:jc w:val="both"/>
        <w:rPr>
          <w:lang w:val="es-CL"/>
        </w:rPr>
      </w:pPr>
      <w:r>
        <w:rPr>
          <w:noProof/>
          <w:lang w:val="en-US"/>
        </w:rPr>
        <w:drawing>
          <wp:inline distT="0" distB="0" distL="0" distR="0" wp14:anchorId="600DCA9A">
            <wp:extent cx="5504456" cy="1940944"/>
            <wp:effectExtent l="0" t="0" r="127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35122" cy="1951757"/>
                    </a:xfrm>
                    <a:prstGeom prst="rect">
                      <a:avLst/>
                    </a:prstGeom>
                    <a:noFill/>
                  </pic:spPr>
                </pic:pic>
              </a:graphicData>
            </a:graphic>
          </wp:inline>
        </w:drawing>
      </w:r>
    </w:p>
    <w:p w:rsidR="00AE5F74" w:rsidRDefault="00DD3DB6" w:rsidP="00F56913">
      <w:pPr>
        <w:jc w:val="both"/>
        <w:rPr>
          <w:lang w:val="es-CL"/>
        </w:rPr>
      </w:pPr>
      <w:r w:rsidRPr="00DD3DB6">
        <w:rPr>
          <w:b/>
          <w:lang w:val="es-CL"/>
        </w:rPr>
        <w:t>Figura 28</w:t>
      </w:r>
      <w:r>
        <w:rPr>
          <w:lang w:val="es-CL"/>
        </w:rPr>
        <w:t>. Proyección de Costo de Compra de Energía y Potencia. Basados en Cargo de Transmisión (US$/kW) y Costo Medio de Generación (US$/kWh).</w:t>
      </w:r>
    </w:p>
    <w:p w:rsidR="00DD3DB6" w:rsidRDefault="00DD3DB6" w:rsidP="00F56913">
      <w:pPr>
        <w:jc w:val="both"/>
        <w:rPr>
          <w:lang w:val="es-CL"/>
        </w:rPr>
      </w:pPr>
    </w:p>
    <w:p w:rsidR="00DD3DB6" w:rsidRPr="00DD3DB6" w:rsidRDefault="00DD3DB6" w:rsidP="00F56913">
      <w:pPr>
        <w:jc w:val="both"/>
        <w:rPr>
          <w:b/>
          <w:lang w:val="es-CL"/>
        </w:rPr>
      </w:pPr>
      <w:r w:rsidRPr="00DD3DB6">
        <w:rPr>
          <w:b/>
          <w:lang w:val="es-CL"/>
        </w:rPr>
        <w:t>Costos de Operación y Mantenimiento:</w:t>
      </w:r>
    </w:p>
    <w:p w:rsidR="00DD3DB6" w:rsidRDefault="00DD3DB6" w:rsidP="00F56913">
      <w:pPr>
        <w:jc w:val="both"/>
        <w:rPr>
          <w:lang w:val="es-CL"/>
        </w:rPr>
      </w:pPr>
      <w:r>
        <w:rPr>
          <w:lang w:val="es-CL"/>
        </w:rPr>
        <w:t>Obedece a los mismos supuestos empleados en proyectos de expansión y modernización del sistema nacional de distribución (SND).</w:t>
      </w:r>
    </w:p>
    <w:p w:rsidR="00DD3DB6" w:rsidRDefault="00DD3DB6" w:rsidP="00F56913">
      <w:pPr>
        <w:jc w:val="both"/>
        <w:rPr>
          <w:lang w:val="es-CL"/>
        </w:rPr>
      </w:pPr>
    </w:p>
    <w:p w:rsidR="00DD3DB6" w:rsidRDefault="00DD3DB6" w:rsidP="00DD3DB6">
      <w:pPr>
        <w:spacing w:after="0"/>
        <w:jc w:val="center"/>
        <w:rPr>
          <w:b/>
          <w:lang w:val="es-CL"/>
        </w:rPr>
      </w:pPr>
      <w:r w:rsidRPr="00CE6C82">
        <w:rPr>
          <w:b/>
          <w:lang w:val="es-CL"/>
        </w:rPr>
        <w:t>Tabla N°2</w:t>
      </w:r>
      <w:r>
        <w:rPr>
          <w:b/>
          <w:lang w:val="es-CL"/>
        </w:rPr>
        <w:t>7</w:t>
      </w:r>
      <w:r w:rsidRPr="00CE6C82">
        <w:rPr>
          <w:b/>
          <w:lang w:val="es-CL"/>
        </w:rPr>
        <w:t xml:space="preserve"> </w:t>
      </w:r>
      <w:r>
        <w:rPr>
          <w:b/>
          <w:lang w:val="es-CL"/>
        </w:rPr>
        <w:t>Resultados Evaluación Financiera</w:t>
      </w:r>
    </w:p>
    <w:p w:rsidR="00DD3DB6" w:rsidRPr="002071B0" w:rsidRDefault="00DD3DB6" w:rsidP="00DD3DB6">
      <w:pPr>
        <w:spacing w:after="0"/>
        <w:jc w:val="center"/>
        <w:rPr>
          <w:b/>
          <w:lang w:val="es-CL"/>
        </w:rPr>
      </w:pPr>
      <w:r w:rsidRPr="00CE6C82">
        <w:rPr>
          <w:b/>
          <w:lang w:val="es-CL"/>
        </w:rPr>
        <w:t>Proyectos de Distribución para abastecer la Agroindustria</w:t>
      </w:r>
    </w:p>
    <w:tbl>
      <w:tblPr>
        <w:tblW w:w="6091" w:type="dxa"/>
        <w:jc w:val="center"/>
        <w:tblCellMar>
          <w:top w:w="15" w:type="dxa"/>
          <w:left w:w="70" w:type="dxa"/>
          <w:bottom w:w="15" w:type="dxa"/>
          <w:right w:w="70" w:type="dxa"/>
        </w:tblCellMar>
        <w:tblLook w:val="04A0" w:firstRow="1" w:lastRow="0" w:firstColumn="1" w:lastColumn="0" w:noHBand="0" w:noVBand="1"/>
      </w:tblPr>
      <w:tblGrid>
        <w:gridCol w:w="1980"/>
        <w:gridCol w:w="1134"/>
        <w:gridCol w:w="1417"/>
        <w:gridCol w:w="1560"/>
      </w:tblGrid>
      <w:tr w:rsidR="00DD3DB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shd w:val="clear" w:color="000000" w:fill="DDEBF7"/>
            <w:noWrap/>
            <w:vAlign w:val="center"/>
          </w:tcPr>
          <w:p w:rsidR="00DD3DB6" w:rsidRPr="00814E69" w:rsidRDefault="00DD3DB6" w:rsidP="009E6EEF">
            <w:pPr>
              <w:spacing w:after="0" w:line="240" w:lineRule="auto"/>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Distribuidora</w:t>
            </w:r>
          </w:p>
        </w:tc>
        <w:tc>
          <w:tcPr>
            <w:tcW w:w="1134" w:type="dxa"/>
            <w:tcBorders>
              <w:top w:val="single" w:sz="4" w:space="0" w:color="auto"/>
              <w:left w:val="single" w:sz="4" w:space="0" w:color="auto"/>
              <w:bottom w:val="single" w:sz="4" w:space="0" w:color="auto"/>
              <w:right w:val="single" w:sz="4" w:space="0" w:color="auto"/>
            </w:tcBorders>
            <w:shd w:val="clear" w:color="000000" w:fill="DDEBF7"/>
            <w:vAlign w:val="center"/>
          </w:tcPr>
          <w:p w:rsidR="00DD3DB6" w:rsidRPr="002071B0" w:rsidRDefault="00DD3DB6"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Inversión (US$)</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rsidR="00DD3DB6" w:rsidRPr="002071B0" w:rsidRDefault="00DD3DB6"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VAN F (US$)</w:t>
            </w:r>
          </w:p>
        </w:tc>
        <w:tc>
          <w:tcPr>
            <w:tcW w:w="1560" w:type="dxa"/>
            <w:tcBorders>
              <w:top w:val="single" w:sz="4" w:space="0" w:color="auto"/>
              <w:left w:val="single" w:sz="4" w:space="0" w:color="auto"/>
              <w:bottom w:val="single" w:sz="4" w:space="0" w:color="auto"/>
              <w:right w:val="single" w:sz="4" w:space="0" w:color="auto"/>
            </w:tcBorders>
            <w:shd w:val="clear" w:color="000000" w:fill="DDEBF7"/>
            <w:vAlign w:val="center"/>
          </w:tcPr>
          <w:p w:rsidR="00DD3DB6" w:rsidRPr="002071B0" w:rsidRDefault="00DD3DB6" w:rsidP="009E6EEF">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TIR F</w:t>
            </w:r>
          </w:p>
        </w:tc>
      </w:tr>
      <w:tr w:rsidR="0019236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192366" w:rsidRPr="00CE6C82" w:rsidRDefault="00192366" w:rsidP="0019236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EL ORO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192366" w:rsidRPr="00CE6C82" w:rsidRDefault="00192366" w:rsidP="0019236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3.744.850,8 </w:t>
            </w:r>
          </w:p>
        </w:tc>
        <w:tc>
          <w:tcPr>
            <w:tcW w:w="1417" w:type="dxa"/>
            <w:tcBorders>
              <w:top w:val="single" w:sz="4" w:space="0" w:color="auto"/>
              <w:left w:val="nil"/>
              <w:bottom w:val="single" w:sz="4" w:space="0" w:color="auto"/>
              <w:right w:val="single" w:sz="4" w:space="0" w:color="auto"/>
            </w:tcBorders>
            <w:vAlign w:val="center"/>
          </w:tcPr>
          <w:p w:rsidR="00192366" w:rsidRPr="00F97356" w:rsidRDefault="00192366" w:rsidP="00F97356">
            <w:pPr>
              <w:spacing w:after="0" w:line="240" w:lineRule="auto"/>
              <w:jc w:val="right"/>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 xml:space="preserve"> 31.657.434,3 </w:t>
            </w:r>
          </w:p>
        </w:tc>
        <w:tc>
          <w:tcPr>
            <w:tcW w:w="1560" w:type="dxa"/>
            <w:tcBorders>
              <w:top w:val="single" w:sz="4" w:space="0" w:color="auto"/>
              <w:left w:val="single" w:sz="4" w:space="0" w:color="auto"/>
              <w:bottom w:val="single" w:sz="4" w:space="0" w:color="auto"/>
              <w:right w:val="single" w:sz="4" w:space="0" w:color="auto"/>
            </w:tcBorders>
            <w:vAlign w:val="center"/>
          </w:tcPr>
          <w:p w:rsidR="00192366" w:rsidRPr="00F97356" w:rsidRDefault="00192366" w:rsidP="00F97356">
            <w:pPr>
              <w:spacing w:after="0" w:line="240" w:lineRule="auto"/>
              <w:jc w:val="center"/>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56,5%</w:t>
            </w:r>
          </w:p>
        </w:tc>
      </w:tr>
      <w:tr w:rsidR="0019236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192366" w:rsidRPr="00CE6C82" w:rsidRDefault="00192366" w:rsidP="0019236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ESMERALDAS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192366" w:rsidRPr="00CE6C82" w:rsidRDefault="00192366" w:rsidP="0019236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2.064.505,8 </w:t>
            </w:r>
          </w:p>
        </w:tc>
        <w:tc>
          <w:tcPr>
            <w:tcW w:w="1417" w:type="dxa"/>
            <w:tcBorders>
              <w:top w:val="single" w:sz="4" w:space="0" w:color="auto"/>
              <w:left w:val="nil"/>
              <w:bottom w:val="single" w:sz="4" w:space="0" w:color="auto"/>
              <w:right w:val="single" w:sz="4" w:space="0" w:color="auto"/>
            </w:tcBorders>
            <w:vAlign w:val="center"/>
          </w:tcPr>
          <w:p w:rsidR="00192366" w:rsidRPr="00F97356" w:rsidRDefault="00192366" w:rsidP="00F97356">
            <w:pPr>
              <w:spacing w:after="0" w:line="240" w:lineRule="auto"/>
              <w:jc w:val="right"/>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 xml:space="preserve"> 1.197.062,2 </w:t>
            </w:r>
          </w:p>
        </w:tc>
        <w:tc>
          <w:tcPr>
            <w:tcW w:w="1560" w:type="dxa"/>
            <w:tcBorders>
              <w:top w:val="single" w:sz="4" w:space="0" w:color="auto"/>
              <w:left w:val="single" w:sz="4" w:space="0" w:color="auto"/>
              <w:bottom w:val="single" w:sz="4" w:space="0" w:color="auto"/>
              <w:right w:val="single" w:sz="4" w:space="0" w:color="auto"/>
            </w:tcBorders>
            <w:vAlign w:val="center"/>
          </w:tcPr>
          <w:p w:rsidR="00192366" w:rsidRPr="00F97356" w:rsidRDefault="00192366" w:rsidP="00F97356">
            <w:pPr>
              <w:spacing w:after="0" w:line="240" w:lineRule="auto"/>
              <w:jc w:val="center"/>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17,3%</w:t>
            </w:r>
          </w:p>
        </w:tc>
      </w:tr>
      <w:tr w:rsidR="0019236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192366" w:rsidRPr="00CE6C82" w:rsidRDefault="00192366" w:rsidP="0019236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GUAYAQUIL</w:t>
            </w:r>
          </w:p>
        </w:tc>
        <w:tc>
          <w:tcPr>
            <w:tcW w:w="1134" w:type="dxa"/>
            <w:tcBorders>
              <w:top w:val="single" w:sz="4" w:space="0" w:color="auto"/>
              <w:left w:val="single" w:sz="4" w:space="0" w:color="auto"/>
              <w:bottom w:val="single" w:sz="4" w:space="0" w:color="auto"/>
              <w:right w:val="single" w:sz="4" w:space="0" w:color="auto"/>
            </w:tcBorders>
            <w:vAlign w:val="center"/>
            <w:hideMark/>
          </w:tcPr>
          <w:p w:rsidR="00192366" w:rsidRPr="00CE6C82" w:rsidRDefault="00192366" w:rsidP="0019236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3.099.164,6 </w:t>
            </w:r>
          </w:p>
        </w:tc>
        <w:tc>
          <w:tcPr>
            <w:tcW w:w="1417" w:type="dxa"/>
            <w:tcBorders>
              <w:top w:val="single" w:sz="4" w:space="0" w:color="auto"/>
              <w:left w:val="nil"/>
              <w:bottom w:val="single" w:sz="4" w:space="0" w:color="auto"/>
              <w:right w:val="single" w:sz="4" w:space="0" w:color="auto"/>
            </w:tcBorders>
            <w:vAlign w:val="center"/>
          </w:tcPr>
          <w:p w:rsidR="00192366" w:rsidRPr="00F97356" w:rsidRDefault="00192366" w:rsidP="00F97356">
            <w:pPr>
              <w:spacing w:after="0" w:line="240" w:lineRule="auto"/>
              <w:jc w:val="right"/>
              <w:rPr>
                <w:rFonts w:ascii="Calibri" w:eastAsia="Times New Roman" w:hAnsi="Calibri" w:cs="Calibri"/>
                <w:bCs/>
                <w:color w:val="000000"/>
                <w:sz w:val="16"/>
                <w:szCs w:val="16"/>
                <w:lang w:eastAsia="es-CR"/>
              </w:rPr>
            </w:pPr>
            <w:r w:rsidRPr="00F97356">
              <w:rPr>
                <w:rFonts w:ascii="Calibri" w:eastAsia="Times New Roman" w:hAnsi="Calibri" w:cs="Calibri"/>
                <w:bCs/>
                <w:color w:val="FF0000"/>
                <w:sz w:val="16"/>
                <w:szCs w:val="16"/>
                <w:lang w:eastAsia="es-CR"/>
              </w:rPr>
              <w:t xml:space="preserve"> -193.522,7 </w:t>
            </w:r>
          </w:p>
        </w:tc>
        <w:tc>
          <w:tcPr>
            <w:tcW w:w="1560" w:type="dxa"/>
            <w:tcBorders>
              <w:top w:val="single" w:sz="4" w:space="0" w:color="auto"/>
              <w:left w:val="single" w:sz="4" w:space="0" w:color="auto"/>
              <w:bottom w:val="single" w:sz="4" w:space="0" w:color="auto"/>
              <w:right w:val="single" w:sz="4" w:space="0" w:color="auto"/>
            </w:tcBorders>
            <w:vAlign w:val="center"/>
          </w:tcPr>
          <w:p w:rsidR="00192366" w:rsidRPr="00F97356" w:rsidRDefault="00192366" w:rsidP="00F97356">
            <w:pPr>
              <w:spacing w:after="0" w:line="240" w:lineRule="auto"/>
              <w:jc w:val="center"/>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11,3%</w:t>
            </w:r>
          </w:p>
        </w:tc>
      </w:tr>
      <w:tr w:rsidR="0019236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192366" w:rsidRPr="00CE6C82" w:rsidRDefault="00192366" w:rsidP="0019236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GUAYAS LOS RÍOS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192366" w:rsidRPr="00CE6C82" w:rsidRDefault="00192366" w:rsidP="0019236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2.278.567,5 </w:t>
            </w:r>
          </w:p>
        </w:tc>
        <w:tc>
          <w:tcPr>
            <w:tcW w:w="1417" w:type="dxa"/>
            <w:tcBorders>
              <w:top w:val="single" w:sz="4" w:space="0" w:color="auto"/>
              <w:left w:val="nil"/>
              <w:bottom w:val="single" w:sz="4" w:space="0" w:color="auto"/>
              <w:right w:val="single" w:sz="4" w:space="0" w:color="auto"/>
            </w:tcBorders>
            <w:vAlign w:val="center"/>
          </w:tcPr>
          <w:p w:rsidR="00192366" w:rsidRPr="00F97356" w:rsidRDefault="00192366" w:rsidP="00F97356">
            <w:pPr>
              <w:spacing w:after="0" w:line="240" w:lineRule="auto"/>
              <w:jc w:val="right"/>
              <w:rPr>
                <w:rFonts w:ascii="Calibri" w:eastAsia="Times New Roman" w:hAnsi="Calibri" w:cs="Calibri"/>
                <w:bCs/>
                <w:color w:val="FF0000"/>
                <w:sz w:val="16"/>
                <w:szCs w:val="16"/>
                <w:lang w:eastAsia="es-CR"/>
              </w:rPr>
            </w:pPr>
            <w:r w:rsidRPr="00F97356">
              <w:rPr>
                <w:rFonts w:ascii="Calibri" w:eastAsia="Times New Roman" w:hAnsi="Calibri" w:cs="Calibri"/>
                <w:bCs/>
                <w:color w:val="FF0000"/>
                <w:sz w:val="16"/>
                <w:szCs w:val="16"/>
                <w:lang w:eastAsia="es-CR"/>
              </w:rPr>
              <w:t xml:space="preserve"> -2.497.023,9 </w:t>
            </w:r>
          </w:p>
        </w:tc>
        <w:tc>
          <w:tcPr>
            <w:tcW w:w="1560" w:type="dxa"/>
            <w:tcBorders>
              <w:top w:val="single" w:sz="4" w:space="0" w:color="auto"/>
              <w:left w:val="single" w:sz="4" w:space="0" w:color="auto"/>
              <w:bottom w:val="single" w:sz="4" w:space="0" w:color="auto"/>
              <w:right w:val="single" w:sz="4" w:space="0" w:color="auto"/>
            </w:tcBorders>
            <w:vAlign w:val="center"/>
          </w:tcPr>
          <w:p w:rsidR="00192366" w:rsidRPr="00F97356" w:rsidRDefault="00192366" w:rsidP="00F97356">
            <w:pPr>
              <w:spacing w:after="0" w:line="240" w:lineRule="auto"/>
              <w:jc w:val="center"/>
              <w:rPr>
                <w:rFonts w:ascii="Calibri" w:eastAsia="Times New Roman" w:hAnsi="Calibri" w:cs="Calibri"/>
                <w:bCs/>
                <w:color w:val="FF0000"/>
                <w:sz w:val="16"/>
                <w:szCs w:val="16"/>
                <w:lang w:eastAsia="es-CR"/>
              </w:rPr>
            </w:pPr>
            <w:r w:rsidRPr="00F97356">
              <w:rPr>
                <w:rFonts w:ascii="Calibri" w:eastAsia="Times New Roman" w:hAnsi="Calibri" w:cs="Calibri"/>
                <w:bCs/>
                <w:color w:val="FF0000"/>
                <w:sz w:val="16"/>
                <w:szCs w:val="16"/>
                <w:lang w:eastAsia="es-CR"/>
              </w:rPr>
              <w:t>-10,8%</w:t>
            </w:r>
          </w:p>
        </w:tc>
      </w:tr>
      <w:tr w:rsidR="0019236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192366" w:rsidRPr="00CE6C82" w:rsidRDefault="00192366" w:rsidP="0019236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MANABÍ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192366" w:rsidRPr="00CE6C82" w:rsidRDefault="00192366" w:rsidP="0019236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1.768.770,4 </w:t>
            </w:r>
          </w:p>
        </w:tc>
        <w:tc>
          <w:tcPr>
            <w:tcW w:w="1417" w:type="dxa"/>
            <w:tcBorders>
              <w:top w:val="single" w:sz="4" w:space="0" w:color="auto"/>
              <w:left w:val="nil"/>
              <w:bottom w:val="single" w:sz="4" w:space="0" w:color="auto"/>
              <w:right w:val="single" w:sz="4" w:space="0" w:color="auto"/>
            </w:tcBorders>
            <w:vAlign w:val="center"/>
          </w:tcPr>
          <w:p w:rsidR="00192366" w:rsidRPr="00F97356" w:rsidRDefault="00192366" w:rsidP="00F97356">
            <w:pPr>
              <w:spacing w:after="0" w:line="240" w:lineRule="auto"/>
              <w:jc w:val="right"/>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 xml:space="preserve"> 4.852.472,2 </w:t>
            </w:r>
          </w:p>
        </w:tc>
        <w:tc>
          <w:tcPr>
            <w:tcW w:w="1560" w:type="dxa"/>
            <w:tcBorders>
              <w:top w:val="single" w:sz="4" w:space="0" w:color="auto"/>
              <w:left w:val="single" w:sz="4" w:space="0" w:color="auto"/>
              <w:bottom w:val="single" w:sz="4" w:space="0" w:color="auto"/>
              <w:right w:val="single" w:sz="4" w:space="0" w:color="auto"/>
            </w:tcBorders>
            <w:vAlign w:val="center"/>
          </w:tcPr>
          <w:p w:rsidR="00192366" w:rsidRPr="00F97356" w:rsidRDefault="00192366" w:rsidP="00F97356">
            <w:pPr>
              <w:spacing w:after="0" w:line="240" w:lineRule="auto"/>
              <w:jc w:val="center"/>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31,3%</w:t>
            </w:r>
          </w:p>
        </w:tc>
      </w:tr>
      <w:tr w:rsidR="00F9735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F97356" w:rsidRPr="00CE6C82" w:rsidRDefault="00F97356" w:rsidP="00F9735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MILAGRO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7356" w:rsidRPr="00CE6C82" w:rsidRDefault="00F97356" w:rsidP="00F9735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3.794.206,2 </w:t>
            </w:r>
          </w:p>
        </w:tc>
        <w:tc>
          <w:tcPr>
            <w:tcW w:w="1417" w:type="dxa"/>
            <w:tcBorders>
              <w:top w:val="single" w:sz="4" w:space="0" w:color="auto"/>
              <w:left w:val="nil"/>
              <w:bottom w:val="single" w:sz="4" w:space="0" w:color="auto"/>
              <w:right w:val="single" w:sz="4" w:space="0" w:color="auto"/>
            </w:tcBorders>
            <w:vAlign w:val="center"/>
          </w:tcPr>
          <w:p w:rsidR="00F97356" w:rsidRPr="00F97356" w:rsidRDefault="00F97356" w:rsidP="00F97356">
            <w:pPr>
              <w:spacing w:after="0" w:line="240" w:lineRule="auto"/>
              <w:jc w:val="right"/>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 xml:space="preserve"> 21.923.119,6 </w:t>
            </w:r>
          </w:p>
        </w:tc>
        <w:tc>
          <w:tcPr>
            <w:tcW w:w="1560" w:type="dxa"/>
            <w:tcBorders>
              <w:top w:val="single" w:sz="4" w:space="0" w:color="auto"/>
              <w:left w:val="single" w:sz="4" w:space="0" w:color="auto"/>
              <w:bottom w:val="single" w:sz="4" w:space="0" w:color="auto"/>
              <w:right w:val="single" w:sz="4" w:space="0" w:color="auto"/>
            </w:tcBorders>
            <w:vAlign w:val="center"/>
          </w:tcPr>
          <w:p w:rsidR="00F97356" w:rsidRPr="00F97356" w:rsidRDefault="00F97356" w:rsidP="00F97356">
            <w:pPr>
              <w:spacing w:after="0" w:line="240" w:lineRule="auto"/>
              <w:jc w:val="center"/>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45,7%</w:t>
            </w:r>
          </w:p>
        </w:tc>
      </w:tr>
      <w:tr w:rsidR="00F9735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F97356" w:rsidRPr="00CE6C82" w:rsidRDefault="00F97356" w:rsidP="00F9735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SANTA ELENA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7356" w:rsidRPr="00CE6C82" w:rsidRDefault="00F97356" w:rsidP="00F9735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3.857.918,8 </w:t>
            </w:r>
          </w:p>
        </w:tc>
        <w:tc>
          <w:tcPr>
            <w:tcW w:w="1417" w:type="dxa"/>
            <w:tcBorders>
              <w:top w:val="single" w:sz="4" w:space="0" w:color="auto"/>
              <w:left w:val="nil"/>
              <w:bottom w:val="single" w:sz="4" w:space="0" w:color="auto"/>
              <w:right w:val="single" w:sz="4" w:space="0" w:color="auto"/>
            </w:tcBorders>
            <w:vAlign w:val="center"/>
          </w:tcPr>
          <w:p w:rsidR="00F97356" w:rsidRPr="00F97356" w:rsidRDefault="00F97356" w:rsidP="00F97356">
            <w:pPr>
              <w:spacing w:after="0" w:line="240" w:lineRule="auto"/>
              <w:jc w:val="right"/>
              <w:rPr>
                <w:rFonts w:ascii="Calibri" w:eastAsia="Times New Roman" w:hAnsi="Calibri" w:cs="Calibri"/>
                <w:bCs/>
                <w:color w:val="FF0000"/>
                <w:sz w:val="16"/>
                <w:szCs w:val="16"/>
                <w:lang w:eastAsia="es-CR"/>
              </w:rPr>
            </w:pPr>
            <w:r w:rsidRPr="00F97356">
              <w:rPr>
                <w:rFonts w:ascii="Calibri" w:eastAsia="Times New Roman" w:hAnsi="Calibri" w:cs="Calibri"/>
                <w:bCs/>
                <w:color w:val="FF0000"/>
                <w:sz w:val="16"/>
                <w:szCs w:val="16"/>
                <w:lang w:eastAsia="es-CR"/>
              </w:rPr>
              <w:t xml:space="preserve"> -3.989.302,7 </w:t>
            </w:r>
          </w:p>
        </w:tc>
        <w:tc>
          <w:tcPr>
            <w:tcW w:w="1560" w:type="dxa"/>
            <w:tcBorders>
              <w:top w:val="single" w:sz="4" w:space="0" w:color="auto"/>
              <w:left w:val="single" w:sz="4" w:space="0" w:color="auto"/>
              <w:bottom w:val="single" w:sz="4" w:space="0" w:color="auto"/>
              <w:right w:val="single" w:sz="4" w:space="0" w:color="auto"/>
            </w:tcBorders>
            <w:vAlign w:val="center"/>
          </w:tcPr>
          <w:p w:rsidR="00F97356" w:rsidRPr="00F97356" w:rsidRDefault="00F97356" w:rsidP="00F97356">
            <w:pPr>
              <w:spacing w:after="0" w:line="240" w:lineRule="auto"/>
              <w:jc w:val="center"/>
              <w:rPr>
                <w:rFonts w:ascii="Calibri" w:eastAsia="Times New Roman" w:hAnsi="Calibri" w:cs="Calibri"/>
                <w:bCs/>
                <w:color w:val="FF0000"/>
                <w:sz w:val="16"/>
                <w:szCs w:val="16"/>
                <w:lang w:eastAsia="es-CR"/>
              </w:rPr>
            </w:pPr>
            <w:r w:rsidRPr="00F97356">
              <w:rPr>
                <w:rFonts w:ascii="Calibri" w:eastAsia="Times New Roman" w:hAnsi="Calibri" w:cs="Calibri"/>
                <w:bCs/>
                <w:color w:val="FF0000"/>
                <w:sz w:val="16"/>
                <w:szCs w:val="16"/>
                <w:lang w:eastAsia="es-CR"/>
              </w:rPr>
              <w:t>-7,1%</w:t>
            </w:r>
          </w:p>
        </w:tc>
      </w:tr>
      <w:tr w:rsidR="00F97356" w:rsidRPr="00814E69" w:rsidTr="00F97356">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F97356" w:rsidRPr="00CE6C82" w:rsidRDefault="00F97356" w:rsidP="00F97356">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SANTO DOMINGO</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7356" w:rsidRPr="00CE6C82" w:rsidRDefault="00F97356" w:rsidP="00F97356">
            <w:pPr>
              <w:spacing w:after="0" w:line="240" w:lineRule="auto"/>
              <w:jc w:val="right"/>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 xml:space="preserve"> 2.967.696,0 </w:t>
            </w:r>
          </w:p>
        </w:tc>
        <w:tc>
          <w:tcPr>
            <w:tcW w:w="1417" w:type="dxa"/>
            <w:tcBorders>
              <w:top w:val="single" w:sz="4" w:space="0" w:color="auto"/>
              <w:left w:val="nil"/>
              <w:bottom w:val="single" w:sz="4" w:space="0" w:color="auto"/>
              <w:right w:val="single" w:sz="4" w:space="0" w:color="auto"/>
            </w:tcBorders>
            <w:vAlign w:val="center"/>
          </w:tcPr>
          <w:p w:rsidR="00F97356" w:rsidRPr="00F97356" w:rsidRDefault="00F97356" w:rsidP="00F97356">
            <w:pPr>
              <w:spacing w:after="0" w:line="240" w:lineRule="auto"/>
              <w:jc w:val="right"/>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 xml:space="preserve"> 1.192.173,3 </w:t>
            </w:r>
          </w:p>
        </w:tc>
        <w:tc>
          <w:tcPr>
            <w:tcW w:w="1560" w:type="dxa"/>
            <w:tcBorders>
              <w:top w:val="single" w:sz="4" w:space="0" w:color="auto"/>
              <w:left w:val="single" w:sz="4" w:space="0" w:color="auto"/>
              <w:bottom w:val="single" w:sz="4" w:space="0" w:color="auto"/>
              <w:right w:val="single" w:sz="4" w:space="0" w:color="auto"/>
            </w:tcBorders>
            <w:vAlign w:val="center"/>
          </w:tcPr>
          <w:p w:rsidR="00F97356" w:rsidRPr="00F97356" w:rsidRDefault="00F97356" w:rsidP="00F97356">
            <w:pPr>
              <w:spacing w:after="0" w:line="240" w:lineRule="auto"/>
              <w:jc w:val="center"/>
              <w:rPr>
                <w:rFonts w:ascii="Calibri" w:eastAsia="Times New Roman" w:hAnsi="Calibri" w:cs="Calibri"/>
                <w:bCs/>
                <w:color w:val="000000"/>
                <w:sz w:val="16"/>
                <w:szCs w:val="16"/>
                <w:lang w:eastAsia="es-CR"/>
              </w:rPr>
            </w:pPr>
            <w:r w:rsidRPr="00F97356">
              <w:rPr>
                <w:rFonts w:ascii="Calibri" w:eastAsia="Times New Roman" w:hAnsi="Calibri" w:cs="Calibri"/>
                <w:bCs/>
                <w:color w:val="000000"/>
                <w:sz w:val="16"/>
                <w:szCs w:val="16"/>
                <w:lang w:eastAsia="es-CR"/>
              </w:rPr>
              <w:t>15,8%</w:t>
            </w:r>
          </w:p>
        </w:tc>
      </w:tr>
      <w:tr w:rsidR="00F97356" w:rsidRPr="00814E69" w:rsidTr="00F97356">
        <w:trPr>
          <w:trHeight w:val="275"/>
          <w:jc w:val="center"/>
        </w:trPr>
        <w:tc>
          <w:tcPr>
            <w:tcW w:w="1980" w:type="dxa"/>
            <w:tcBorders>
              <w:top w:val="single" w:sz="4" w:space="0" w:color="auto"/>
              <w:left w:val="single" w:sz="4" w:space="0" w:color="auto"/>
              <w:bottom w:val="single" w:sz="4" w:space="0" w:color="auto"/>
              <w:right w:val="single" w:sz="4" w:space="0" w:color="auto"/>
            </w:tcBorders>
            <w:shd w:val="clear" w:color="000000" w:fill="DDEBF7"/>
            <w:noWrap/>
            <w:vAlign w:val="center"/>
          </w:tcPr>
          <w:p w:rsidR="00F97356" w:rsidRPr="00CE6C82" w:rsidRDefault="00F97356" w:rsidP="00F97356">
            <w:pPr>
              <w:spacing w:after="0" w:line="240" w:lineRule="auto"/>
              <w:rPr>
                <w:rFonts w:ascii="Calibri" w:eastAsia="Times New Roman" w:hAnsi="Calibri" w:cs="Calibri"/>
                <w:b/>
                <w:bCs/>
                <w:color w:val="000000"/>
                <w:sz w:val="16"/>
                <w:szCs w:val="16"/>
                <w:lang w:eastAsia="es-CR"/>
              </w:rPr>
            </w:pPr>
            <w:r w:rsidRPr="00CE6C82">
              <w:rPr>
                <w:rFonts w:ascii="Calibri" w:eastAsia="Times New Roman" w:hAnsi="Calibri" w:cs="Calibri"/>
                <w:b/>
                <w:bCs/>
                <w:color w:val="000000"/>
                <w:sz w:val="16"/>
                <w:szCs w:val="16"/>
                <w:lang w:eastAsia="es-CR"/>
              </w:rPr>
              <w:t>TOTAL</w:t>
            </w:r>
          </w:p>
        </w:tc>
        <w:tc>
          <w:tcPr>
            <w:tcW w:w="1134" w:type="dxa"/>
            <w:tcBorders>
              <w:top w:val="single" w:sz="4" w:space="0" w:color="auto"/>
              <w:left w:val="single" w:sz="4" w:space="0" w:color="auto"/>
              <w:bottom w:val="single" w:sz="4" w:space="0" w:color="auto"/>
              <w:right w:val="single" w:sz="4" w:space="0" w:color="auto"/>
            </w:tcBorders>
            <w:shd w:val="clear" w:color="000000" w:fill="DDEBF7"/>
            <w:vAlign w:val="center"/>
          </w:tcPr>
          <w:p w:rsidR="00F97356" w:rsidRPr="00CE6C82" w:rsidRDefault="00F97356" w:rsidP="00F97356">
            <w:pPr>
              <w:spacing w:after="0" w:line="240" w:lineRule="auto"/>
              <w:jc w:val="right"/>
              <w:rPr>
                <w:rFonts w:ascii="Calibri" w:eastAsia="Times New Roman" w:hAnsi="Calibri" w:cs="Calibri"/>
                <w:b/>
                <w:bCs/>
                <w:color w:val="000000"/>
                <w:sz w:val="16"/>
                <w:szCs w:val="16"/>
                <w:lang w:eastAsia="es-CR"/>
              </w:rPr>
            </w:pPr>
            <w:r w:rsidRPr="00CE6C82">
              <w:rPr>
                <w:rFonts w:ascii="Calibri" w:eastAsia="Times New Roman" w:hAnsi="Calibri" w:cs="Calibri"/>
                <w:b/>
                <w:bCs/>
                <w:color w:val="000000"/>
                <w:sz w:val="16"/>
                <w:szCs w:val="16"/>
                <w:lang w:eastAsia="es-CR"/>
              </w:rPr>
              <w:t xml:space="preserve"> 23.575.680,0 </w:t>
            </w:r>
          </w:p>
        </w:tc>
        <w:tc>
          <w:tcPr>
            <w:tcW w:w="1417" w:type="dxa"/>
            <w:tcBorders>
              <w:top w:val="single" w:sz="4" w:space="0" w:color="auto"/>
              <w:left w:val="nil"/>
              <w:bottom w:val="single" w:sz="4" w:space="0" w:color="auto"/>
              <w:right w:val="single" w:sz="4" w:space="0" w:color="auto"/>
            </w:tcBorders>
            <w:shd w:val="clear" w:color="auto" w:fill="DEEAF6" w:themeFill="accent5" w:themeFillTint="33"/>
            <w:vAlign w:val="center"/>
          </w:tcPr>
          <w:p w:rsidR="00F97356" w:rsidRPr="00F97356" w:rsidRDefault="00F97356" w:rsidP="00F97356">
            <w:pPr>
              <w:spacing w:after="0" w:line="240" w:lineRule="auto"/>
              <w:jc w:val="right"/>
              <w:rPr>
                <w:rFonts w:ascii="Calibri" w:eastAsia="Times New Roman" w:hAnsi="Calibri" w:cs="Calibri"/>
                <w:b/>
                <w:bCs/>
                <w:color w:val="000000"/>
                <w:sz w:val="16"/>
                <w:szCs w:val="16"/>
                <w:lang w:eastAsia="es-CR"/>
              </w:rPr>
            </w:pPr>
            <w:r w:rsidRPr="00F97356">
              <w:rPr>
                <w:rFonts w:ascii="Calibri" w:eastAsia="Times New Roman" w:hAnsi="Calibri" w:cs="Calibri"/>
                <w:b/>
                <w:bCs/>
                <w:color w:val="000000"/>
                <w:sz w:val="16"/>
                <w:szCs w:val="16"/>
                <w:lang w:eastAsia="es-CR"/>
              </w:rPr>
              <w:t xml:space="preserve"> 54.142.412,4 </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7356" w:rsidRPr="00F97356" w:rsidRDefault="00F97356" w:rsidP="00F97356">
            <w:pPr>
              <w:spacing w:after="0" w:line="240" w:lineRule="auto"/>
              <w:jc w:val="center"/>
              <w:rPr>
                <w:rFonts w:ascii="Calibri" w:eastAsia="Times New Roman" w:hAnsi="Calibri" w:cs="Calibri"/>
                <w:b/>
                <w:bCs/>
                <w:color w:val="000000"/>
                <w:sz w:val="16"/>
                <w:szCs w:val="16"/>
                <w:lang w:eastAsia="es-CR"/>
              </w:rPr>
            </w:pPr>
            <w:r w:rsidRPr="00F97356">
              <w:rPr>
                <w:rFonts w:ascii="Calibri" w:eastAsia="Times New Roman" w:hAnsi="Calibri" w:cs="Calibri"/>
                <w:b/>
                <w:bCs/>
                <w:color w:val="000000"/>
                <w:sz w:val="16"/>
                <w:szCs w:val="16"/>
                <w:lang w:eastAsia="es-CR"/>
              </w:rPr>
              <w:t>28,8%</w:t>
            </w:r>
          </w:p>
        </w:tc>
      </w:tr>
    </w:tbl>
    <w:p w:rsidR="00DD3DB6" w:rsidRDefault="00DD3DB6" w:rsidP="00DD3DB6">
      <w:pPr>
        <w:jc w:val="both"/>
        <w:rPr>
          <w:lang w:val="es-CL"/>
        </w:rPr>
      </w:pPr>
    </w:p>
    <w:p w:rsidR="00DD3DB6" w:rsidRDefault="00F97356" w:rsidP="00F97356">
      <w:pPr>
        <w:pStyle w:val="Heading3"/>
        <w:rPr>
          <w:lang w:val="es-CL"/>
        </w:rPr>
      </w:pPr>
      <w:bookmarkStart w:id="28" w:name="_Toc491617771"/>
      <w:r>
        <w:rPr>
          <w:lang w:val="es-CL"/>
        </w:rPr>
        <w:t>Evaluación Económica Proyectos de Ex</w:t>
      </w:r>
      <w:r w:rsidR="00250927">
        <w:rPr>
          <w:lang w:val="es-CL"/>
        </w:rPr>
        <w:t>tensión</w:t>
      </w:r>
      <w:r>
        <w:rPr>
          <w:lang w:val="es-CL"/>
        </w:rPr>
        <w:t xml:space="preserve"> de Redes para </w:t>
      </w:r>
      <w:r w:rsidR="00250927">
        <w:rPr>
          <w:lang w:val="es-CL"/>
        </w:rPr>
        <w:t>l</w:t>
      </w:r>
      <w:r>
        <w:rPr>
          <w:lang w:val="es-CL"/>
        </w:rPr>
        <w:t>a Agroindustria.</w:t>
      </w:r>
      <w:bookmarkEnd w:id="28"/>
    </w:p>
    <w:p w:rsidR="00F97356" w:rsidRDefault="00F97356" w:rsidP="00F56913">
      <w:pPr>
        <w:jc w:val="both"/>
        <w:rPr>
          <w:lang w:val="es-CL"/>
        </w:rPr>
      </w:pPr>
    </w:p>
    <w:p w:rsidR="0057499B" w:rsidRDefault="0057499B" w:rsidP="00F56913">
      <w:pPr>
        <w:jc w:val="both"/>
        <w:rPr>
          <w:lang w:val="es-CL"/>
        </w:rPr>
      </w:pPr>
      <w:r>
        <w:rPr>
          <w:lang w:val="es-CL"/>
        </w:rPr>
        <w:t>Para una adecuada evaluación socioeconómica, se establecen como fronteras sociales a los clientes finales, por una parte y la generación de energía por otra, de tal forma que todo intercambio intermedio resulta cancelado, tal y como ilustra la figura siguiente.</w:t>
      </w:r>
    </w:p>
    <w:p w:rsidR="000722A4" w:rsidRDefault="000722A4" w:rsidP="00F56913">
      <w:pPr>
        <w:jc w:val="both"/>
        <w:rPr>
          <w:lang w:val="es-CL"/>
        </w:rPr>
      </w:pPr>
    </w:p>
    <w:p w:rsidR="0057499B" w:rsidRDefault="000722A4" w:rsidP="00F56913">
      <w:pPr>
        <w:jc w:val="both"/>
        <w:rPr>
          <w:lang w:val="es-CL"/>
        </w:rPr>
      </w:pPr>
      <w:r>
        <w:rPr>
          <w:noProof/>
          <w:lang w:val="en-US"/>
        </w:rPr>
        <w:drawing>
          <wp:inline distT="0" distB="0" distL="0" distR="0" wp14:anchorId="5CFF3E5C">
            <wp:extent cx="5540188" cy="208939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5402" cy="2102671"/>
                    </a:xfrm>
                    <a:prstGeom prst="rect">
                      <a:avLst/>
                    </a:prstGeom>
                    <a:noFill/>
                  </pic:spPr>
                </pic:pic>
              </a:graphicData>
            </a:graphic>
          </wp:inline>
        </w:drawing>
      </w:r>
    </w:p>
    <w:p w:rsidR="000722A4" w:rsidRDefault="000722A4" w:rsidP="00F56913">
      <w:pPr>
        <w:jc w:val="both"/>
        <w:rPr>
          <w:lang w:val="es-CL"/>
        </w:rPr>
      </w:pPr>
      <w:r w:rsidRPr="00C229F7">
        <w:rPr>
          <w:b/>
          <w:lang w:val="es-CL"/>
        </w:rPr>
        <w:t>Figura 29</w:t>
      </w:r>
      <w:r>
        <w:rPr>
          <w:lang w:val="es-CL"/>
        </w:rPr>
        <w:t>. Las fronteras para la evaluación económica la constituyen los productores agroindus</w:t>
      </w:r>
      <w:r w:rsidR="00C229F7">
        <w:rPr>
          <w:lang w:val="es-CL"/>
        </w:rPr>
        <w:t>tr</w:t>
      </w:r>
      <w:r>
        <w:rPr>
          <w:lang w:val="es-CL"/>
        </w:rPr>
        <w:t>iales, así como la generación de energía comprometida. Toda transacción monetaria interna se cancela mutuamente pues unos reciben como ingreso, lo que para otros es gasto.</w:t>
      </w:r>
    </w:p>
    <w:p w:rsidR="00F97356" w:rsidRDefault="00F97356" w:rsidP="00F56913">
      <w:pPr>
        <w:jc w:val="both"/>
        <w:rPr>
          <w:lang w:val="es-CL"/>
        </w:rPr>
      </w:pPr>
    </w:p>
    <w:p w:rsidR="00C229F7" w:rsidRDefault="00C229F7" w:rsidP="00F56913">
      <w:pPr>
        <w:jc w:val="both"/>
        <w:rPr>
          <w:lang w:val="es-CL"/>
        </w:rPr>
      </w:pPr>
      <w:r>
        <w:rPr>
          <w:lang w:val="es-CL"/>
        </w:rPr>
        <w:t>Bajo esta perspectiva, los flujos relevantes para determinar los indicadores de rentabilidad económica son:</w:t>
      </w:r>
    </w:p>
    <w:p w:rsidR="00C229F7" w:rsidRDefault="00C229F7" w:rsidP="00C229F7">
      <w:pPr>
        <w:pStyle w:val="ListParagraph"/>
        <w:numPr>
          <w:ilvl w:val="0"/>
          <w:numId w:val="19"/>
        </w:numPr>
        <w:jc w:val="both"/>
        <w:rPr>
          <w:lang w:val="es-CL"/>
        </w:rPr>
      </w:pPr>
      <w:r>
        <w:rPr>
          <w:lang w:val="es-CL"/>
        </w:rPr>
        <w:t>Inversión EED (recalculada según razones de precio cuenta de materiales y mano de obra)</w:t>
      </w:r>
    </w:p>
    <w:p w:rsidR="00C229F7" w:rsidRDefault="00C229F7" w:rsidP="00C229F7">
      <w:pPr>
        <w:pStyle w:val="ListParagraph"/>
        <w:numPr>
          <w:ilvl w:val="0"/>
          <w:numId w:val="19"/>
        </w:numPr>
        <w:jc w:val="both"/>
        <w:rPr>
          <w:lang w:val="es-CL"/>
        </w:rPr>
      </w:pPr>
      <w:r>
        <w:rPr>
          <w:lang w:val="es-CL"/>
        </w:rPr>
        <w:t>Inversión del Agroindustrial</w:t>
      </w:r>
    </w:p>
    <w:p w:rsidR="00C229F7" w:rsidRDefault="00C229F7" w:rsidP="00C229F7">
      <w:pPr>
        <w:pStyle w:val="ListParagraph"/>
        <w:numPr>
          <w:ilvl w:val="0"/>
          <w:numId w:val="19"/>
        </w:numPr>
        <w:jc w:val="both"/>
        <w:rPr>
          <w:lang w:val="es-CL"/>
        </w:rPr>
      </w:pPr>
      <w:r>
        <w:rPr>
          <w:lang w:val="es-CL"/>
        </w:rPr>
        <w:t>Beneficios:</w:t>
      </w:r>
    </w:p>
    <w:p w:rsidR="00C229F7" w:rsidRDefault="00C229F7" w:rsidP="00C229F7">
      <w:pPr>
        <w:pStyle w:val="ListParagraph"/>
        <w:numPr>
          <w:ilvl w:val="1"/>
          <w:numId w:val="19"/>
        </w:numPr>
        <w:jc w:val="both"/>
        <w:rPr>
          <w:lang w:val="es-CL"/>
        </w:rPr>
      </w:pPr>
      <w:r>
        <w:rPr>
          <w:lang w:val="es-CL"/>
        </w:rPr>
        <w:t>Mayor productividad (o Utilidad del Agroindustrial)</w:t>
      </w:r>
    </w:p>
    <w:p w:rsidR="00C229F7" w:rsidRDefault="00C229F7" w:rsidP="00C229F7">
      <w:pPr>
        <w:pStyle w:val="ListParagraph"/>
        <w:numPr>
          <w:ilvl w:val="1"/>
          <w:numId w:val="19"/>
        </w:numPr>
        <w:jc w:val="both"/>
        <w:rPr>
          <w:lang w:val="es-CL"/>
        </w:rPr>
      </w:pPr>
      <w:r>
        <w:rPr>
          <w:lang w:val="es-CL"/>
        </w:rPr>
        <w:t>Sustitución combustibles agroindustria</w:t>
      </w:r>
    </w:p>
    <w:p w:rsidR="00C229F7" w:rsidRDefault="00C229F7" w:rsidP="00C229F7">
      <w:pPr>
        <w:pStyle w:val="ListParagraph"/>
        <w:numPr>
          <w:ilvl w:val="1"/>
          <w:numId w:val="19"/>
        </w:numPr>
        <w:jc w:val="both"/>
        <w:rPr>
          <w:lang w:val="es-CL"/>
        </w:rPr>
      </w:pPr>
      <w:r>
        <w:rPr>
          <w:lang w:val="es-CL"/>
        </w:rPr>
        <w:t>Menor mantenimiento Motobombas</w:t>
      </w:r>
    </w:p>
    <w:p w:rsidR="00C229F7" w:rsidRDefault="00C229F7" w:rsidP="00C229F7">
      <w:pPr>
        <w:pStyle w:val="ListParagraph"/>
        <w:numPr>
          <w:ilvl w:val="1"/>
          <w:numId w:val="19"/>
        </w:numPr>
        <w:jc w:val="both"/>
        <w:rPr>
          <w:lang w:val="es-CL"/>
        </w:rPr>
      </w:pPr>
      <w:r>
        <w:rPr>
          <w:lang w:val="es-CL"/>
        </w:rPr>
        <w:t>Menor subsidio al combustible sustituido por la agroindustria.</w:t>
      </w:r>
    </w:p>
    <w:p w:rsidR="00C229F7" w:rsidRDefault="00C229F7" w:rsidP="00C229F7">
      <w:pPr>
        <w:pStyle w:val="ListParagraph"/>
        <w:numPr>
          <w:ilvl w:val="0"/>
          <w:numId w:val="19"/>
        </w:numPr>
        <w:jc w:val="both"/>
        <w:rPr>
          <w:lang w:val="es-CL"/>
        </w:rPr>
      </w:pPr>
      <w:r>
        <w:rPr>
          <w:lang w:val="es-CL"/>
        </w:rPr>
        <w:t>Costos:</w:t>
      </w:r>
    </w:p>
    <w:p w:rsidR="00C229F7" w:rsidRDefault="00C229F7" w:rsidP="00C229F7">
      <w:pPr>
        <w:pStyle w:val="ListParagraph"/>
        <w:numPr>
          <w:ilvl w:val="1"/>
          <w:numId w:val="19"/>
        </w:numPr>
        <w:jc w:val="both"/>
        <w:rPr>
          <w:lang w:val="es-CL"/>
        </w:rPr>
      </w:pPr>
      <w:r>
        <w:rPr>
          <w:lang w:val="es-CL"/>
        </w:rPr>
        <w:t>Costos variables de generación</w:t>
      </w:r>
    </w:p>
    <w:p w:rsidR="00C229F7" w:rsidRDefault="00C229F7" w:rsidP="00C229F7">
      <w:pPr>
        <w:pStyle w:val="ListParagraph"/>
        <w:numPr>
          <w:ilvl w:val="1"/>
          <w:numId w:val="19"/>
        </w:numPr>
        <w:jc w:val="both"/>
        <w:rPr>
          <w:lang w:val="es-CL"/>
        </w:rPr>
      </w:pPr>
      <w:r>
        <w:rPr>
          <w:lang w:val="es-CL"/>
        </w:rPr>
        <w:t>Costos Operación y Mantenimiento EEDs</w:t>
      </w:r>
    </w:p>
    <w:p w:rsidR="00C229F7" w:rsidRDefault="00C229F7" w:rsidP="00C229F7">
      <w:pPr>
        <w:pStyle w:val="ListParagraph"/>
        <w:numPr>
          <w:ilvl w:val="1"/>
          <w:numId w:val="19"/>
        </w:numPr>
        <w:jc w:val="both"/>
        <w:rPr>
          <w:lang w:val="es-CL"/>
        </w:rPr>
      </w:pPr>
      <w:r>
        <w:rPr>
          <w:lang w:val="es-CL"/>
        </w:rPr>
        <w:t>Costos Operación y Mantenimiento Agroindustria</w:t>
      </w:r>
    </w:p>
    <w:p w:rsidR="00C229F7" w:rsidRDefault="00C229F7" w:rsidP="00C229F7">
      <w:pPr>
        <w:pStyle w:val="ListParagraph"/>
        <w:numPr>
          <w:ilvl w:val="1"/>
          <w:numId w:val="19"/>
        </w:numPr>
        <w:jc w:val="both"/>
        <w:rPr>
          <w:lang w:val="es-CL"/>
        </w:rPr>
      </w:pPr>
      <w:r>
        <w:rPr>
          <w:lang w:val="es-CL"/>
        </w:rPr>
        <w:t>Subsidio a combustibles de generación.</w:t>
      </w:r>
    </w:p>
    <w:p w:rsidR="00C229F7" w:rsidRDefault="00C229F7" w:rsidP="00C229F7">
      <w:pPr>
        <w:jc w:val="both"/>
        <w:rPr>
          <w:lang w:val="es-CL"/>
        </w:rPr>
      </w:pPr>
    </w:p>
    <w:p w:rsidR="00986300" w:rsidRPr="00B81027" w:rsidRDefault="00986300" w:rsidP="00986300">
      <w:pPr>
        <w:jc w:val="both"/>
        <w:rPr>
          <w:b/>
          <w:lang w:val="es-CL"/>
        </w:rPr>
      </w:pPr>
      <w:r w:rsidRPr="00B81027">
        <w:rPr>
          <w:b/>
          <w:lang w:val="es-CL"/>
        </w:rPr>
        <w:t>Inversión y Costos de Operación y Mantenimiento valorados a Precios Sombra</w:t>
      </w:r>
    </w:p>
    <w:p w:rsidR="00986300" w:rsidRPr="00B81027" w:rsidRDefault="00986300" w:rsidP="00986300">
      <w:pPr>
        <w:jc w:val="both"/>
        <w:rPr>
          <w:lang w:val="es-CL"/>
        </w:rPr>
      </w:pPr>
      <w:r w:rsidRPr="00B81027">
        <w:rPr>
          <w:lang w:val="es-CL"/>
        </w:rPr>
        <w:t>La inversión es expresa como valor social, ponderando sus partidas de equipamiento y mano de obra, por las Razones de Precio Cuenta</w:t>
      </w:r>
      <w:r w:rsidRPr="00B81027">
        <w:rPr>
          <w:rStyle w:val="FootnoteReference"/>
          <w:lang w:val="es-CL"/>
        </w:rPr>
        <w:footnoteReference w:id="24"/>
      </w:r>
      <w:r w:rsidRPr="00B81027">
        <w:rPr>
          <w:lang w:val="es-CL"/>
        </w:rPr>
        <w:t xml:space="preserve"> de Obras en Subtransmisión, Distribución, Mano de Obra Calificada y Mano de Obra No Calificada, según se resume en el Cuadro </w:t>
      </w:r>
      <w:r>
        <w:rPr>
          <w:lang w:val="es-CL"/>
        </w:rPr>
        <w:t>D</w:t>
      </w:r>
      <w:r w:rsidRPr="00B81027">
        <w:rPr>
          <w:lang w:val="es-CL"/>
        </w:rPr>
        <w:t>.</w:t>
      </w:r>
    </w:p>
    <w:p w:rsidR="00986300" w:rsidRDefault="00986300" w:rsidP="00986300">
      <w:pPr>
        <w:jc w:val="both"/>
        <w:rPr>
          <w:b/>
          <w:lang w:val="es-CL"/>
        </w:rPr>
      </w:pPr>
    </w:p>
    <w:p w:rsidR="00986300" w:rsidRPr="00B81027" w:rsidRDefault="00986300" w:rsidP="00986300">
      <w:pPr>
        <w:jc w:val="both"/>
        <w:rPr>
          <w:b/>
          <w:lang w:val="es-CL"/>
        </w:rPr>
      </w:pPr>
      <w:r w:rsidRPr="00B81027">
        <w:rPr>
          <w:b/>
          <w:lang w:val="es-CL"/>
        </w:rPr>
        <w:t xml:space="preserve">Cuadro </w:t>
      </w:r>
      <w:r>
        <w:rPr>
          <w:b/>
          <w:lang w:val="es-CL"/>
        </w:rPr>
        <w:t>D</w:t>
      </w:r>
      <w:r w:rsidRPr="00B81027">
        <w:rPr>
          <w:b/>
          <w:lang w:val="es-CL"/>
        </w:rPr>
        <w:t>. Valoración Social de las Inversiones (US$)</w:t>
      </w:r>
    </w:p>
    <w:tbl>
      <w:tblPr>
        <w:tblStyle w:val="TableGrid"/>
        <w:tblW w:w="9237" w:type="dxa"/>
        <w:tblLook w:val="04A0" w:firstRow="1" w:lastRow="0" w:firstColumn="1" w:lastColumn="0" w:noHBand="0" w:noVBand="1"/>
      </w:tblPr>
      <w:tblGrid>
        <w:gridCol w:w="1696"/>
        <w:gridCol w:w="1560"/>
        <w:gridCol w:w="1559"/>
        <w:gridCol w:w="1276"/>
        <w:gridCol w:w="1635"/>
        <w:gridCol w:w="1511"/>
      </w:tblGrid>
      <w:tr w:rsidR="00986300" w:rsidRPr="00B81027" w:rsidTr="009D5956">
        <w:trPr>
          <w:trHeight w:val="925"/>
        </w:trPr>
        <w:tc>
          <w:tcPr>
            <w:tcW w:w="1696" w:type="dxa"/>
            <w:shd w:val="clear" w:color="auto" w:fill="E7E6E6" w:themeFill="background2"/>
            <w:vAlign w:val="center"/>
          </w:tcPr>
          <w:p w:rsidR="00986300" w:rsidRPr="00B81027" w:rsidRDefault="00986300" w:rsidP="009D5956">
            <w:pPr>
              <w:jc w:val="center"/>
              <w:rPr>
                <w:b/>
                <w:lang w:val="es-CL"/>
              </w:rPr>
            </w:pPr>
            <w:r w:rsidRPr="00B81027">
              <w:rPr>
                <w:b/>
                <w:lang w:val="es-CL"/>
              </w:rPr>
              <w:t>Proyecto</w:t>
            </w:r>
          </w:p>
        </w:tc>
        <w:tc>
          <w:tcPr>
            <w:tcW w:w="1560" w:type="dxa"/>
            <w:shd w:val="clear" w:color="auto" w:fill="E7E6E6" w:themeFill="background2"/>
            <w:vAlign w:val="center"/>
          </w:tcPr>
          <w:p w:rsidR="00986300" w:rsidRPr="00B81027" w:rsidRDefault="00986300" w:rsidP="009D5956">
            <w:pPr>
              <w:jc w:val="center"/>
              <w:rPr>
                <w:b/>
                <w:lang w:val="es-CL"/>
              </w:rPr>
            </w:pPr>
            <w:r w:rsidRPr="00B81027">
              <w:rPr>
                <w:b/>
                <w:lang w:val="es-CL"/>
              </w:rPr>
              <w:t>Inversión Equipamiento</w:t>
            </w:r>
          </w:p>
        </w:tc>
        <w:tc>
          <w:tcPr>
            <w:tcW w:w="1559" w:type="dxa"/>
            <w:shd w:val="clear" w:color="auto" w:fill="E7E6E6" w:themeFill="background2"/>
            <w:vAlign w:val="center"/>
          </w:tcPr>
          <w:p w:rsidR="00986300" w:rsidRPr="00B81027" w:rsidRDefault="00986300" w:rsidP="009D5956">
            <w:pPr>
              <w:jc w:val="center"/>
              <w:rPr>
                <w:b/>
                <w:lang w:val="es-CL"/>
              </w:rPr>
            </w:pPr>
            <w:r w:rsidRPr="00B81027">
              <w:rPr>
                <w:b/>
                <w:lang w:val="es-CL"/>
              </w:rPr>
              <w:t>Inversión Mano de Obra</w:t>
            </w:r>
          </w:p>
        </w:tc>
        <w:tc>
          <w:tcPr>
            <w:tcW w:w="1276" w:type="dxa"/>
            <w:shd w:val="clear" w:color="auto" w:fill="E7E6E6" w:themeFill="background2"/>
            <w:vAlign w:val="center"/>
          </w:tcPr>
          <w:p w:rsidR="00986300" w:rsidRPr="00B81027" w:rsidRDefault="00986300" w:rsidP="009D5956">
            <w:pPr>
              <w:jc w:val="center"/>
              <w:rPr>
                <w:b/>
                <w:lang w:val="es-CL"/>
              </w:rPr>
            </w:pPr>
            <w:r w:rsidRPr="00B81027">
              <w:rPr>
                <w:b/>
                <w:lang w:val="es-CL"/>
              </w:rPr>
              <w:t>RPC</w:t>
            </w:r>
          </w:p>
          <w:p w:rsidR="00986300" w:rsidRPr="00B81027" w:rsidRDefault="00986300" w:rsidP="009D5956">
            <w:pPr>
              <w:jc w:val="center"/>
              <w:rPr>
                <w:b/>
                <w:lang w:val="es-CL"/>
              </w:rPr>
            </w:pPr>
            <w:r w:rsidRPr="00B81027">
              <w:rPr>
                <w:b/>
                <w:lang w:val="es-CL"/>
              </w:rPr>
              <w:t>Materiales</w:t>
            </w:r>
          </w:p>
        </w:tc>
        <w:tc>
          <w:tcPr>
            <w:tcW w:w="1635" w:type="dxa"/>
            <w:shd w:val="clear" w:color="auto" w:fill="E7E6E6" w:themeFill="background2"/>
            <w:vAlign w:val="center"/>
          </w:tcPr>
          <w:p w:rsidR="00986300" w:rsidRPr="00B81027" w:rsidRDefault="00986300" w:rsidP="009D5956">
            <w:pPr>
              <w:jc w:val="center"/>
              <w:rPr>
                <w:b/>
                <w:lang w:val="es-CL"/>
              </w:rPr>
            </w:pPr>
            <w:r w:rsidRPr="00B81027">
              <w:rPr>
                <w:b/>
                <w:lang w:val="es-CL"/>
              </w:rPr>
              <w:t>RPC Promedio Mano de Obra</w:t>
            </w:r>
            <w:r w:rsidRPr="00B81027">
              <w:rPr>
                <w:rStyle w:val="FootnoteReference"/>
                <w:b/>
                <w:lang w:val="es-CL"/>
              </w:rPr>
              <w:footnoteReference w:id="25"/>
            </w:r>
          </w:p>
        </w:tc>
        <w:tc>
          <w:tcPr>
            <w:tcW w:w="1511" w:type="dxa"/>
            <w:shd w:val="clear" w:color="auto" w:fill="E7E6E6" w:themeFill="background2"/>
            <w:vAlign w:val="center"/>
          </w:tcPr>
          <w:p w:rsidR="00986300" w:rsidRPr="00B81027" w:rsidRDefault="00986300" w:rsidP="009D5956">
            <w:pPr>
              <w:jc w:val="center"/>
              <w:rPr>
                <w:b/>
                <w:lang w:val="es-CL"/>
              </w:rPr>
            </w:pPr>
            <w:r w:rsidRPr="00B81027">
              <w:rPr>
                <w:b/>
                <w:lang w:val="es-CL"/>
              </w:rPr>
              <w:t>Inversión Social</w:t>
            </w:r>
          </w:p>
        </w:tc>
      </w:tr>
      <w:tr w:rsidR="00E17C88" w:rsidRPr="00B81027" w:rsidTr="00E17C88">
        <w:trPr>
          <w:trHeight w:val="467"/>
        </w:trPr>
        <w:tc>
          <w:tcPr>
            <w:tcW w:w="1696" w:type="dxa"/>
            <w:vAlign w:val="center"/>
          </w:tcPr>
          <w:p w:rsidR="00E17C88" w:rsidRPr="00B81027" w:rsidRDefault="00E17C88" w:rsidP="00E17C88">
            <w:pPr>
              <w:jc w:val="both"/>
              <w:rPr>
                <w:lang w:val="es-CL"/>
              </w:rPr>
            </w:pPr>
            <w:r w:rsidRPr="00B81027">
              <w:rPr>
                <w:lang w:val="es-CL"/>
              </w:rPr>
              <w:t>Sub Transmisión</w:t>
            </w:r>
          </w:p>
        </w:tc>
        <w:tc>
          <w:tcPr>
            <w:tcW w:w="1560" w:type="dxa"/>
            <w:vAlign w:val="center"/>
          </w:tcPr>
          <w:p w:rsidR="00E17C88" w:rsidRPr="002B4CBB" w:rsidRDefault="00E17C88" w:rsidP="00E17C88">
            <w:pPr>
              <w:jc w:val="right"/>
            </w:pPr>
            <w:r w:rsidRPr="002B4CBB">
              <w:t xml:space="preserve"> 9.685.721,2 </w:t>
            </w:r>
          </w:p>
        </w:tc>
        <w:tc>
          <w:tcPr>
            <w:tcW w:w="1559" w:type="dxa"/>
            <w:vAlign w:val="center"/>
          </w:tcPr>
          <w:p w:rsidR="00E17C88" w:rsidRPr="002B4CBB" w:rsidRDefault="00E17C88" w:rsidP="00E17C88">
            <w:pPr>
              <w:jc w:val="right"/>
            </w:pPr>
            <w:r w:rsidRPr="002B4CBB">
              <w:t xml:space="preserve"> 1.076.191,2 </w:t>
            </w:r>
          </w:p>
        </w:tc>
        <w:tc>
          <w:tcPr>
            <w:tcW w:w="1276" w:type="dxa"/>
            <w:vAlign w:val="center"/>
          </w:tcPr>
          <w:p w:rsidR="00E17C88" w:rsidRPr="00B81027" w:rsidRDefault="00E17C88" w:rsidP="00E17C88">
            <w:pPr>
              <w:jc w:val="center"/>
              <w:rPr>
                <w:lang w:val="es-CL"/>
              </w:rPr>
            </w:pPr>
            <w:r w:rsidRPr="00B81027">
              <w:rPr>
                <w:lang w:val="es-CL"/>
              </w:rPr>
              <w:t>0.803</w:t>
            </w:r>
          </w:p>
        </w:tc>
        <w:tc>
          <w:tcPr>
            <w:tcW w:w="1635" w:type="dxa"/>
            <w:vMerge w:val="restart"/>
            <w:vAlign w:val="center"/>
          </w:tcPr>
          <w:p w:rsidR="00E17C88" w:rsidRPr="00B81027" w:rsidRDefault="00E17C88" w:rsidP="00E17C88">
            <w:pPr>
              <w:jc w:val="center"/>
              <w:rPr>
                <w:lang w:val="es-CL"/>
              </w:rPr>
            </w:pPr>
            <w:r w:rsidRPr="00B81027">
              <w:rPr>
                <w:lang w:val="es-CL"/>
              </w:rPr>
              <w:t>0.811</w:t>
            </w:r>
            <w:r>
              <w:rPr>
                <w:lang w:val="es-CL"/>
              </w:rPr>
              <w:t>4</w:t>
            </w:r>
          </w:p>
        </w:tc>
        <w:tc>
          <w:tcPr>
            <w:tcW w:w="1511" w:type="dxa"/>
            <w:vAlign w:val="center"/>
          </w:tcPr>
          <w:p w:rsidR="00E17C88" w:rsidRPr="00CC3587" w:rsidRDefault="00E17C88" w:rsidP="00E17C88">
            <w:pPr>
              <w:jc w:val="right"/>
            </w:pPr>
            <w:r w:rsidRPr="00CC3587">
              <w:t xml:space="preserve"> 8.650.855,7 </w:t>
            </w:r>
          </w:p>
        </w:tc>
      </w:tr>
      <w:tr w:rsidR="00E17C88" w:rsidRPr="00B81027" w:rsidTr="00E17C88">
        <w:trPr>
          <w:trHeight w:val="412"/>
        </w:trPr>
        <w:tc>
          <w:tcPr>
            <w:tcW w:w="1696" w:type="dxa"/>
            <w:vAlign w:val="center"/>
          </w:tcPr>
          <w:p w:rsidR="00E17C88" w:rsidRPr="00B81027" w:rsidRDefault="00E17C88" w:rsidP="00E17C88">
            <w:pPr>
              <w:jc w:val="both"/>
              <w:rPr>
                <w:lang w:val="es-CL"/>
              </w:rPr>
            </w:pPr>
            <w:r w:rsidRPr="00B81027">
              <w:rPr>
                <w:lang w:val="es-CL"/>
              </w:rPr>
              <w:t>Distribución</w:t>
            </w:r>
          </w:p>
        </w:tc>
        <w:tc>
          <w:tcPr>
            <w:tcW w:w="1560" w:type="dxa"/>
            <w:vAlign w:val="center"/>
          </w:tcPr>
          <w:p w:rsidR="00E17C88" w:rsidRPr="002B4CBB" w:rsidRDefault="00E17C88" w:rsidP="00E17C88">
            <w:pPr>
              <w:jc w:val="right"/>
            </w:pPr>
            <w:r w:rsidRPr="002B4CBB">
              <w:t xml:space="preserve"> 11.532.390,8 </w:t>
            </w:r>
          </w:p>
        </w:tc>
        <w:tc>
          <w:tcPr>
            <w:tcW w:w="1559" w:type="dxa"/>
            <w:vAlign w:val="center"/>
          </w:tcPr>
          <w:p w:rsidR="00E17C88" w:rsidRPr="002B4CBB" w:rsidRDefault="00E17C88" w:rsidP="00E17C88">
            <w:pPr>
              <w:jc w:val="right"/>
            </w:pPr>
            <w:r w:rsidRPr="002B4CBB">
              <w:t xml:space="preserve"> 1.281.376,8 </w:t>
            </w:r>
          </w:p>
        </w:tc>
        <w:tc>
          <w:tcPr>
            <w:tcW w:w="1276" w:type="dxa"/>
            <w:vAlign w:val="center"/>
          </w:tcPr>
          <w:p w:rsidR="00E17C88" w:rsidRPr="00B81027" w:rsidRDefault="00E17C88" w:rsidP="00E17C88">
            <w:pPr>
              <w:jc w:val="center"/>
              <w:rPr>
                <w:lang w:val="es-CL"/>
              </w:rPr>
            </w:pPr>
            <w:r>
              <w:rPr>
                <w:lang w:val="es-CL"/>
              </w:rPr>
              <w:t>0.738</w:t>
            </w:r>
          </w:p>
        </w:tc>
        <w:tc>
          <w:tcPr>
            <w:tcW w:w="1635" w:type="dxa"/>
            <w:vMerge/>
            <w:vAlign w:val="center"/>
          </w:tcPr>
          <w:p w:rsidR="00E17C88" w:rsidRPr="00B81027" w:rsidRDefault="00E17C88" w:rsidP="00E17C88">
            <w:pPr>
              <w:jc w:val="both"/>
              <w:rPr>
                <w:lang w:val="es-CL"/>
              </w:rPr>
            </w:pPr>
          </w:p>
        </w:tc>
        <w:tc>
          <w:tcPr>
            <w:tcW w:w="1511" w:type="dxa"/>
            <w:vAlign w:val="center"/>
          </w:tcPr>
          <w:p w:rsidR="00E17C88" w:rsidRPr="00CC3587" w:rsidRDefault="00E17C88" w:rsidP="00E17C88">
            <w:pPr>
              <w:jc w:val="right"/>
            </w:pPr>
            <w:r w:rsidRPr="00CC3587">
              <w:t xml:space="preserve"> 9.550.613,5 </w:t>
            </w:r>
          </w:p>
        </w:tc>
      </w:tr>
      <w:tr w:rsidR="00E17C88" w:rsidRPr="00B81027" w:rsidTr="00E17C88">
        <w:trPr>
          <w:trHeight w:val="418"/>
        </w:trPr>
        <w:tc>
          <w:tcPr>
            <w:tcW w:w="1696" w:type="dxa"/>
            <w:vAlign w:val="center"/>
          </w:tcPr>
          <w:p w:rsidR="00E17C88" w:rsidRPr="00B81027" w:rsidRDefault="00E17C88" w:rsidP="00E17C88">
            <w:pPr>
              <w:jc w:val="both"/>
              <w:rPr>
                <w:b/>
                <w:lang w:val="es-CL"/>
              </w:rPr>
            </w:pPr>
            <w:r w:rsidRPr="00B81027">
              <w:rPr>
                <w:b/>
                <w:lang w:val="es-CL"/>
              </w:rPr>
              <w:t>TOTAL</w:t>
            </w:r>
          </w:p>
        </w:tc>
        <w:tc>
          <w:tcPr>
            <w:tcW w:w="1560" w:type="dxa"/>
            <w:vAlign w:val="center"/>
          </w:tcPr>
          <w:p w:rsidR="00E17C88" w:rsidRPr="00E17C88" w:rsidRDefault="00E17C88" w:rsidP="00E17C88">
            <w:pPr>
              <w:jc w:val="right"/>
              <w:rPr>
                <w:b/>
              </w:rPr>
            </w:pPr>
            <w:r w:rsidRPr="00E17C88">
              <w:rPr>
                <w:b/>
              </w:rPr>
              <w:t xml:space="preserve"> 21.218.112,0 </w:t>
            </w:r>
          </w:p>
        </w:tc>
        <w:tc>
          <w:tcPr>
            <w:tcW w:w="1559" w:type="dxa"/>
            <w:vAlign w:val="center"/>
          </w:tcPr>
          <w:p w:rsidR="00E17C88" w:rsidRPr="00E17C88" w:rsidRDefault="00E17C88" w:rsidP="00E17C88">
            <w:pPr>
              <w:jc w:val="right"/>
              <w:rPr>
                <w:b/>
              </w:rPr>
            </w:pPr>
            <w:r w:rsidRPr="00E17C88">
              <w:rPr>
                <w:b/>
              </w:rPr>
              <w:t xml:space="preserve"> 2.357.568,0 </w:t>
            </w:r>
          </w:p>
        </w:tc>
        <w:tc>
          <w:tcPr>
            <w:tcW w:w="1276" w:type="dxa"/>
            <w:shd w:val="clear" w:color="auto" w:fill="E7E6E6" w:themeFill="background2"/>
            <w:vAlign w:val="center"/>
          </w:tcPr>
          <w:p w:rsidR="00E17C88" w:rsidRPr="00E17C88" w:rsidRDefault="00E17C88" w:rsidP="00E17C88">
            <w:pPr>
              <w:jc w:val="both"/>
              <w:rPr>
                <w:b/>
                <w:lang w:val="es-CL"/>
              </w:rPr>
            </w:pPr>
          </w:p>
        </w:tc>
        <w:tc>
          <w:tcPr>
            <w:tcW w:w="1635" w:type="dxa"/>
            <w:shd w:val="clear" w:color="auto" w:fill="E7E6E6" w:themeFill="background2"/>
            <w:vAlign w:val="center"/>
          </w:tcPr>
          <w:p w:rsidR="00E17C88" w:rsidRPr="00E17C88" w:rsidRDefault="00E17C88" w:rsidP="00E17C88">
            <w:pPr>
              <w:jc w:val="both"/>
              <w:rPr>
                <w:b/>
                <w:lang w:val="es-CL"/>
              </w:rPr>
            </w:pPr>
          </w:p>
        </w:tc>
        <w:tc>
          <w:tcPr>
            <w:tcW w:w="1511" w:type="dxa"/>
            <w:vAlign w:val="center"/>
          </w:tcPr>
          <w:p w:rsidR="00E17C88" w:rsidRPr="00E17C88" w:rsidRDefault="00E17C88" w:rsidP="00E17C88">
            <w:pPr>
              <w:jc w:val="right"/>
              <w:rPr>
                <w:b/>
              </w:rPr>
            </w:pPr>
            <w:r w:rsidRPr="00E17C88">
              <w:rPr>
                <w:b/>
              </w:rPr>
              <w:t xml:space="preserve"> 18.201.469,2 </w:t>
            </w:r>
          </w:p>
        </w:tc>
      </w:tr>
    </w:tbl>
    <w:p w:rsidR="00986300" w:rsidRPr="00B81027" w:rsidRDefault="00986300" w:rsidP="00986300">
      <w:pPr>
        <w:jc w:val="both"/>
        <w:rPr>
          <w:lang w:val="es-CL"/>
        </w:rPr>
      </w:pPr>
    </w:p>
    <w:p w:rsidR="00986300" w:rsidRDefault="00986300" w:rsidP="00986300">
      <w:pPr>
        <w:jc w:val="both"/>
        <w:rPr>
          <w:lang w:val="es-CL"/>
        </w:rPr>
      </w:pPr>
      <w:r w:rsidRPr="00B81027">
        <w:rPr>
          <w:lang w:val="es-CL"/>
        </w:rPr>
        <w:t xml:space="preserve">Los Costos de Operación y Mantenimiento, desde el punto de vista social se obtienen como un porcentaje constante de la Inversión Social </w:t>
      </w:r>
      <w:r>
        <w:rPr>
          <w:lang w:val="es-CL"/>
        </w:rPr>
        <w:t>correspondiente a los COyM de Media Tensión: 6%.</w:t>
      </w:r>
    </w:p>
    <w:p w:rsidR="00986300" w:rsidRPr="008D4342" w:rsidRDefault="00986300" w:rsidP="00986300">
      <w:pPr>
        <w:jc w:val="both"/>
        <w:rPr>
          <w:lang w:val="es-CL"/>
        </w:rPr>
      </w:pPr>
    </w:p>
    <w:p w:rsidR="0090188F" w:rsidRDefault="0090188F" w:rsidP="00C229F7">
      <w:pPr>
        <w:jc w:val="both"/>
        <w:rPr>
          <w:lang w:val="es-CL"/>
        </w:rPr>
      </w:pPr>
    </w:p>
    <w:p w:rsidR="00AF065F" w:rsidRDefault="00AF065F" w:rsidP="00C229F7">
      <w:pPr>
        <w:jc w:val="both"/>
        <w:rPr>
          <w:lang w:val="es-CL"/>
        </w:rPr>
      </w:pPr>
    </w:p>
    <w:p w:rsidR="00C229F7" w:rsidRPr="00C229F7" w:rsidRDefault="00C229F7" w:rsidP="00C229F7">
      <w:pPr>
        <w:jc w:val="both"/>
        <w:rPr>
          <w:b/>
          <w:lang w:val="es-CL"/>
        </w:rPr>
      </w:pPr>
      <w:r w:rsidRPr="00C229F7">
        <w:rPr>
          <w:b/>
          <w:lang w:val="es-CL"/>
        </w:rPr>
        <w:t>Condición Con y Sin Proyecto</w:t>
      </w:r>
      <w:r w:rsidR="005054B0">
        <w:rPr>
          <w:b/>
          <w:lang w:val="es-CL"/>
        </w:rPr>
        <w:t>.</w:t>
      </w:r>
      <w:r w:rsidRPr="00C229F7">
        <w:rPr>
          <w:b/>
          <w:lang w:val="es-CL"/>
        </w:rPr>
        <w:t xml:space="preserve"> </w:t>
      </w:r>
      <w:r w:rsidR="005054B0">
        <w:rPr>
          <w:b/>
          <w:lang w:val="es-CL"/>
        </w:rPr>
        <w:t xml:space="preserve">Utilidad relevante </w:t>
      </w:r>
      <w:r w:rsidRPr="00C229F7">
        <w:rPr>
          <w:b/>
          <w:lang w:val="es-CL"/>
        </w:rPr>
        <w:t>bajo la perspectiva del Agroindustrial Camaronero</w:t>
      </w:r>
    </w:p>
    <w:p w:rsidR="00C229F7" w:rsidRPr="00C229F7" w:rsidRDefault="00745CED" w:rsidP="00C229F7">
      <w:pPr>
        <w:jc w:val="both"/>
        <w:rPr>
          <w:lang w:val="es-CL"/>
        </w:rPr>
      </w:pPr>
      <w:r>
        <w:rPr>
          <w:lang w:val="es-CL"/>
        </w:rPr>
        <w:t xml:space="preserve">En la condición sin proyecto, el industrial camaronero se asume </w:t>
      </w:r>
      <w:r w:rsidR="00B42393">
        <w:rPr>
          <w:lang w:val="es-CL"/>
        </w:rPr>
        <w:t xml:space="preserve">resolviendo su necesidad de energía mecánica, para bombeo </w:t>
      </w:r>
      <w:r w:rsidR="004D1E53">
        <w:rPr>
          <w:lang w:val="es-CL"/>
        </w:rPr>
        <w:t>(o riego)</w:t>
      </w:r>
      <w:r w:rsidR="00B42393">
        <w:rPr>
          <w:lang w:val="es-CL"/>
        </w:rPr>
        <w:t>, a base de maquinaria Diésel con una intensidad media de 8.38 HP/Hectárea de cultivo, según estadísticas facilitadas por el MEER.</w:t>
      </w:r>
    </w:p>
    <w:p w:rsidR="00DD3DB6" w:rsidRDefault="00B42393" w:rsidP="00F56913">
      <w:pPr>
        <w:jc w:val="both"/>
        <w:rPr>
          <w:lang w:val="es-CL"/>
        </w:rPr>
      </w:pPr>
      <w:r>
        <w:rPr>
          <w:lang w:val="es-CL"/>
        </w:rPr>
        <w:t xml:space="preserve">Con estas condiciones de operación, </w:t>
      </w:r>
      <w:r w:rsidR="004D1E53">
        <w:rPr>
          <w:lang w:val="es-CL"/>
        </w:rPr>
        <w:t xml:space="preserve">sin aireación continua, </w:t>
      </w:r>
      <w:r>
        <w:rPr>
          <w:lang w:val="es-CL"/>
        </w:rPr>
        <w:t>la productividad media de camarón se estima en 3500 Lb/Hectárea, siendo el tamaño medio del camarón de 15 gr.</w:t>
      </w:r>
    </w:p>
    <w:p w:rsidR="00B42393" w:rsidRDefault="00B42393" w:rsidP="00F56913">
      <w:pPr>
        <w:jc w:val="both"/>
        <w:rPr>
          <w:lang w:val="es-CL"/>
        </w:rPr>
      </w:pPr>
      <w:r>
        <w:rPr>
          <w:lang w:val="es-CL"/>
        </w:rPr>
        <w:t xml:space="preserve">De esta forma, los </w:t>
      </w:r>
      <w:r w:rsidRPr="00D0363C">
        <w:rPr>
          <w:b/>
          <w:lang w:val="es-CL"/>
        </w:rPr>
        <w:t xml:space="preserve">Ingresos y Costos </w:t>
      </w:r>
      <w:r w:rsidRPr="00D0363C">
        <w:rPr>
          <w:b/>
          <w:u w:val="single"/>
          <w:lang w:val="es-CL"/>
        </w:rPr>
        <w:t>Relevantes</w:t>
      </w:r>
      <w:r>
        <w:rPr>
          <w:lang w:val="es-CL"/>
        </w:rPr>
        <w:t>, sin proyecto, para los agroindustriales camaroneros considerados son los siguientes:</w:t>
      </w:r>
    </w:p>
    <w:p w:rsidR="009E6EEF" w:rsidRDefault="009E6EEF" w:rsidP="00F56913">
      <w:pPr>
        <w:jc w:val="both"/>
        <w:rPr>
          <w:lang w:val="es-CL"/>
        </w:rPr>
      </w:pPr>
    </w:p>
    <w:p w:rsidR="009E6EEF" w:rsidRPr="009E6EEF" w:rsidRDefault="009E6EEF" w:rsidP="00F56913">
      <w:pPr>
        <w:jc w:val="both"/>
        <w:rPr>
          <w:lang w:val="es-CL"/>
        </w:rPr>
      </w:pPr>
      <w:r>
        <w:rPr>
          <w:b/>
          <w:i/>
          <w:lang w:val="es-CL"/>
        </w:rPr>
        <w:t>Ventas Sin Proyecto:</w:t>
      </w:r>
    </w:p>
    <w:p w:rsidR="009E6EEF" w:rsidRDefault="009E6EEF" w:rsidP="00F56913">
      <w:pPr>
        <w:jc w:val="both"/>
        <w:rPr>
          <w:lang w:val="es-CL"/>
        </w:rPr>
      </w:pPr>
      <w:r>
        <w:rPr>
          <w:lang w:val="es-CL"/>
        </w:rPr>
        <w:t>Una producción de 3500 Lb/Hectárea de camarón de 15 gr.</w:t>
      </w:r>
      <w:r w:rsidR="00D0363C">
        <w:rPr>
          <w:lang w:val="es-CL"/>
        </w:rPr>
        <w:t>, según referencia de precios internacionales de la Tabla N°28, s</w:t>
      </w:r>
      <w:r>
        <w:rPr>
          <w:lang w:val="es-CL"/>
        </w:rPr>
        <w:t xml:space="preserve">e traduce en un ingreso anual de 12,600 US$/Hectárea. Es decir, </w:t>
      </w:r>
      <w:r w:rsidRPr="009E6EEF">
        <w:rPr>
          <w:b/>
          <w:lang w:val="es-CL"/>
        </w:rPr>
        <w:t>unos US$ 721.5 Millones anuales</w:t>
      </w:r>
      <w:r>
        <w:rPr>
          <w:lang w:val="es-CL"/>
        </w:rPr>
        <w:t>, para este conjunto de agroindustriales.</w:t>
      </w:r>
    </w:p>
    <w:p w:rsidR="00D0363C" w:rsidRDefault="00D0363C" w:rsidP="00F56913">
      <w:pPr>
        <w:jc w:val="both"/>
        <w:rPr>
          <w:lang w:val="es-CL"/>
        </w:rPr>
      </w:pPr>
    </w:p>
    <w:p w:rsidR="00D0363C" w:rsidRPr="00D0363C" w:rsidRDefault="00D0363C" w:rsidP="00D0363C">
      <w:pPr>
        <w:spacing w:after="0"/>
        <w:jc w:val="center"/>
        <w:rPr>
          <w:b/>
          <w:lang w:val="es-CL"/>
        </w:rPr>
      </w:pPr>
      <w:r w:rsidRPr="00D0363C">
        <w:rPr>
          <w:b/>
          <w:lang w:val="es-CL"/>
        </w:rPr>
        <w:t>Tabla N°28. Referencia de Precios Camarón</w:t>
      </w:r>
    </w:p>
    <w:p w:rsidR="00D0363C" w:rsidRPr="00D0363C" w:rsidRDefault="00D0363C" w:rsidP="00D0363C">
      <w:pPr>
        <w:spacing w:after="0"/>
        <w:jc w:val="center"/>
        <w:rPr>
          <w:lang w:val="es-CL"/>
        </w:rPr>
      </w:pPr>
      <w:r w:rsidRPr="00D0363C">
        <w:rPr>
          <w:lang w:val="es-CL"/>
        </w:rPr>
        <w:t>(http://mundodelcamaron.es.tl)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2127"/>
      </w:tblGrid>
      <w:tr w:rsidR="00D0363C" w:rsidTr="00000D0F">
        <w:trPr>
          <w:trHeight w:val="468"/>
          <w:jc w:val="center"/>
        </w:trPr>
        <w:tc>
          <w:tcPr>
            <w:tcW w:w="1980" w:type="dxa"/>
            <w:shd w:val="clear" w:color="auto" w:fill="DEEAF6" w:themeFill="accent5" w:themeFillTint="33"/>
            <w:vAlign w:val="center"/>
          </w:tcPr>
          <w:p w:rsidR="00D0363C" w:rsidRPr="00D0363C" w:rsidRDefault="00D0363C" w:rsidP="00D0363C">
            <w:pPr>
              <w:jc w:val="center"/>
              <w:rPr>
                <w:b/>
                <w:lang w:val="es-CL"/>
              </w:rPr>
            </w:pPr>
            <w:r w:rsidRPr="00D0363C">
              <w:rPr>
                <w:b/>
                <w:lang w:val="es-CL"/>
              </w:rPr>
              <w:t>Talla</w:t>
            </w:r>
          </w:p>
        </w:tc>
        <w:tc>
          <w:tcPr>
            <w:tcW w:w="1984" w:type="dxa"/>
            <w:shd w:val="clear" w:color="auto" w:fill="DEEAF6" w:themeFill="accent5" w:themeFillTint="33"/>
            <w:vAlign w:val="center"/>
          </w:tcPr>
          <w:p w:rsidR="00D0363C" w:rsidRPr="00D0363C" w:rsidRDefault="00D0363C" w:rsidP="00D0363C">
            <w:pPr>
              <w:jc w:val="center"/>
              <w:rPr>
                <w:b/>
                <w:lang w:val="es-CL"/>
              </w:rPr>
            </w:pPr>
            <w:r w:rsidRPr="00D0363C">
              <w:rPr>
                <w:b/>
                <w:lang w:val="es-CL"/>
              </w:rPr>
              <w:t>Grs/Camarón</w:t>
            </w:r>
          </w:p>
        </w:tc>
        <w:tc>
          <w:tcPr>
            <w:tcW w:w="2127" w:type="dxa"/>
            <w:shd w:val="clear" w:color="auto" w:fill="DEEAF6" w:themeFill="accent5" w:themeFillTint="33"/>
            <w:vAlign w:val="center"/>
          </w:tcPr>
          <w:p w:rsidR="00D0363C" w:rsidRPr="00D0363C" w:rsidRDefault="00D0363C" w:rsidP="00D0363C">
            <w:pPr>
              <w:jc w:val="center"/>
              <w:rPr>
                <w:b/>
                <w:lang w:val="es-CL"/>
              </w:rPr>
            </w:pPr>
            <w:r w:rsidRPr="00D0363C">
              <w:rPr>
                <w:b/>
                <w:lang w:val="es-CL"/>
              </w:rPr>
              <w:t>Precio US$/Lb</w:t>
            </w:r>
          </w:p>
        </w:tc>
      </w:tr>
      <w:tr w:rsidR="00D0363C" w:rsidTr="00000D0F">
        <w:trPr>
          <w:jc w:val="center"/>
        </w:trPr>
        <w:tc>
          <w:tcPr>
            <w:tcW w:w="1980" w:type="dxa"/>
          </w:tcPr>
          <w:p w:rsidR="00D0363C" w:rsidRPr="00B04B9A" w:rsidRDefault="00D0363C" w:rsidP="00D0363C">
            <w:r w:rsidRPr="00B04B9A">
              <w:t>Extra Grande</w:t>
            </w:r>
          </w:p>
        </w:tc>
        <w:tc>
          <w:tcPr>
            <w:tcW w:w="1984" w:type="dxa"/>
          </w:tcPr>
          <w:p w:rsidR="00D0363C" w:rsidRPr="0086295F" w:rsidRDefault="00D0363C" w:rsidP="00D0363C">
            <w:pPr>
              <w:jc w:val="center"/>
            </w:pPr>
            <w:r w:rsidRPr="0086295F">
              <w:t>25,0</w:t>
            </w:r>
          </w:p>
        </w:tc>
        <w:tc>
          <w:tcPr>
            <w:tcW w:w="2127" w:type="dxa"/>
          </w:tcPr>
          <w:p w:rsidR="00D0363C" w:rsidRPr="00BD512A" w:rsidRDefault="00D0363C" w:rsidP="00D0363C">
            <w:pPr>
              <w:jc w:val="center"/>
            </w:pPr>
            <w:r w:rsidRPr="00BD512A">
              <w:t>5,1</w:t>
            </w:r>
          </w:p>
        </w:tc>
      </w:tr>
      <w:tr w:rsidR="00D0363C" w:rsidTr="00000D0F">
        <w:trPr>
          <w:jc w:val="center"/>
        </w:trPr>
        <w:tc>
          <w:tcPr>
            <w:tcW w:w="1980" w:type="dxa"/>
          </w:tcPr>
          <w:p w:rsidR="00D0363C" w:rsidRPr="00B04B9A" w:rsidRDefault="00D0363C" w:rsidP="00D0363C">
            <w:r w:rsidRPr="00B04B9A">
              <w:t>Grande</w:t>
            </w:r>
          </w:p>
        </w:tc>
        <w:tc>
          <w:tcPr>
            <w:tcW w:w="1984" w:type="dxa"/>
          </w:tcPr>
          <w:p w:rsidR="00D0363C" w:rsidRPr="0086295F" w:rsidRDefault="00D0363C" w:rsidP="00D0363C">
            <w:pPr>
              <w:jc w:val="center"/>
            </w:pPr>
            <w:r w:rsidRPr="0086295F">
              <w:t>21,4</w:t>
            </w:r>
          </w:p>
        </w:tc>
        <w:tc>
          <w:tcPr>
            <w:tcW w:w="2127" w:type="dxa"/>
          </w:tcPr>
          <w:p w:rsidR="00D0363C" w:rsidRPr="00BD512A" w:rsidRDefault="00D0363C" w:rsidP="00D0363C">
            <w:pPr>
              <w:jc w:val="center"/>
            </w:pPr>
            <w:r w:rsidRPr="00BD512A">
              <w:t>4,3</w:t>
            </w:r>
          </w:p>
        </w:tc>
      </w:tr>
      <w:tr w:rsidR="00D0363C" w:rsidTr="00000D0F">
        <w:trPr>
          <w:jc w:val="center"/>
        </w:trPr>
        <w:tc>
          <w:tcPr>
            <w:tcW w:w="1980" w:type="dxa"/>
          </w:tcPr>
          <w:p w:rsidR="00D0363C" w:rsidRPr="00B04B9A" w:rsidRDefault="00D0363C" w:rsidP="00D0363C">
            <w:r w:rsidRPr="00B04B9A">
              <w:t>Mediano/Grande</w:t>
            </w:r>
          </w:p>
        </w:tc>
        <w:tc>
          <w:tcPr>
            <w:tcW w:w="1984" w:type="dxa"/>
          </w:tcPr>
          <w:p w:rsidR="00D0363C" w:rsidRPr="0086295F" w:rsidRDefault="00D0363C" w:rsidP="00D0363C">
            <w:pPr>
              <w:jc w:val="center"/>
            </w:pPr>
            <w:r w:rsidRPr="0086295F">
              <w:t>18,8</w:t>
            </w:r>
          </w:p>
        </w:tc>
        <w:tc>
          <w:tcPr>
            <w:tcW w:w="2127" w:type="dxa"/>
          </w:tcPr>
          <w:p w:rsidR="00D0363C" w:rsidRPr="00BD512A" w:rsidRDefault="00D0363C" w:rsidP="00D0363C">
            <w:pPr>
              <w:jc w:val="center"/>
            </w:pPr>
            <w:r w:rsidRPr="00BD512A">
              <w:t>4,1</w:t>
            </w:r>
          </w:p>
        </w:tc>
      </w:tr>
      <w:tr w:rsidR="00D0363C" w:rsidTr="00000D0F">
        <w:trPr>
          <w:jc w:val="center"/>
        </w:trPr>
        <w:tc>
          <w:tcPr>
            <w:tcW w:w="1980" w:type="dxa"/>
            <w:shd w:val="clear" w:color="auto" w:fill="FFF2CC" w:themeFill="accent4" w:themeFillTint="33"/>
          </w:tcPr>
          <w:p w:rsidR="00D0363C" w:rsidRPr="00B04B9A" w:rsidRDefault="00D0363C" w:rsidP="00D0363C">
            <w:r w:rsidRPr="00B04B9A">
              <w:t>Mediano</w:t>
            </w:r>
          </w:p>
        </w:tc>
        <w:tc>
          <w:tcPr>
            <w:tcW w:w="1984" w:type="dxa"/>
            <w:shd w:val="clear" w:color="auto" w:fill="FFF2CC" w:themeFill="accent4" w:themeFillTint="33"/>
          </w:tcPr>
          <w:p w:rsidR="00D0363C" w:rsidRPr="0086295F" w:rsidRDefault="00D0363C" w:rsidP="00D0363C">
            <w:pPr>
              <w:jc w:val="center"/>
            </w:pPr>
            <w:r w:rsidRPr="0086295F">
              <w:t>15,0</w:t>
            </w:r>
          </w:p>
        </w:tc>
        <w:tc>
          <w:tcPr>
            <w:tcW w:w="2127" w:type="dxa"/>
            <w:shd w:val="clear" w:color="auto" w:fill="FFF2CC" w:themeFill="accent4" w:themeFillTint="33"/>
          </w:tcPr>
          <w:p w:rsidR="00D0363C" w:rsidRPr="00BD512A" w:rsidRDefault="00D0363C" w:rsidP="00D0363C">
            <w:pPr>
              <w:jc w:val="center"/>
            </w:pPr>
            <w:r w:rsidRPr="00BD512A">
              <w:t>3,6</w:t>
            </w:r>
          </w:p>
        </w:tc>
      </w:tr>
      <w:tr w:rsidR="00D0363C" w:rsidTr="00000D0F">
        <w:trPr>
          <w:jc w:val="center"/>
        </w:trPr>
        <w:tc>
          <w:tcPr>
            <w:tcW w:w="1980" w:type="dxa"/>
          </w:tcPr>
          <w:p w:rsidR="00D0363C" w:rsidRPr="00B04B9A" w:rsidRDefault="00D0363C" w:rsidP="00D0363C">
            <w:r w:rsidRPr="00B04B9A">
              <w:t>Mediano/Chico</w:t>
            </w:r>
          </w:p>
        </w:tc>
        <w:tc>
          <w:tcPr>
            <w:tcW w:w="1984" w:type="dxa"/>
          </w:tcPr>
          <w:p w:rsidR="00D0363C" w:rsidRPr="0086295F" w:rsidRDefault="00D0363C" w:rsidP="00D0363C">
            <w:pPr>
              <w:jc w:val="center"/>
            </w:pPr>
            <w:r w:rsidRPr="0086295F">
              <w:t>12,5</w:t>
            </w:r>
          </w:p>
        </w:tc>
        <w:tc>
          <w:tcPr>
            <w:tcW w:w="2127" w:type="dxa"/>
          </w:tcPr>
          <w:p w:rsidR="00D0363C" w:rsidRPr="00BD512A" w:rsidRDefault="00D0363C" w:rsidP="00D0363C">
            <w:pPr>
              <w:jc w:val="center"/>
            </w:pPr>
            <w:r w:rsidRPr="00BD512A">
              <w:t>3,4</w:t>
            </w:r>
          </w:p>
        </w:tc>
      </w:tr>
      <w:tr w:rsidR="00D0363C" w:rsidTr="00000D0F">
        <w:trPr>
          <w:jc w:val="center"/>
        </w:trPr>
        <w:tc>
          <w:tcPr>
            <w:tcW w:w="1980" w:type="dxa"/>
          </w:tcPr>
          <w:p w:rsidR="00D0363C" w:rsidRPr="00B04B9A" w:rsidRDefault="00D0363C" w:rsidP="00D0363C">
            <w:r w:rsidRPr="00B04B9A">
              <w:t>Chico</w:t>
            </w:r>
          </w:p>
        </w:tc>
        <w:tc>
          <w:tcPr>
            <w:tcW w:w="1984" w:type="dxa"/>
          </w:tcPr>
          <w:p w:rsidR="00D0363C" w:rsidRPr="0086295F" w:rsidRDefault="00D0363C" w:rsidP="00D0363C">
            <w:pPr>
              <w:jc w:val="center"/>
            </w:pPr>
            <w:r w:rsidRPr="0086295F">
              <w:t>10,7</w:t>
            </w:r>
          </w:p>
        </w:tc>
        <w:tc>
          <w:tcPr>
            <w:tcW w:w="2127" w:type="dxa"/>
          </w:tcPr>
          <w:p w:rsidR="00D0363C" w:rsidRDefault="00D0363C" w:rsidP="00D0363C">
            <w:pPr>
              <w:jc w:val="center"/>
            </w:pPr>
            <w:r w:rsidRPr="00BD512A">
              <w:t>3,25</w:t>
            </w:r>
          </w:p>
        </w:tc>
      </w:tr>
      <w:tr w:rsidR="00D0363C" w:rsidTr="00000D0F">
        <w:trPr>
          <w:jc w:val="center"/>
        </w:trPr>
        <w:tc>
          <w:tcPr>
            <w:tcW w:w="1980" w:type="dxa"/>
          </w:tcPr>
          <w:p w:rsidR="00D0363C" w:rsidRDefault="00D0363C" w:rsidP="00D0363C">
            <w:r w:rsidRPr="00B04B9A">
              <w:t>Extra Chico</w:t>
            </w:r>
          </w:p>
        </w:tc>
        <w:tc>
          <w:tcPr>
            <w:tcW w:w="1984" w:type="dxa"/>
          </w:tcPr>
          <w:p w:rsidR="00D0363C" w:rsidRDefault="00D0363C" w:rsidP="00D0363C">
            <w:pPr>
              <w:jc w:val="center"/>
            </w:pPr>
            <w:r w:rsidRPr="0086295F">
              <w:t>9,4</w:t>
            </w:r>
          </w:p>
        </w:tc>
        <w:tc>
          <w:tcPr>
            <w:tcW w:w="2127" w:type="dxa"/>
          </w:tcPr>
          <w:p w:rsidR="00D0363C" w:rsidRPr="00BD512A" w:rsidRDefault="00D0363C" w:rsidP="00D0363C">
            <w:pPr>
              <w:jc w:val="center"/>
            </w:pPr>
            <w:r w:rsidRPr="00BD512A">
              <w:t>5,1</w:t>
            </w:r>
          </w:p>
        </w:tc>
      </w:tr>
    </w:tbl>
    <w:p w:rsidR="00AF065F" w:rsidRDefault="00AF065F" w:rsidP="00F56913">
      <w:pPr>
        <w:jc w:val="both"/>
        <w:rPr>
          <w:b/>
          <w:i/>
          <w:lang w:val="es-CL"/>
        </w:rPr>
      </w:pPr>
    </w:p>
    <w:p w:rsidR="00B42393" w:rsidRPr="004D1E53" w:rsidRDefault="00B42393" w:rsidP="00F56913">
      <w:pPr>
        <w:jc w:val="both"/>
        <w:rPr>
          <w:b/>
          <w:i/>
          <w:lang w:val="es-CL"/>
        </w:rPr>
      </w:pPr>
      <w:r w:rsidRPr="004D1E53">
        <w:rPr>
          <w:b/>
          <w:i/>
          <w:lang w:val="es-CL"/>
        </w:rPr>
        <w:t>Gasto en Combustible</w:t>
      </w:r>
      <w:r w:rsidR="00D0363C">
        <w:rPr>
          <w:b/>
          <w:i/>
          <w:lang w:val="es-CL"/>
        </w:rPr>
        <w:t xml:space="preserve"> Sin Proyecto</w:t>
      </w:r>
      <w:r w:rsidRPr="004D1E53">
        <w:rPr>
          <w:b/>
          <w:i/>
          <w:lang w:val="es-CL"/>
        </w:rPr>
        <w:t>:</w:t>
      </w:r>
    </w:p>
    <w:p w:rsidR="00B42393" w:rsidRDefault="00B42393" w:rsidP="00F56913">
      <w:pPr>
        <w:jc w:val="both"/>
        <w:rPr>
          <w:lang w:val="es-CL"/>
        </w:rPr>
      </w:pPr>
      <w:r>
        <w:rPr>
          <w:lang w:val="es-CL"/>
        </w:rPr>
        <w:t xml:space="preserve">Con un rendimiento promedio por motobomba de </w:t>
      </w:r>
      <w:r w:rsidR="004D1E53">
        <w:rPr>
          <w:lang w:val="es-CL"/>
        </w:rPr>
        <w:t xml:space="preserve">0.056 Galones/HP/Hora, el consumo anual de combustible alcanza los 1002 Galones/Hectárea (para unas 2118 horas anuales de pleamar). Lo que, para las 57,3 mil hectáreas de cultivo se traduce en </w:t>
      </w:r>
      <w:r w:rsidR="004D1E53" w:rsidRPr="004D1E53">
        <w:rPr>
          <w:b/>
          <w:lang w:val="es-CL"/>
        </w:rPr>
        <w:t>57</w:t>
      </w:r>
      <w:r w:rsidR="004D1E53">
        <w:rPr>
          <w:b/>
          <w:lang w:val="es-CL"/>
        </w:rPr>
        <w:t>,4</w:t>
      </w:r>
      <w:r w:rsidR="004D1E53" w:rsidRPr="004D1E53">
        <w:rPr>
          <w:b/>
          <w:lang w:val="es-CL"/>
        </w:rPr>
        <w:t xml:space="preserve"> Millones de galones diésel anuales</w:t>
      </w:r>
      <w:r w:rsidR="004D1E53">
        <w:rPr>
          <w:lang w:val="es-CL"/>
        </w:rPr>
        <w:t>.</w:t>
      </w:r>
    </w:p>
    <w:p w:rsidR="003F21A0" w:rsidRDefault="004D1E53" w:rsidP="00F56913">
      <w:pPr>
        <w:jc w:val="both"/>
        <w:rPr>
          <w:lang w:val="es-CL"/>
        </w:rPr>
      </w:pPr>
      <w:r>
        <w:rPr>
          <w:lang w:val="es-CL"/>
        </w:rPr>
        <w:t xml:space="preserve">Considerando un precio de 0.9168 US$/Galón, se tiene un gasto anual por este concepto </w:t>
      </w:r>
      <w:r w:rsidRPr="004D1E53">
        <w:rPr>
          <w:b/>
          <w:lang w:val="es-CL"/>
        </w:rPr>
        <w:t>de US$ 52,6 Millones</w:t>
      </w:r>
      <w:r>
        <w:rPr>
          <w:lang w:val="es-CL"/>
        </w:rPr>
        <w:t xml:space="preserve"> por parte de la parte de industria camaronera considerada en estas evaluaciones.</w:t>
      </w:r>
    </w:p>
    <w:p w:rsidR="003F21A0" w:rsidRDefault="003F21A0" w:rsidP="00F56913">
      <w:pPr>
        <w:jc w:val="both"/>
        <w:rPr>
          <w:lang w:val="es-CL"/>
        </w:rPr>
      </w:pPr>
    </w:p>
    <w:p w:rsidR="004D1E53" w:rsidRPr="009E6EEF" w:rsidRDefault="004D1E53" w:rsidP="00F56913">
      <w:pPr>
        <w:jc w:val="both"/>
        <w:rPr>
          <w:b/>
          <w:i/>
          <w:lang w:val="es-CL"/>
        </w:rPr>
      </w:pPr>
      <w:r w:rsidRPr="009E6EEF">
        <w:rPr>
          <w:b/>
          <w:i/>
          <w:lang w:val="es-CL"/>
        </w:rPr>
        <w:t>Mantenimiento Motobombas</w:t>
      </w:r>
      <w:r w:rsidR="00D0363C">
        <w:rPr>
          <w:b/>
          <w:i/>
          <w:lang w:val="es-CL"/>
        </w:rPr>
        <w:t xml:space="preserve"> Sin Proyecto</w:t>
      </w:r>
      <w:r w:rsidRPr="009E6EEF">
        <w:rPr>
          <w:b/>
          <w:i/>
          <w:lang w:val="es-CL"/>
        </w:rPr>
        <w:t>:</w:t>
      </w:r>
    </w:p>
    <w:p w:rsidR="004D1E53" w:rsidRDefault="004D1E53" w:rsidP="00F56913">
      <w:pPr>
        <w:jc w:val="both"/>
        <w:rPr>
          <w:lang w:val="es-CL"/>
        </w:rPr>
      </w:pPr>
      <w:r>
        <w:rPr>
          <w:lang w:val="es-CL"/>
        </w:rPr>
        <w:t xml:space="preserve">En la condición sin proyecto, los agroindustriales tienen una capacidad </w:t>
      </w:r>
      <w:r w:rsidR="009E6EEF">
        <w:rPr>
          <w:lang w:val="es-CL"/>
        </w:rPr>
        <w:t xml:space="preserve">instalada </w:t>
      </w:r>
      <w:r>
        <w:rPr>
          <w:lang w:val="es-CL"/>
        </w:rPr>
        <w:t>de motobombeo equivalente a 8.38 HP/Hectárea</w:t>
      </w:r>
      <w:r w:rsidR="009E6EEF">
        <w:rPr>
          <w:lang w:val="es-CL"/>
        </w:rPr>
        <w:t>. Estos motores requieren de un mantenimiento periódico, que depende principalmente de su capacidad, según se ilustra en la tabla siguiente tomada del informe MAGAP</w:t>
      </w:r>
      <w:r w:rsidR="00DB5A36">
        <w:rPr>
          <w:rStyle w:val="FootnoteReference"/>
          <w:lang w:val="es-CL"/>
        </w:rPr>
        <w:footnoteReference w:id="26"/>
      </w:r>
      <w:r w:rsidR="00DB5A36">
        <w:rPr>
          <w:lang w:val="es-CL"/>
        </w:rPr>
        <w:t xml:space="preserve"> de</w:t>
      </w:r>
      <w:r w:rsidR="009E6EEF">
        <w:rPr>
          <w:lang w:val="es-CL"/>
        </w:rPr>
        <w:t xml:space="preserve"> </w:t>
      </w:r>
      <w:r w:rsidR="005054B0">
        <w:rPr>
          <w:lang w:val="es-CL"/>
        </w:rPr>
        <w:t>o</w:t>
      </w:r>
      <w:r w:rsidR="009E6EEF">
        <w:rPr>
          <w:lang w:val="es-CL"/>
        </w:rPr>
        <w:t>ctubre 2015.</w:t>
      </w:r>
    </w:p>
    <w:p w:rsidR="009E6EEF" w:rsidRDefault="009E6EEF" w:rsidP="00F56913">
      <w:pPr>
        <w:jc w:val="both"/>
        <w:rPr>
          <w:lang w:val="es-CL"/>
        </w:rPr>
      </w:pPr>
    </w:p>
    <w:p w:rsidR="009E6EEF" w:rsidRPr="009E6EEF" w:rsidRDefault="009E6EEF" w:rsidP="009E6EEF">
      <w:pPr>
        <w:spacing w:after="0"/>
        <w:jc w:val="center"/>
        <w:rPr>
          <w:b/>
          <w:lang w:val="es-CL"/>
        </w:rPr>
      </w:pPr>
      <w:r w:rsidRPr="009E6EEF">
        <w:rPr>
          <w:b/>
          <w:lang w:val="es-CL"/>
        </w:rPr>
        <w:t>Tabla N°2</w:t>
      </w:r>
      <w:r w:rsidR="00D0363C">
        <w:rPr>
          <w:b/>
          <w:lang w:val="es-CL"/>
        </w:rPr>
        <w:t>9</w:t>
      </w:r>
      <w:r w:rsidRPr="009E6EEF">
        <w:rPr>
          <w:b/>
          <w:lang w:val="es-CL"/>
        </w:rPr>
        <w:t>. Costos de Mantenimiento Motobombas Diésel</w:t>
      </w:r>
    </w:p>
    <w:p w:rsidR="009E6EEF" w:rsidRPr="009E6EEF" w:rsidRDefault="009E6EEF" w:rsidP="009E6EEF">
      <w:pPr>
        <w:spacing w:after="0"/>
        <w:jc w:val="center"/>
        <w:rPr>
          <w:b/>
          <w:lang w:val="es-CL"/>
        </w:rPr>
      </w:pPr>
      <w:r w:rsidRPr="009E6EEF">
        <w:rPr>
          <w:b/>
          <w:lang w:val="es-CL"/>
        </w:rPr>
        <w:t>Informe MAGAP (octubre 2015)</w:t>
      </w:r>
    </w:p>
    <w:p w:rsidR="009E6EEF" w:rsidRDefault="009E6EEF" w:rsidP="009E6EEF">
      <w:pPr>
        <w:jc w:val="center"/>
        <w:rPr>
          <w:lang w:val="es-CL"/>
        </w:rPr>
      </w:pPr>
      <w:r>
        <w:rPr>
          <w:noProof/>
          <w:lang w:val="en-US"/>
        </w:rPr>
        <w:drawing>
          <wp:inline distT="0" distB="0" distL="0" distR="0" wp14:anchorId="36FE6DB2">
            <wp:extent cx="4712335" cy="208470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2335" cy="2084705"/>
                    </a:xfrm>
                    <a:prstGeom prst="rect">
                      <a:avLst/>
                    </a:prstGeom>
                    <a:noFill/>
                  </pic:spPr>
                </pic:pic>
              </a:graphicData>
            </a:graphic>
          </wp:inline>
        </w:drawing>
      </w:r>
    </w:p>
    <w:p w:rsidR="009E6EEF" w:rsidRDefault="009E6EEF" w:rsidP="009E6EEF">
      <w:pPr>
        <w:jc w:val="both"/>
        <w:rPr>
          <w:lang w:val="es-CL"/>
        </w:rPr>
      </w:pPr>
    </w:p>
    <w:p w:rsidR="009E6EEF" w:rsidRDefault="009E6EEF" w:rsidP="009E6EEF">
      <w:pPr>
        <w:jc w:val="both"/>
        <w:rPr>
          <w:lang w:val="es-CL"/>
        </w:rPr>
      </w:pPr>
      <w:r>
        <w:rPr>
          <w:lang w:val="es-CL"/>
        </w:rPr>
        <w:t>De la tabla N°</w:t>
      </w:r>
      <w:r w:rsidR="00D0363C">
        <w:rPr>
          <w:lang w:val="es-CL"/>
        </w:rPr>
        <w:t>29</w:t>
      </w:r>
      <w:r>
        <w:rPr>
          <w:lang w:val="es-CL"/>
        </w:rPr>
        <w:t xml:space="preserve">, se deduce que el Costo promedio por mantenimiento de motobombas diésel es de unos 41,9 US$/HP anuales. O, para el caso del modelo considerado en esta evaluación, 351,4 US$/Hectárea. Lo que se traduce en un costo anual por este concepto de </w:t>
      </w:r>
      <w:r w:rsidRPr="009E6EEF">
        <w:rPr>
          <w:b/>
          <w:lang w:val="es-CL"/>
        </w:rPr>
        <w:t>US$ 20.1 Millones anuales</w:t>
      </w:r>
      <w:r>
        <w:rPr>
          <w:lang w:val="es-CL"/>
        </w:rPr>
        <w:t xml:space="preserve"> para el conjunto de agroindustriales objetos de esta evaluación.</w:t>
      </w:r>
    </w:p>
    <w:p w:rsidR="009E6EEF" w:rsidRPr="00B25922" w:rsidRDefault="002D5903" w:rsidP="009E6EEF">
      <w:pPr>
        <w:jc w:val="both"/>
        <w:rPr>
          <w:b/>
          <w:i/>
          <w:lang w:val="es-CL"/>
        </w:rPr>
      </w:pPr>
      <w:r w:rsidRPr="00B25922">
        <w:rPr>
          <w:b/>
          <w:i/>
          <w:lang w:val="es-CL"/>
        </w:rPr>
        <w:t>Utilidad Relevante del Productor Sin Proyecto:</w:t>
      </w:r>
    </w:p>
    <w:p w:rsidR="002D5903" w:rsidRDefault="002D5903" w:rsidP="009E6EEF">
      <w:pPr>
        <w:jc w:val="both"/>
        <w:rPr>
          <w:lang w:val="es-CL"/>
        </w:rPr>
      </w:pPr>
      <w:r>
        <w:rPr>
          <w:lang w:val="es-CL"/>
        </w:rPr>
        <w:t>La ut</w:t>
      </w:r>
      <w:r w:rsidR="00B25922">
        <w:rPr>
          <w:lang w:val="es-CL"/>
        </w:rPr>
        <w:t xml:space="preserve">ilidad relevante del productor, es decir, aquella que se modificará con el proyecto, </w:t>
      </w:r>
      <w:r>
        <w:rPr>
          <w:lang w:val="es-CL"/>
        </w:rPr>
        <w:t>puede estimarse como la diferencia entre ingresos relevantes (ventas sin proyecto) y los Costos Relevantes (combustible y mantenimiento motobombas)</w:t>
      </w:r>
      <w:r w:rsidR="00B25922">
        <w:rPr>
          <w:lang w:val="es-CL"/>
        </w:rPr>
        <w:t>. La tabla siguiente resume esta cifra para el 100% de los camaroneros considerados en esta evaluación.</w:t>
      </w:r>
    </w:p>
    <w:p w:rsidR="00B25922" w:rsidRDefault="00B25922" w:rsidP="009E6EEF">
      <w:pPr>
        <w:jc w:val="both"/>
        <w:rPr>
          <w:lang w:val="es-CL"/>
        </w:rPr>
      </w:pPr>
    </w:p>
    <w:p w:rsidR="00000D0F" w:rsidRDefault="00000D0F" w:rsidP="009E6EEF">
      <w:pPr>
        <w:jc w:val="both"/>
        <w:rPr>
          <w:lang w:val="es-CL"/>
        </w:rPr>
      </w:pPr>
    </w:p>
    <w:p w:rsidR="00F555AA" w:rsidRDefault="00F555AA" w:rsidP="00B25922">
      <w:pPr>
        <w:spacing w:after="0"/>
        <w:jc w:val="center"/>
        <w:rPr>
          <w:b/>
          <w:lang w:val="es-CL"/>
        </w:rPr>
      </w:pPr>
    </w:p>
    <w:p w:rsidR="00B25922" w:rsidRPr="00B25922" w:rsidRDefault="00B25922" w:rsidP="00B25922">
      <w:pPr>
        <w:spacing w:after="0"/>
        <w:jc w:val="center"/>
        <w:rPr>
          <w:b/>
          <w:lang w:val="es-CL"/>
        </w:rPr>
      </w:pPr>
      <w:r w:rsidRPr="00B25922">
        <w:rPr>
          <w:b/>
          <w:lang w:val="es-CL"/>
        </w:rPr>
        <w:t>Tabla N°30 Utilidad Relevante del Productor</w:t>
      </w:r>
    </w:p>
    <w:p w:rsidR="00B25922" w:rsidRPr="00B25922" w:rsidRDefault="00B25922" w:rsidP="00B25922">
      <w:pPr>
        <w:spacing w:after="0"/>
        <w:jc w:val="center"/>
        <w:rPr>
          <w:b/>
          <w:lang w:val="es-CL"/>
        </w:rPr>
      </w:pPr>
      <w:r w:rsidRPr="00B25922">
        <w:rPr>
          <w:b/>
          <w:lang w:val="es-CL"/>
        </w:rPr>
        <w:t>Condición Sin Proyecto</w:t>
      </w:r>
      <w:r>
        <w:rPr>
          <w:b/>
          <w:lang w:val="es-CL"/>
        </w:rPr>
        <w:t xml:space="preserve">. </w:t>
      </w:r>
      <w:r w:rsidRPr="00B25922">
        <w:rPr>
          <w:b/>
          <w:lang w:val="es-CL"/>
        </w:rPr>
        <w:t>100% de Camaroneros evaluados.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76"/>
      </w:tblGrid>
      <w:tr w:rsidR="00B25922" w:rsidTr="00000D0F">
        <w:trPr>
          <w:jc w:val="center"/>
        </w:trPr>
        <w:tc>
          <w:tcPr>
            <w:tcW w:w="3114" w:type="dxa"/>
            <w:shd w:val="clear" w:color="auto" w:fill="D9E2F3" w:themeFill="accent1" w:themeFillTint="33"/>
          </w:tcPr>
          <w:p w:rsidR="00B25922" w:rsidRPr="00B25922" w:rsidRDefault="00B25922" w:rsidP="009E6EEF">
            <w:pPr>
              <w:jc w:val="both"/>
              <w:rPr>
                <w:b/>
                <w:lang w:val="es-CL"/>
              </w:rPr>
            </w:pPr>
            <w:r w:rsidRPr="00B25922">
              <w:rPr>
                <w:b/>
                <w:lang w:val="es-CL"/>
              </w:rPr>
              <w:t>Ítems Relevantes Sin Proyecto</w:t>
            </w:r>
          </w:p>
        </w:tc>
        <w:tc>
          <w:tcPr>
            <w:tcW w:w="1276" w:type="dxa"/>
            <w:shd w:val="clear" w:color="auto" w:fill="D9E2F3" w:themeFill="accent1" w:themeFillTint="33"/>
          </w:tcPr>
          <w:p w:rsidR="00B25922" w:rsidRPr="00B25922" w:rsidRDefault="00B25922" w:rsidP="009E6EEF">
            <w:pPr>
              <w:jc w:val="both"/>
              <w:rPr>
                <w:b/>
                <w:lang w:val="es-CL"/>
              </w:rPr>
            </w:pPr>
            <w:r w:rsidRPr="00B25922">
              <w:rPr>
                <w:b/>
                <w:lang w:val="es-CL"/>
              </w:rPr>
              <w:t>Millones US$/Año</w:t>
            </w:r>
          </w:p>
        </w:tc>
      </w:tr>
      <w:tr w:rsidR="00B25922" w:rsidTr="00000D0F">
        <w:trPr>
          <w:jc w:val="center"/>
        </w:trPr>
        <w:tc>
          <w:tcPr>
            <w:tcW w:w="3114" w:type="dxa"/>
          </w:tcPr>
          <w:p w:rsidR="00B25922" w:rsidRDefault="00B25922" w:rsidP="009E6EEF">
            <w:pPr>
              <w:jc w:val="both"/>
              <w:rPr>
                <w:lang w:val="es-CL"/>
              </w:rPr>
            </w:pPr>
            <w:r>
              <w:rPr>
                <w:lang w:val="es-CL"/>
              </w:rPr>
              <w:t>Ventas</w:t>
            </w:r>
          </w:p>
        </w:tc>
        <w:tc>
          <w:tcPr>
            <w:tcW w:w="1276" w:type="dxa"/>
          </w:tcPr>
          <w:p w:rsidR="00B25922" w:rsidRDefault="00B25922" w:rsidP="00B25922">
            <w:pPr>
              <w:jc w:val="center"/>
              <w:rPr>
                <w:lang w:val="es-CL"/>
              </w:rPr>
            </w:pPr>
            <w:r>
              <w:rPr>
                <w:lang w:val="es-CL"/>
              </w:rPr>
              <w:t>721.5</w:t>
            </w:r>
          </w:p>
        </w:tc>
      </w:tr>
      <w:tr w:rsidR="00B25922" w:rsidTr="00000D0F">
        <w:trPr>
          <w:jc w:val="center"/>
        </w:trPr>
        <w:tc>
          <w:tcPr>
            <w:tcW w:w="3114" w:type="dxa"/>
          </w:tcPr>
          <w:p w:rsidR="00B25922" w:rsidRDefault="00B25922" w:rsidP="009E6EEF">
            <w:pPr>
              <w:jc w:val="both"/>
              <w:rPr>
                <w:lang w:val="es-CL"/>
              </w:rPr>
            </w:pPr>
            <w:r>
              <w:rPr>
                <w:lang w:val="es-CL"/>
              </w:rPr>
              <w:t>Combustibles</w:t>
            </w:r>
          </w:p>
        </w:tc>
        <w:tc>
          <w:tcPr>
            <w:tcW w:w="1276" w:type="dxa"/>
          </w:tcPr>
          <w:p w:rsidR="00B25922" w:rsidRDefault="00B25922" w:rsidP="00B25922">
            <w:pPr>
              <w:jc w:val="center"/>
              <w:rPr>
                <w:lang w:val="es-CL"/>
              </w:rPr>
            </w:pPr>
            <w:r>
              <w:rPr>
                <w:lang w:val="es-CL"/>
              </w:rPr>
              <w:t>52.6</w:t>
            </w:r>
          </w:p>
        </w:tc>
      </w:tr>
      <w:tr w:rsidR="00B25922" w:rsidTr="00000D0F">
        <w:trPr>
          <w:jc w:val="center"/>
        </w:trPr>
        <w:tc>
          <w:tcPr>
            <w:tcW w:w="3114" w:type="dxa"/>
          </w:tcPr>
          <w:p w:rsidR="00B25922" w:rsidRDefault="00B25922" w:rsidP="009E6EEF">
            <w:pPr>
              <w:jc w:val="both"/>
              <w:rPr>
                <w:lang w:val="es-CL"/>
              </w:rPr>
            </w:pPr>
            <w:r>
              <w:rPr>
                <w:lang w:val="es-CL"/>
              </w:rPr>
              <w:t>Mantenimiento Motobombas</w:t>
            </w:r>
          </w:p>
        </w:tc>
        <w:tc>
          <w:tcPr>
            <w:tcW w:w="1276" w:type="dxa"/>
          </w:tcPr>
          <w:p w:rsidR="00B25922" w:rsidRDefault="00B25922" w:rsidP="00B25922">
            <w:pPr>
              <w:jc w:val="center"/>
              <w:rPr>
                <w:lang w:val="es-CL"/>
              </w:rPr>
            </w:pPr>
            <w:r>
              <w:rPr>
                <w:lang w:val="es-CL"/>
              </w:rPr>
              <w:t>20.1</w:t>
            </w:r>
          </w:p>
        </w:tc>
      </w:tr>
      <w:tr w:rsidR="00B25922" w:rsidTr="00000D0F">
        <w:trPr>
          <w:jc w:val="center"/>
        </w:trPr>
        <w:tc>
          <w:tcPr>
            <w:tcW w:w="3114" w:type="dxa"/>
          </w:tcPr>
          <w:p w:rsidR="00B25922" w:rsidRPr="00B25922" w:rsidRDefault="00B25922" w:rsidP="009E6EEF">
            <w:pPr>
              <w:jc w:val="both"/>
              <w:rPr>
                <w:b/>
                <w:lang w:val="es-CL"/>
              </w:rPr>
            </w:pPr>
            <w:r w:rsidRPr="00B25922">
              <w:rPr>
                <w:b/>
                <w:lang w:val="es-CL"/>
              </w:rPr>
              <w:t>Utilidad Relevante Sin Proyecto</w:t>
            </w:r>
          </w:p>
        </w:tc>
        <w:tc>
          <w:tcPr>
            <w:tcW w:w="1276" w:type="dxa"/>
          </w:tcPr>
          <w:p w:rsidR="00B25922" w:rsidRPr="00B25922" w:rsidRDefault="00B25922" w:rsidP="00B25922">
            <w:pPr>
              <w:jc w:val="center"/>
              <w:rPr>
                <w:b/>
                <w:lang w:val="es-CL"/>
              </w:rPr>
            </w:pPr>
            <w:r w:rsidRPr="00B25922">
              <w:rPr>
                <w:b/>
                <w:lang w:val="es-CL"/>
              </w:rPr>
              <w:t>649</w:t>
            </w:r>
          </w:p>
        </w:tc>
      </w:tr>
    </w:tbl>
    <w:p w:rsidR="00B25922" w:rsidRDefault="00B25922" w:rsidP="009E6EEF">
      <w:pPr>
        <w:jc w:val="both"/>
        <w:rPr>
          <w:lang w:val="es-CL"/>
        </w:rPr>
      </w:pPr>
    </w:p>
    <w:p w:rsidR="00B25922" w:rsidRDefault="00B25922" w:rsidP="009E6EEF">
      <w:pPr>
        <w:jc w:val="both"/>
        <w:rPr>
          <w:lang w:val="es-CL"/>
        </w:rPr>
      </w:pPr>
    </w:p>
    <w:p w:rsidR="0048090A" w:rsidRDefault="0048090A" w:rsidP="009E6EEF">
      <w:pPr>
        <w:jc w:val="both"/>
        <w:rPr>
          <w:lang w:val="es-CL"/>
        </w:rPr>
      </w:pPr>
    </w:p>
    <w:p w:rsidR="00F555AA" w:rsidRDefault="00F555AA" w:rsidP="009E6EEF">
      <w:pPr>
        <w:jc w:val="both"/>
        <w:rPr>
          <w:lang w:val="es-CL"/>
        </w:rPr>
      </w:pPr>
    </w:p>
    <w:p w:rsidR="00B25922" w:rsidRPr="00B027E0" w:rsidRDefault="00B25922" w:rsidP="009E6EEF">
      <w:pPr>
        <w:jc w:val="both"/>
        <w:rPr>
          <w:b/>
          <w:i/>
          <w:lang w:val="es-CL"/>
        </w:rPr>
      </w:pPr>
      <w:r w:rsidRPr="00B027E0">
        <w:rPr>
          <w:b/>
          <w:i/>
          <w:lang w:val="es-CL"/>
        </w:rPr>
        <w:t>Inversión Camaroneros Con Proyecto:</w:t>
      </w:r>
    </w:p>
    <w:p w:rsidR="00B027E0" w:rsidRDefault="00B25922" w:rsidP="009E6EEF">
      <w:pPr>
        <w:jc w:val="both"/>
        <w:rPr>
          <w:lang w:val="es-CL"/>
        </w:rPr>
      </w:pPr>
      <w:r>
        <w:rPr>
          <w:lang w:val="es-CL"/>
        </w:rPr>
        <w:t>Según el informe MAGAP</w:t>
      </w:r>
      <w:r w:rsidR="00B027E0">
        <w:rPr>
          <w:rStyle w:val="FootnoteReference"/>
          <w:lang w:val="es-CL"/>
        </w:rPr>
        <w:footnoteReference w:id="27"/>
      </w:r>
      <w:r>
        <w:rPr>
          <w:lang w:val="es-CL"/>
        </w:rPr>
        <w:t xml:space="preserve"> de </w:t>
      </w:r>
      <w:r w:rsidR="00B027E0">
        <w:rPr>
          <w:lang w:val="es-CL"/>
        </w:rPr>
        <w:t>o</w:t>
      </w:r>
      <w:r>
        <w:rPr>
          <w:lang w:val="es-CL"/>
        </w:rPr>
        <w:t xml:space="preserve">ctubre 2015, en la condición con proyecto, los camaroneros deberán </w:t>
      </w:r>
      <w:r w:rsidR="00B027E0">
        <w:rPr>
          <w:lang w:val="es-CL"/>
        </w:rPr>
        <w:t xml:space="preserve">invertir en máquinas, equipos y </w:t>
      </w:r>
      <w:r>
        <w:rPr>
          <w:lang w:val="es-CL"/>
        </w:rPr>
        <w:t xml:space="preserve">desarrollar redes </w:t>
      </w:r>
      <w:r w:rsidR="00B027E0">
        <w:rPr>
          <w:lang w:val="es-CL"/>
        </w:rPr>
        <w:t>eléctricas</w:t>
      </w:r>
      <w:r>
        <w:rPr>
          <w:lang w:val="es-CL"/>
        </w:rPr>
        <w:t xml:space="preserve"> al interior de sus predios por un promedio de 3</w:t>
      </w:r>
      <w:r w:rsidR="00B027E0">
        <w:rPr>
          <w:lang w:val="es-CL"/>
        </w:rPr>
        <w:t>422,5</w:t>
      </w:r>
      <w:r>
        <w:rPr>
          <w:lang w:val="es-CL"/>
        </w:rPr>
        <w:t xml:space="preserve"> US$/Hectárea</w:t>
      </w:r>
      <w:r w:rsidR="00B027E0">
        <w:rPr>
          <w:lang w:val="es-CL"/>
        </w:rPr>
        <w:t xml:space="preserve">. Esto se traduce en una inversión de </w:t>
      </w:r>
      <w:r w:rsidR="00B027E0" w:rsidRPr="00B027E0">
        <w:rPr>
          <w:b/>
          <w:lang w:val="es-CL"/>
        </w:rPr>
        <w:t>US$ 195,98 Millones</w:t>
      </w:r>
      <w:r w:rsidR="00B027E0">
        <w:rPr>
          <w:lang w:val="es-CL"/>
        </w:rPr>
        <w:t xml:space="preserve"> para el total de empresas consideradas en esta evaluación.</w:t>
      </w:r>
    </w:p>
    <w:p w:rsidR="00B027E0" w:rsidRDefault="00B027E0" w:rsidP="009E6EEF">
      <w:pPr>
        <w:jc w:val="both"/>
        <w:rPr>
          <w:lang w:val="es-CL"/>
        </w:rPr>
      </w:pPr>
    </w:p>
    <w:p w:rsidR="00B027E0" w:rsidRPr="00B027E0" w:rsidRDefault="00B027E0" w:rsidP="00B027E0">
      <w:pPr>
        <w:spacing w:after="0"/>
        <w:jc w:val="center"/>
        <w:rPr>
          <w:b/>
          <w:lang w:val="es-CL"/>
        </w:rPr>
      </w:pPr>
      <w:r w:rsidRPr="00B027E0">
        <w:rPr>
          <w:b/>
          <w:lang w:val="es-CL"/>
        </w:rPr>
        <w:t>Tabla N°31 Nivel de Inversión necesaria por parte de las camaroneras</w:t>
      </w:r>
    </w:p>
    <w:p w:rsidR="00B027E0" w:rsidRDefault="00B027E0" w:rsidP="00B027E0">
      <w:pPr>
        <w:spacing w:after="0"/>
        <w:jc w:val="center"/>
        <w:rPr>
          <w:lang w:val="es-CL"/>
        </w:rPr>
      </w:pPr>
      <w:r w:rsidRPr="00B027E0">
        <w:rPr>
          <w:b/>
          <w:lang w:val="es-CL"/>
        </w:rPr>
        <w:t>Según informe MAGAP 2015</w:t>
      </w:r>
    </w:p>
    <w:p w:rsidR="00B25922" w:rsidRDefault="00B027E0" w:rsidP="009E6EEF">
      <w:pPr>
        <w:jc w:val="both"/>
        <w:rPr>
          <w:lang w:val="es-CL"/>
        </w:rPr>
      </w:pPr>
      <w:r>
        <w:rPr>
          <w:noProof/>
          <w:lang w:val="en-US"/>
        </w:rPr>
        <w:drawing>
          <wp:inline distT="0" distB="0" distL="0" distR="0" wp14:anchorId="50073845" wp14:editId="20B6E21E">
            <wp:extent cx="5612130" cy="1540510"/>
            <wp:effectExtent l="0" t="0" r="7620" b="2540"/>
            <wp:docPr id="80" name="Imagen 1">
              <a:extLst xmlns:a="http://schemas.openxmlformats.org/drawingml/2006/main">
                <a:ext uri="{FF2B5EF4-FFF2-40B4-BE49-F238E27FC236}">
                  <a16:creationId xmlns:a16="http://schemas.microsoft.com/office/drawing/2014/main" id="{D0B67DA4-4192-4A05-A89A-03EE3EF8E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0B67DA4-4192-4A05-A89A-03EE3EF8EAA2}"/>
                        </a:ext>
                      </a:extLst>
                    </pic:cNvPr>
                    <pic:cNvPicPr>
                      <a:picLocks noChangeAspect="1"/>
                    </pic:cNvPicPr>
                  </pic:nvPicPr>
                  <pic:blipFill>
                    <a:blip r:embed="rId47"/>
                    <a:stretch>
                      <a:fillRect/>
                    </a:stretch>
                  </pic:blipFill>
                  <pic:spPr>
                    <a:xfrm>
                      <a:off x="0" y="0"/>
                      <a:ext cx="5627857" cy="1544827"/>
                    </a:xfrm>
                    <a:prstGeom prst="rect">
                      <a:avLst/>
                    </a:prstGeom>
                  </pic:spPr>
                </pic:pic>
              </a:graphicData>
            </a:graphic>
          </wp:inline>
        </w:drawing>
      </w:r>
      <w:r>
        <w:rPr>
          <w:lang w:val="es-CL"/>
        </w:rPr>
        <w:t xml:space="preserve"> </w:t>
      </w:r>
    </w:p>
    <w:p w:rsidR="00B027E0" w:rsidRDefault="00B027E0" w:rsidP="009E6EEF">
      <w:pPr>
        <w:jc w:val="both"/>
        <w:rPr>
          <w:lang w:val="es-CL"/>
        </w:rPr>
      </w:pPr>
    </w:p>
    <w:p w:rsidR="00B027E0" w:rsidRDefault="00B027E0" w:rsidP="009E6EEF">
      <w:pPr>
        <w:jc w:val="both"/>
        <w:rPr>
          <w:lang w:val="es-CL"/>
        </w:rPr>
      </w:pPr>
    </w:p>
    <w:p w:rsidR="00B027E0" w:rsidRDefault="00B027E0" w:rsidP="009E6EEF">
      <w:pPr>
        <w:jc w:val="both"/>
        <w:rPr>
          <w:lang w:val="es-CL"/>
        </w:rPr>
      </w:pPr>
    </w:p>
    <w:p w:rsidR="00000D0F" w:rsidRDefault="00000D0F" w:rsidP="009E6EEF">
      <w:pPr>
        <w:jc w:val="both"/>
        <w:rPr>
          <w:lang w:val="es-CL"/>
        </w:rPr>
      </w:pPr>
    </w:p>
    <w:p w:rsidR="00B25922" w:rsidRPr="00B25922" w:rsidRDefault="00B25922" w:rsidP="009E6EEF">
      <w:pPr>
        <w:jc w:val="both"/>
        <w:rPr>
          <w:b/>
          <w:i/>
          <w:lang w:val="es-CL"/>
        </w:rPr>
      </w:pPr>
      <w:r w:rsidRPr="00B25922">
        <w:rPr>
          <w:b/>
          <w:i/>
          <w:lang w:val="es-CL"/>
        </w:rPr>
        <w:t>Ventas Con Proyecto</w:t>
      </w:r>
      <w:r>
        <w:rPr>
          <w:b/>
          <w:i/>
          <w:lang w:val="es-CL"/>
        </w:rPr>
        <w:t>:</w:t>
      </w:r>
    </w:p>
    <w:p w:rsidR="00B25922" w:rsidRDefault="00B25922" w:rsidP="009E6EEF">
      <w:pPr>
        <w:jc w:val="both"/>
        <w:rPr>
          <w:lang w:val="es-CL"/>
        </w:rPr>
      </w:pPr>
      <w:r>
        <w:rPr>
          <w:lang w:val="es-CL"/>
        </w:rPr>
        <w:t xml:space="preserve">Incorporando tecnologías como la aireación continua, la productividad del camarón se </w:t>
      </w:r>
      <w:r w:rsidR="00B027E0">
        <w:rPr>
          <w:lang w:val="es-CL"/>
        </w:rPr>
        <w:t>incrementaría</w:t>
      </w:r>
      <w:r>
        <w:rPr>
          <w:lang w:val="es-CL"/>
        </w:rPr>
        <w:t xml:space="preserve"> a 4200 Lb/Hectárea anuales y para un tamaño de camarón de</w:t>
      </w:r>
      <w:r w:rsidR="00B027E0">
        <w:rPr>
          <w:lang w:val="es-CL"/>
        </w:rPr>
        <w:t xml:space="preserve"> hasta</w:t>
      </w:r>
      <w:r>
        <w:rPr>
          <w:lang w:val="es-CL"/>
        </w:rPr>
        <w:t xml:space="preserve"> 25 grs.</w:t>
      </w:r>
      <w:r w:rsidR="00B027E0">
        <w:rPr>
          <w:lang w:val="es-CL"/>
        </w:rPr>
        <w:t>, según análisis desarrollados por el MEER.</w:t>
      </w:r>
    </w:p>
    <w:p w:rsidR="00B027E0" w:rsidRDefault="00B027E0" w:rsidP="009E6EEF">
      <w:pPr>
        <w:jc w:val="both"/>
        <w:rPr>
          <w:lang w:val="es-CL"/>
        </w:rPr>
      </w:pPr>
      <w:r>
        <w:rPr>
          <w:lang w:val="es-CL"/>
        </w:rPr>
        <w:t>Comprendiendo el nivel de incerteza que puede existir tras esta última proyección, la evaluación considera un factor de éxito de un 10%, que constituye un parámetro de sensibilización en la etapa final de este análisis.</w:t>
      </w:r>
    </w:p>
    <w:p w:rsidR="00B027E0" w:rsidRDefault="00B027E0" w:rsidP="009E6EEF">
      <w:pPr>
        <w:jc w:val="both"/>
        <w:rPr>
          <w:lang w:val="es-CL"/>
        </w:rPr>
      </w:pPr>
      <w:r>
        <w:rPr>
          <w:lang w:val="es-CL"/>
        </w:rPr>
        <w:t xml:space="preserve">Con esto, los ingresos anuales por venta, según referencia de precios de la Tabla N°28 (para una talla de camarón Extra Grande) pueden llegar a ser de </w:t>
      </w:r>
      <w:r w:rsidRPr="005054B0">
        <w:rPr>
          <w:b/>
          <w:lang w:val="es-CL"/>
        </w:rPr>
        <w:t>US$ 772 Millones</w:t>
      </w:r>
      <w:r w:rsidR="005054B0">
        <w:rPr>
          <w:lang w:val="es-CL"/>
        </w:rPr>
        <w:t>.</w:t>
      </w:r>
    </w:p>
    <w:p w:rsidR="009E6EEF" w:rsidRDefault="009E6EEF" w:rsidP="009E6EEF">
      <w:pPr>
        <w:jc w:val="both"/>
        <w:rPr>
          <w:lang w:val="es-CL"/>
        </w:rPr>
      </w:pPr>
    </w:p>
    <w:p w:rsidR="008079B6" w:rsidRDefault="008079B6" w:rsidP="009E6EEF">
      <w:pPr>
        <w:jc w:val="both"/>
        <w:rPr>
          <w:b/>
          <w:lang w:val="es-CL"/>
        </w:rPr>
      </w:pPr>
    </w:p>
    <w:p w:rsidR="00F555AA" w:rsidRDefault="00F555AA" w:rsidP="009E6EEF">
      <w:pPr>
        <w:jc w:val="both"/>
        <w:rPr>
          <w:b/>
          <w:lang w:val="es-CL"/>
        </w:rPr>
      </w:pPr>
    </w:p>
    <w:p w:rsidR="005054B0" w:rsidRPr="005054B0" w:rsidRDefault="005054B0" w:rsidP="009E6EEF">
      <w:pPr>
        <w:jc w:val="both"/>
        <w:rPr>
          <w:b/>
          <w:lang w:val="es-CL"/>
        </w:rPr>
      </w:pPr>
      <w:r w:rsidRPr="005054B0">
        <w:rPr>
          <w:b/>
          <w:lang w:val="es-CL"/>
        </w:rPr>
        <w:t>Mantenimiento Instalaciones Eléctricas Con Proyecto:</w:t>
      </w:r>
    </w:p>
    <w:p w:rsidR="005054B0" w:rsidRDefault="005054B0" w:rsidP="009E6EEF">
      <w:pPr>
        <w:jc w:val="both"/>
        <w:rPr>
          <w:lang w:val="es-CL"/>
        </w:rPr>
      </w:pPr>
      <w:r>
        <w:rPr>
          <w:lang w:val="es-CL"/>
        </w:rPr>
        <w:t>Para las instalaciones eléctricas adicionadas por los agroindustriales, se asume unos costos de operación y mantenimientos propios de redes baja tensión, equivalentes a un 9% de la inversión anual. Es decir, unos US$ 17,6 Millones anuales.</w:t>
      </w:r>
    </w:p>
    <w:p w:rsidR="009E6EEF" w:rsidRDefault="009E6EEF" w:rsidP="00F56913">
      <w:pPr>
        <w:jc w:val="both"/>
        <w:rPr>
          <w:lang w:val="es-CL"/>
        </w:rPr>
      </w:pPr>
    </w:p>
    <w:p w:rsidR="005054B0" w:rsidRPr="005054B0" w:rsidRDefault="005054B0" w:rsidP="00F56913">
      <w:pPr>
        <w:jc w:val="both"/>
        <w:rPr>
          <w:b/>
          <w:lang w:val="es-CL"/>
        </w:rPr>
      </w:pPr>
      <w:r w:rsidRPr="005054B0">
        <w:rPr>
          <w:b/>
          <w:lang w:val="es-CL"/>
        </w:rPr>
        <w:t>Compra de Energía de los camaroneros a la EED</w:t>
      </w:r>
      <w:r w:rsidR="00DB5A36">
        <w:rPr>
          <w:b/>
          <w:lang w:val="es-CL"/>
        </w:rPr>
        <w:t>, Con Proyecto</w:t>
      </w:r>
      <w:r w:rsidRPr="005054B0">
        <w:rPr>
          <w:b/>
          <w:lang w:val="es-CL"/>
        </w:rPr>
        <w:t>:</w:t>
      </w:r>
    </w:p>
    <w:p w:rsidR="005054B0" w:rsidRDefault="005054B0" w:rsidP="00F56913">
      <w:pPr>
        <w:jc w:val="both"/>
        <w:rPr>
          <w:lang w:val="es-CL"/>
        </w:rPr>
      </w:pPr>
      <w:r>
        <w:rPr>
          <w:lang w:val="es-CL"/>
        </w:rPr>
        <w:t>La compra de energía eléctrica, si bien constituye un gasto para las camaroneras (unos US$ 86 millones anuales para el 100% de empresas), no es contabilizado como relevante en la evaluación social, pues este egreso se compensa con el ingreso correspondiente visto desde el punto de vista de la EED.</w:t>
      </w:r>
    </w:p>
    <w:p w:rsidR="005054B0" w:rsidRDefault="005054B0" w:rsidP="00F56913">
      <w:pPr>
        <w:jc w:val="both"/>
        <w:rPr>
          <w:lang w:val="es-CL"/>
        </w:rPr>
      </w:pPr>
    </w:p>
    <w:p w:rsidR="005054B0" w:rsidRPr="005054B0" w:rsidRDefault="005054B0" w:rsidP="00F56913">
      <w:pPr>
        <w:jc w:val="both"/>
        <w:rPr>
          <w:b/>
          <w:i/>
          <w:lang w:val="es-CL"/>
        </w:rPr>
      </w:pPr>
      <w:r w:rsidRPr="005054B0">
        <w:rPr>
          <w:b/>
          <w:i/>
          <w:lang w:val="es-CL"/>
        </w:rPr>
        <w:t>Utilidad Relevante Con Proyecto</w:t>
      </w:r>
      <w:r>
        <w:rPr>
          <w:b/>
          <w:i/>
          <w:lang w:val="es-CL"/>
        </w:rPr>
        <w:t>:</w:t>
      </w:r>
    </w:p>
    <w:p w:rsidR="00DB5A36" w:rsidRDefault="00DB5A36" w:rsidP="00DB5A36">
      <w:pPr>
        <w:jc w:val="both"/>
        <w:rPr>
          <w:lang w:val="es-CL"/>
        </w:rPr>
      </w:pPr>
      <w:r>
        <w:rPr>
          <w:lang w:val="es-CL"/>
        </w:rPr>
        <w:t>En este punto, es preciso distinguir entre la Utilidad Relevante Con Proyecto para Camaroneros y para la Evaluación Económica del Proyecto pues, en este segundo punto de vista, el gasto por compra de energía que realizan los camaroneros a las EED debe cancelarse con los ingresos que perciben las EED por venta de energía a los camaroneros, dado que ambos forman parte de los grupos de interés considerados en la evaluación socio económica del proyecto.</w:t>
      </w:r>
    </w:p>
    <w:p w:rsidR="00AF065F" w:rsidRDefault="00AF065F" w:rsidP="00DB5A36">
      <w:pPr>
        <w:jc w:val="both"/>
        <w:rPr>
          <w:lang w:val="es-CL"/>
        </w:rPr>
      </w:pPr>
    </w:p>
    <w:p w:rsidR="00000D0F" w:rsidRDefault="00000D0F" w:rsidP="00DB5A36">
      <w:pPr>
        <w:jc w:val="both"/>
        <w:rPr>
          <w:lang w:val="es-CL"/>
        </w:rPr>
      </w:pPr>
    </w:p>
    <w:p w:rsidR="00000D0F" w:rsidRDefault="00000D0F" w:rsidP="00DB5A36">
      <w:pPr>
        <w:jc w:val="both"/>
        <w:rPr>
          <w:lang w:val="es-CL"/>
        </w:rPr>
      </w:pPr>
    </w:p>
    <w:p w:rsidR="00DB5A36" w:rsidRPr="00B25922" w:rsidRDefault="00DB5A36" w:rsidP="00DB5A36">
      <w:pPr>
        <w:spacing w:after="0"/>
        <w:jc w:val="center"/>
        <w:rPr>
          <w:b/>
          <w:lang w:val="es-CL"/>
        </w:rPr>
      </w:pPr>
      <w:r w:rsidRPr="00B25922">
        <w:rPr>
          <w:b/>
          <w:lang w:val="es-CL"/>
        </w:rPr>
        <w:t>Tabla N°3</w:t>
      </w:r>
      <w:r>
        <w:rPr>
          <w:b/>
          <w:lang w:val="es-CL"/>
        </w:rPr>
        <w:t>2</w:t>
      </w:r>
      <w:r w:rsidRPr="00B25922">
        <w:rPr>
          <w:b/>
          <w:lang w:val="es-CL"/>
        </w:rPr>
        <w:t xml:space="preserve"> Utilidad Relevante del Productor</w:t>
      </w:r>
    </w:p>
    <w:p w:rsidR="00DB5A36" w:rsidRPr="00B25922" w:rsidRDefault="00DB5A36" w:rsidP="00DB5A36">
      <w:pPr>
        <w:spacing w:after="0"/>
        <w:jc w:val="center"/>
        <w:rPr>
          <w:b/>
          <w:lang w:val="es-CL"/>
        </w:rPr>
      </w:pPr>
      <w:r w:rsidRPr="00B25922">
        <w:rPr>
          <w:b/>
          <w:lang w:val="es-CL"/>
        </w:rPr>
        <w:t xml:space="preserve">Condición </w:t>
      </w:r>
      <w:r w:rsidR="00443D2D">
        <w:rPr>
          <w:b/>
          <w:lang w:val="es-CL"/>
        </w:rPr>
        <w:t>Con</w:t>
      </w:r>
      <w:r w:rsidRPr="00B25922">
        <w:rPr>
          <w:b/>
          <w:lang w:val="es-CL"/>
        </w:rPr>
        <w:t xml:space="preserve"> Proyecto</w:t>
      </w:r>
      <w:r>
        <w:rPr>
          <w:b/>
          <w:lang w:val="es-CL"/>
        </w:rPr>
        <w:t xml:space="preserve">. </w:t>
      </w:r>
      <w:r w:rsidRPr="00B25922">
        <w:rPr>
          <w:b/>
          <w:lang w:val="es-CL"/>
        </w:rPr>
        <w:t>100% de Camaroneros evaluados.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DB5A36" w:rsidTr="00000D0F">
        <w:trPr>
          <w:jc w:val="center"/>
        </w:trPr>
        <w:tc>
          <w:tcPr>
            <w:tcW w:w="3397" w:type="dxa"/>
            <w:shd w:val="clear" w:color="auto" w:fill="D9E2F3" w:themeFill="accent1" w:themeFillTint="33"/>
            <w:vAlign w:val="center"/>
          </w:tcPr>
          <w:p w:rsidR="00DB5A36" w:rsidRPr="00B25922" w:rsidRDefault="00DB5A36" w:rsidP="00443D2D">
            <w:pPr>
              <w:jc w:val="center"/>
              <w:rPr>
                <w:b/>
                <w:lang w:val="es-CL"/>
              </w:rPr>
            </w:pPr>
            <w:r w:rsidRPr="00B25922">
              <w:rPr>
                <w:b/>
                <w:lang w:val="es-CL"/>
              </w:rPr>
              <w:t xml:space="preserve">Ítems Relevantes </w:t>
            </w:r>
            <w:r w:rsidR="00443D2D">
              <w:rPr>
                <w:b/>
                <w:lang w:val="es-CL"/>
              </w:rPr>
              <w:t>Con</w:t>
            </w:r>
            <w:r w:rsidRPr="00B25922">
              <w:rPr>
                <w:b/>
                <w:lang w:val="es-CL"/>
              </w:rPr>
              <w:t xml:space="preserve"> Proyecto</w:t>
            </w:r>
          </w:p>
        </w:tc>
        <w:tc>
          <w:tcPr>
            <w:tcW w:w="1701" w:type="dxa"/>
            <w:shd w:val="clear" w:color="auto" w:fill="D9E2F3" w:themeFill="accent1" w:themeFillTint="33"/>
            <w:vAlign w:val="center"/>
          </w:tcPr>
          <w:p w:rsidR="00DB5A36" w:rsidRPr="00B25922" w:rsidRDefault="00DB5A36" w:rsidP="00443D2D">
            <w:pPr>
              <w:jc w:val="center"/>
              <w:rPr>
                <w:b/>
                <w:lang w:val="es-CL"/>
              </w:rPr>
            </w:pPr>
            <w:r w:rsidRPr="00B25922">
              <w:rPr>
                <w:b/>
                <w:lang w:val="es-CL"/>
              </w:rPr>
              <w:t>Millones US$/Año</w:t>
            </w:r>
          </w:p>
        </w:tc>
      </w:tr>
      <w:tr w:rsidR="00DB5A36" w:rsidTr="00000D0F">
        <w:trPr>
          <w:jc w:val="center"/>
        </w:trPr>
        <w:tc>
          <w:tcPr>
            <w:tcW w:w="3397" w:type="dxa"/>
          </w:tcPr>
          <w:p w:rsidR="00DB5A36" w:rsidRDefault="00DB5A36" w:rsidP="004825E6">
            <w:pPr>
              <w:jc w:val="both"/>
              <w:rPr>
                <w:lang w:val="es-CL"/>
              </w:rPr>
            </w:pPr>
            <w:r>
              <w:rPr>
                <w:lang w:val="es-CL"/>
              </w:rPr>
              <w:t>Ventas</w:t>
            </w:r>
          </w:p>
        </w:tc>
        <w:tc>
          <w:tcPr>
            <w:tcW w:w="1701" w:type="dxa"/>
          </w:tcPr>
          <w:p w:rsidR="00DB5A36" w:rsidRDefault="00DB5A36" w:rsidP="004825E6">
            <w:pPr>
              <w:jc w:val="center"/>
              <w:rPr>
                <w:lang w:val="es-CL"/>
              </w:rPr>
            </w:pPr>
            <w:r>
              <w:rPr>
                <w:lang w:val="es-CL"/>
              </w:rPr>
              <w:t>772</w:t>
            </w:r>
          </w:p>
        </w:tc>
      </w:tr>
      <w:tr w:rsidR="00DB5A36" w:rsidTr="00000D0F">
        <w:trPr>
          <w:jc w:val="center"/>
        </w:trPr>
        <w:tc>
          <w:tcPr>
            <w:tcW w:w="3397" w:type="dxa"/>
          </w:tcPr>
          <w:p w:rsidR="00DB5A36" w:rsidRDefault="00DB5A36" w:rsidP="004825E6">
            <w:pPr>
              <w:jc w:val="both"/>
              <w:rPr>
                <w:lang w:val="es-CL"/>
              </w:rPr>
            </w:pPr>
            <w:r>
              <w:rPr>
                <w:lang w:val="es-CL"/>
              </w:rPr>
              <w:t>Mantenimiento Redes</w:t>
            </w:r>
          </w:p>
        </w:tc>
        <w:tc>
          <w:tcPr>
            <w:tcW w:w="1701" w:type="dxa"/>
          </w:tcPr>
          <w:p w:rsidR="00DB5A36" w:rsidRDefault="00DB5A36" w:rsidP="004825E6">
            <w:pPr>
              <w:jc w:val="center"/>
              <w:rPr>
                <w:lang w:val="es-CL"/>
              </w:rPr>
            </w:pPr>
            <w:r>
              <w:rPr>
                <w:lang w:val="es-CL"/>
              </w:rPr>
              <w:t>17.6</w:t>
            </w:r>
          </w:p>
        </w:tc>
      </w:tr>
      <w:tr w:rsidR="00DB5A36" w:rsidTr="00000D0F">
        <w:trPr>
          <w:jc w:val="center"/>
        </w:trPr>
        <w:tc>
          <w:tcPr>
            <w:tcW w:w="3397" w:type="dxa"/>
          </w:tcPr>
          <w:p w:rsidR="00DB5A36" w:rsidRPr="00DB5A36" w:rsidRDefault="00DB5A36" w:rsidP="004825E6">
            <w:pPr>
              <w:jc w:val="both"/>
              <w:rPr>
                <w:lang w:val="es-CL"/>
              </w:rPr>
            </w:pPr>
            <w:r w:rsidRPr="00DB5A36">
              <w:rPr>
                <w:lang w:val="es-CL"/>
              </w:rPr>
              <w:t>Compra Energía a la EED</w:t>
            </w:r>
          </w:p>
        </w:tc>
        <w:tc>
          <w:tcPr>
            <w:tcW w:w="1701" w:type="dxa"/>
          </w:tcPr>
          <w:p w:rsidR="00DB5A36" w:rsidRPr="00B25922" w:rsidRDefault="00DB5A36" w:rsidP="004825E6">
            <w:pPr>
              <w:jc w:val="center"/>
              <w:rPr>
                <w:b/>
                <w:lang w:val="es-CL"/>
              </w:rPr>
            </w:pPr>
            <w:r>
              <w:rPr>
                <w:b/>
                <w:lang w:val="es-CL"/>
              </w:rPr>
              <w:t>86</w:t>
            </w:r>
          </w:p>
        </w:tc>
      </w:tr>
      <w:tr w:rsidR="00DB5A36" w:rsidTr="00000D0F">
        <w:trPr>
          <w:jc w:val="center"/>
        </w:trPr>
        <w:tc>
          <w:tcPr>
            <w:tcW w:w="3397" w:type="dxa"/>
            <w:shd w:val="clear" w:color="auto" w:fill="E7E6E6" w:themeFill="background2"/>
          </w:tcPr>
          <w:p w:rsidR="00DB5A36" w:rsidRPr="00B25922" w:rsidRDefault="00DB5A36" w:rsidP="004825E6">
            <w:pPr>
              <w:jc w:val="both"/>
              <w:rPr>
                <w:b/>
                <w:lang w:val="es-CL"/>
              </w:rPr>
            </w:pPr>
            <w:r w:rsidRPr="00B25922">
              <w:rPr>
                <w:b/>
                <w:lang w:val="es-CL"/>
              </w:rPr>
              <w:t xml:space="preserve">Utilidad Relevante </w:t>
            </w:r>
            <w:r>
              <w:rPr>
                <w:b/>
                <w:lang w:val="es-CL"/>
              </w:rPr>
              <w:t>Co</w:t>
            </w:r>
            <w:r w:rsidRPr="00B25922">
              <w:rPr>
                <w:b/>
                <w:lang w:val="es-CL"/>
              </w:rPr>
              <w:t>n Proyecto</w:t>
            </w:r>
            <w:r>
              <w:rPr>
                <w:b/>
                <w:lang w:val="es-CL"/>
              </w:rPr>
              <w:t xml:space="preserve"> (camaroneros)</w:t>
            </w:r>
          </w:p>
        </w:tc>
        <w:tc>
          <w:tcPr>
            <w:tcW w:w="1701" w:type="dxa"/>
            <w:shd w:val="clear" w:color="auto" w:fill="E7E6E6" w:themeFill="background2"/>
          </w:tcPr>
          <w:p w:rsidR="00DB5A36" w:rsidRPr="00B25922" w:rsidRDefault="00DB5A36" w:rsidP="004825E6">
            <w:pPr>
              <w:jc w:val="center"/>
              <w:rPr>
                <w:b/>
                <w:lang w:val="es-CL"/>
              </w:rPr>
            </w:pPr>
            <w:r w:rsidRPr="00B25922">
              <w:rPr>
                <w:b/>
                <w:lang w:val="es-CL"/>
              </w:rPr>
              <w:t>6</w:t>
            </w:r>
            <w:r>
              <w:rPr>
                <w:b/>
                <w:lang w:val="es-CL"/>
              </w:rPr>
              <w:t>68</w:t>
            </w:r>
          </w:p>
        </w:tc>
      </w:tr>
      <w:tr w:rsidR="00DB5A36" w:rsidTr="00000D0F">
        <w:trPr>
          <w:jc w:val="center"/>
        </w:trPr>
        <w:tc>
          <w:tcPr>
            <w:tcW w:w="3397" w:type="dxa"/>
          </w:tcPr>
          <w:p w:rsidR="00DB5A36" w:rsidRPr="00B25922" w:rsidRDefault="00DB5A36" w:rsidP="004825E6">
            <w:pPr>
              <w:jc w:val="both"/>
              <w:rPr>
                <w:b/>
                <w:lang w:val="es-CL"/>
              </w:rPr>
            </w:pPr>
            <w:r w:rsidRPr="00B25922">
              <w:rPr>
                <w:b/>
                <w:lang w:val="es-CL"/>
              </w:rPr>
              <w:t xml:space="preserve">Utilidad Relevante </w:t>
            </w:r>
            <w:r>
              <w:rPr>
                <w:b/>
                <w:lang w:val="es-CL"/>
              </w:rPr>
              <w:t>Co</w:t>
            </w:r>
            <w:r w:rsidRPr="00B25922">
              <w:rPr>
                <w:b/>
                <w:lang w:val="es-CL"/>
              </w:rPr>
              <w:t>n Proyecto</w:t>
            </w:r>
            <w:r>
              <w:rPr>
                <w:b/>
                <w:lang w:val="es-CL"/>
              </w:rPr>
              <w:t xml:space="preserve"> (Evaluación Económica)</w:t>
            </w:r>
          </w:p>
        </w:tc>
        <w:tc>
          <w:tcPr>
            <w:tcW w:w="1701" w:type="dxa"/>
          </w:tcPr>
          <w:p w:rsidR="00DB5A36" w:rsidRPr="00B25922" w:rsidRDefault="00DB5A36" w:rsidP="004825E6">
            <w:pPr>
              <w:jc w:val="center"/>
              <w:rPr>
                <w:b/>
                <w:lang w:val="es-CL"/>
              </w:rPr>
            </w:pPr>
            <w:r>
              <w:rPr>
                <w:b/>
                <w:lang w:val="es-CL"/>
              </w:rPr>
              <w:t>754,4</w:t>
            </w:r>
          </w:p>
        </w:tc>
      </w:tr>
    </w:tbl>
    <w:p w:rsidR="00AF065F" w:rsidRDefault="00AF065F" w:rsidP="00DB5A36">
      <w:pPr>
        <w:jc w:val="both"/>
        <w:rPr>
          <w:b/>
          <w:lang w:val="es-CL"/>
        </w:rPr>
      </w:pPr>
    </w:p>
    <w:p w:rsidR="00AF065F" w:rsidRDefault="00AF065F" w:rsidP="00DB5A36">
      <w:pPr>
        <w:jc w:val="both"/>
        <w:rPr>
          <w:b/>
          <w:lang w:val="es-CL"/>
        </w:rPr>
      </w:pPr>
    </w:p>
    <w:p w:rsidR="00F555AA" w:rsidRDefault="00F555AA" w:rsidP="00DB5A36">
      <w:pPr>
        <w:jc w:val="both"/>
        <w:rPr>
          <w:b/>
          <w:lang w:val="es-CL"/>
        </w:rPr>
      </w:pPr>
    </w:p>
    <w:p w:rsidR="00DB5A36" w:rsidRPr="00BB638C" w:rsidRDefault="00DB5A36" w:rsidP="00DB5A36">
      <w:pPr>
        <w:jc w:val="both"/>
        <w:rPr>
          <w:b/>
          <w:lang w:val="es-CL"/>
        </w:rPr>
      </w:pPr>
      <w:r w:rsidRPr="00BB638C">
        <w:rPr>
          <w:b/>
          <w:lang w:val="es-CL"/>
        </w:rPr>
        <w:t>Rentabilidad del proyecto desde el punto de vista de la industria camaronera.</w:t>
      </w:r>
    </w:p>
    <w:p w:rsidR="00DB5A36" w:rsidRDefault="00DB5A36" w:rsidP="00DB5A36">
      <w:pPr>
        <w:jc w:val="both"/>
        <w:rPr>
          <w:lang w:val="es-CL"/>
        </w:rPr>
      </w:pPr>
      <w:r>
        <w:rPr>
          <w:lang w:val="es-CL"/>
        </w:rPr>
        <w:t>Como inserto a la evaluación económica podemos considerar Inversiones de Camaroneros, así como las utilidades relevantes para ellos Con y Sin proyecto, para determinar la utilidad percibida por esta industria específica como resultado de esta transformación.</w:t>
      </w:r>
    </w:p>
    <w:p w:rsidR="00DB5A36" w:rsidRDefault="00DB5A36" w:rsidP="00DB5A36">
      <w:pPr>
        <w:jc w:val="both"/>
        <w:rPr>
          <w:lang w:val="es-CL"/>
        </w:rPr>
      </w:pPr>
      <w:r>
        <w:rPr>
          <w:lang w:val="es-CL"/>
        </w:rPr>
        <w:t xml:space="preserve">La siguiente tabla presenta los flujos relevantes, así como </w:t>
      </w:r>
      <w:r w:rsidR="00BB638C">
        <w:rPr>
          <w:lang w:val="es-CL"/>
        </w:rPr>
        <w:t>la Tasa Interna de Retorno</w:t>
      </w:r>
      <w:r>
        <w:rPr>
          <w:lang w:val="es-CL"/>
        </w:rPr>
        <w:t xml:space="preserve"> que se vislumbran</w:t>
      </w:r>
      <w:r w:rsidR="00BB638C">
        <w:rPr>
          <w:lang w:val="es-CL"/>
        </w:rPr>
        <w:t xml:space="preserve"> para esta parte de la sociedad.</w:t>
      </w:r>
    </w:p>
    <w:p w:rsidR="00BB638C" w:rsidRDefault="00BB638C" w:rsidP="00DB5A36">
      <w:pPr>
        <w:jc w:val="both"/>
        <w:rPr>
          <w:lang w:val="es-CL"/>
        </w:rPr>
      </w:pPr>
    </w:p>
    <w:p w:rsidR="001D6D32" w:rsidRDefault="001D6D32" w:rsidP="00DB5A36">
      <w:pPr>
        <w:jc w:val="both"/>
        <w:rPr>
          <w:lang w:val="es-CL"/>
        </w:rPr>
      </w:pPr>
    </w:p>
    <w:p w:rsidR="00BB638C" w:rsidRDefault="00BB638C" w:rsidP="00BB638C">
      <w:pPr>
        <w:spacing w:after="0"/>
        <w:jc w:val="center"/>
        <w:rPr>
          <w:b/>
          <w:lang w:val="es-CL"/>
        </w:rPr>
      </w:pPr>
      <w:r w:rsidRPr="00BB638C">
        <w:rPr>
          <w:b/>
          <w:lang w:val="es-CL"/>
        </w:rPr>
        <w:t>Tabla N°33 Utilidad Incremental percibida por la Industria Camaronera</w:t>
      </w:r>
    </w:p>
    <w:p w:rsidR="00BB638C" w:rsidRPr="00BB638C" w:rsidRDefault="00BB638C" w:rsidP="00BB638C">
      <w:pPr>
        <w:spacing w:after="0"/>
        <w:jc w:val="center"/>
        <w:rPr>
          <w:b/>
          <w:lang w:val="es-CL"/>
        </w:rPr>
      </w:pPr>
      <w:r>
        <w:rPr>
          <w:b/>
          <w:lang w:val="es-CL"/>
        </w:rPr>
        <w:t>D</w:t>
      </w:r>
      <w:r w:rsidRPr="00BB638C">
        <w:rPr>
          <w:b/>
          <w:lang w:val="es-CL"/>
        </w:rPr>
        <w:t xml:space="preserve">ado el incremento esperado de la productividad y el cambio en sus factores energéticos, por sobre la inversión </w:t>
      </w:r>
      <w:r>
        <w:rPr>
          <w:b/>
          <w:lang w:val="es-CL"/>
        </w:rPr>
        <w:t>estimada</w:t>
      </w:r>
      <w:r w:rsidRPr="00BB638C">
        <w:rPr>
          <w:b/>
          <w:lang w:val="es-C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134"/>
      </w:tblGrid>
      <w:tr w:rsidR="00D93CDA" w:rsidTr="00000D0F">
        <w:trPr>
          <w:trHeight w:val="470"/>
          <w:jc w:val="center"/>
        </w:trPr>
        <w:tc>
          <w:tcPr>
            <w:tcW w:w="3397" w:type="dxa"/>
            <w:shd w:val="clear" w:color="auto" w:fill="D9E2F3" w:themeFill="accent1" w:themeFillTint="33"/>
            <w:vAlign w:val="center"/>
          </w:tcPr>
          <w:p w:rsidR="00D93CDA" w:rsidRPr="00D93CDA" w:rsidRDefault="00D93CDA" w:rsidP="00D93CDA">
            <w:pPr>
              <w:jc w:val="center"/>
              <w:rPr>
                <w:b/>
                <w:lang w:val="es-CL"/>
              </w:rPr>
            </w:pPr>
            <w:r w:rsidRPr="00D93CDA">
              <w:rPr>
                <w:b/>
                <w:lang w:val="es-CL"/>
              </w:rPr>
              <w:t>Ítem</w:t>
            </w:r>
          </w:p>
        </w:tc>
        <w:tc>
          <w:tcPr>
            <w:tcW w:w="1560" w:type="dxa"/>
            <w:shd w:val="clear" w:color="auto" w:fill="D9E2F3" w:themeFill="accent1" w:themeFillTint="33"/>
            <w:vAlign w:val="center"/>
          </w:tcPr>
          <w:p w:rsidR="00D93CDA" w:rsidRPr="00D93CDA" w:rsidRDefault="00D93CDA" w:rsidP="00D93CDA">
            <w:pPr>
              <w:jc w:val="center"/>
              <w:rPr>
                <w:b/>
                <w:lang w:val="es-CL"/>
              </w:rPr>
            </w:pPr>
            <w:r w:rsidRPr="00D93CDA">
              <w:rPr>
                <w:b/>
                <w:lang w:val="es-CL"/>
              </w:rPr>
              <w:t>Unidades</w:t>
            </w:r>
          </w:p>
        </w:tc>
        <w:tc>
          <w:tcPr>
            <w:tcW w:w="1134" w:type="dxa"/>
            <w:shd w:val="clear" w:color="auto" w:fill="D9E2F3" w:themeFill="accent1" w:themeFillTint="33"/>
            <w:vAlign w:val="center"/>
          </w:tcPr>
          <w:p w:rsidR="00D93CDA" w:rsidRPr="00D93CDA" w:rsidRDefault="00D93CDA" w:rsidP="00D93CDA">
            <w:pPr>
              <w:jc w:val="center"/>
              <w:rPr>
                <w:b/>
                <w:lang w:val="es-CL"/>
              </w:rPr>
            </w:pPr>
            <w:r w:rsidRPr="00D93CDA">
              <w:rPr>
                <w:b/>
                <w:lang w:val="es-CL"/>
              </w:rPr>
              <w:t>Valor</w:t>
            </w:r>
          </w:p>
        </w:tc>
      </w:tr>
      <w:tr w:rsidR="00D93CDA" w:rsidTr="00000D0F">
        <w:trPr>
          <w:jc w:val="center"/>
        </w:trPr>
        <w:tc>
          <w:tcPr>
            <w:tcW w:w="3397" w:type="dxa"/>
          </w:tcPr>
          <w:p w:rsidR="00D93CDA" w:rsidRPr="00D93CDA" w:rsidRDefault="00D93CDA" w:rsidP="00DB5A36">
            <w:pPr>
              <w:jc w:val="both"/>
              <w:rPr>
                <w:b/>
                <w:lang w:val="es-CL"/>
              </w:rPr>
            </w:pPr>
            <w:r w:rsidRPr="00D93CDA">
              <w:rPr>
                <w:b/>
                <w:lang w:val="es-CL"/>
              </w:rPr>
              <w:t>Inversión</w:t>
            </w:r>
          </w:p>
        </w:tc>
        <w:tc>
          <w:tcPr>
            <w:tcW w:w="1560" w:type="dxa"/>
          </w:tcPr>
          <w:p w:rsidR="00D93CDA" w:rsidRPr="00D93CDA" w:rsidRDefault="00D93CDA" w:rsidP="00D93CDA">
            <w:pPr>
              <w:jc w:val="center"/>
              <w:rPr>
                <w:b/>
                <w:lang w:val="es-CL"/>
              </w:rPr>
            </w:pPr>
            <w:r w:rsidRPr="00D93CDA">
              <w:rPr>
                <w:b/>
                <w:lang w:val="es-CL"/>
              </w:rPr>
              <w:t>Millones US$</w:t>
            </w:r>
          </w:p>
        </w:tc>
        <w:tc>
          <w:tcPr>
            <w:tcW w:w="1134" w:type="dxa"/>
          </w:tcPr>
          <w:p w:rsidR="00D93CDA" w:rsidRPr="00D93CDA" w:rsidRDefault="00D93CDA" w:rsidP="00BB638C">
            <w:pPr>
              <w:jc w:val="center"/>
              <w:rPr>
                <w:b/>
                <w:lang w:val="es-CL"/>
              </w:rPr>
            </w:pPr>
            <w:r>
              <w:rPr>
                <w:b/>
                <w:lang w:val="es-CL"/>
              </w:rPr>
              <w:t>195,98</w:t>
            </w:r>
          </w:p>
        </w:tc>
      </w:tr>
      <w:tr w:rsidR="00D93CDA" w:rsidTr="00000D0F">
        <w:trPr>
          <w:jc w:val="center"/>
        </w:trPr>
        <w:tc>
          <w:tcPr>
            <w:tcW w:w="3397" w:type="dxa"/>
          </w:tcPr>
          <w:p w:rsidR="00D93CDA" w:rsidRPr="00443D2D" w:rsidRDefault="00D93CDA" w:rsidP="00D93CDA">
            <w:pPr>
              <w:jc w:val="both"/>
              <w:rPr>
                <w:sz w:val="20"/>
                <w:lang w:val="es-CL"/>
              </w:rPr>
            </w:pPr>
            <w:r w:rsidRPr="00443D2D">
              <w:rPr>
                <w:sz w:val="20"/>
                <w:lang w:val="es-CL"/>
              </w:rPr>
              <w:t>Utilidad Relevante Con Proyecto</w:t>
            </w:r>
            <w:r w:rsidR="00BB638C" w:rsidRPr="00443D2D">
              <w:rPr>
                <w:rStyle w:val="FootnoteReference"/>
                <w:sz w:val="20"/>
                <w:lang w:val="es-CL"/>
              </w:rPr>
              <w:footnoteReference w:id="28"/>
            </w:r>
          </w:p>
        </w:tc>
        <w:tc>
          <w:tcPr>
            <w:tcW w:w="1560" w:type="dxa"/>
          </w:tcPr>
          <w:p w:rsidR="00D93CDA" w:rsidRPr="00443D2D" w:rsidRDefault="00D93CDA" w:rsidP="00D93CDA">
            <w:pPr>
              <w:jc w:val="center"/>
              <w:rPr>
                <w:sz w:val="20"/>
              </w:rPr>
            </w:pPr>
            <w:r w:rsidRPr="00443D2D">
              <w:rPr>
                <w:sz w:val="20"/>
                <w:lang w:val="es-CL"/>
              </w:rPr>
              <w:t>Millones US$</w:t>
            </w:r>
          </w:p>
        </w:tc>
        <w:tc>
          <w:tcPr>
            <w:tcW w:w="1134" w:type="dxa"/>
          </w:tcPr>
          <w:p w:rsidR="00D93CDA" w:rsidRPr="00443D2D" w:rsidRDefault="00D93CDA" w:rsidP="00BB638C">
            <w:pPr>
              <w:jc w:val="center"/>
              <w:rPr>
                <w:sz w:val="20"/>
                <w:lang w:val="es-CL"/>
              </w:rPr>
            </w:pPr>
            <w:r w:rsidRPr="00443D2D">
              <w:rPr>
                <w:sz w:val="20"/>
                <w:lang w:val="es-CL"/>
              </w:rPr>
              <w:t>668</w:t>
            </w:r>
          </w:p>
        </w:tc>
      </w:tr>
      <w:tr w:rsidR="00D93CDA" w:rsidTr="00000D0F">
        <w:trPr>
          <w:jc w:val="center"/>
        </w:trPr>
        <w:tc>
          <w:tcPr>
            <w:tcW w:w="3397" w:type="dxa"/>
          </w:tcPr>
          <w:p w:rsidR="00D93CDA" w:rsidRPr="00443D2D" w:rsidRDefault="00D93CDA" w:rsidP="00D93CDA">
            <w:pPr>
              <w:jc w:val="both"/>
              <w:rPr>
                <w:sz w:val="20"/>
                <w:lang w:val="es-CL"/>
              </w:rPr>
            </w:pPr>
            <w:r w:rsidRPr="00443D2D">
              <w:rPr>
                <w:sz w:val="20"/>
                <w:lang w:val="es-CL"/>
              </w:rPr>
              <w:t>Utilidad Relevante Sin Proyecto</w:t>
            </w:r>
          </w:p>
        </w:tc>
        <w:tc>
          <w:tcPr>
            <w:tcW w:w="1560" w:type="dxa"/>
          </w:tcPr>
          <w:p w:rsidR="00D93CDA" w:rsidRPr="00443D2D" w:rsidRDefault="00D93CDA" w:rsidP="00D93CDA">
            <w:pPr>
              <w:jc w:val="center"/>
              <w:rPr>
                <w:sz w:val="20"/>
              </w:rPr>
            </w:pPr>
            <w:r w:rsidRPr="00443D2D">
              <w:rPr>
                <w:sz w:val="20"/>
                <w:lang w:val="es-CL"/>
              </w:rPr>
              <w:t>Millones US$</w:t>
            </w:r>
          </w:p>
        </w:tc>
        <w:tc>
          <w:tcPr>
            <w:tcW w:w="1134" w:type="dxa"/>
          </w:tcPr>
          <w:p w:rsidR="00D93CDA" w:rsidRPr="00443D2D" w:rsidRDefault="00D93CDA" w:rsidP="00BB638C">
            <w:pPr>
              <w:jc w:val="center"/>
              <w:rPr>
                <w:sz w:val="20"/>
                <w:lang w:val="es-CL"/>
              </w:rPr>
            </w:pPr>
            <w:r w:rsidRPr="00443D2D">
              <w:rPr>
                <w:sz w:val="20"/>
                <w:lang w:val="es-CL"/>
              </w:rPr>
              <w:t>649</w:t>
            </w:r>
          </w:p>
        </w:tc>
      </w:tr>
      <w:tr w:rsidR="00D93CDA" w:rsidTr="00000D0F">
        <w:trPr>
          <w:jc w:val="center"/>
        </w:trPr>
        <w:tc>
          <w:tcPr>
            <w:tcW w:w="3397" w:type="dxa"/>
          </w:tcPr>
          <w:p w:rsidR="00D93CDA" w:rsidRPr="00D93CDA" w:rsidRDefault="00D93CDA" w:rsidP="00D93CDA">
            <w:pPr>
              <w:jc w:val="both"/>
              <w:rPr>
                <w:b/>
                <w:lang w:val="es-CL"/>
              </w:rPr>
            </w:pPr>
            <w:r w:rsidRPr="00D93CDA">
              <w:rPr>
                <w:b/>
                <w:lang w:val="es-CL"/>
              </w:rPr>
              <w:t>Mayor Utilidad Con Proyecto</w:t>
            </w:r>
          </w:p>
        </w:tc>
        <w:tc>
          <w:tcPr>
            <w:tcW w:w="1560" w:type="dxa"/>
          </w:tcPr>
          <w:p w:rsidR="00D93CDA" w:rsidRPr="00D93CDA" w:rsidRDefault="00D93CDA" w:rsidP="00D93CDA">
            <w:pPr>
              <w:jc w:val="center"/>
              <w:rPr>
                <w:b/>
              </w:rPr>
            </w:pPr>
            <w:r w:rsidRPr="00D93CDA">
              <w:rPr>
                <w:b/>
                <w:lang w:val="es-CL"/>
              </w:rPr>
              <w:t>Millones US$</w:t>
            </w:r>
          </w:p>
        </w:tc>
        <w:tc>
          <w:tcPr>
            <w:tcW w:w="1134" w:type="dxa"/>
          </w:tcPr>
          <w:p w:rsidR="00D93CDA" w:rsidRPr="00D93CDA" w:rsidRDefault="00D93CDA" w:rsidP="00BB638C">
            <w:pPr>
              <w:jc w:val="center"/>
              <w:rPr>
                <w:b/>
                <w:lang w:val="es-CL"/>
              </w:rPr>
            </w:pPr>
            <w:r>
              <w:rPr>
                <w:b/>
                <w:lang w:val="es-CL"/>
              </w:rPr>
              <w:t>19</w:t>
            </w:r>
          </w:p>
        </w:tc>
      </w:tr>
      <w:tr w:rsidR="00D93CDA" w:rsidTr="00000D0F">
        <w:trPr>
          <w:jc w:val="center"/>
        </w:trPr>
        <w:tc>
          <w:tcPr>
            <w:tcW w:w="3397" w:type="dxa"/>
          </w:tcPr>
          <w:p w:rsidR="00D93CDA" w:rsidRPr="00443D2D" w:rsidRDefault="00D93CDA" w:rsidP="00D93CDA">
            <w:pPr>
              <w:jc w:val="both"/>
              <w:rPr>
                <w:i/>
                <w:sz w:val="20"/>
                <w:lang w:val="es-CL"/>
              </w:rPr>
            </w:pPr>
            <w:r w:rsidRPr="00443D2D">
              <w:rPr>
                <w:i/>
                <w:sz w:val="20"/>
                <w:lang w:val="es-CL"/>
              </w:rPr>
              <w:t>Depreciación anual (30 años)</w:t>
            </w:r>
          </w:p>
        </w:tc>
        <w:tc>
          <w:tcPr>
            <w:tcW w:w="1560" w:type="dxa"/>
          </w:tcPr>
          <w:p w:rsidR="00D93CDA" w:rsidRPr="00443D2D" w:rsidRDefault="00D93CDA" w:rsidP="00D93CDA">
            <w:pPr>
              <w:jc w:val="center"/>
              <w:rPr>
                <w:i/>
                <w:sz w:val="20"/>
              </w:rPr>
            </w:pPr>
            <w:r w:rsidRPr="00443D2D">
              <w:rPr>
                <w:i/>
                <w:sz w:val="20"/>
                <w:lang w:val="es-CL"/>
              </w:rPr>
              <w:t>Millones US$</w:t>
            </w:r>
          </w:p>
        </w:tc>
        <w:tc>
          <w:tcPr>
            <w:tcW w:w="1134" w:type="dxa"/>
          </w:tcPr>
          <w:p w:rsidR="00D93CDA" w:rsidRPr="00443D2D" w:rsidRDefault="00D93CDA" w:rsidP="00BB638C">
            <w:pPr>
              <w:jc w:val="center"/>
              <w:rPr>
                <w:i/>
                <w:sz w:val="20"/>
                <w:lang w:val="es-CL"/>
              </w:rPr>
            </w:pPr>
            <w:r w:rsidRPr="00443D2D">
              <w:rPr>
                <w:i/>
                <w:sz w:val="20"/>
                <w:lang w:val="es-CL"/>
              </w:rPr>
              <w:t>6,5</w:t>
            </w:r>
          </w:p>
        </w:tc>
      </w:tr>
      <w:tr w:rsidR="00D93CDA" w:rsidTr="00000D0F">
        <w:trPr>
          <w:jc w:val="center"/>
        </w:trPr>
        <w:tc>
          <w:tcPr>
            <w:tcW w:w="3397" w:type="dxa"/>
          </w:tcPr>
          <w:p w:rsidR="00D93CDA" w:rsidRPr="00443D2D" w:rsidRDefault="00B002BC" w:rsidP="00D93CDA">
            <w:pPr>
              <w:jc w:val="both"/>
              <w:rPr>
                <w:sz w:val="20"/>
                <w:lang w:val="es-CL"/>
              </w:rPr>
            </w:pPr>
            <w:r>
              <w:rPr>
                <w:sz w:val="20"/>
                <w:lang w:val="es-CL"/>
              </w:rPr>
              <w:t>Impuesto</w:t>
            </w:r>
            <w:r w:rsidR="0026427E">
              <w:rPr>
                <w:rStyle w:val="FootnoteReference"/>
                <w:sz w:val="20"/>
                <w:lang w:val="es-CL"/>
              </w:rPr>
              <w:footnoteReference w:id="29"/>
            </w:r>
            <w:r>
              <w:rPr>
                <w:sz w:val="20"/>
                <w:lang w:val="es-CL"/>
              </w:rPr>
              <w:t xml:space="preserve"> (22</w:t>
            </w:r>
            <w:r w:rsidR="00D93CDA" w:rsidRPr="00443D2D">
              <w:rPr>
                <w:sz w:val="20"/>
                <w:lang w:val="es-CL"/>
              </w:rPr>
              <w:t>%</w:t>
            </w:r>
            <w:r>
              <w:rPr>
                <w:sz w:val="20"/>
                <w:lang w:val="es-CL"/>
              </w:rPr>
              <w:t xml:space="preserve"> año 6 en adelante</w:t>
            </w:r>
            <w:r w:rsidR="00D93CDA" w:rsidRPr="00443D2D">
              <w:rPr>
                <w:sz w:val="20"/>
                <w:lang w:val="es-CL"/>
              </w:rPr>
              <w:t>)</w:t>
            </w:r>
          </w:p>
        </w:tc>
        <w:tc>
          <w:tcPr>
            <w:tcW w:w="1560" w:type="dxa"/>
          </w:tcPr>
          <w:p w:rsidR="00D93CDA" w:rsidRPr="00443D2D" w:rsidRDefault="00D93CDA" w:rsidP="00D93CDA">
            <w:pPr>
              <w:jc w:val="center"/>
              <w:rPr>
                <w:sz w:val="20"/>
              </w:rPr>
            </w:pPr>
            <w:r w:rsidRPr="00443D2D">
              <w:rPr>
                <w:sz w:val="20"/>
                <w:lang w:val="es-CL"/>
              </w:rPr>
              <w:t>Millones US$</w:t>
            </w:r>
          </w:p>
        </w:tc>
        <w:tc>
          <w:tcPr>
            <w:tcW w:w="1134" w:type="dxa"/>
          </w:tcPr>
          <w:p w:rsidR="00D93CDA" w:rsidRPr="00443D2D" w:rsidRDefault="0026427E" w:rsidP="00BB638C">
            <w:pPr>
              <w:jc w:val="center"/>
              <w:rPr>
                <w:sz w:val="20"/>
                <w:lang w:val="es-CL"/>
              </w:rPr>
            </w:pPr>
            <w:r>
              <w:rPr>
                <w:sz w:val="20"/>
                <w:lang w:val="es-CL"/>
              </w:rPr>
              <w:t xml:space="preserve">0 - </w:t>
            </w:r>
            <w:r w:rsidR="00B002BC">
              <w:rPr>
                <w:sz w:val="20"/>
                <w:lang w:val="es-CL"/>
              </w:rPr>
              <w:t>2,74</w:t>
            </w:r>
          </w:p>
        </w:tc>
      </w:tr>
      <w:tr w:rsidR="00D93CDA" w:rsidTr="00000D0F">
        <w:trPr>
          <w:jc w:val="center"/>
        </w:trPr>
        <w:tc>
          <w:tcPr>
            <w:tcW w:w="3397" w:type="dxa"/>
          </w:tcPr>
          <w:p w:rsidR="00D93CDA" w:rsidRPr="00BB638C" w:rsidRDefault="00D93CDA" w:rsidP="00D93CDA">
            <w:pPr>
              <w:jc w:val="both"/>
              <w:rPr>
                <w:b/>
                <w:lang w:val="es-CL"/>
              </w:rPr>
            </w:pPr>
            <w:r w:rsidRPr="00BB638C">
              <w:rPr>
                <w:b/>
                <w:lang w:val="es-CL"/>
              </w:rPr>
              <w:t>Utilidad después de Impuestos</w:t>
            </w:r>
          </w:p>
        </w:tc>
        <w:tc>
          <w:tcPr>
            <w:tcW w:w="1560" w:type="dxa"/>
          </w:tcPr>
          <w:p w:rsidR="00D93CDA" w:rsidRPr="00BB638C" w:rsidRDefault="00D93CDA" w:rsidP="00D93CDA">
            <w:pPr>
              <w:jc w:val="center"/>
              <w:rPr>
                <w:b/>
              </w:rPr>
            </w:pPr>
            <w:r w:rsidRPr="00BB638C">
              <w:rPr>
                <w:b/>
                <w:lang w:val="es-CL"/>
              </w:rPr>
              <w:t>Millones US$</w:t>
            </w:r>
          </w:p>
        </w:tc>
        <w:tc>
          <w:tcPr>
            <w:tcW w:w="1134" w:type="dxa"/>
          </w:tcPr>
          <w:p w:rsidR="00D93CDA" w:rsidRPr="00BB638C" w:rsidRDefault="0026427E" w:rsidP="00BB638C">
            <w:pPr>
              <w:jc w:val="center"/>
              <w:rPr>
                <w:b/>
                <w:lang w:val="es-CL"/>
              </w:rPr>
            </w:pPr>
            <w:r>
              <w:rPr>
                <w:b/>
                <w:lang w:val="es-CL"/>
              </w:rPr>
              <w:t>1</w:t>
            </w:r>
            <w:r w:rsidR="00D93CDA" w:rsidRPr="00BB638C">
              <w:rPr>
                <w:b/>
                <w:lang w:val="es-CL"/>
              </w:rPr>
              <w:t>9</w:t>
            </w:r>
            <w:r>
              <w:rPr>
                <w:b/>
                <w:lang w:val="es-CL"/>
              </w:rPr>
              <w:t xml:space="preserve"> – 16,3</w:t>
            </w:r>
          </w:p>
        </w:tc>
      </w:tr>
      <w:tr w:rsidR="00D93CDA" w:rsidTr="00000D0F">
        <w:trPr>
          <w:trHeight w:val="484"/>
          <w:jc w:val="center"/>
        </w:trPr>
        <w:tc>
          <w:tcPr>
            <w:tcW w:w="3397" w:type="dxa"/>
            <w:shd w:val="clear" w:color="auto" w:fill="D9E2F3" w:themeFill="accent1" w:themeFillTint="33"/>
            <w:vAlign w:val="center"/>
          </w:tcPr>
          <w:p w:rsidR="00D93CDA" w:rsidRPr="0026427E" w:rsidRDefault="00D93CDA" w:rsidP="00DB5A36">
            <w:pPr>
              <w:jc w:val="both"/>
              <w:rPr>
                <w:b/>
                <w:sz w:val="24"/>
                <w:lang w:val="es-CL"/>
              </w:rPr>
            </w:pPr>
            <w:r w:rsidRPr="0026427E">
              <w:rPr>
                <w:b/>
                <w:sz w:val="24"/>
                <w:lang w:val="es-CL"/>
              </w:rPr>
              <w:t>TIR</w:t>
            </w:r>
            <w:r w:rsidR="00BB638C" w:rsidRPr="0026427E">
              <w:rPr>
                <w:b/>
                <w:sz w:val="24"/>
                <w:lang w:val="es-CL"/>
              </w:rPr>
              <w:t xml:space="preserve"> </w:t>
            </w:r>
            <w:r w:rsidR="00BB638C" w:rsidRPr="0026427E">
              <w:rPr>
                <w:sz w:val="24"/>
                <w:lang w:val="es-CL"/>
              </w:rPr>
              <w:t>(Tasa Interna de Retorno)</w:t>
            </w:r>
          </w:p>
        </w:tc>
        <w:tc>
          <w:tcPr>
            <w:tcW w:w="1560" w:type="dxa"/>
            <w:shd w:val="clear" w:color="auto" w:fill="D9E2F3" w:themeFill="accent1" w:themeFillTint="33"/>
            <w:vAlign w:val="center"/>
          </w:tcPr>
          <w:p w:rsidR="00D93CDA" w:rsidRPr="0026427E" w:rsidRDefault="00D93CDA" w:rsidP="00D93CDA">
            <w:pPr>
              <w:jc w:val="center"/>
              <w:rPr>
                <w:b/>
                <w:sz w:val="24"/>
                <w:lang w:val="es-CL"/>
              </w:rPr>
            </w:pPr>
            <w:r w:rsidRPr="0026427E">
              <w:rPr>
                <w:b/>
                <w:sz w:val="24"/>
                <w:lang w:val="es-CL"/>
              </w:rPr>
              <w:t>%</w:t>
            </w:r>
          </w:p>
        </w:tc>
        <w:tc>
          <w:tcPr>
            <w:tcW w:w="1134" w:type="dxa"/>
            <w:shd w:val="clear" w:color="auto" w:fill="D9E2F3" w:themeFill="accent1" w:themeFillTint="33"/>
            <w:vAlign w:val="center"/>
          </w:tcPr>
          <w:p w:rsidR="00D93CDA" w:rsidRPr="0026427E" w:rsidRDefault="00D93CDA" w:rsidP="00BB638C">
            <w:pPr>
              <w:jc w:val="center"/>
              <w:rPr>
                <w:b/>
                <w:sz w:val="24"/>
                <w:lang w:val="es-CL"/>
              </w:rPr>
            </w:pPr>
            <w:r w:rsidRPr="0026427E">
              <w:rPr>
                <w:b/>
                <w:sz w:val="24"/>
                <w:lang w:val="es-CL"/>
              </w:rPr>
              <w:t>7.</w:t>
            </w:r>
            <w:r w:rsidR="0026427E" w:rsidRPr="0026427E">
              <w:rPr>
                <w:b/>
                <w:sz w:val="24"/>
                <w:lang w:val="es-CL"/>
              </w:rPr>
              <w:t>9</w:t>
            </w:r>
            <w:r w:rsidRPr="0026427E">
              <w:rPr>
                <w:b/>
                <w:sz w:val="24"/>
                <w:lang w:val="es-CL"/>
              </w:rPr>
              <w:t>%</w:t>
            </w:r>
          </w:p>
        </w:tc>
      </w:tr>
    </w:tbl>
    <w:p w:rsidR="00DB5A36" w:rsidRDefault="00DB5A36" w:rsidP="00DB5A36">
      <w:pPr>
        <w:jc w:val="both"/>
        <w:rPr>
          <w:lang w:val="es-CL"/>
        </w:rPr>
      </w:pPr>
    </w:p>
    <w:p w:rsidR="00BB638C" w:rsidRDefault="00BB638C" w:rsidP="00F56913">
      <w:pPr>
        <w:jc w:val="both"/>
        <w:rPr>
          <w:lang w:val="es-CL"/>
        </w:rPr>
      </w:pPr>
    </w:p>
    <w:p w:rsidR="004261AA" w:rsidRDefault="004261AA" w:rsidP="00F56913">
      <w:pPr>
        <w:jc w:val="both"/>
        <w:rPr>
          <w:lang w:val="es-CL"/>
        </w:rPr>
      </w:pPr>
    </w:p>
    <w:p w:rsidR="00BB638C" w:rsidRDefault="004261AA" w:rsidP="00F56913">
      <w:pPr>
        <w:jc w:val="both"/>
        <w:rPr>
          <w:lang w:val="es-CL"/>
        </w:rPr>
      </w:pPr>
      <w:r w:rsidRPr="00443D2D">
        <w:rPr>
          <w:b/>
          <w:lang w:val="es-CL"/>
        </w:rPr>
        <w:t>OTROS FLUJOS RELEVANTES PARA LA EVALUACIÓN SOCIAL</w:t>
      </w:r>
      <w:r w:rsidR="00BB638C">
        <w:rPr>
          <w:lang w:val="es-CL"/>
        </w:rPr>
        <w:t xml:space="preserve"> son el ahorro por subsidio al combustible asociado con el cambio de factores energéticos empleados por la agroindustria</w:t>
      </w:r>
      <w:r w:rsidR="00443D2D">
        <w:rPr>
          <w:lang w:val="es-CL"/>
        </w:rPr>
        <w:t xml:space="preserve"> y, en contrapartida,</w:t>
      </w:r>
      <w:r w:rsidR="00BB638C">
        <w:rPr>
          <w:lang w:val="es-CL"/>
        </w:rPr>
        <w:t xml:space="preserve"> el aumento en los costos variables de generación y subsidio a los combustibles asociados al aumento de la demanda por energía eléctrica por parte de esta industria.</w:t>
      </w:r>
    </w:p>
    <w:p w:rsidR="00BB638C" w:rsidRPr="00443D2D" w:rsidRDefault="00443D2D" w:rsidP="00F56913">
      <w:pPr>
        <w:jc w:val="both"/>
        <w:rPr>
          <w:b/>
          <w:lang w:val="es-CL"/>
        </w:rPr>
      </w:pPr>
      <w:r w:rsidRPr="00443D2D">
        <w:rPr>
          <w:b/>
          <w:lang w:val="es-CL"/>
        </w:rPr>
        <w:t>Ahorro por Menor Subsidio a los Combustibles demandados por la agroindustria</w:t>
      </w:r>
    </w:p>
    <w:p w:rsidR="00443D2D" w:rsidRDefault="00443D2D" w:rsidP="00443D2D">
      <w:pPr>
        <w:jc w:val="both"/>
        <w:rPr>
          <w:lang w:val="es-CL"/>
        </w:rPr>
      </w:pPr>
      <w:r>
        <w:rPr>
          <w:lang w:val="es-CL"/>
        </w:rPr>
        <w:t xml:space="preserve">La conversión energética para motobombas, conllevará una disminución relevante de la demanda de combustibles por parte de la agroindustria. De esta forma, considerando que originalmente se consumían por este factor unos </w:t>
      </w:r>
      <w:r w:rsidRPr="004D1E53">
        <w:rPr>
          <w:b/>
          <w:lang w:val="es-CL"/>
        </w:rPr>
        <w:t>57</w:t>
      </w:r>
      <w:r>
        <w:rPr>
          <w:b/>
          <w:lang w:val="es-CL"/>
        </w:rPr>
        <w:t>,4</w:t>
      </w:r>
      <w:r w:rsidRPr="004D1E53">
        <w:rPr>
          <w:b/>
          <w:lang w:val="es-CL"/>
        </w:rPr>
        <w:t xml:space="preserve"> Millones de galones diésel anuales</w:t>
      </w:r>
      <w:r>
        <w:rPr>
          <w:lang w:val="es-CL"/>
        </w:rPr>
        <w:t>, se estima que el ahorro por subsidio a este combustible alcanzaría los US$ 40,95 Millones anuales, cuando el 100% de camaroneros se haya transformado, si se toma en consideración que el precio internacional del Diésel es de 1,63 US$/Galón</w:t>
      </w:r>
      <w:r>
        <w:rPr>
          <w:rStyle w:val="FootnoteReference"/>
          <w:lang w:val="es-CL"/>
        </w:rPr>
        <w:footnoteReference w:id="30"/>
      </w:r>
      <w:r>
        <w:rPr>
          <w:lang w:val="es-CL"/>
        </w:rPr>
        <w:t>, mientras el valor local subsidiado es de 0,9168</w:t>
      </w:r>
      <w:r w:rsidR="004261AA">
        <w:rPr>
          <w:rStyle w:val="FootnoteReference"/>
          <w:lang w:val="es-CL"/>
        </w:rPr>
        <w:footnoteReference w:id="31"/>
      </w:r>
      <w:r>
        <w:rPr>
          <w:lang w:val="es-CL"/>
        </w:rPr>
        <w:t xml:space="preserve"> US$/Galón.</w:t>
      </w:r>
    </w:p>
    <w:p w:rsidR="00443D2D" w:rsidRDefault="00443D2D" w:rsidP="00F56913">
      <w:pPr>
        <w:jc w:val="both"/>
        <w:rPr>
          <w:lang w:val="es-CL"/>
        </w:rPr>
      </w:pPr>
    </w:p>
    <w:p w:rsidR="00AF065F" w:rsidRDefault="00AF065F" w:rsidP="00F56913">
      <w:pPr>
        <w:jc w:val="both"/>
        <w:rPr>
          <w:b/>
          <w:i/>
          <w:lang w:val="es-CL"/>
        </w:rPr>
      </w:pPr>
    </w:p>
    <w:p w:rsidR="00BB638C" w:rsidRPr="004261AA" w:rsidRDefault="004261AA" w:rsidP="00F56913">
      <w:pPr>
        <w:jc w:val="both"/>
        <w:rPr>
          <w:b/>
          <w:i/>
          <w:lang w:val="es-CL"/>
        </w:rPr>
      </w:pPr>
      <w:r w:rsidRPr="004261AA">
        <w:rPr>
          <w:b/>
          <w:i/>
          <w:lang w:val="es-CL"/>
        </w:rPr>
        <w:t>Mayor Costo Variable por Energía Generada Adicional.</w:t>
      </w:r>
    </w:p>
    <w:p w:rsidR="004261AA" w:rsidRDefault="004261AA" w:rsidP="00F56913">
      <w:pPr>
        <w:jc w:val="both"/>
        <w:rPr>
          <w:lang w:val="es-CL"/>
        </w:rPr>
      </w:pPr>
      <w:r>
        <w:rPr>
          <w:lang w:val="es-CL"/>
        </w:rPr>
        <w:t xml:space="preserve">La incorporación del 100% de camaroneros evaluados al sistema eléctrico, significa un incremento de potencia de </w:t>
      </w:r>
      <w:r w:rsidRPr="004261AA">
        <w:rPr>
          <w:b/>
          <w:lang w:val="es-CL"/>
        </w:rPr>
        <w:t>258,4 MW</w:t>
      </w:r>
      <w:r>
        <w:rPr>
          <w:lang w:val="es-CL"/>
        </w:rPr>
        <w:t xml:space="preserve"> que, considerando la hipótesis de demanda ya descrita, se traduce en un requerimiento energético anual de 1,29 GWh en puntos de entrega de media tensión que, al escalarlo a nivel de generación (adicionando pérdidas técnicas), puede llegar hasta cerca de </w:t>
      </w:r>
      <w:r w:rsidRPr="004261AA">
        <w:rPr>
          <w:b/>
          <w:lang w:val="es-CL"/>
        </w:rPr>
        <w:t>1,5 GWh anuales.</w:t>
      </w:r>
    </w:p>
    <w:p w:rsidR="004261AA" w:rsidRDefault="004261AA" w:rsidP="00F56913">
      <w:pPr>
        <w:jc w:val="both"/>
        <w:rPr>
          <w:lang w:val="es-CL"/>
        </w:rPr>
      </w:pPr>
      <w:r>
        <w:rPr>
          <w:lang w:val="es-CL"/>
        </w:rPr>
        <w:t>Para valorar este costo de generación, se consideran los costos variables proyectados por el Plan Maestro de Electricidad 2016-2025 (ver Figura 6).</w:t>
      </w:r>
    </w:p>
    <w:p w:rsidR="004261AA" w:rsidRDefault="004261AA" w:rsidP="00F56913">
      <w:pPr>
        <w:jc w:val="both"/>
        <w:rPr>
          <w:lang w:val="es-CL"/>
        </w:rPr>
      </w:pPr>
      <w:r>
        <w:rPr>
          <w:lang w:val="es-CL"/>
        </w:rPr>
        <w:t>Luego, al considerar el ritmo de incorporación que alcanza gradualmente un 100% de agroindustriales en la primera década, los Costos Variables de Generación resultan en la proyección sintetizada en la figura siguiente.</w:t>
      </w:r>
    </w:p>
    <w:p w:rsidR="00012A22" w:rsidRDefault="00012A22" w:rsidP="00F56913">
      <w:pPr>
        <w:jc w:val="both"/>
        <w:rPr>
          <w:lang w:val="es-CL"/>
        </w:rPr>
      </w:pPr>
    </w:p>
    <w:p w:rsidR="004261AA" w:rsidRDefault="00A04817" w:rsidP="00F56913">
      <w:pPr>
        <w:jc w:val="both"/>
        <w:rPr>
          <w:lang w:val="es-CL"/>
        </w:rPr>
      </w:pPr>
      <w:r>
        <w:rPr>
          <w:noProof/>
          <w:lang w:val="en-US"/>
        </w:rPr>
        <w:drawing>
          <wp:inline distT="0" distB="0" distL="0" distR="0" wp14:anchorId="27681959">
            <wp:extent cx="5609344" cy="162236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5783" cy="1627117"/>
                    </a:xfrm>
                    <a:prstGeom prst="rect">
                      <a:avLst/>
                    </a:prstGeom>
                    <a:noFill/>
                  </pic:spPr>
                </pic:pic>
              </a:graphicData>
            </a:graphic>
          </wp:inline>
        </w:drawing>
      </w:r>
    </w:p>
    <w:p w:rsidR="00A04817" w:rsidRDefault="00A04817" w:rsidP="00012A22">
      <w:pPr>
        <w:jc w:val="center"/>
        <w:rPr>
          <w:lang w:val="es-CL"/>
        </w:rPr>
      </w:pPr>
      <w:r w:rsidRPr="00012A22">
        <w:rPr>
          <w:b/>
          <w:lang w:val="es-CL"/>
        </w:rPr>
        <w:t>Figura 30</w:t>
      </w:r>
      <w:r>
        <w:rPr>
          <w:lang w:val="es-CL"/>
        </w:rPr>
        <w:t xml:space="preserve">. Mayores Costos Variables </w:t>
      </w:r>
      <w:r w:rsidR="00012A22">
        <w:rPr>
          <w:lang w:val="es-CL"/>
        </w:rPr>
        <w:t>de Generación</w:t>
      </w:r>
    </w:p>
    <w:p w:rsidR="005054B0" w:rsidRDefault="005054B0" w:rsidP="00F56913">
      <w:pPr>
        <w:jc w:val="both"/>
        <w:rPr>
          <w:lang w:val="es-CL"/>
        </w:rPr>
      </w:pPr>
    </w:p>
    <w:p w:rsidR="00012A22" w:rsidRDefault="00012A22" w:rsidP="00F56913">
      <w:pPr>
        <w:jc w:val="both"/>
        <w:rPr>
          <w:lang w:val="es-CL"/>
        </w:rPr>
      </w:pPr>
    </w:p>
    <w:p w:rsidR="00AF065F" w:rsidRDefault="00AF065F" w:rsidP="00F56913">
      <w:pPr>
        <w:jc w:val="both"/>
        <w:rPr>
          <w:lang w:val="es-CL"/>
        </w:rPr>
      </w:pPr>
    </w:p>
    <w:p w:rsidR="004D1E53" w:rsidRPr="00012A22" w:rsidRDefault="00012A22" w:rsidP="00F56913">
      <w:pPr>
        <w:jc w:val="both"/>
        <w:rPr>
          <w:b/>
          <w:i/>
          <w:lang w:val="es-CL"/>
        </w:rPr>
      </w:pPr>
      <w:r w:rsidRPr="00012A22">
        <w:rPr>
          <w:b/>
          <w:i/>
          <w:lang w:val="es-CL"/>
        </w:rPr>
        <w:t>Mayor Subsidio por combustibles empleados en generación de la energía adicional</w:t>
      </w:r>
    </w:p>
    <w:p w:rsidR="00012A22" w:rsidRDefault="00012A22" w:rsidP="00F56913">
      <w:pPr>
        <w:jc w:val="both"/>
        <w:rPr>
          <w:lang w:val="es-CL"/>
        </w:rPr>
      </w:pPr>
      <w:r>
        <w:rPr>
          <w:lang w:val="es-CL"/>
        </w:rPr>
        <w:t>Dado que la matriz energética del Ecuador conserva una parte de su producción basada en combustibles fósiles, toda energía adicional demandará dicha parte de combustibles de forma proporcional (ver Figura 7). Ese subsidio, para el 100% de camaroneros demandando energía eléctrica alcanzaría los US$ 6,4 Millones anuales.</w:t>
      </w:r>
    </w:p>
    <w:p w:rsidR="00AF065F" w:rsidRDefault="00AF065F" w:rsidP="00012A22">
      <w:pPr>
        <w:spacing w:after="0"/>
        <w:jc w:val="center"/>
        <w:rPr>
          <w:b/>
          <w:lang w:val="es-CL"/>
        </w:rPr>
      </w:pPr>
    </w:p>
    <w:p w:rsidR="00012A22" w:rsidRDefault="00012A22" w:rsidP="00012A22">
      <w:pPr>
        <w:spacing w:after="0"/>
        <w:jc w:val="center"/>
        <w:rPr>
          <w:b/>
          <w:lang w:val="es-CL"/>
        </w:rPr>
      </w:pPr>
      <w:r w:rsidRPr="00CE6C82">
        <w:rPr>
          <w:b/>
          <w:lang w:val="es-CL"/>
        </w:rPr>
        <w:t>Tabla N°</w:t>
      </w:r>
      <w:r>
        <w:rPr>
          <w:b/>
          <w:lang w:val="es-CL"/>
        </w:rPr>
        <w:t>34</w:t>
      </w:r>
      <w:r w:rsidRPr="00CE6C82">
        <w:rPr>
          <w:b/>
          <w:lang w:val="es-CL"/>
        </w:rPr>
        <w:t xml:space="preserve"> </w:t>
      </w:r>
      <w:r>
        <w:rPr>
          <w:b/>
          <w:lang w:val="es-CL"/>
        </w:rPr>
        <w:t>Resultados Evaluación Económica</w:t>
      </w:r>
    </w:p>
    <w:p w:rsidR="00012A22" w:rsidRPr="002071B0" w:rsidRDefault="00012A22" w:rsidP="00012A22">
      <w:pPr>
        <w:spacing w:after="0"/>
        <w:jc w:val="center"/>
        <w:rPr>
          <w:b/>
          <w:lang w:val="es-CL"/>
        </w:rPr>
      </w:pPr>
      <w:r w:rsidRPr="00CE6C82">
        <w:rPr>
          <w:b/>
          <w:lang w:val="es-CL"/>
        </w:rPr>
        <w:t>Proyectos de Distribución para abastecer la Agroindustria</w:t>
      </w:r>
    </w:p>
    <w:tbl>
      <w:tblPr>
        <w:tblW w:w="6091" w:type="dxa"/>
        <w:jc w:val="center"/>
        <w:tblCellMar>
          <w:top w:w="15" w:type="dxa"/>
          <w:left w:w="70" w:type="dxa"/>
          <w:bottom w:w="15" w:type="dxa"/>
          <w:right w:w="70" w:type="dxa"/>
        </w:tblCellMar>
        <w:tblLook w:val="04A0" w:firstRow="1" w:lastRow="0" w:firstColumn="1" w:lastColumn="0" w:noHBand="0" w:noVBand="1"/>
      </w:tblPr>
      <w:tblGrid>
        <w:gridCol w:w="1980"/>
        <w:gridCol w:w="1198"/>
        <w:gridCol w:w="1422"/>
        <w:gridCol w:w="1491"/>
      </w:tblGrid>
      <w:tr w:rsidR="00012A22"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tcPr>
          <w:p w:rsidR="00012A22" w:rsidRPr="00814E69" w:rsidRDefault="00012A22" w:rsidP="004825E6">
            <w:pPr>
              <w:spacing w:after="0" w:line="240" w:lineRule="auto"/>
              <w:rPr>
                <w:rFonts w:ascii="Calibri" w:eastAsia="Times New Roman" w:hAnsi="Calibri" w:cs="Calibri"/>
                <w:b/>
                <w:bCs/>
                <w:color w:val="000000"/>
                <w:sz w:val="16"/>
                <w:szCs w:val="16"/>
                <w:lang w:eastAsia="es-CR"/>
              </w:rPr>
            </w:pPr>
            <w:r>
              <w:rPr>
                <w:rFonts w:ascii="Calibri" w:eastAsia="Times New Roman" w:hAnsi="Calibri" w:cs="Calibri"/>
                <w:b/>
                <w:bCs/>
                <w:color w:val="000000"/>
                <w:sz w:val="16"/>
                <w:szCs w:val="16"/>
                <w:lang w:eastAsia="es-CR"/>
              </w:rPr>
              <w:t>Distribuidora</w:t>
            </w:r>
          </w:p>
        </w:tc>
        <w:tc>
          <w:tcPr>
            <w:tcW w:w="1198"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012A22" w:rsidRPr="002071B0" w:rsidRDefault="00012A22" w:rsidP="004825E6">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Inversión E (US$)</w:t>
            </w:r>
          </w:p>
        </w:tc>
        <w:tc>
          <w:tcPr>
            <w:tcW w:w="142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012A22" w:rsidRPr="002071B0" w:rsidRDefault="00012A22" w:rsidP="004825E6">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VAN E (US$)</w:t>
            </w:r>
          </w:p>
        </w:tc>
        <w:tc>
          <w:tcPr>
            <w:tcW w:w="149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012A22" w:rsidRPr="002071B0" w:rsidRDefault="00012A22" w:rsidP="004825E6">
            <w:pPr>
              <w:spacing w:after="0" w:line="240" w:lineRule="auto"/>
              <w:jc w:val="center"/>
              <w:rPr>
                <w:rFonts w:ascii="Calibri" w:eastAsia="Times New Roman" w:hAnsi="Calibri" w:cs="Calibri"/>
                <w:b/>
                <w:color w:val="000000"/>
                <w:sz w:val="16"/>
                <w:szCs w:val="16"/>
                <w:lang w:eastAsia="es-CR"/>
              </w:rPr>
            </w:pPr>
            <w:r>
              <w:rPr>
                <w:rFonts w:ascii="Calibri" w:eastAsia="Times New Roman" w:hAnsi="Calibri" w:cs="Calibri"/>
                <w:b/>
                <w:color w:val="000000"/>
                <w:sz w:val="16"/>
                <w:szCs w:val="16"/>
                <w:lang w:eastAsia="es-CR"/>
              </w:rPr>
              <w:t>TIR E</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EL ORO</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2.920.420,5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131.994.419,7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50%</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ESMERALDAS</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1.538.758,7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14.348.325,8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37%</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GUAYAQUIL</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2.450.579,4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33.193.584,3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40%</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GUAYAS LOS RÍOS</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1.698.307,5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6.281.053,3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26%</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MANABÍ</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1.370.546,6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27.483.978,5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44%</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MILAGRO</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2.912.684,8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92.321.708,1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48%</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SANTA ELENA</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3.098.229,2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1.495.222,3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15%</w:t>
            </w:r>
          </w:p>
        </w:tc>
      </w:tr>
      <w:tr w:rsidR="00600D33" w:rsidRPr="00814E69" w:rsidTr="00600D33">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rsidR="00600D33" w:rsidRPr="00CE6C82" w:rsidRDefault="00600D33" w:rsidP="00600D33">
            <w:pPr>
              <w:spacing w:after="0" w:line="240" w:lineRule="auto"/>
              <w:rPr>
                <w:rFonts w:ascii="Calibri" w:eastAsia="Times New Roman" w:hAnsi="Calibri" w:cs="Calibri"/>
                <w:bCs/>
                <w:color w:val="000000"/>
                <w:sz w:val="16"/>
                <w:szCs w:val="16"/>
                <w:lang w:eastAsia="es-CR"/>
              </w:rPr>
            </w:pPr>
            <w:r w:rsidRPr="00CE6C82">
              <w:rPr>
                <w:rFonts w:ascii="Calibri" w:eastAsia="Times New Roman" w:hAnsi="Calibri" w:cs="Calibri"/>
                <w:bCs/>
                <w:color w:val="000000"/>
                <w:sz w:val="16"/>
                <w:szCs w:val="16"/>
                <w:lang w:eastAsia="es-CR"/>
              </w:rPr>
              <w:t>CNEL SANTO DOMINGO</w:t>
            </w:r>
          </w:p>
        </w:tc>
        <w:tc>
          <w:tcPr>
            <w:tcW w:w="1198" w:type="dxa"/>
            <w:tcBorders>
              <w:top w:val="single" w:sz="4" w:space="0" w:color="auto"/>
              <w:left w:val="nil"/>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2.211.942,6 </w:t>
            </w:r>
          </w:p>
        </w:tc>
        <w:tc>
          <w:tcPr>
            <w:tcW w:w="1422"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right"/>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 xml:space="preserve"> 16.782.237,0 </w:t>
            </w:r>
          </w:p>
        </w:tc>
        <w:tc>
          <w:tcPr>
            <w:tcW w:w="1491" w:type="dxa"/>
            <w:tcBorders>
              <w:top w:val="single" w:sz="4" w:space="0" w:color="auto"/>
              <w:left w:val="single" w:sz="4" w:space="0" w:color="auto"/>
              <w:bottom w:val="single" w:sz="4" w:space="0" w:color="auto"/>
              <w:right w:val="single" w:sz="4" w:space="0" w:color="auto"/>
            </w:tcBorders>
            <w:vAlign w:val="center"/>
          </w:tcPr>
          <w:p w:rsidR="00600D33" w:rsidRPr="00600D33" w:rsidRDefault="00600D33" w:rsidP="00600D33">
            <w:pPr>
              <w:spacing w:after="0" w:line="240" w:lineRule="auto"/>
              <w:jc w:val="center"/>
              <w:rPr>
                <w:rFonts w:ascii="Calibri" w:eastAsia="Times New Roman" w:hAnsi="Calibri" w:cs="Calibri"/>
                <w:bCs/>
                <w:color w:val="000000"/>
                <w:sz w:val="16"/>
                <w:szCs w:val="16"/>
                <w:lang w:eastAsia="es-CR"/>
              </w:rPr>
            </w:pPr>
            <w:r w:rsidRPr="00600D33">
              <w:rPr>
                <w:rFonts w:ascii="Calibri" w:eastAsia="Times New Roman" w:hAnsi="Calibri" w:cs="Calibri"/>
                <w:bCs/>
                <w:color w:val="000000"/>
                <w:sz w:val="16"/>
                <w:szCs w:val="16"/>
                <w:lang w:eastAsia="es-CR"/>
              </w:rPr>
              <w:t>35%</w:t>
            </w:r>
          </w:p>
        </w:tc>
      </w:tr>
      <w:tr w:rsidR="00600D33" w:rsidRPr="00814E69" w:rsidTr="00600D33">
        <w:trPr>
          <w:trHeight w:val="275"/>
          <w:jc w:val="center"/>
        </w:trPr>
        <w:tc>
          <w:tcPr>
            <w:tcW w:w="1980"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tcPr>
          <w:p w:rsidR="00600D33" w:rsidRPr="00CE6C82" w:rsidRDefault="00600D33" w:rsidP="00600D33">
            <w:pPr>
              <w:spacing w:after="0" w:line="240" w:lineRule="auto"/>
              <w:rPr>
                <w:rFonts w:ascii="Calibri" w:eastAsia="Times New Roman" w:hAnsi="Calibri" w:cs="Calibri"/>
                <w:b/>
                <w:bCs/>
                <w:color w:val="000000"/>
                <w:sz w:val="16"/>
                <w:szCs w:val="16"/>
                <w:lang w:eastAsia="es-CR"/>
              </w:rPr>
            </w:pPr>
            <w:r w:rsidRPr="00CE6C82">
              <w:rPr>
                <w:rFonts w:ascii="Calibri" w:eastAsia="Times New Roman" w:hAnsi="Calibri" w:cs="Calibri"/>
                <w:b/>
                <w:bCs/>
                <w:color w:val="000000"/>
                <w:sz w:val="16"/>
                <w:szCs w:val="16"/>
                <w:lang w:eastAsia="es-CR"/>
              </w:rPr>
              <w:t>TOTAL</w:t>
            </w:r>
          </w:p>
        </w:tc>
        <w:tc>
          <w:tcPr>
            <w:tcW w:w="1198" w:type="dxa"/>
            <w:tcBorders>
              <w:top w:val="single" w:sz="4" w:space="0" w:color="auto"/>
              <w:left w:val="nil"/>
              <w:bottom w:val="single" w:sz="4" w:space="0" w:color="auto"/>
              <w:right w:val="single" w:sz="4" w:space="0" w:color="auto"/>
            </w:tcBorders>
            <w:shd w:val="clear" w:color="auto" w:fill="FFD966" w:themeFill="accent4" w:themeFillTint="99"/>
            <w:vAlign w:val="center"/>
          </w:tcPr>
          <w:p w:rsidR="00600D33" w:rsidRPr="00600D33" w:rsidRDefault="00600D33" w:rsidP="00600D33">
            <w:pPr>
              <w:spacing w:after="0" w:line="240" w:lineRule="auto"/>
              <w:jc w:val="right"/>
              <w:rPr>
                <w:rFonts w:ascii="Calibri" w:eastAsia="Times New Roman" w:hAnsi="Calibri" w:cs="Calibri"/>
                <w:b/>
                <w:bCs/>
                <w:color w:val="000000"/>
                <w:sz w:val="16"/>
                <w:szCs w:val="16"/>
                <w:lang w:eastAsia="es-CR"/>
              </w:rPr>
            </w:pPr>
            <w:r w:rsidRPr="00600D33">
              <w:rPr>
                <w:rFonts w:ascii="Calibri" w:eastAsia="Times New Roman" w:hAnsi="Calibri" w:cs="Calibri"/>
                <w:b/>
                <w:bCs/>
                <w:color w:val="000000"/>
                <w:sz w:val="16"/>
                <w:szCs w:val="16"/>
                <w:lang w:eastAsia="es-CR"/>
              </w:rPr>
              <w:t xml:space="preserve"> 18.201.469,2 </w:t>
            </w:r>
          </w:p>
        </w:tc>
        <w:tc>
          <w:tcPr>
            <w:tcW w:w="142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00D33" w:rsidRPr="00600D33" w:rsidRDefault="00600D33" w:rsidP="00600D33">
            <w:pPr>
              <w:spacing w:after="0" w:line="240" w:lineRule="auto"/>
              <w:jc w:val="right"/>
              <w:rPr>
                <w:rFonts w:ascii="Calibri" w:eastAsia="Times New Roman" w:hAnsi="Calibri" w:cs="Calibri"/>
                <w:b/>
                <w:bCs/>
                <w:color w:val="000000"/>
                <w:sz w:val="16"/>
                <w:szCs w:val="16"/>
                <w:lang w:eastAsia="es-CR"/>
              </w:rPr>
            </w:pPr>
            <w:r w:rsidRPr="00600D33">
              <w:rPr>
                <w:rFonts w:ascii="Calibri" w:eastAsia="Times New Roman" w:hAnsi="Calibri" w:cs="Calibri"/>
                <w:b/>
                <w:bCs/>
                <w:color w:val="000000"/>
                <w:sz w:val="16"/>
                <w:szCs w:val="16"/>
                <w:lang w:eastAsia="es-CR"/>
              </w:rPr>
              <w:t xml:space="preserve"> 323.900.528,9 </w:t>
            </w:r>
          </w:p>
        </w:tc>
        <w:tc>
          <w:tcPr>
            <w:tcW w:w="149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600D33" w:rsidRPr="00600D33" w:rsidRDefault="00600D33" w:rsidP="00600D33">
            <w:pPr>
              <w:spacing w:after="0" w:line="240" w:lineRule="auto"/>
              <w:jc w:val="center"/>
              <w:rPr>
                <w:rFonts w:ascii="Calibri" w:eastAsia="Times New Roman" w:hAnsi="Calibri" w:cs="Calibri"/>
                <w:b/>
                <w:bCs/>
                <w:color w:val="000000"/>
                <w:sz w:val="16"/>
                <w:szCs w:val="16"/>
                <w:lang w:eastAsia="es-CR"/>
              </w:rPr>
            </w:pPr>
            <w:r w:rsidRPr="00600D33">
              <w:rPr>
                <w:rFonts w:ascii="Calibri" w:eastAsia="Times New Roman" w:hAnsi="Calibri" w:cs="Calibri"/>
                <w:b/>
                <w:bCs/>
                <w:color w:val="000000"/>
                <w:sz w:val="16"/>
                <w:szCs w:val="16"/>
                <w:lang w:eastAsia="es-CR"/>
              </w:rPr>
              <w:t>43%</w:t>
            </w:r>
          </w:p>
        </w:tc>
      </w:tr>
    </w:tbl>
    <w:p w:rsidR="00AC1476" w:rsidRDefault="00035BC2" w:rsidP="00AC1476">
      <w:pPr>
        <w:pStyle w:val="Heading2"/>
        <w:rPr>
          <w:lang w:val="es-CL"/>
        </w:rPr>
      </w:pPr>
      <w:bookmarkStart w:id="29" w:name="_Toc491617772"/>
      <w:r>
        <w:rPr>
          <w:lang w:val="es-CL"/>
        </w:rPr>
        <w:t>C III. Proyecto</w:t>
      </w:r>
      <w:r w:rsidR="00AC1476">
        <w:rPr>
          <w:lang w:val="es-CL"/>
        </w:rPr>
        <w:t xml:space="preserve"> de Eficiencia Energética para la Agroindustria</w:t>
      </w:r>
      <w:bookmarkEnd w:id="29"/>
    </w:p>
    <w:p w:rsidR="00012A22" w:rsidRDefault="004825E6" w:rsidP="00F56913">
      <w:pPr>
        <w:jc w:val="both"/>
        <w:rPr>
          <w:lang w:val="es-CL"/>
        </w:rPr>
      </w:pPr>
      <w:r>
        <w:rPr>
          <w:lang w:val="es-CL"/>
        </w:rPr>
        <w:t>Con el fin de producir un ahorro neto del consumo de energía por parte de la agroindustria objeto de este programa, se llevarán a efecto u</w:t>
      </w:r>
      <w:r w:rsidR="00035BC2">
        <w:rPr>
          <w:lang w:val="es-CL"/>
        </w:rPr>
        <w:t>na serie de iniciativas interdepen</w:t>
      </w:r>
      <w:r>
        <w:rPr>
          <w:lang w:val="es-CL"/>
        </w:rPr>
        <w:t xml:space="preserve">dientes, </w:t>
      </w:r>
      <w:r w:rsidR="00035BC2">
        <w:rPr>
          <w:lang w:val="es-CL"/>
        </w:rPr>
        <w:t>como parte del Proyecto de Eficiencia Energética para la Industria en el Ecuador (EEI). El monto total de esta inversión es de US$ 2.400.000 y se desglosa según la tabla siguiente.</w:t>
      </w:r>
    </w:p>
    <w:p w:rsidR="0026427E" w:rsidRDefault="0026427E" w:rsidP="00F56913">
      <w:pPr>
        <w:jc w:val="both"/>
        <w:rPr>
          <w:lang w:val="es-CL"/>
        </w:rPr>
      </w:pPr>
    </w:p>
    <w:p w:rsidR="00035BC2" w:rsidRPr="00035BC2" w:rsidRDefault="00035BC2" w:rsidP="00035BC2">
      <w:pPr>
        <w:spacing w:after="0"/>
        <w:jc w:val="center"/>
        <w:rPr>
          <w:b/>
          <w:lang w:val="es-CL"/>
        </w:rPr>
      </w:pPr>
      <w:r w:rsidRPr="00035BC2">
        <w:rPr>
          <w:b/>
          <w:lang w:val="es-CL"/>
        </w:rPr>
        <w:t>Tabla N°35. Componentes Proyecto de Eficiencia Energética para la Agroindustria</w:t>
      </w:r>
    </w:p>
    <w:tbl>
      <w:tblPr>
        <w:tblW w:w="0" w:type="auto"/>
        <w:tblLook w:val="04A0" w:firstRow="1" w:lastRow="0" w:firstColumn="1" w:lastColumn="0" w:noHBand="0" w:noVBand="1"/>
      </w:tblPr>
      <w:tblGrid>
        <w:gridCol w:w="421"/>
        <w:gridCol w:w="3260"/>
        <w:gridCol w:w="3859"/>
        <w:gridCol w:w="1288"/>
      </w:tblGrid>
      <w:tr w:rsidR="00D41A9C" w:rsidTr="00000D0F">
        <w:trPr>
          <w:trHeight w:val="574"/>
        </w:trPr>
        <w:tc>
          <w:tcPr>
            <w:tcW w:w="42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D41A9C" w:rsidRPr="00D41A9C" w:rsidRDefault="00D41A9C" w:rsidP="00D41A9C">
            <w:pPr>
              <w:jc w:val="center"/>
              <w:rPr>
                <w:b/>
                <w:sz w:val="16"/>
                <w:lang w:val="es-CL"/>
              </w:rPr>
            </w:pPr>
            <w:r>
              <w:rPr>
                <w:b/>
                <w:sz w:val="16"/>
                <w:lang w:val="es-CL"/>
              </w:rPr>
              <w:t>N°</w:t>
            </w:r>
          </w:p>
        </w:tc>
        <w:tc>
          <w:tcPr>
            <w:tcW w:w="326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D41A9C" w:rsidRPr="00D41A9C" w:rsidRDefault="00D41A9C" w:rsidP="00D41A9C">
            <w:pPr>
              <w:jc w:val="center"/>
              <w:rPr>
                <w:b/>
                <w:sz w:val="16"/>
                <w:lang w:val="es-CL"/>
              </w:rPr>
            </w:pPr>
            <w:r w:rsidRPr="00D41A9C">
              <w:rPr>
                <w:b/>
                <w:sz w:val="16"/>
                <w:lang w:val="es-CL"/>
              </w:rPr>
              <w:t>Componentes</w:t>
            </w:r>
          </w:p>
        </w:tc>
        <w:tc>
          <w:tcPr>
            <w:tcW w:w="3859"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D41A9C" w:rsidRPr="00D41A9C" w:rsidRDefault="00D41A9C" w:rsidP="00D41A9C">
            <w:pPr>
              <w:jc w:val="center"/>
              <w:rPr>
                <w:b/>
                <w:sz w:val="16"/>
                <w:lang w:val="es-CL"/>
              </w:rPr>
            </w:pPr>
            <w:r w:rsidRPr="00D41A9C">
              <w:rPr>
                <w:b/>
                <w:sz w:val="16"/>
                <w:lang w:val="es-CL"/>
              </w:rPr>
              <w:t>Actividad</w:t>
            </w:r>
          </w:p>
        </w:tc>
        <w:tc>
          <w:tcPr>
            <w:tcW w:w="1288"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D41A9C" w:rsidRPr="00D41A9C" w:rsidRDefault="00D41A9C" w:rsidP="00D41A9C">
            <w:pPr>
              <w:jc w:val="center"/>
              <w:rPr>
                <w:b/>
                <w:sz w:val="16"/>
                <w:lang w:val="es-CL"/>
              </w:rPr>
            </w:pPr>
            <w:r w:rsidRPr="00D41A9C">
              <w:rPr>
                <w:b/>
                <w:sz w:val="16"/>
                <w:lang w:val="es-CL"/>
              </w:rPr>
              <w:t>Inversión</w:t>
            </w:r>
          </w:p>
        </w:tc>
      </w:tr>
      <w:tr w:rsidR="00D41A9C" w:rsidTr="00000D0F">
        <w:tc>
          <w:tcPr>
            <w:tcW w:w="421"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center"/>
              <w:rPr>
                <w:sz w:val="16"/>
                <w:lang w:val="es-CL"/>
              </w:rPr>
            </w:pPr>
            <w:r>
              <w:rPr>
                <w:sz w:val="16"/>
                <w:lang w:val="es-CL"/>
              </w:rPr>
              <w:t>1</w:t>
            </w:r>
          </w:p>
        </w:tc>
        <w:tc>
          <w:tcPr>
            <w:tcW w:w="3260"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035BC2">
            <w:pPr>
              <w:jc w:val="both"/>
              <w:rPr>
                <w:sz w:val="16"/>
                <w:lang w:val="es-CL"/>
              </w:rPr>
            </w:pPr>
            <w:r w:rsidRPr="00D41A9C">
              <w:rPr>
                <w:sz w:val="16"/>
                <w:lang w:val="es-CL"/>
              </w:rPr>
              <w:t>Programa nacional para la aplicación de un estándar de gestión de energía compatible con la norma ISO 50,001</w:t>
            </w:r>
          </w:p>
        </w:tc>
        <w:tc>
          <w:tcPr>
            <w:tcW w:w="3859"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Normativa y etiquetado de eficiencia energética</w:t>
            </w:r>
          </w:p>
        </w:tc>
        <w:tc>
          <w:tcPr>
            <w:tcW w:w="1288"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right"/>
              <w:rPr>
                <w:sz w:val="16"/>
                <w:lang w:val="es-CL"/>
              </w:rPr>
            </w:pPr>
            <w:r w:rsidRPr="00D41A9C">
              <w:rPr>
                <w:sz w:val="16"/>
                <w:lang w:val="es-CL"/>
              </w:rPr>
              <w:t>200.000,0</w:t>
            </w:r>
          </w:p>
        </w:tc>
      </w:tr>
      <w:tr w:rsidR="00D41A9C" w:rsidTr="00000D0F">
        <w:tc>
          <w:tcPr>
            <w:tcW w:w="421" w:type="dxa"/>
            <w:vMerge w:val="restart"/>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center"/>
              <w:rPr>
                <w:sz w:val="16"/>
                <w:lang w:val="es-CL"/>
              </w:rPr>
            </w:pPr>
            <w:r>
              <w:rPr>
                <w:sz w:val="16"/>
                <w:lang w:val="es-CL"/>
              </w:rPr>
              <w:t>2</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Implementación de Proyectos Piloto</w:t>
            </w:r>
          </w:p>
        </w:tc>
        <w:tc>
          <w:tcPr>
            <w:tcW w:w="3859"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Levantamiento de la línea base del sector agroindustrial: Auditorías energéticas para determinar consumos actuales y usos finales de energía en los distintos procesos productivos.</w:t>
            </w:r>
          </w:p>
        </w:tc>
        <w:tc>
          <w:tcPr>
            <w:tcW w:w="1288"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right"/>
              <w:rPr>
                <w:sz w:val="16"/>
                <w:lang w:val="es-CL"/>
              </w:rPr>
            </w:pPr>
            <w:r w:rsidRPr="00D41A9C">
              <w:rPr>
                <w:sz w:val="16"/>
                <w:lang w:val="es-CL"/>
              </w:rPr>
              <w:t>425.000,0</w:t>
            </w:r>
          </w:p>
        </w:tc>
      </w:tr>
      <w:tr w:rsidR="00D41A9C" w:rsidTr="00000D0F">
        <w:trPr>
          <w:trHeight w:val="504"/>
        </w:trPr>
        <w:tc>
          <w:tcPr>
            <w:tcW w:w="421" w:type="dxa"/>
            <w:vMerge/>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center"/>
              <w:rPr>
                <w:sz w:val="16"/>
                <w:lang w:val="es-CL"/>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p>
        </w:tc>
        <w:tc>
          <w:tcPr>
            <w:tcW w:w="3859"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Proyecto de reconversión energética</w:t>
            </w:r>
          </w:p>
        </w:tc>
        <w:tc>
          <w:tcPr>
            <w:tcW w:w="1288"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right"/>
              <w:rPr>
                <w:sz w:val="16"/>
                <w:lang w:val="es-CL"/>
              </w:rPr>
            </w:pPr>
            <w:r w:rsidRPr="00D41A9C">
              <w:rPr>
                <w:sz w:val="16"/>
                <w:lang w:val="es-CL"/>
              </w:rPr>
              <w:t>550.000,0</w:t>
            </w:r>
          </w:p>
        </w:tc>
      </w:tr>
      <w:tr w:rsidR="00D41A9C" w:rsidTr="00000D0F">
        <w:tc>
          <w:tcPr>
            <w:tcW w:w="421"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center"/>
              <w:rPr>
                <w:sz w:val="16"/>
                <w:lang w:val="es-CL"/>
              </w:rPr>
            </w:pPr>
            <w:r>
              <w:rPr>
                <w:sz w:val="16"/>
                <w:lang w:val="es-CL"/>
              </w:rPr>
              <w:t>3</w:t>
            </w:r>
          </w:p>
        </w:tc>
        <w:tc>
          <w:tcPr>
            <w:tcW w:w="3260"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Análisis de regulación e infraestructura institucional para la adopción de medidas de EE Industrial y desarrollo de herramientas para facilitar la adopción de medidas de EE</w:t>
            </w:r>
          </w:p>
        </w:tc>
        <w:tc>
          <w:tcPr>
            <w:tcW w:w="3859"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Proyecto de consolidación del marco regulatorio para promover la eficiencia energética en el país.</w:t>
            </w:r>
          </w:p>
          <w:p w:rsidR="00D41A9C" w:rsidRPr="00D41A9C" w:rsidRDefault="00D41A9C" w:rsidP="00F56913">
            <w:pPr>
              <w:jc w:val="both"/>
              <w:rPr>
                <w:sz w:val="16"/>
                <w:lang w:val="es-CL"/>
              </w:rPr>
            </w:pPr>
            <w:r w:rsidRPr="00D41A9C">
              <w:rPr>
                <w:sz w:val="16"/>
                <w:lang w:val="es-CL"/>
              </w:rPr>
              <w:t>Proyecto de fortalecimiento del marco institucional para promover la eficiencia energética en el país-</w:t>
            </w:r>
          </w:p>
          <w:p w:rsidR="00D41A9C" w:rsidRPr="00D41A9C" w:rsidRDefault="00D41A9C" w:rsidP="00F56913">
            <w:pPr>
              <w:jc w:val="both"/>
              <w:rPr>
                <w:sz w:val="16"/>
                <w:lang w:val="es-CL"/>
              </w:rPr>
            </w:pPr>
            <w:r w:rsidRPr="00D41A9C">
              <w:rPr>
                <w:sz w:val="16"/>
                <w:lang w:val="es-CL"/>
              </w:rPr>
              <w:t>Propuesta de Ley para fomento de EE en los sectores de demanda y oferta considerados en el PLANEE (Plan Nacional de Eficiencia Energética)</w:t>
            </w:r>
          </w:p>
        </w:tc>
        <w:tc>
          <w:tcPr>
            <w:tcW w:w="1288"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right"/>
              <w:rPr>
                <w:sz w:val="16"/>
                <w:lang w:val="es-CL"/>
              </w:rPr>
            </w:pPr>
            <w:r w:rsidRPr="00D41A9C">
              <w:rPr>
                <w:sz w:val="16"/>
                <w:lang w:val="es-CL"/>
              </w:rPr>
              <w:t>200.000,0</w:t>
            </w:r>
          </w:p>
        </w:tc>
      </w:tr>
      <w:tr w:rsidR="00D41A9C" w:rsidTr="00000D0F">
        <w:tc>
          <w:tcPr>
            <w:tcW w:w="421" w:type="dxa"/>
            <w:vMerge w:val="restart"/>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center"/>
              <w:rPr>
                <w:sz w:val="16"/>
                <w:lang w:val="es-CL"/>
              </w:rPr>
            </w:pPr>
            <w:r>
              <w:rPr>
                <w:sz w:val="16"/>
                <w:lang w:val="es-CL"/>
              </w:rPr>
              <w:t>4</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Fortalecimiento de la capacidad del personal dedicado a EE de los sectores público y privado en las áreas de gestión de la energía, la optimización de sistemas y la promoción de la eficiencia energética.</w:t>
            </w:r>
          </w:p>
        </w:tc>
        <w:tc>
          <w:tcPr>
            <w:tcW w:w="3859"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Capacitación técnicos optimizadores de sistemas de bombeo y técnicos en Sistemas de Gestión Energética</w:t>
            </w:r>
          </w:p>
        </w:tc>
        <w:tc>
          <w:tcPr>
            <w:tcW w:w="1288"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right"/>
              <w:rPr>
                <w:sz w:val="16"/>
                <w:lang w:val="es-CL"/>
              </w:rPr>
            </w:pPr>
            <w:r w:rsidRPr="00D41A9C">
              <w:rPr>
                <w:sz w:val="16"/>
                <w:lang w:val="es-CL"/>
              </w:rPr>
              <w:t>175,000.0</w:t>
            </w:r>
          </w:p>
        </w:tc>
      </w:tr>
      <w:tr w:rsidR="00D41A9C" w:rsidTr="00000D0F">
        <w:tc>
          <w:tcPr>
            <w:tcW w:w="421" w:type="dxa"/>
            <w:vMerge/>
            <w:tcBorders>
              <w:top w:val="single" w:sz="4" w:space="0" w:color="auto"/>
              <w:left w:val="single" w:sz="4" w:space="0" w:color="auto"/>
              <w:bottom w:val="single" w:sz="4" w:space="0" w:color="auto"/>
              <w:right w:val="single" w:sz="4" w:space="0" w:color="auto"/>
            </w:tcBorders>
          </w:tcPr>
          <w:p w:rsidR="00D41A9C" w:rsidRPr="00D41A9C" w:rsidRDefault="00D41A9C" w:rsidP="00D41A9C">
            <w:pPr>
              <w:jc w:val="center"/>
              <w:rPr>
                <w:sz w:val="16"/>
                <w:lang w:val="es-CL"/>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p>
        </w:tc>
        <w:tc>
          <w:tcPr>
            <w:tcW w:w="3859"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F56913">
            <w:pPr>
              <w:jc w:val="both"/>
              <w:rPr>
                <w:sz w:val="16"/>
                <w:lang w:val="es-CL"/>
              </w:rPr>
            </w:pPr>
            <w:r w:rsidRPr="00D41A9C">
              <w:rPr>
                <w:sz w:val="16"/>
                <w:lang w:val="es-CL"/>
              </w:rPr>
              <w:t>Implementación SGEn (Sistemas de Gestión de la Energía)</w:t>
            </w:r>
          </w:p>
        </w:tc>
        <w:tc>
          <w:tcPr>
            <w:tcW w:w="1288" w:type="dxa"/>
            <w:tcBorders>
              <w:top w:val="single" w:sz="4" w:space="0" w:color="auto"/>
              <w:left w:val="single" w:sz="4" w:space="0" w:color="auto"/>
              <w:bottom w:val="single" w:sz="4" w:space="0" w:color="auto"/>
              <w:right w:val="single" w:sz="4" w:space="0" w:color="auto"/>
            </w:tcBorders>
            <w:vAlign w:val="center"/>
          </w:tcPr>
          <w:p w:rsidR="00D41A9C" w:rsidRPr="00D41A9C" w:rsidRDefault="00D41A9C" w:rsidP="00D41A9C">
            <w:pPr>
              <w:jc w:val="right"/>
              <w:rPr>
                <w:sz w:val="16"/>
                <w:lang w:val="es-CL"/>
              </w:rPr>
            </w:pPr>
            <w:r w:rsidRPr="00D41A9C">
              <w:rPr>
                <w:sz w:val="16"/>
                <w:lang w:val="es-CL"/>
              </w:rPr>
              <w:t>850,000.0</w:t>
            </w:r>
          </w:p>
        </w:tc>
      </w:tr>
      <w:tr w:rsidR="00D41A9C" w:rsidTr="00000D0F">
        <w:trPr>
          <w:trHeight w:val="464"/>
        </w:trPr>
        <w:tc>
          <w:tcPr>
            <w:tcW w:w="421"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D41A9C" w:rsidRPr="00D41A9C" w:rsidRDefault="00D41A9C" w:rsidP="00D41A9C">
            <w:pPr>
              <w:jc w:val="center"/>
              <w:rPr>
                <w:b/>
                <w:sz w:val="16"/>
                <w:lang w:val="es-CL"/>
              </w:rPr>
            </w:pPr>
          </w:p>
        </w:tc>
        <w:tc>
          <w:tcPr>
            <w:tcW w:w="7119"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D41A9C" w:rsidRPr="00D41A9C" w:rsidRDefault="00D41A9C" w:rsidP="00F56913">
            <w:pPr>
              <w:jc w:val="both"/>
              <w:rPr>
                <w:b/>
                <w:sz w:val="16"/>
                <w:lang w:val="es-CL"/>
              </w:rPr>
            </w:pPr>
            <w:r w:rsidRPr="00D41A9C">
              <w:rPr>
                <w:b/>
                <w:sz w:val="16"/>
                <w:lang w:val="es-CL"/>
              </w:rPr>
              <w:t>Total</w:t>
            </w:r>
          </w:p>
        </w:tc>
        <w:tc>
          <w:tcPr>
            <w:tcW w:w="1288"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D41A9C" w:rsidRPr="00D41A9C" w:rsidRDefault="00D41A9C" w:rsidP="00D41A9C">
            <w:pPr>
              <w:jc w:val="right"/>
              <w:rPr>
                <w:b/>
                <w:sz w:val="16"/>
                <w:lang w:val="es-CL"/>
              </w:rPr>
            </w:pPr>
            <w:r w:rsidRPr="00D41A9C">
              <w:rPr>
                <w:b/>
                <w:sz w:val="16"/>
                <w:lang w:val="es-CL"/>
              </w:rPr>
              <w:t>2,400,000.0</w:t>
            </w:r>
          </w:p>
        </w:tc>
      </w:tr>
    </w:tbl>
    <w:p w:rsidR="00035BC2" w:rsidRDefault="00035BC2" w:rsidP="00F56913">
      <w:pPr>
        <w:jc w:val="both"/>
        <w:rPr>
          <w:lang w:val="es-CL"/>
        </w:rPr>
      </w:pPr>
    </w:p>
    <w:p w:rsidR="00AC1476" w:rsidRDefault="00A43874" w:rsidP="00F56913">
      <w:pPr>
        <w:jc w:val="both"/>
        <w:rPr>
          <w:lang w:val="es-CL"/>
        </w:rPr>
      </w:pPr>
      <w:r>
        <w:rPr>
          <w:lang w:val="es-CL"/>
        </w:rPr>
        <w:t>Desde el punto de vista de una evaluación de este proyecto, sólo se considera su aporte en Beneficios Socio Económicos, dado que financieramente no se identifican ingresos o costos para la entidad ejecutora (MEER), más allá de la propia inversión incurrida.</w:t>
      </w:r>
    </w:p>
    <w:p w:rsidR="00A43874" w:rsidRDefault="00872DE1" w:rsidP="00F56913">
      <w:pPr>
        <w:jc w:val="both"/>
        <w:rPr>
          <w:lang w:val="es-CL"/>
        </w:rPr>
      </w:pPr>
      <w:r>
        <w:rPr>
          <w:lang w:val="es-CL"/>
        </w:rPr>
        <w:t>De esta forma se considera</w:t>
      </w:r>
      <w:r w:rsidR="00A43874">
        <w:rPr>
          <w:lang w:val="es-CL"/>
        </w:rPr>
        <w:t xml:space="preserve"> que, como producto de la ejecución de estas iniciativas, basados principalmente en la literatura de ramo</w:t>
      </w:r>
      <w:r w:rsidR="00A43874">
        <w:rPr>
          <w:rStyle w:val="FootnoteReference"/>
          <w:lang w:val="es-CL"/>
        </w:rPr>
        <w:footnoteReference w:id="32"/>
      </w:r>
      <w:r w:rsidR="00A43874">
        <w:rPr>
          <w:lang w:val="es-CL"/>
        </w:rPr>
        <w:t xml:space="preserve">, se puede esperar un ahorro neto de 15%-25% del consumo de energía </w:t>
      </w:r>
      <w:r w:rsidR="0026427E">
        <w:rPr>
          <w:lang w:val="es-CL"/>
        </w:rPr>
        <w:t>eléctrica en</w:t>
      </w:r>
      <w:r w:rsidR="00A43874">
        <w:rPr>
          <w:lang w:val="es-CL"/>
        </w:rPr>
        <w:t xml:space="preserve"> la agroindustria.</w:t>
      </w:r>
    </w:p>
    <w:p w:rsidR="00872DE1" w:rsidRDefault="00872DE1" w:rsidP="00F56913">
      <w:pPr>
        <w:jc w:val="both"/>
        <w:rPr>
          <w:lang w:val="es-CL"/>
        </w:rPr>
      </w:pPr>
      <w:r>
        <w:rPr>
          <w:lang w:val="es-CL"/>
        </w:rPr>
        <w:t xml:space="preserve">Conservadoramente, se asume un ahorro esperable de un 15%. Lo cual, a nivel socioeconómico tiene una repercusión directa en reducir los costos variables y subsidio a combustibles de la generación eléctrica asociada con la mayor </w:t>
      </w:r>
      <w:r w:rsidR="0026427E">
        <w:rPr>
          <w:lang w:val="es-CL"/>
        </w:rPr>
        <w:t xml:space="preserve">energía eléctrica consumida por esta </w:t>
      </w:r>
      <w:r>
        <w:rPr>
          <w:lang w:val="es-CL"/>
        </w:rPr>
        <w:t>industria.</w:t>
      </w:r>
    </w:p>
    <w:p w:rsidR="00F555AA" w:rsidRDefault="00F555AA" w:rsidP="00F56913">
      <w:pPr>
        <w:jc w:val="both"/>
        <w:rPr>
          <w:lang w:val="es-CL"/>
        </w:rPr>
      </w:pPr>
    </w:p>
    <w:p w:rsidR="00872DE1" w:rsidRDefault="00872DE1" w:rsidP="00872DE1">
      <w:pPr>
        <w:spacing w:after="0"/>
        <w:jc w:val="center"/>
        <w:rPr>
          <w:b/>
          <w:lang w:val="es-CL"/>
        </w:rPr>
      </w:pPr>
      <w:r w:rsidRPr="00872DE1">
        <w:rPr>
          <w:b/>
          <w:lang w:val="es-CL"/>
        </w:rPr>
        <w:t xml:space="preserve">Tabla N°36 Ahorros socioeconómicos </w:t>
      </w:r>
      <w:r>
        <w:rPr>
          <w:b/>
          <w:lang w:val="es-CL"/>
        </w:rPr>
        <w:t>esperados</w:t>
      </w:r>
    </w:p>
    <w:p w:rsidR="00872DE1" w:rsidRPr="00872DE1" w:rsidRDefault="00872DE1" w:rsidP="00872DE1">
      <w:pPr>
        <w:spacing w:after="0"/>
        <w:jc w:val="center"/>
        <w:rPr>
          <w:b/>
          <w:lang w:val="es-CL"/>
        </w:rPr>
      </w:pPr>
      <w:r w:rsidRPr="00872DE1">
        <w:rPr>
          <w:b/>
          <w:lang w:val="es-CL"/>
        </w:rPr>
        <w:t>por programas de Eficiencia Energética en la Agroindustria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872DE1" w:rsidTr="00000D0F">
        <w:tc>
          <w:tcPr>
            <w:tcW w:w="4414" w:type="dxa"/>
            <w:shd w:val="clear" w:color="auto" w:fill="FFD966" w:themeFill="accent4" w:themeFillTint="99"/>
          </w:tcPr>
          <w:p w:rsidR="00872DE1" w:rsidRPr="00872DE1" w:rsidRDefault="00872DE1" w:rsidP="00F56913">
            <w:pPr>
              <w:jc w:val="both"/>
              <w:rPr>
                <w:b/>
                <w:lang w:val="es-CL"/>
              </w:rPr>
            </w:pPr>
            <w:r w:rsidRPr="00872DE1">
              <w:rPr>
                <w:b/>
                <w:lang w:val="es-CL"/>
              </w:rPr>
              <w:t>Ítem</w:t>
            </w:r>
          </w:p>
        </w:tc>
        <w:tc>
          <w:tcPr>
            <w:tcW w:w="4414" w:type="dxa"/>
            <w:shd w:val="clear" w:color="auto" w:fill="FFD966" w:themeFill="accent4" w:themeFillTint="99"/>
          </w:tcPr>
          <w:p w:rsidR="00811B1E" w:rsidRDefault="00872DE1" w:rsidP="00811B1E">
            <w:pPr>
              <w:jc w:val="center"/>
              <w:rPr>
                <w:b/>
                <w:lang w:val="es-CL"/>
              </w:rPr>
            </w:pPr>
            <w:r w:rsidRPr="00872DE1">
              <w:rPr>
                <w:b/>
                <w:lang w:val="es-CL"/>
              </w:rPr>
              <w:t xml:space="preserve">Ahorro Anual </w:t>
            </w:r>
            <w:r w:rsidR="00811B1E">
              <w:rPr>
                <w:b/>
                <w:lang w:val="es-CL"/>
              </w:rPr>
              <w:t>esperado</w:t>
            </w:r>
          </w:p>
          <w:p w:rsidR="00872DE1" w:rsidRPr="00872DE1" w:rsidRDefault="00872DE1" w:rsidP="00811B1E">
            <w:pPr>
              <w:jc w:val="center"/>
              <w:rPr>
                <w:b/>
                <w:lang w:val="es-CL"/>
              </w:rPr>
            </w:pPr>
            <w:r w:rsidRPr="00872DE1">
              <w:rPr>
                <w:b/>
                <w:lang w:val="es-CL"/>
              </w:rPr>
              <w:t>para el 100% de agroindustria</w:t>
            </w:r>
          </w:p>
        </w:tc>
      </w:tr>
      <w:tr w:rsidR="00872DE1" w:rsidTr="00000D0F">
        <w:tc>
          <w:tcPr>
            <w:tcW w:w="4414" w:type="dxa"/>
          </w:tcPr>
          <w:p w:rsidR="00872DE1" w:rsidRPr="00811B1E" w:rsidRDefault="00872DE1" w:rsidP="00F56913">
            <w:pPr>
              <w:jc w:val="both"/>
              <w:rPr>
                <w:b/>
                <w:lang w:val="es-CL"/>
              </w:rPr>
            </w:pPr>
            <w:r w:rsidRPr="00811B1E">
              <w:rPr>
                <w:b/>
                <w:lang w:val="es-CL"/>
              </w:rPr>
              <w:t>Costos Variables de Generación</w:t>
            </w:r>
          </w:p>
        </w:tc>
        <w:tc>
          <w:tcPr>
            <w:tcW w:w="4414" w:type="dxa"/>
          </w:tcPr>
          <w:p w:rsidR="00872DE1" w:rsidRDefault="00872DE1" w:rsidP="00872DE1">
            <w:pPr>
              <w:jc w:val="center"/>
              <w:rPr>
                <w:lang w:val="es-CL"/>
              </w:rPr>
            </w:pPr>
            <w:r>
              <w:rPr>
                <w:lang w:val="es-CL"/>
              </w:rPr>
              <w:t>US$ 4.98 Millones</w:t>
            </w:r>
          </w:p>
        </w:tc>
      </w:tr>
      <w:tr w:rsidR="00872DE1" w:rsidTr="00000D0F">
        <w:tc>
          <w:tcPr>
            <w:tcW w:w="4414" w:type="dxa"/>
          </w:tcPr>
          <w:p w:rsidR="00872DE1" w:rsidRPr="00811B1E" w:rsidRDefault="00872DE1" w:rsidP="00F56913">
            <w:pPr>
              <w:jc w:val="both"/>
              <w:rPr>
                <w:b/>
                <w:lang w:val="es-CL"/>
              </w:rPr>
            </w:pPr>
            <w:r w:rsidRPr="00811B1E">
              <w:rPr>
                <w:b/>
                <w:lang w:val="es-CL"/>
              </w:rPr>
              <w:t>Subsidio al Combustible de Generación</w:t>
            </w:r>
          </w:p>
        </w:tc>
        <w:tc>
          <w:tcPr>
            <w:tcW w:w="4414" w:type="dxa"/>
          </w:tcPr>
          <w:p w:rsidR="00872DE1" w:rsidRDefault="00872DE1" w:rsidP="00872DE1">
            <w:pPr>
              <w:jc w:val="center"/>
              <w:rPr>
                <w:lang w:val="es-CL"/>
              </w:rPr>
            </w:pPr>
            <w:r>
              <w:rPr>
                <w:lang w:val="es-CL"/>
              </w:rPr>
              <w:t>US$ 0.96 Millones</w:t>
            </w:r>
          </w:p>
        </w:tc>
      </w:tr>
      <w:tr w:rsidR="00872DE1" w:rsidTr="00000D0F">
        <w:tc>
          <w:tcPr>
            <w:tcW w:w="4414" w:type="dxa"/>
            <w:shd w:val="clear" w:color="auto" w:fill="FFD966" w:themeFill="accent4" w:themeFillTint="99"/>
          </w:tcPr>
          <w:p w:rsidR="00872DE1" w:rsidRPr="00872DE1" w:rsidRDefault="00872DE1" w:rsidP="00F56913">
            <w:pPr>
              <w:jc w:val="both"/>
              <w:rPr>
                <w:b/>
                <w:lang w:val="es-CL"/>
              </w:rPr>
            </w:pPr>
            <w:r w:rsidRPr="00872DE1">
              <w:rPr>
                <w:b/>
                <w:lang w:val="es-CL"/>
              </w:rPr>
              <w:t>Total</w:t>
            </w:r>
          </w:p>
        </w:tc>
        <w:tc>
          <w:tcPr>
            <w:tcW w:w="4414" w:type="dxa"/>
            <w:shd w:val="clear" w:color="auto" w:fill="FFD966" w:themeFill="accent4" w:themeFillTint="99"/>
          </w:tcPr>
          <w:p w:rsidR="00872DE1" w:rsidRPr="00872DE1" w:rsidRDefault="00872DE1" w:rsidP="00872DE1">
            <w:pPr>
              <w:jc w:val="center"/>
              <w:rPr>
                <w:b/>
                <w:lang w:val="es-CL"/>
              </w:rPr>
            </w:pPr>
            <w:r w:rsidRPr="00872DE1">
              <w:rPr>
                <w:b/>
                <w:lang w:val="es-CL"/>
              </w:rPr>
              <w:t>US$ 5.94 Millones</w:t>
            </w:r>
          </w:p>
        </w:tc>
      </w:tr>
    </w:tbl>
    <w:p w:rsidR="00872DE1" w:rsidRDefault="00872DE1" w:rsidP="00F56913">
      <w:pPr>
        <w:jc w:val="both"/>
        <w:rPr>
          <w:lang w:val="es-CL"/>
        </w:rPr>
      </w:pPr>
    </w:p>
    <w:p w:rsidR="00872DE1" w:rsidRDefault="00811B1E" w:rsidP="00811B1E">
      <w:pPr>
        <w:spacing w:after="0"/>
        <w:jc w:val="center"/>
        <w:rPr>
          <w:b/>
          <w:lang w:val="es-CL"/>
        </w:rPr>
      </w:pPr>
      <w:r>
        <w:rPr>
          <w:b/>
          <w:lang w:val="es-CL"/>
        </w:rPr>
        <w:t>Tabla N°37 Indicadores de rentabilidad</w:t>
      </w:r>
    </w:p>
    <w:p w:rsidR="00811B1E" w:rsidRPr="00811B1E" w:rsidRDefault="00811B1E" w:rsidP="00811B1E">
      <w:pPr>
        <w:spacing w:after="0"/>
        <w:jc w:val="center"/>
        <w:rPr>
          <w:b/>
          <w:lang w:val="es-CL"/>
        </w:rPr>
      </w:pPr>
      <w:r>
        <w:rPr>
          <w:b/>
          <w:lang w:val="es-CL"/>
        </w:rPr>
        <w:t>Proyecto Eficiencia Energética para la Agroindustria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65"/>
        <w:gridCol w:w="1766"/>
        <w:gridCol w:w="1766"/>
        <w:gridCol w:w="1766"/>
      </w:tblGrid>
      <w:tr w:rsidR="00811B1E" w:rsidTr="00000D0F">
        <w:trPr>
          <w:trHeight w:val="507"/>
        </w:trPr>
        <w:tc>
          <w:tcPr>
            <w:tcW w:w="1765" w:type="dxa"/>
            <w:shd w:val="clear" w:color="auto" w:fill="BDD6EE" w:themeFill="accent5" w:themeFillTint="66"/>
            <w:vAlign w:val="center"/>
          </w:tcPr>
          <w:p w:rsidR="00811B1E" w:rsidRPr="00811B1E" w:rsidRDefault="00811B1E" w:rsidP="00811B1E">
            <w:pPr>
              <w:jc w:val="center"/>
              <w:rPr>
                <w:b/>
                <w:lang w:val="es-CL"/>
              </w:rPr>
            </w:pPr>
            <w:r w:rsidRPr="00811B1E">
              <w:rPr>
                <w:b/>
                <w:lang w:val="es-CL"/>
              </w:rPr>
              <w:t>Inversión (US$)</w:t>
            </w:r>
          </w:p>
        </w:tc>
        <w:tc>
          <w:tcPr>
            <w:tcW w:w="1765" w:type="dxa"/>
            <w:shd w:val="clear" w:color="auto" w:fill="BDD6EE" w:themeFill="accent5" w:themeFillTint="66"/>
            <w:vAlign w:val="center"/>
          </w:tcPr>
          <w:p w:rsidR="00811B1E" w:rsidRPr="00811B1E" w:rsidRDefault="00811B1E" w:rsidP="00811B1E">
            <w:pPr>
              <w:jc w:val="center"/>
              <w:rPr>
                <w:b/>
                <w:lang w:val="es-CL"/>
              </w:rPr>
            </w:pPr>
            <w:r w:rsidRPr="00811B1E">
              <w:rPr>
                <w:b/>
                <w:lang w:val="es-CL"/>
              </w:rPr>
              <w:t>VAN F (US$)</w:t>
            </w:r>
          </w:p>
        </w:tc>
        <w:tc>
          <w:tcPr>
            <w:tcW w:w="1766" w:type="dxa"/>
            <w:shd w:val="clear" w:color="auto" w:fill="BDD6EE" w:themeFill="accent5" w:themeFillTint="66"/>
            <w:vAlign w:val="center"/>
          </w:tcPr>
          <w:p w:rsidR="00811B1E" w:rsidRPr="00811B1E" w:rsidRDefault="00811B1E" w:rsidP="00811B1E">
            <w:pPr>
              <w:jc w:val="center"/>
              <w:rPr>
                <w:b/>
                <w:lang w:val="es-CL"/>
              </w:rPr>
            </w:pPr>
            <w:r w:rsidRPr="00811B1E">
              <w:rPr>
                <w:b/>
                <w:lang w:val="es-CL"/>
              </w:rPr>
              <w:t>TIR F</w:t>
            </w:r>
          </w:p>
        </w:tc>
        <w:tc>
          <w:tcPr>
            <w:tcW w:w="1766" w:type="dxa"/>
            <w:shd w:val="clear" w:color="auto" w:fill="FFD966" w:themeFill="accent4" w:themeFillTint="99"/>
            <w:vAlign w:val="center"/>
          </w:tcPr>
          <w:p w:rsidR="00811B1E" w:rsidRPr="00811B1E" w:rsidRDefault="00811B1E" w:rsidP="00811B1E">
            <w:pPr>
              <w:jc w:val="center"/>
              <w:rPr>
                <w:b/>
                <w:lang w:val="es-CL"/>
              </w:rPr>
            </w:pPr>
            <w:r w:rsidRPr="00811B1E">
              <w:rPr>
                <w:b/>
                <w:lang w:val="es-CL"/>
              </w:rPr>
              <w:t>VAN E (US$)</w:t>
            </w:r>
          </w:p>
        </w:tc>
        <w:tc>
          <w:tcPr>
            <w:tcW w:w="1766" w:type="dxa"/>
            <w:shd w:val="clear" w:color="auto" w:fill="FFD966" w:themeFill="accent4" w:themeFillTint="99"/>
            <w:vAlign w:val="center"/>
          </w:tcPr>
          <w:p w:rsidR="00811B1E" w:rsidRPr="00811B1E" w:rsidRDefault="00811B1E" w:rsidP="00811B1E">
            <w:pPr>
              <w:jc w:val="center"/>
              <w:rPr>
                <w:b/>
                <w:lang w:val="es-CL"/>
              </w:rPr>
            </w:pPr>
            <w:r w:rsidRPr="00811B1E">
              <w:rPr>
                <w:b/>
                <w:lang w:val="es-CL"/>
              </w:rPr>
              <w:t>TIR E</w:t>
            </w:r>
          </w:p>
        </w:tc>
      </w:tr>
      <w:tr w:rsidR="00811B1E" w:rsidTr="00000D0F">
        <w:trPr>
          <w:trHeight w:val="402"/>
        </w:trPr>
        <w:tc>
          <w:tcPr>
            <w:tcW w:w="1765" w:type="dxa"/>
            <w:vAlign w:val="center"/>
          </w:tcPr>
          <w:p w:rsidR="00811B1E" w:rsidRDefault="00811B1E" w:rsidP="00811B1E">
            <w:pPr>
              <w:jc w:val="center"/>
              <w:rPr>
                <w:lang w:val="es-CL"/>
              </w:rPr>
            </w:pPr>
            <w:r>
              <w:rPr>
                <w:lang w:val="es-CL"/>
              </w:rPr>
              <w:t>2.400.000,0</w:t>
            </w:r>
          </w:p>
        </w:tc>
        <w:tc>
          <w:tcPr>
            <w:tcW w:w="1765" w:type="dxa"/>
            <w:vAlign w:val="center"/>
          </w:tcPr>
          <w:p w:rsidR="00811B1E" w:rsidRDefault="00811B1E" w:rsidP="00811B1E">
            <w:pPr>
              <w:jc w:val="center"/>
              <w:rPr>
                <w:lang w:val="es-CL"/>
              </w:rPr>
            </w:pPr>
            <w:r w:rsidRPr="00811B1E">
              <w:rPr>
                <w:color w:val="FF0000"/>
                <w:lang w:val="es-CL"/>
              </w:rPr>
              <w:t>-2.400.000,0</w:t>
            </w:r>
          </w:p>
        </w:tc>
        <w:tc>
          <w:tcPr>
            <w:tcW w:w="1766" w:type="dxa"/>
            <w:vAlign w:val="center"/>
          </w:tcPr>
          <w:p w:rsidR="00811B1E" w:rsidRDefault="00811B1E" w:rsidP="00811B1E">
            <w:pPr>
              <w:jc w:val="center"/>
              <w:rPr>
                <w:lang w:val="es-CL"/>
              </w:rPr>
            </w:pPr>
            <w:r>
              <w:rPr>
                <w:lang w:val="es-CL"/>
              </w:rPr>
              <w:t>-</w:t>
            </w:r>
          </w:p>
        </w:tc>
        <w:tc>
          <w:tcPr>
            <w:tcW w:w="1766" w:type="dxa"/>
            <w:vAlign w:val="center"/>
          </w:tcPr>
          <w:p w:rsidR="00811B1E" w:rsidRDefault="00811B1E" w:rsidP="00811B1E">
            <w:pPr>
              <w:jc w:val="center"/>
              <w:rPr>
                <w:lang w:val="es-CL"/>
              </w:rPr>
            </w:pPr>
            <w:r>
              <w:rPr>
                <w:lang w:val="es-CL"/>
              </w:rPr>
              <w:t>22.344.554,94</w:t>
            </w:r>
          </w:p>
        </w:tc>
        <w:tc>
          <w:tcPr>
            <w:tcW w:w="1766" w:type="dxa"/>
            <w:vAlign w:val="center"/>
          </w:tcPr>
          <w:p w:rsidR="00811B1E" w:rsidRDefault="00811B1E" w:rsidP="00811B1E">
            <w:pPr>
              <w:jc w:val="center"/>
              <w:rPr>
                <w:lang w:val="es-CL"/>
              </w:rPr>
            </w:pPr>
            <w:r>
              <w:rPr>
                <w:lang w:val="es-CL"/>
              </w:rPr>
              <w:t>55,2%</w:t>
            </w:r>
          </w:p>
        </w:tc>
      </w:tr>
    </w:tbl>
    <w:p w:rsidR="00872DE1" w:rsidRDefault="00333DFC" w:rsidP="00333DFC">
      <w:pPr>
        <w:pStyle w:val="Heading1"/>
        <w:rPr>
          <w:lang w:val="es-CL"/>
        </w:rPr>
      </w:pPr>
      <w:bookmarkStart w:id="30" w:name="_Toc491617773"/>
      <w:r>
        <w:rPr>
          <w:lang w:val="es-CL"/>
        </w:rPr>
        <w:t>Eval</w:t>
      </w:r>
      <w:r w:rsidR="00AF065F">
        <w:rPr>
          <w:lang w:val="es-CL"/>
        </w:rPr>
        <w:t>uaci</w:t>
      </w:r>
      <w:r>
        <w:rPr>
          <w:lang w:val="es-CL"/>
        </w:rPr>
        <w:t>ó</w:t>
      </w:r>
      <w:r w:rsidR="00AF065F">
        <w:rPr>
          <w:lang w:val="es-CL"/>
        </w:rPr>
        <w:t>n Integral del Programa EC-L1223</w:t>
      </w:r>
      <w:bookmarkEnd w:id="30"/>
    </w:p>
    <w:p w:rsidR="00AF065F" w:rsidRDefault="00333DFC" w:rsidP="00F56913">
      <w:pPr>
        <w:jc w:val="both"/>
        <w:rPr>
          <w:lang w:val="es-CL"/>
        </w:rPr>
      </w:pPr>
      <w:r>
        <w:rPr>
          <w:lang w:val="es-CL"/>
        </w:rPr>
        <w:t xml:space="preserve">Para llevar a cabo la evaluación integral del programa se toman en consideración </w:t>
      </w:r>
      <w:r w:rsidR="00EA17DE">
        <w:rPr>
          <w:lang w:val="es-CL"/>
        </w:rPr>
        <w:t xml:space="preserve">aditivamente </w:t>
      </w:r>
      <w:r>
        <w:rPr>
          <w:lang w:val="es-CL"/>
        </w:rPr>
        <w:t>todos los ítems y flujos respectivos de Inversión, Costo y Beneficio de cada componente, poniendo especial cuidado en evitar la superposición dada la relación natural en cascada energética que fluye desde la generación, hasta el usuario final, pasando por las redes de Transmisión, Sub Transmisión y Distribución.</w:t>
      </w:r>
    </w:p>
    <w:p w:rsidR="00E54332" w:rsidRDefault="00E54332" w:rsidP="00F56913">
      <w:pPr>
        <w:jc w:val="both"/>
        <w:rPr>
          <w:lang w:val="es-CL"/>
        </w:rPr>
      </w:pPr>
      <w:r>
        <w:rPr>
          <w:lang w:val="es-CL"/>
        </w:rPr>
        <w:t>La superposición indicada sólo es observable en el caso de las evaluaciones socioeconómicas, dado que, por definición, los flujos considerados en la evaluación financiera sólo afectan a la entidad ejecutora del proyecto.</w:t>
      </w:r>
    </w:p>
    <w:p w:rsidR="00E54332" w:rsidRDefault="00E54332" w:rsidP="00F56913">
      <w:pPr>
        <w:jc w:val="both"/>
        <w:rPr>
          <w:lang w:val="es-CL"/>
        </w:rPr>
      </w:pPr>
    </w:p>
    <w:p w:rsidR="00333DFC" w:rsidRDefault="00333DFC" w:rsidP="00F56913">
      <w:pPr>
        <w:jc w:val="both"/>
        <w:rPr>
          <w:lang w:val="es-CL"/>
        </w:rPr>
      </w:pPr>
      <w:r>
        <w:rPr>
          <w:lang w:val="es-CL"/>
        </w:rPr>
        <w:t>En este sentido, se realiza una apertura y análisis de todos los flujos superpuestos teniendo presente la siguiente relación de dependencia de los proyectos evaluados y sus respectivas empresas ejecutoras.</w:t>
      </w:r>
    </w:p>
    <w:p w:rsidR="00333DFC" w:rsidRDefault="00333DFC" w:rsidP="00F56913">
      <w:pPr>
        <w:jc w:val="both"/>
        <w:rPr>
          <w:lang w:val="es-CL"/>
        </w:rPr>
      </w:pPr>
    </w:p>
    <w:p w:rsidR="00EA17DE" w:rsidRPr="00EA17DE" w:rsidRDefault="00EA17DE" w:rsidP="00EA17DE">
      <w:pPr>
        <w:spacing w:after="0"/>
        <w:jc w:val="center"/>
        <w:rPr>
          <w:b/>
          <w:lang w:val="es-CL"/>
        </w:rPr>
      </w:pPr>
      <w:r w:rsidRPr="00EA17DE">
        <w:rPr>
          <w:b/>
          <w:lang w:val="es-CL"/>
        </w:rPr>
        <w:t>Tabla N°38. Posibles superposiciones de flujos de evaluaciones socioeconómicas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37"/>
        <w:gridCol w:w="1736"/>
        <w:gridCol w:w="1654"/>
        <w:gridCol w:w="1464"/>
      </w:tblGrid>
      <w:tr w:rsidR="00E54332" w:rsidRPr="00EA17DE" w:rsidTr="00000D0F">
        <w:tc>
          <w:tcPr>
            <w:tcW w:w="2049" w:type="dxa"/>
            <w:shd w:val="clear" w:color="auto" w:fill="BDD6EE" w:themeFill="accent5" w:themeFillTint="66"/>
            <w:vAlign w:val="center"/>
          </w:tcPr>
          <w:p w:rsidR="00E54332" w:rsidRPr="00EA17DE" w:rsidRDefault="00E54332" w:rsidP="00EA17DE">
            <w:pPr>
              <w:jc w:val="center"/>
              <w:rPr>
                <w:b/>
                <w:lang w:val="es-CL"/>
              </w:rPr>
            </w:pPr>
            <w:r w:rsidRPr="00EA17DE">
              <w:rPr>
                <w:b/>
                <w:lang w:val="es-CL"/>
              </w:rPr>
              <w:t>Proyectos de Transmisión</w:t>
            </w:r>
          </w:p>
        </w:tc>
        <w:tc>
          <w:tcPr>
            <w:tcW w:w="1942" w:type="dxa"/>
            <w:shd w:val="clear" w:color="auto" w:fill="BDD6EE" w:themeFill="accent5" w:themeFillTint="66"/>
            <w:vAlign w:val="center"/>
          </w:tcPr>
          <w:p w:rsidR="00E54332" w:rsidRPr="00EA17DE" w:rsidRDefault="00E54332" w:rsidP="00EA17DE">
            <w:pPr>
              <w:jc w:val="center"/>
              <w:rPr>
                <w:b/>
                <w:lang w:val="es-CL"/>
              </w:rPr>
            </w:pPr>
            <w:r w:rsidRPr="00EA17DE">
              <w:rPr>
                <w:b/>
                <w:lang w:val="es-CL"/>
              </w:rPr>
              <w:t>EED relacionada eléctricamente</w:t>
            </w:r>
          </w:p>
        </w:tc>
        <w:tc>
          <w:tcPr>
            <w:tcW w:w="1745" w:type="dxa"/>
            <w:shd w:val="clear" w:color="auto" w:fill="BDD6EE" w:themeFill="accent5" w:themeFillTint="66"/>
            <w:vAlign w:val="center"/>
          </w:tcPr>
          <w:p w:rsidR="00E54332" w:rsidRPr="00EA17DE" w:rsidRDefault="00E54332" w:rsidP="00EA17DE">
            <w:pPr>
              <w:jc w:val="center"/>
              <w:rPr>
                <w:b/>
                <w:lang w:val="es-CL"/>
              </w:rPr>
            </w:pPr>
            <w:r w:rsidRPr="00EA17DE">
              <w:rPr>
                <w:b/>
                <w:lang w:val="es-CL"/>
              </w:rPr>
              <w:t>Proyectos SND</w:t>
            </w:r>
          </w:p>
        </w:tc>
        <w:tc>
          <w:tcPr>
            <w:tcW w:w="1662" w:type="dxa"/>
            <w:shd w:val="clear" w:color="auto" w:fill="BDD6EE" w:themeFill="accent5" w:themeFillTint="66"/>
            <w:vAlign w:val="center"/>
          </w:tcPr>
          <w:p w:rsidR="00E54332" w:rsidRPr="00EA17DE" w:rsidRDefault="00E54332" w:rsidP="00EA17DE">
            <w:pPr>
              <w:jc w:val="center"/>
              <w:rPr>
                <w:b/>
                <w:lang w:val="es-CL"/>
              </w:rPr>
            </w:pPr>
            <w:r w:rsidRPr="00EA17DE">
              <w:rPr>
                <w:b/>
                <w:lang w:val="es-CL"/>
              </w:rPr>
              <w:t>Proyectos FERUM</w:t>
            </w:r>
          </w:p>
        </w:tc>
        <w:tc>
          <w:tcPr>
            <w:tcW w:w="1430" w:type="dxa"/>
            <w:shd w:val="clear" w:color="auto" w:fill="BDD6EE" w:themeFill="accent5" w:themeFillTint="66"/>
            <w:vAlign w:val="center"/>
          </w:tcPr>
          <w:p w:rsidR="00E54332" w:rsidRPr="00EA17DE" w:rsidRDefault="00E54332" w:rsidP="00EA17DE">
            <w:pPr>
              <w:jc w:val="center"/>
              <w:rPr>
                <w:b/>
                <w:lang w:val="es-CL"/>
              </w:rPr>
            </w:pPr>
            <w:r w:rsidRPr="00EA17DE">
              <w:rPr>
                <w:b/>
                <w:lang w:val="es-CL"/>
              </w:rPr>
              <w:t>Proyectos Agroindustria</w:t>
            </w:r>
          </w:p>
        </w:tc>
      </w:tr>
      <w:tr w:rsidR="00E54332" w:rsidTr="00000D0F">
        <w:tc>
          <w:tcPr>
            <w:tcW w:w="2049" w:type="dxa"/>
          </w:tcPr>
          <w:p w:rsidR="00E54332" w:rsidRDefault="00E54332" w:rsidP="00E54332">
            <w:pPr>
              <w:jc w:val="both"/>
              <w:rPr>
                <w:lang w:val="es-CL"/>
              </w:rPr>
            </w:pPr>
            <w:r>
              <w:rPr>
                <w:lang w:val="es-CL"/>
              </w:rPr>
              <w:t>S/E Cajas</w:t>
            </w:r>
          </w:p>
        </w:tc>
        <w:tc>
          <w:tcPr>
            <w:tcW w:w="1942" w:type="dxa"/>
          </w:tcPr>
          <w:p w:rsidR="00E54332" w:rsidRDefault="00E54332" w:rsidP="00E54332">
            <w:pPr>
              <w:jc w:val="both"/>
              <w:rPr>
                <w:lang w:val="es-CL"/>
              </w:rPr>
            </w:pPr>
            <w:r>
              <w:rPr>
                <w:lang w:val="es-CL"/>
              </w:rPr>
              <w:t>E.E. Regional Norte</w:t>
            </w:r>
          </w:p>
        </w:tc>
        <w:tc>
          <w:tcPr>
            <w:tcW w:w="1745" w:type="dxa"/>
          </w:tcPr>
          <w:p w:rsidR="00E54332" w:rsidRPr="003C7D0D" w:rsidRDefault="00E54332" w:rsidP="00E54332">
            <w:pPr>
              <w:jc w:val="center"/>
              <w:rPr>
                <w:sz w:val="20"/>
                <w:lang w:val="es-CL"/>
              </w:rPr>
            </w:pPr>
            <w:r w:rsidRPr="003C7D0D">
              <w:rPr>
                <w:noProof/>
                <w:sz w:val="20"/>
                <w:lang w:val="en-US"/>
              </w:rPr>
              <w:drawing>
                <wp:inline distT="0" distB="0" distL="0" distR="0" wp14:anchorId="44A47050" wp14:editId="73758D45">
                  <wp:extent cx="169137" cy="169137"/>
                  <wp:effectExtent l="0" t="0" r="2540" b="2540"/>
                  <wp:docPr id="88" name="Gráfico 88"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662" w:type="dxa"/>
          </w:tcPr>
          <w:p w:rsidR="00E54332" w:rsidRPr="003C7D0D" w:rsidRDefault="00E54332" w:rsidP="00E54332">
            <w:pPr>
              <w:jc w:val="center"/>
              <w:rPr>
                <w:sz w:val="20"/>
                <w:lang w:val="es-CL"/>
              </w:rPr>
            </w:pPr>
            <w:r w:rsidRPr="003C7D0D">
              <w:rPr>
                <w:noProof/>
                <w:sz w:val="20"/>
                <w:lang w:val="en-US"/>
              </w:rPr>
              <w:drawing>
                <wp:inline distT="0" distB="0" distL="0" distR="0" wp14:anchorId="04783733" wp14:editId="12EA479E">
                  <wp:extent cx="169137" cy="169137"/>
                  <wp:effectExtent l="0" t="0" r="2540" b="2540"/>
                  <wp:docPr id="82" name="Gráfico 82"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430" w:type="dxa"/>
          </w:tcPr>
          <w:p w:rsidR="00E54332" w:rsidRPr="003C7D0D" w:rsidRDefault="00E54332" w:rsidP="00E54332">
            <w:pPr>
              <w:jc w:val="both"/>
              <w:rPr>
                <w:sz w:val="20"/>
                <w:lang w:val="es-CL"/>
              </w:rPr>
            </w:pPr>
          </w:p>
        </w:tc>
      </w:tr>
      <w:tr w:rsidR="00EA17DE" w:rsidTr="00000D0F">
        <w:tc>
          <w:tcPr>
            <w:tcW w:w="2049" w:type="dxa"/>
          </w:tcPr>
          <w:p w:rsidR="00EA17DE" w:rsidRDefault="00EA17DE" w:rsidP="00EA17DE">
            <w:pPr>
              <w:jc w:val="both"/>
              <w:rPr>
                <w:lang w:val="es-CL"/>
              </w:rPr>
            </w:pPr>
            <w:r>
              <w:rPr>
                <w:lang w:val="es-CL"/>
              </w:rPr>
              <w:t>S/E Las Orquídeas</w:t>
            </w:r>
          </w:p>
        </w:tc>
        <w:tc>
          <w:tcPr>
            <w:tcW w:w="1942" w:type="dxa"/>
          </w:tcPr>
          <w:p w:rsidR="00EA17DE" w:rsidRDefault="00EA17DE" w:rsidP="00EA17DE">
            <w:pPr>
              <w:jc w:val="both"/>
              <w:rPr>
                <w:lang w:val="es-CL"/>
              </w:rPr>
            </w:pPr>
            <w:r>
              <w:rPr>
                <w:lang w:val="es-CL"/>
              </w:rPr>
              <w:t>CNEL Guayaquil</w:t>
            </w:r>
          </w:p>
        </w:tc>
        <w:tc>
          <w:tcPr>
            <w:tcW w:w="1745" w:type="dxa"/>
          </w:tcPr>
          <w:p w:rsidR="00EA17DE" w:rsidRPr="003C7D0D" w:rsidRDefault="00EA17DE" w:rsidP="00EA17DE">
            <w:pPr>
              <w:jc w:val="center"/>
              <w:rPr>
                <w:sz w:val="20"/>
                <w:lang w:val="es-CL"/>
              </w:rPr>
            </w:pPr>
            <w:r w:rsidRPr="003C7D0D">
              <w:rPr>
                <w:noProof/>
                <w:sz w:val="20"/>
                <w:lang w:val="en-US"/>
              </w:rPr>
              <w:drawing>
                <wp:inline distT="0" distB="0" distL="0" distR="0" wp14:anchorId="527EE5EC" wp14:editId="694778C1">
                  <wp:extent cx="169137" cy="169137"/>
                  <wp:effectExtent l="0" t="0" r="2540" b="2540"/>
                  <wp:docPr id="89" name="Gráfico 8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662" w:type="dxa"/>
          </w:tcPr>
          <w:p w:rsidR="00EA17DE" w:rsidRPr="003C7D0D" w:rsidRDefault="00EA17DE" w:rsidP="00EA17DE">
            <w:pPr>
              <w:jc w:val="center"/>
              <w:rPr>
                <w:sz w:val="20"/>
                <w:lang w:val="es-CL"/>
              </w:rPr>
            </w:pPr>
            <w:r w:rsidRPr="003C7D0D">
              <w:rPr>
                <w:noProof/>
                <w:sz w:val="20"/>
                <w:lang w:val="en-US"/>
              </w:rPr>
              <w:drawing>
                <wp:inline distT="0" distB="0" distL="0" distR="0" wp14:anchorId="75F08523" wp14:editId="273087AD">
                  <wp:extent cx="169137" cy="169137"/>
                  <wp:effectExtent l="0" t="0" r="2540" b="2540"/>
                  <wp:docPr id="84" name="Gráfico 84"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430" w:type="dxa"/>
          </w:tcPr>
          <w:p w:rsidR="00EA17DE" w:rsidRPr="003C7D0D" w:rsidRDefault="00EA17DE" w:rsidP="00EA17DE">
            <w:pPr>
              <w:jc w:val="center"/>
              <w:rPr>
                <w:sz w:val="20"/>
                <w:lang w:val="es-CL"/>
              </w:rPr>
            </w:pPr>
            <w:r w:rsidRPr="003C7D0D">
              <w:rPr>
                <w:noProof/>
                <w:sz w:val="20"/>
                <w:lang w:val="en-US"/>
              </w:rPr>
              <w:drawing>
                <wp:inline distT="0" distB="0" distL="0" distR="0" wp14:anchorId="7070631F" wp14:editId="22979652">
                  <wp:extent cx="169137" cy="169137"/>
                  <wp:effectExtent l="0" t="0" r="2540" b="2540"/>
                  <wp:docPr id="101" name="Gráfico 10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r>
      <w:tr w:rsidR="00EA17DE" w:rsidTr="00000D0F">
        <w:tc>
          <w:tcPr>
            <w:tcW w:w="2049" w:type="dxa"/>
          </w:tcPr>
          <w:p w:rsidR="00EA17DE" w:rsidRDefault="00EA17DE" w:rsidP="00EA17DE">
            <w:pPr>
              <w:jc w:val="both"/>
              <w:rPr>
                <w:lang w:val="es-CL"/>
              </w:rPr>
            </w:pPr>
            <w:r>
              <w:rPr>
                <w:lang w:val="es-CL"/>
              </w:rPr>
              <w:t>S/E Posorja</w:t>
            </w:r>
          </w:p>
        </w:tc>
        <w:tc>
          <w:tcPr>
            <w:tcW w:w="1942" w:type="dxa"/>
          </w:tcPr>
          <w:p w:rsidR="00EA17DE" w:rsidRDefault="00EA17DE" w:rsidP="00EA17DE">
            <w:pPr>
              <w:jc w:val="both"/>
              <w:rPr>
                <w:lang w:val="es-CL"/>
              </w:rPr>
            </w:pPr>
            <w:r>
              <w:rPr>
                <w:lang w:val="es-CL"/>
              </w:rPr>
              <w:t>CNEL Santa Elena</w:t>
            </w:r>
          </w:p>
        </w:tc>
        <w:tc>
          <w:tcPr>
            <w:tcW w:w="1745" w:type="dxa"/>
          </w:tcPr>
          <w:p w:rsidR="00EA17DE" w:rsidRPr="003C7D0D" w:rsidRDefault="00EA17DE" w:rsidP="00EA17DE">
            <w:pPr>
              <w:jc w:val="center"/>
              <w:rPr>
                <w:sz w:val="20"/>
                <w:lang w:val="es-CL"/>
              </w:rPr>
            </w:pPr>
            <w:r w:rsidRPr="003C7D0D">
              <w:rPr>
                <w:noProof/>
                <w:sz w:val="20"/>
                <w:lang w:val="en-US"/>
              </w:rPr>
              <w:drawing>
                <wp:inline distT="0" distB="0" distL="0" distR="0" wp14:anchorId="1554C59F" wp14:editId="702E219A">
                  <wp:extent cx="169137" cy="169137"/>
                  <wp:effectExtent l="0" t="0" r="2540" b="2540"/>
                  <wp:docPr id="91" name="Gráfico 9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662" w:type="dxa"/>
          </w:tcPr>
          <w:p w:rsidR="00EA17DE" w:rsidRPr="003C7D0D" w:rsidRDefault="00EA17DE" w:rsidP="00EA17DE">
            <w:pPr>
              <w:jc w:val="center"/>
              <w:rPr>
                <w:sz w:val="20"/>
                <w:lang w:val="es-CL"/>
              </w:rPr>
            </w:pPr>
            <w:r w:rsidRPr="003C7D0D">
              <w:rPr>
                <w:noProof/>
                <w:sz w:val="20"/>
                <w:lang w:val="en-US"/>
              </w:rPr>
              <w:drawing>
                <wp:inline distT="0" distB="0" distL="0" distR="0" wp14:anchorId="34CC092B" wp14:editId="12888E5D">
                  <wp:extent cx="169137" cy="169137"/>
                  <wp:effectExtent l="0" t="0" r="2540" b="2540"/>
                  <wp:docPr id="85" name="Gráfico 85"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430" w:type="dxa"/>
          </w:tcPr>
          <w:p w:rsidR="00EA17DE" w:rsidRPr="003C7D0D" w:rsidRDefault="00EA17DE" w:rsidP="00EA17DE">
            <w:pPr>
              <w:jc w:val="center"/>
              <w:rPr>
                <w:sz w:val="20"/>
                <w:lang w:val="es-CL"/>
              </w:rPr>
            </w:pPr>
            <w:r w:rsidRPr="003C7D0D">
              <w:rPr>
                <w:noProof/>
                <w:sz w:val="20"/>
                <w:lang w:val="en-US"/>
              </w:rPr>
              <w:drawing>
                <wp:inline distT="0" distB="0" distL="0" distR="0" wp14:anchorId="22F9FC37" wp14:editId="6B4D8121">
                  <wp:extent cx="169137" cy="169137"/>
                  <wp:effectExtent l="0" t="0" r="2540" b="2540"/>
                  <wp:docPr id="102" name="Gráfico 102"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r>
      <w:tr w:rsidR="00EA17DE" w:rsidTr="00000D0F">
        <w:tc>
          <w:tcPr>
            <w:tcW w:w="2049" w:type="dxa"/>
          </w:tcPr>
          <w:p w:rsidR="00EA17DE" w:rsidRDefault="00EA17DE" w:rsidP="00EA17DE">
            <w:pPr>
              <w:jc w:val="both"/>
              <w:rPr>
                <w:lang w:val="es-CL"/>
              </w:rPr>
            </w:pPr>
            <w:r>
              <w:rPr>
                <w:lang w:val="es-CL"/>
              </w:rPr>
              <w:t>S/E Tanicuchí</w:t>
            </w:r>
          </w:p>
        </w:tc>
        <w:tc>
          <w:tcPr>
            <w:tcW w:w="1942" w:type="dxa"/>
          </w:tcPr>
          <w:p w:rsidR="00EA17DE" w:rsidRDefault="00EA17DE" w:rsidP="00EA17DE">
            <w:pPr>
              <w:jc w:val="both"/>
              <w:rPr>
                <w:lang w:val="es-CL"/>
              </w:rPr>
            </w:pPr>
            <w:r>
              <w:rPr>
                <w:lang w:val="es-CL"/>
              </w:rPr>
              <w:t>E.E. Cotopaxi</w:t>
            </w:r>
          </w:p>
        </w:tc>
        <w:tc>
          <w:tcPr>
            <w:tcW w:w="1745" w:type="dxa"/>
          </w:tcPr>
          <w:p w:rsidR="00EA17DE" w:rsidRPr="003C7D0D" w:rsidRDefault="00EA17DE" w:rsidP="00EA17DE">
            <w:pPr>
              <w:jc w:val="center"/>
              <w:rPr>
                <w:sz w:val="20"/>
                <w:lang w:val="es-CL"/>
              </w:rPr>
            </w:pPr>
            <w:r w:rsidRPr="003C7D0D">
              <w:rPr>
                <w:noProof/>
                <w:sz w:val="20"/>
                <w:lang w:val="en-US"/>
              </w:rPr>
              <w:drawing>
                <wp:inline distT="0" distB="0" distL="0" distR="0" wp14:anchorId="1BCA542A" wp14:editId="3C0B8296">
                  <wp:extent cx="169137" cy="169137"/>
                  <wp:effectExtent l="0" t="0" r="2540" b="2540"/>
                  <wp:docPr id="93" name="Gráfico 9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662" w:type="dxa"/>
          </w:tcPr>
          <w:p w:rsidR="00EA17DE" w:rsidRPr="003C7D0D" w:rsidRDefault="00EA17DE" w:rsidP="00EA17DE">
            <w:pPr>
              <w:jc w:val="center"/>
              <w:rPr>
                <w:sz w:val="20"/>
                <w:lang w:val="es-CL"/>
              </w:rPr>
            </w:pPr>
            <w:r w:rsidRPr="003C7D0D">
              <w:rPr>
                <w:noProof/>
                <w:sz w:val="20"/>
                <w:lang w:val="en-US"/>
              </w:rPr>
              <w:drawing>
                <wp:inline distT="0" distB="0" distL="0" distR="0" wp14:anchorId="209D783B" wp14:editId="541A2AB3">
                  <wp:extent cx="169137" cy="169137"/>
                  <wp:effectExtent l="0" t="0" r="2540" b="2540"/>
                  <wp:docPr id="86" name="Gráfico 8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430" w:type="dxa"/>
          </w:tcPr>
          <w:p w:rsidR="00EA17DE" w:rsidRPr="003C7D0D" w:rsidRDefault="00EA17DE" w:rsidP="00EA17DE">
            <w:pPr>
              <w:jc w:val="both"/>
              <w:rPr>
                <w:sz w:val="20"/>
                <w:lang w:val="es-CL"/>
              </w:rPr>
            </w:pPr>
          </w:p>
        </w:tc>
      </w:tr>
      <w:tr w:rsidR="00EA17DE" w:rsidTr="00000D0F">
        <w:tc>
          <w:tcPr>
            <w:tcW w:w="2049" w:type="dxa"/>
          </w:tcPr>
          <w:p w:rsidR="00EA17DE" w:rsidRDefault="00EA17DE" w:rsidP="00EA17DE">
            <w:pPr>
              <w:jc w:val="both"/>
              <w:rPr>
                <w:lang w:val="es-CL"/>
              </w:rPr>
            </w:pPr>
            <w:r>
              <w:rPr>
                <w:lang w:val="es-CL"/>
              </w:rPr>
              <w:t>S/E La Avanzada</w:t>
            </w:r>
          </w:p>
        </w:tc>
        <w:tc>
          <w:tcPr>
            <w:tcW w:w="1942" w:type="dxa"/>
          </w:tcPr>
          <w:p w:rsidR="00EA17DE" w:rsidRDefault="00EA17DE" w:rsidP="00EA17DE">
            <w:pPr>
              <w:jc w:val="both"/>
              <w:rPr>
                <w:lang w:val="es-CL"/>
              </w:rPr>
            </w:pPr>
            <w:r>
              <w:rPr>
                <w:lang w:val="es-CL"/>
              </w:rPr>
              <w:t>CNEL El Oro</w:t>
            </w:r>
          </w:p>
        </w:tc>
        <w:tc>
          <w:tcPr>
            <w:tcW w:w="1745" w:type="dxa"/>
          </w:tcPr>
          <w:p w:rsidR="00EA17DE" w:rsidRPr="003C7D0D" w:rsidRDefault="00EA17DE" w:rsidP="00EA17DE">
            <w:pPr>
              <w:jc w:val="center"/>
              <w:rPr>
                <w:sz w:val="20"/>
                <w:lang w:val="es-CL"/>
              </w:rPr>
            </w:pPr>
            <w:r w:rsidRPr="003C7D0D">
              <w:rPr>
                <w:noProof/>
                <w:sz w:val="20"/>
                <w:lang w:val="en-US"/>
              </w:rPr>
              <w:drawing>
                <wp:inline distT="0" distB="0" distL="0" distR="0" wp14:anchorId="0AE508DF" wp14:editId="0F91FF73">
                  <wp:extent cx="169137" cy="169137"/>
                  <wp:effectExtent l="0" t="0" r="2540" b="2540"/>
                  <wp:docPr id="94" name="Gráfico 94"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662" w:type="dxa"/>
          </w:tcPr>
          <w:p w:rsidR="00EA17DE" w:rsidRPr="003C7D0D" w:rsidRDefault="00EA17DE" w:rsidP="00EA17DE">
            <w:pPr>
              <w:jc w:val="center"/>
              <w:rPr>
                <w:sz w:val="20"/>
                <w:lang w:val="es-CL"/>
              </w:rPr>
            </w:pPr>
            <w:r w:rsidRPr="003C7D0D">
              <w:rPr>
                <w:noProof/>
                <w:sz w:val="20"/>
                <w:lang w:val="en-US"/>
              </w:rPr>
              <w:drawing>
                <wp:inline distT="0" distB="0" distL="0" distR="0" wp14:anchorId="6F01873C" wp14:editId="28AE0C4C">
                  <wp:extent cx="169137" cy="169137"/>
                  <wp:effectExtent l="0" t="0" r="2540" b="2540"/>
                  <wp:docPr id="87" name="Gráfico 87"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c>
          <w:tcPr>
            <w:tcW w:w="1430" w:type="dxa"/>
          </w:tcPr>
          <w:p w:rsidR="00EA17DE" w:rsidRPr="003C7D0D" w:rsidRDefault="00EA17DE" w:rsidP="00EA17DE">
            <w:pPr>
              <w:jc w:val="center"/>
              <w:rPr>
                <w:sz w:val="20"/>
                <w:lang w:val="es-CL"/>
              </w:rPr>
            </w:pPr>
            <w:r w:rsidRPr="003C7D0D">
              <w:rPr>
                <w:noProof/>
                <w:sz w:val="20"/>
                <w:lang w:val="en-US"/>
              </w:rPr>
              <w:drawing>
                <wp:inline distT="0" distB="0" distL="0" distR="0" wp14:anchorId="381A910F" wp14:editId="6E3BB0EE">
                  <wp:extent cx="169137" cy="169137"/>
                  <wp:effectExtent l="0" t="0" r="2540" b="2540"/>
                  <wp:docPr id="100" name="Gráfico 100"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wnload?provider=MicrosoftIcon&amp;fileName=Checkmark.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84582" cy="184582"/>
                          </a:xfrm>
                          <a:prstGeom prst="rect">
                            <a:avLst/>
                          </a:prstGeom>
                        </pic:spPr>
                      </pic:pic>
                    </a:graphicData>
                  </a:graphic>
                </wp:inline>
              </w:drawing>
            </w:r>
          </w:p>
        </w:tc>
      </w:tr>
    </w:tbl>
    <w:p w:rsidR="00080141" w:rsidRDefault="00080141" w:rsidP="00F56913">
      <w:pPr>
        <w:jc w:val="both"/>
        <w:rPr>
          <w:lang w:val="es-CL"/>
        </w:rPr>
      </w:pPr>
    </w:p>
    <w:p w:rsidR="00EA17DE" w:rsidRDefault="00EA17DE" w:rsidP="00F56913">
      <w:pPr>
        <w:jc w:val="both"/>
        <w:rPr>
          <w:lang w:val="es-CL"/>
        </w:rPr>
      </w:pPr>
      <w:r>
        <w:rPr>
          <w:lang w:val="es-CL"/>
        </w:rPr>
        <w:t>Las superposici</w:t>
      </w:r>
      <w:r w:rsidR="0026427E">
        <w:rPr>
          <w:lang w:val="es-CL"/>
        </w:rPr>
        <w:t xml:space="preserve">ones, identificadas en la Tabla </w:t>
      </w:r>
      <w:r>
        <w:rPr>
          <w:lang w:val="es-CL"/>
        </w:rPr>
        <w:t>N°38, son verificables en los siguientes flujos económicos de los proyectos y empresas indicados:</w:t>
      </w:r>
    </w:p>
    <w:p w:rsidR="00EA17DE" w:rsidRDefault="00EA17DE" w:rsidP="00EA17DE">
      <w:pPr>
        <w:pStyle w:val="ListParagraph"/>
        <w:numPr>
          <w:ilvl w:val="0"/>
          <w:numId w:val="21"/>
        </w:numPr>
        <w:jc w:val="both"/>
        <w:rPr>
          <w:lang w:val="es-CL"/>
        </w:rPr>
      </w:pPr>
      <w:r>
        <w:rPr>
          <w:lang w:val="es-CL"/>
        </w:rPr>
        <w:t>Beneficio del Consumidor</w:t>
      </w:r>
    </w:p>
    <w:p w:rsidR="00EA17DE" w:rsidRDefault="00EA17DE" w:rsidP="00EA17DE">
      <w:pPr>
        <w:pStyle w:val="ListParagraph"/>
        <w:numPr>
          <w:ilvl w:val="0"/>
          <w:numId w:val="21"/>
        </w:numPr>
        <w:jc w:val="both"/>
        <w:rPr>
          <w:lang w:val="es-CL"/>
        </w:rPr>
      </w:pPr>
      <w:r>
        <w:rPr>
          <w:lang w:val="es-CL"/>
        </w:rPr>
        <w:t>Costo Variable de Generación</w:t>
      </w:r>
    </w:p>
    <w:p w:rsidR="00EA17DE" w:rsidRDefault="00EA17DE" w:rsidP="00EA17DE">
      <w:pPr>
        <w:pStyle w:val="ListParagraph"/>
        <w:numPr>
          <w:ilvl w:val="0"/>
          <w:numId w:val="21"/>
        </w:numPr>
        <w:jc w:val="both"/>
        <w:rPr>
          <w:lang w:val="es-CL"/>
        </w:rPr>
      </w:pPr>
      <w:r>
        <w:rPr>
          <w:lang w:val="es-CL"/>
        </w:rPr>
        <w:t>Subsidio a los Combustibles de Generación</w:t>
      </w:r>
    </w:p>
    <w:p w:rsidR="00EA17DE" w:rsidRDefault="00EA17DE" w:rsidP="00EA17DE">
      <w:pPr>
        <w:pStyle w:val="ListParagraph"/>
        <w:numPr>
          <w:ilvl w:val="0"/>
          <w:numId w:val="21"/>
        </w:numPr>
        <w:jc w:val="both"/>
        <w:rPr>
          <w:lang w:val="es-CL"/>
        </w:rPr>
      </w:pPr>
      <w:r>
        <w:rPr>
          <w:lang w:val="es-CL"/>
        </w:rPr>
        <w:t>Costos adicionales de Distribución ligados a obras en Transmisión.</w:t>
      </w:r>
    </w:p>
    <w:p w:rsidR="00EA17DE" w:rsidRDefault="00EA17DE" w:rsidP="00EA17DE">
      <w:pPr>
        <w:jc w:val="both"/>
        <w:rPr>
          <w:lang w:val="es-CL"/>
        </w:rPr>
      </w:pPr>
    </w:p>
    <w:p w:rsidR="00EA17DE" w:rsidRDefault="00EA17DE" w:rsidP="00EA17DE">
      <w:pPr>
        <w:jc w:val="both"/>
        <w:rPr>
          <w:lang w:val="es-CL"/>
        </w:rPr>
      </w:pPr>
      <w:r>
        <w:rPr>
          <w:lang w:val="es-CL"/>
        </w:rPr>
        <w:t xml:space="preserve">En general, para cada año del horizonte de evaluación, cuando </w:t>
      </w:r>
      <w:r w:rsidR="00D37F48">
        <w:rPr>
          <w:lang w:val="es-CL"/>
        </w:rPr>
        <w:t>coinciden</w:t>
      </w:r>
      <w:r>
        <w:rPr>
          <w:lang w:val="es-CL"/>
        </w:rPr>
        <w:t xml:space="preserve"> flujos de los proyectos de Transmisión, con aquellos de su empresa de distribución eléctricamente dependiente, se realiza la siguiente función:</w:t>
      </w:r>
    </w:p>
    <w:p w:rsidR="00EA17DE" w:rsidRDefault="00EA17DE" w:rsidP="00EA17DE">
      <w:pPr>
        <w:jc w:val="both"/>
        <w:rPr>
          <w:lang w:val="es-CL"/>
        </w:rPr>
      </w:pPr>
    </w:p>
    <w:p w:rsidR="00EA17DE" w:rsidRPr="00EA17DE" w:rsidRDefault="00DC47D1" w:rsidP="00EA17DE">
      <w:pPr>
        <w:jc w:val="both"/>
        <w:rPr>
          <w:lang w:val="es-CL"/>
        </w:rPr>
      </w:pPr>
      <m:oMathPara>
        <m:oMath>
          <m:sSub>
            <m:sSubPr>
              <m:ctrlPr>
                <w:rPr>
                  <w:rFonts w:ascii="Cambria Math" w:hAnsi="Cambria Math"/>
                  <w:i/>
                  <w:lang w:val="es-CL"/>
                </w:rPr>
              </m:ctrlPr>
            </m:sSubPr>
            <m:e>
              <m:r>
                <w:rPr>
                  <w:rFonts w:ascii="Cambria Math" w:hAnsi="Cambria Math"/>
                  <w:lang w:val="es-CL"/>
                </w:rPr>
                <m:t>F</m:t>
              </m:r>
            </m:e>
            <m:sub>
              <m:r>
                <w:rPr>
                  <w:rFonts w:ascii="Cambria Math" w:hAnsi="Cambria Math"/>
                  <w:lang w:val="es-CL"/>
                </w:rPr>
                <m:t>i</m:t>
              </m:r>
            </m:sub>
          </m:sSub>
          <m:r>
            <w:rPr>
              <w:rFonts w:ascii="Cambria Math" w:hAnsi="Cambria Math"/>
              <w:lang w:val="es-CL"/>
            </w:rPr>
            <m:t>=MAX(</m:t>
          </m:r>
          <m:sSub>
            <m:sSubPr>
              <m:ctrlPr>
                <w:rPr>
                  <w:rFonts w:ascii="Cambria Math" w:hAnsi="Cambria Math"/>
                  <w:i/>
                  <w:lang w:val="es-CL"/>
                </w:rPr>
              </m:ctrlPr>
            </m:sSubPr>
            <m:e>
              <m:r>
                <w:rPr>
                  <w:rFonts w:ascii="Cambria Math" w:hAnsi="Cambria Math"/>
                  <w:lang w:val="es-CL"/>
                </w:rPr>
                <m:t>FT</m:t>
              </m:r>
            </m:e>
            <m:sub>
              <m:r>
                <w:rPr>
                  <w:rFonts w:ascii="Cambria Math" w:hAnsi="Cambria Math"/>
                  <w:lang w:val="es-CL"/>
                </w:rPr>
                <m:t>i</m:t>
              </m:r>
            </m:sub>
          </m:sSub>
          <m:r>
            <w:rPr>
              <w:rFonts w:ascii="Cambria Math" w:hAnsi="Cambria Math"/>
              <w:lang w:val="es-CL"/>
            </w:rPr>
            <m:t xml:space="preserve"> ;</m:t>
          </m:r>
          <m:sSub>
            <m:sSubPr>
              <m:ctrlPr>
                <w:rPr>
                  <w:rFonts w:ascii="Cambria Math" w:hAnsi="Cambria Math"/>
                  <w:i/>
                  <w:lang w:val="es-CL"/>
                </w:rPr>
              </m:ctrlPr>
            </m:sSubPr>
            <m:e>
              <m:r>
                <w:rPr>
                  <w:rFonts w:ascii="Cambria Math" w:hAnsi="Cambria Math"/>
                  <w:lang w:val="es-CL"/>
                </w:rPr>
                <m:t>Fd</m:t>
              </m:r>
            </m:e>
            <m:sub>
              <m:r>
                <w:rPr>
                  <w:rFonts w:ascii="Cambria Math" w:hAnsi="Cambria Math"/>
                  <w:lang w:val="es-CL"/>
                </w:rPr>
                <m:t>i-SND</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Fd</m:t>
              </m:r>
            </m:e>
            <m:sub>
              <m:r>
                <w:rPr>
                  <w:rFonts w:ascii="Cambria Math" w:hAnsi="Cambria Math"/>
                  <w:lang w:val="es-CL"/>
                </w:rPr>
                <m:t>i-FERUM</m:t>
              </m:r>
            </m:sub>
          </m:sSub>
          <m:r>
            <w:rPr>
              <w:rFonts w:ascii="Cambria Math" w:hAnsi="Cambria Math"/>
              <w:lang w:val="es-CL"/>
            </w:rPr>
            <m:t>+</m:t>
          </m:r>
          <m:sSub>
            <m:sSubPr>
              <m:ctrlPr>
                <w:rPr>
                  <w:rFonts w:ascii="Cambria Math" w:hAnsi="Cambria Math"/>
                  <w:i/>
                  <w:lang w:val="es-CL"/>
                </w:rPr>
              </m:ctrlPr>
            </m:sSubPr>
            <m:e>
              <m:r>
                <w:rPr>
                  <w:rFonts w:ascii="Cambria Math" w:hAnsi="Cambria Math"/>
                  <w:lang w:val="es-CL"/>
                </w:rPr>
                <m:t>Fd</m:t>
              </m:r>
            </m:e>
            <m:sub>
              <m:r>
                <w:rPr>
                  <w:rFonts w:ascii="Cambria Math" w:hAnsi="Cambria Math"/>
                  <w:lang w:val="es-CL"/>
                </w:rPr>
                <m:t>i-Agroindustria</m:t>
              </m:r>
            </m:sub>
          </m:sSub>
          <m:r>
            <w:rPr>
              <w:rFonts w:ascii="Cambria Math" w:hAnsi="Cambria Math"/>
              <w:lang w:val="es-CL"/>
            </w:rPr>
            <m:t>)</m:t>
          </m:r>
        </m:oMath>
      </m:oMathPara>
    </w:p>
    <w:p w:rsidR="00333DFC" w:rsidRDefault="003C7D0D" w:rsidP="00F56913">
      <w:pPr>
        <w:jc w:val="both"/>
        <w:rPr>
          <w:lang w:val="es-CL"/>
        </w:rPr>
      </w:pPr>
      <w:r>
        <w:rPr>
          <w:lang w:val="es-CL"/>
        </w:rPr>
        <w:t>Donde,</w:t>
      </w:r>
    </w:p>
    <w:p w:rsidR="003C7D0D" w:rsidRDefault="003C7D0D" w:rsidP="003C7D0D">
      <w:pPr>
        <w:ind w:left="708"/>
        <w:jc w:val="both"/>
        <w:rPr>
          <w:lang w:val="es-CL"/>
        </w:rPr>
      </w:pPr>
      <w:r w:rsidRPr="003C7D0D">
        <w:rPr>
          <w:b/>
          <w:lang w:val="es-CL"/>
        </w:rPr>
        <w:t>Fi:</w:t>
      </w:r>
      <w:r>
        <w:rPr>
          <w:lang w:val="es-CL"/>
        </w:rPr>
        <w:t xml:space="preserve"> Flujo resultante de combinar un determinado proyecto de transmisión, con los flujos de su(s) empresa(s) distribuidora(s) eléctricamente dependiente(s).</w:t>
      </w:r>
    </w:p>
    <w:p w:rsidR="003C7D0D" w:rsidRDefault="003C7D0D" w:rsidP="003C7D0D">
      <w:pPr>
        <w:ind w:left="708"/>
        <w:jc w:val="both"/>
        <w:rPr>
          <w:lang w:val="es-CL"/>
        </w:rPr>
      </w:pPr>
      <w:r>
        <w:rPr>
          <w:b/>
          <w:lang w:val="es-CL"/>
        </w:rPr>
        <w:t>FT</w:t>
      </w:r>
      <w:r w:rsidRPr="003C7D0D">
        <w:rPr>
          <w:b/>
          <w:vertAlign w:val="subscript"/>
          <w:lang w:val="es-CL"/>
        </w:rPr>
        <w:t>i</w:t>
      </w:r>
      <w:r>
        <w:rPr>
          <w:b/>
          <w:lang w:val="es-CL"/>
        </w:rPr>
        <w:t>:</w:t>
      </w:r>
      <w:r>
        <w:rPr>
          <w:lang w:val="es-CL"/>
        </w:rPr>
        <w:t xml:space="preserve"> Flujo correspondiente al proyecto de transmisión en el año i.</w:t>
      </w:r>
    </w:p>
    <w:p w:rsidR="003C7D0D" w:rsidRDefault="003C7D0D" w:rsidP="003C7D0D">
      <w:pPr>
        <w:ind w:left="708"/>
        <w:jc w:val="both"/>
        <w:rPr>
          <w:lang w:val="es-CL"/>
        </w:rPr>
      </w:pPr>
      <w:r w:rsidRPr="003C7D0D">
        <w:rPr>
          <w:b/>
          <w:lang w:val="es-CL"/>
        </w:rPr>
        <w:t>Fd</w:t>
      </w:r>
      <w:r w:rsidRPr="003C7D0D">
        <w:rPr>
          <w:b/>
          <w:vertAlign w:val="subscript"/>
          <w:lang w:val="es-CL"/>
        </w:rPr>
        <w:t>i-SND</w:t>
      </w:r>
      <w:r w:rsidRPr="003C7D0D">
        <w:rPr>
          <w:b/>
          <w:lang w:val="es-CL"/>
        </w:rPr>
        <w:t>:</w:t>
      </w:r>
      <w:r>
        <w:rPr>
          <w:lang w:val="es-CL"/>
        </w:rPr>
        <w:t xml:space="preserve"> Flujo del año i, estimado para la distribuidora eléctricamente dependiente, en proyectos de SND.</w:t>
      </w:r>
    </w:p>
    <w:p w:rsidR="003C7D0D" w:rsidRDefault="003C7D0D" w:rsidP="003C7D0D">
      <w:pPr>
        <w:ind w:left="708"/>
        <w:jc w:val="both"/>
        <w:rPr>
          <w:lang w:val="es-CL"/>
        </w:rPr>
      </w:pPr>
      <w:r w:rsidRPr="003C7D0D">
        <w:rPr>
          <w:b/>
          <w:lang w:val="es-CL"/>
        </w:rPr>
        <w:t>Fd</w:t>
      </w:r>
      <w:r w:rsidRPr="003C7D0D">
        <w:rPr>
          <w:b/>
          <w:vertAlign w:val="subscript"/>
          <w:lang w:val="es-CL"/>
        </w:rPr>
        <w:t>i-FERUM</w:t>
      </w:r>
      <w:r w:rsidRPr="003C7D0D">
        <w:rPr>
          <w:b/>
          <w:lang w:val="es-CL"/>
        </w:rPr>
        <w:t>:</w:t>
      </w:r>
      <w:r>
        <w:rPr>
          <w:lang w:val="es-CL"/>
        </w:rPr>
        <w:t xml:space="preserve"> Flujo del año i, estimado para la distribuidora eléctricamente dependiente, en proyectos FERUM.</w:t>
      </w:r>
    </w:p>
    <w:p w:rsidR="003C7D0D" w:rsidRDefault="003C7D0D" w:rsidP="003C7D0D">
      <w:pPr>
        <w:ind w:left="708"/>
        <w:jc w:val="both"/>
        <w:rPr>
          <w:lang w:val="es-CL"/>
        </w:rPr>
      </w:pPr>
      <w:r w:rsidRPr="003C7D0D">
        <w:rPr>
          <w:b/>
          <w:lang w:val="es-CL"/>
        </w:rPr>
        <w:t>Fd</w:t>
      </w:r>
      <w:r w:rsidRPr="003C7D0D">
        <w:rPr>
          <w:b/>
          <w:vertAlign w:val="subscript"/>
          <w:lang w:val="es-CL"/>
        </w:rPr>
        <w:t>i-Agroindustria</w:t>
      </w:r>
      <w:r w:rsidRPr="003C7D0D">
        <w:rPr>
          <w:b/>
          <w:lang w:val="es-CL"/>
        </w:rPr>
        <w:t>:</w:t>
      </w:r>
      <w:r>
        <w:rPr>
          <w:lang w:val="es-CL"/>
        </w:rPr>
        <w:t xml:space="preserve"> Flujo del año i, estimado para la distribuidora eléctricamente dependiente, en proyectos de Agroindustria.</w:t>
      </w:r>
    </w:p>
    <w:p w:rsidR="003C7D0D" w:rsidRDefault="003C7D0D" w:rsidP="003C7D0D">
      <w:pPr>
        <w:jc w:val="both"/>
        <w:rPr>
          <w:lang w:val="es-CL"/>
        </w:rPr>
      </w:pPr>
    </w:p>
    <w:p w:rsidR="00000D0F" w:rsidRDefault="00000D0F" w:rsidP="00750B5F">
      <w:pPr>
        <w:pStyle w:val="Heading2"/>
        <w:rPr>
          <w:lang w:val="es-CL"/>
        </w:rPr>
      </w:pPr>
    </w:p>
    <w:p w:rsidR="00000D0F" w:rsidRDefault="00000D0F" w:rsidP="00750B5F">
      <w:pPr>
        <w:pStyle w:val="Heading2"/>
        <w:rPr>
          <w:lang w:val="es-CL"/>
        </w:rPr>
      </w:pPr>
    </w:p>
    <w:p w:rsidR="003C7D0D" w:rsidRDefault="00750B5F" w:rsidP="00750B5F">
      <w:pPr>
        <w:pStyle w:val="Heading2"/>
        <w:rPr>
          <w:lang w:val="es-CL"/>
        </w:rPr>
      </w:pPr>
      <w:bookmarkStart w:id="31" w:name="_Toc491617774"/>
      <w:r>
        <w:rPr>
          <w:lang w:val="es-CL"/>
        </w:rPr>
        <w:t>Resultados Evaluación Integral</w:t>
      </w:r>
      <w:bookmarkEnd w:id="31"/>
    </w:p>
    <w:p w:rsidR="003C7D0D" w:rsidRDefault="003C7D0D" w:rsidP="003C7D0D">
      <w:pPr>
        <w:jc w:val="both"/>
        <w:rPr>
          <w:lang w:val="es-CL"/>
        </w:rPr>
      </w:pPr>
      <w:r>
        <w:rPr>
          <w:lang w:val="es-CL"/>
        </w:rPr>
        <w:t>Habiendo realizado la depuración de flujos señalada, se obtienen por adición simple, las siguientes planillas de evaluación integral (primeros 10 años del horizonte).</w:t>
      </w:r>
    </w:p>
    <w:p w:rsidR="003C7D0D" w:rsidRDefault="003C7D0D" w:rsidP="003C7D0D">
      <w:pPr>
        <w:jc w:val="both"/>
        <w:rPr>
          <w:lang w:val="es-CL"/>
        </w:rPr>
      </w:pPr>
    </w:p>
    <w:p w:rsidR="00000D0F" w:rsidRDefault="00000D0F" w:rsidP="003C7D0D">
      <w:pPr>
        <w:jc w:val="both"/>
        <w:rPr>
          <w:b/>
          <w:lang w:val="es-CL"/>
        </w:rPr>
      </w:pPr>
    </w:p>
    <w:p w:rsidR="003C7D0D" w:rsidRPr="005326C2" w:rsidRDefault="005326C2" w:rsidP="003C7D0D">
      <w:pPr>
        <w:jc w:val="both"/>
        <w:rPr>
          <w:b/>
          <w:lang w:val="es-CL"/>
        </w:rPr>
      </w:pPr>
      <w:r w:rsidRPr="005326C2">
        <w:rPr>
          <w:b/>
          <w:lang w:val="es-CL"/>
        </w:rPr>
        <w:t xml:space="preserve">Tabla N°39 </w:t>
      </w:r>
      <w:r w:rsidR="003C7D0D" w:rsidRPr="005326C2">
        <w:rPr>
          <w:b/>
          <w:lang w:val="es-CL"/>
        </w:rPr>
        <w:t>Evaluación Financiera</w:t>
      </w:r>
      <w:r w:rsidRPr="005326C2">
        <w:rPr>
          <w:b/>
          <w:lang w:val="es-CL"/>
        </w:rPr>
        <w:t xml:space="preserve"> Integral</w:t>
      </w:r>
    </w:p>
    <w:p w:rsidR="003C7D0D" w:rsidRDefault="003C7D0D" w:rsidP="003C7D0D">
      <w:pPr>
        <w:jc w:val="both"/>
        <w:rPr>
          <w:lang w:val="es-CL"/>
        </w:rPr>
      </w:pPr>
      <w:r w:rsidRPr="003C7D0D">
        <w:rPr>
          <w:noProof/>
          <w:lang w:val="en-US"/>
        </w:rPr>
        <w:drawing>
          <wp:inline distT="0" distB="0" distL="0" distR="0">
            <wp:extent cx="5612130" cy="1255598"/>
            <wp:effectExtent l="0" t="0" r="7620" b="190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2130" cy="1255598"/>
                    </a:xfrm>
                    <a:prstGeom prst="rect">
                      <a:avLst/>
                    </a:prstGeom>
                    <a:noFill/>
                    <a:ln>
                      <a:noFill/>
                    </a:ln>
                  </pic:spPr>
                </pic:pic>
              </a:graphicData>
            </a:graphic>
          </wp:inline>
        </w:drawing>
      </w:r>
    </w:p>
    <w:p w:rsidR="00A43874" w:rsidRDefault="00A43874" w:rsidP="00F56913">
      <w:pPr>
        <w:jc w:val="both"/>
        <w:rPr>
          <w:lang w:val="es-CL"/>
        </w:rPr>
      </w:pPr>
    </w:p>
    <w:p w:rsidR="00000D0F" w:rsidRDefault="00000D0F" w:rsidP="00F56913">
      <w:pPr>
        <w:jc w:val="both"/>
        <w:rPr>
          <w:b/>
          <w:lang w:val="es-CL"/>
        </w:rPr>
      </w:pPr>
    </w:p>
    <w:p w:rsidR="00000D0F" w:rsidRDefault="00000D0F" w:rsidP="00F56913">
      <w:pPr>
        <w:jc w:val="both"/>
        <w:rPr>
          <w:b/>
          <w:lang w:val="es-CL"/>
        </w:rPr>
      </w:pPr>
    </w:p>
    <w:p w:rsidR="00000D0F" w:rsidRDefault="00000D0F" w:rsidP="00F56913">
      <w:pPr>
        <w:jc w:val="both"/>
        <w:rPr>
          <w:b/>
          <w:lang w:val="es-CL"/>
        </w:rPr>
      </w:pPr>
    </w:p>
    <w:p w:rsidR="00000D0F" w:rsidRDefault="00000D0F" w:rsidP="00F56913">
      <w:pPr>
        <w:jc w:val="both"/>
        <w:rPr>
          <w:b/>
          <w:lang w:val="es-CL"/>
        </w:rPr>
      </w:pPr>
    </w:p>
    <w:p w:rsidR="00000D0F" w:rsidRDefault="00000D0F" w:rsidP="00F56913">
      <w:pPr>
        <w:jc w:val="both"/>
        <w:rPr>
          <w:b/>
          <w:lang w:val="es-CL"/>
        </w:rPr>
      </w:pPr>
    </w:p>
    <w:p w:rsidR="00AC1476" w:rsidRPr="005326C2" w:rsidRDefault="005326C2" w:rsidP="00F56913">
      <w:pPr>
        <w:jc w:val="both"/>
        <w:rPr>
          <w:b/>
          <w:lang w:val="es-CL"/>
        </w:rPr>
      </w:pPr>
      <w:r w:rsidRPr="005326C2">
        <w:rPr>
          <w:b/>
          <w:lang w:val="es-CL"/>
        </w:rPr>
        <w:t xml:space="preserve">Tabla N°40 </w:t>
      </w:r>
      <w:r w:rsidR="003C7D0D" w:rsidRPr="005326C2">
        <w:rPr>
          <w:b/>
          <w:lang w:val="es-CL"/>
        </w:rPr>
        <w:t>Evaluación Económica</w:t>
      </w:r>
      <w:r w:rsidRPr="005326C2">
        <w:rPr>
          <w:b/>
          <w:lang w:val="es-CL"/>
        </w:rPr>
        <w:t xml:space="preserve"> Integral</w:t>
      </w:r>
    </w:p>
    <w:p w:rsidR="003C7D0D" w:rsidRDefault="00DF3255" w:rsidP="00F56913">
      <w:pPr>
        <w:jc w:val="both"/>
        <w:rPr>
          <w:lang w:val="es-CL"/>
        </w:rPr>
      </w:pPr>
      <w:r w:rsidRPr="00DF3255">
        <w:rPr>
          <w:noProof/>
          <w:lang w:val="en-US"/>
        </w:rPr>
        <w:drawing>
          <wp:inline distT="0" distB="0" distL="0" distR="0">
            <wp:extent cx="5612130" cy="2210914"/>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2210914"/>
                    </a:xfrm>
                    <a:prstGeom prst="rect">
                      <a:avLst/>
                    </a:prstGeom>
                    <a:noFill/>
                    <a:ln>
                      <a:noFill/>
                    </a:ln>
                  </pic:spPr>
                </pic:pic>
              </a:graphicData>
            </a:graphic>
          </wp:inline>
        </w:drawing>
      </w:r>
    </w:p>
    <w:p w:rsidR="003F21A0" w:rsidRDefault="003F21A0" w:rsidP="00F56913">
      <w:pPr>
        <w:jc w:val="both"/>
        <w:rPr>
          <w:lang w:val="es-CL"/>
        </w:rPr>
      </w:pPr>
    </w:p>
    <w:p w:rsidR="005326C2" w:rsidRDefault="00750B5F" w:rsidP="00750B5F">
      <w:pPr>
        <w:pStyle w:val="Heading2"/>
        <w:rPr>
          <w:lang w:val="es-CL"/>
        </w:rPr>
      </w:pPr>
      <w:bookmarkStart w:id="32" w:name="_Toc491617775"/>
      <w:r>
        <w:rPr>
          <w:lang w:val="es-CL"/>
        </w:rPr>
        <w:t>Análisis de Flujos y Parámetros Dominantes</w:t>
      </w:r>
      <w:bookmarkEnd w:id="32"/>
    </w:p>
    <w:p w:rsidR="005326C2" w:rsidRDefault="00750B5F" w:rsidP="00F56913">
      <w:pPr>
        <w:jc w:val="both"/>
        <w:rPr>
          <w:lang w:val="es-CL"/>
        </w:rPr>
      </w:pPr>
      <w:r>
        <w:rPr>
          <w:lang w:val="es-CL"/>
        </w:rPr>
        <w:t xml:space="preserve">Para cada uno de los elementos del flujo, se calcula su respectivo valor presente y se </w:t>
      </w:r>
      <w:r w:rsidR="005D0089">
        <w:rPr>
          <w:lang w:val="es-CL"/>
        </w:rPr>
        <w:t>determina</w:t>
      </w:r>
      <w:r>
        <w:rPr>
          <w:lang w:val="es-CL"/>
        </w:rPr>
        <w:t xml:space="preserve"> a partir de allí, cuáles son los flujos dominantes sobre el resultado final (VAN). Luego, sobre la base de supuestos y parámetros empleados en el modelo de evaluación </w:t>
      </w:r>
      <w:r w:rsidR="00125DC1">
        <w:rPr>
          <w:lang w:val="es-CL"/>
        </w:rPr>
        <w:t xml:space="preserve">hasta </w:t>
      </w:r>
      <w:r>
        <w:rPr>
          <w:lang w:val="es-CL"/>
        </w:rPr>
        <w:t xml:space="preserve">aquí expuesto, se obtiene un listado de los principales drivers que, en definitiva, </w:t>
      </w:r>
      <w:r w:rsidR="00D37F48">
        <w:rPr>
          <w:lang w:val="es-CL"/>
        </w:rPr>
        <w:t>deben incluirse en el análisis</w:t>
      </w:r>
      <w:r>
        <w:rPr>
          <w:lang w:val="es-CL"/>
        </w:rPr>
        <w:t xml:space="preserve"> de sensibilidad en el siguiente apartado.</w:t>
      </w:r>
    </w:p>
    <w:p w:rsidR="00750B5F" w:rsidRDefault="00A811CD" w:rsidP="00673EC2">
      <w:pPr>
        <w:jc w:val="center"/>
        <w:rPr>
          <w:lang w:val="es-CL"/>
        </w:rPr>
      </w:pPr>
      <w:r>
        <w:rPr>
          <w:noProof/>
          <w:lang w:val="en-US"/>
        </w:rPr>
        <w:drawing>
          <wp:inline distT="0" distB="0" distL="0" distR="0" wp14:anchorId="7D89CFC9">
            <wp:extent cx="4141886" cy="3538728"/>
            <wp:effectExtent l="0" t="0" r="0" b="508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52116" cy="3547468"/>
                    </a:xfrm>
                    <a:prstGeom prst="rect">
                      <a:avLst/>
                    </a:prstGeom>
                    <a:noFill/>
                  </pic:spPr>
                </pic:pic>
              </a:graphicData>
            </a:graphic>
          </wp:inline>
        </w:drawing>
      </w:r>
    </w:p>
    <w:p w:rsidR="00125DC1" w:rsidRDefault="00673EC2" w:rsidP="00F56913">
      <w:pPr>
        <w:jc w:val="both"/>
        <w:rPr>
          <w:lang w:val="es-CL"/>
        </w:rPr>
      </w:pPr>
      <w:r w:rsidRPr="00F4735C">
        <w:rPr>
          <w:b/>
          <w:lang w:val="es-CL"/>
        </w:rPr>
        <w:t xml:space="preserve">Figura </w:t>
      </w:r>
      <w:r w:rsidR="00F4735C" w:rsidRPr="00F4735C">
        <w:rPr>
          <w:b/>
          <w:lang w:val="es-CL"/>
        </w:rPr>
        <w:t>31</w:t>
      </w:r>
      <w:r w:rsidR="00F4735C">
        <w:rPr>
          <w:lang w:val="es-CL"/>
        </w:rPr>
        <w:t>. Análisis de flujos componentes del VAN Integral Financiero, representados por sus respectivos valores actuales netos</w:t>
      </w:r>
      <w:r w:rsidR="005D7C4D">
        <w:rPr>
          <w:lang w:val="es-CL"/>
        </w:rPr>
        <w:t>, en millones de US$</w:t>
      </w:r>
      <w:r w:rsidR="00F4735C">
        <w:rPr>
          <w:lang w:val="es-CL"/>
        </w:rPr>
        <w:t>.</w:t>
      </w:r>
    </w:p>
    <w:p w:rsidR="00750B5F" w:rsidRDefault="00A94E02" w:rsidP="00E21BAF">
      <w:pPr>
        <w:jc w:val="center"/>
        <w:rPr>
          <w:lang w:val="es-CL"/>
        </w:rPr>
      </w:pPr>
      <w:r>
        <w:rPr>
          <w:noProof/>
          <w:lang w:val="en-US"/>
        </w:rPr>
        <w:drawing>
          <wp:inline distT="0" distB="0" distL="0" distR="0" wp14:anchorId="0AA7DAC0">
            <wp:extent cx="5779663" cy="33070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88437" cy="3312100"/>
                    </a:xfrm>
                    <a:prstGeom prst="rect">
                      <a:avLst/>
                    </a:prstGeom>
                    <a:noFill/>
                  </pic:spPr>
                </pic:pic>
              </a:graphicData>
            </a:graphic>
          </wp:inline>
        </w:drawing>
      </w:r>
    </w:p>
    <w:p w:rsidR="008A1DFB" w:rsidRDefault="008A1DFB" w:rsidP="008A1DFB">
      <w:pPr>
        <w:jc w:val="both"/>
        <w:rPr>
          <w:lang w:val="es-CL"/>
        </w:rPr>
      </w:pPr>
      <w:r w:rsidRPr="008A1DFB">
        <w:rPr>
          <w:b/>
          <w:lang w:val="es-CL"/>
        </w:rPr>
        <w:t>Figura 32</w:t>
      </w:r>
      <w:r>
        <w:rPr>
          <w:lang w:val="es-CL"/>
        </w:rPr>
        <w:t>. Análisis de flujos componentes del VAN Integral Económico, representados por sus respectivos valores actuales netos, en millones de US$.</w:t>
      </w:r>
    </w:p>
    <w:p w:rsidR="001D6D32" w:rsidRDefault="001D6D32" w:rsidP="00F56913">
      <w:pPr>
        <w:jc w:val="both"/>
        <w:rPr>
          <w:lang w:val="es-CL"/>
        </w:rPr>
      </w:pPr>
    </w:p>
    <w:p w:rsidR="001D6D32" w:rsidRDefault="001D6D32" w:rsidP="00F56913">
      <w:pPr>
        <w:jc w:val="both"/>
        <w:rPr>
          <w:lang w:val="es-CL"/>
        </w:rPr>
      </w:pPr>
    </w:p>
    <w:p w:rsidR="001D6D32" w:rsidRDefault="001D6D32" w:rsidP="00F56913">
      <w:pPr>
        <w:jc w:val="both"/>
        <w:rPr>
          <w:lang w:val="es-CL"/>
        </w:rPr>
      </w:pPr>
    </w:p>
    <w:p w:rsidR="001D6D32" w:rsidRDefault="001D6D32" w:rsidP="00F56913">
      <w:pPr>
        <w:jc w:val="both"/>
        <w:rPr>
          <w:lang w:val="es-CL"/>
        </w:rPr>
      </w:pPr>
    </w:p>
    <w:p w:rsidR="008A1DFB" w:rsidRDefault="008A1DFB" w:rsidP="00F56913">
      <w:pPr>
        <w:jc w:val="both"/>
        <w:rPr>
          <w:lang w:val="es-CL"/>
        </w:rPr>
      </w:pPr>
      <w:r>
        <w:rPr>
          <w:lang w:val="es-CL"/>
        </w:rPr>
        <w:t>Observando ambos gráficos de análisis de flujos del VAN (Financiero y Económico), figuras 31 y 32, surgen los siguientes ítems como los más relevantes, así como los principales parámetros tras su determinación en el modelo de evaluación</w:t>
      </w:r>
      <w:r w:rsidR="007B52DA">
        <w:rPr>
          <w:lang w:val="es-CL"/>
        </w:rPr>
        <w:t>.</w:t>
      </w:r>
    </w:p>
    <w:p w:rsidR="001D6D32" w:rsidRDefault="001D6D32" w:rsidP="00F56913">
      <w:pPr>
        <w:jc w:val="both"/>
        <w:rPr>
          <w:lang w:val="es-CL"/>
        </w:rPr>
      </w:pPr>
    </w:p>
    <w:p w:rsidR="001D6D32" w:rsidRDefault="001D6D32" w:rsidP="00F56913">
      <w:pPr>
        <w:jc w:val="both"/>
        <w:rPr>
          <w:lang w:val="es-CL"/>
        </w:rPr>
      </w:pPr>
    </w:p>
    <w:p w:rsidR="001D6D32" w:rsidRDefault="001D6D32" w:rsidP="00F56913">
      <w:pPr>
        <w:jc w:val="both"/>
        <w:rPr>
          <w:lang w:val="es-CL"/>
        </w:rPr>
      </w:pPr>
    </w:p>
    <w:p w:rsidR="001D6D32" w:rsidRDefault="001D6D32" w:rsidP="00F56913">
      <w:pPr>
        <w:jc w:val="both"/>
        <w:rPr>
          <w:lang w:val="es-CL"/>
        </w:rPr>
      </w:pPr>
    </w:p>
    <w:p w:rsidR="001D6D32" w:rsidRDefault="001D6D32" w:rsidP="00F56913">
      <w:pPr>
        <w:jc w:val="both"/>
        <w:rPr>
          <w:lang w:val="es-CL"/>
        </w:rPr>
      </w:pPr>
    </w:p>
    <w:p w:rsidR="001D6D32" w:rsidRDefault="001D6D32" w:rsidP="00F56913">
      <w:pPr>
        <w:jc w:val="both"/>
        <w:rPr>
          <w:lang w:val="es-CL"/>
        </w:rPr>
      </w:pPr>
    </w:p>
    <w:p w:rsidR="001D6D32" w:rsidRDefault="001D6D32" w:rsidP="00F56913">
      <w:pPr>
        <w:jc w:val="both"/>
        <w:rPr>
          <w:lang w:val="es-CL"/>
        </w:rPr>
      </w:pPr>
    </w:p>
    <w:p w:rsidR="00811961" w:rsidRDefault="00811961" w:rsidP="00F56913">
      <w:pPr>
        <w:jc w:val="both"/>
        <w:rPr>
          <w:lang w:val="es-CL"/>
        </w:rPr>
      </w:pPr>
    </w:p>
    <w:p w:rsidR="00811961" w:rsidRDefault="00811961" w:rsidP="00F56913">
      <w:pPr>
        <w:jc w:val="both"/>
        <w:rPr>
          <w:lang w:val="es-CL"/>
        </w:rPr>
      </w:pPr>
    </w:p>
    <w:p w:rsidR="008A1DFB" w:rsidRPr="007B52DA" w:rsidRDefault="008A1DFB" w:rsidP="007B52DA">
      <w:pPr>
        <w:jc w:val="center"/>
        <w:rPr>
          <w:b/>
          <w:lang w:val="es-CL"/>
        </w:rPr>
      </w:pPr>
      <w:r w:rsidRPr="007B52DA">
        <w:rPr>
          <w:b/>
          <w:lang w:val="es-CL"/>
        </w:rPr>
        <w:t>Tabla N°41. Ítems y parámetros más relevantes en las evaluaciones financiera y económica</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605"/>
        <w:gridCol w:w="696"/>
        <w:gridCol w:w="816"/>
        <w:gridCol w:w="699"/>
        <w:gridCol w:w="762"/>
      </w:tblGrid>
      <w:tr w:rsidR="00E21BAF" w:rsidTr="00811961">
        <w:trPr>
          <w:cantSplit/>
          <w:trHeight w:val="320"/>
          <w:jc w:val="center"/>
        </w:trPr>
        <w:tc>
          <w:tcPr>
            <w:tcW w:w="3259" w:type="dxa"/>
            <w:gridSpan w:val="2"/>
            <w:vMerge w:val="restart"/>
            <w:shd w:val="clear" w:color="auto" w:fill="2E74B5" w:themeFill="accent5" w:themeFillShade="BF"/>
            <w:vAlign w:val="center"/>
          </w:tcPr>
          <w:p w:rsidR="00E21BAF" w:rsidRDefault="00E21BAF" w:rsidP="005D0089">
            <w:pPr>
              <w:jc w:val="center"/>
              <w:rPr>
                <w:color w:val="FFFFFF" w:themeColor="background1"/>
                <w:sz w:val="20"/>
                <w:lang w:val="es-CL"/>
              </w:rPr>
            </w:pPr>
            <w:r w:rsidRPr="00E21BAF">
              <w:rPr>
                <w:color w:val="FFFFFF" w:themeColor="background1"/>
                <w:sz w:val="20"/>
                <w:lang w:val="es-CL"/>
              </w:rPr>
              <w:t>Ítems con mayor peso</w:t>
            </w:r>
          </w:p>
          <w:p w:rsidR="00E21BAF" w:rsidRDefault="00E21BAF" w:rsidP="005D0089">
            <w:pPr>
              <w:jc w:val="center"/>
              <w:rPr>
                <w:color w:val="FFFFFF" w:themeColor="background1"/>
                <w:sz w:val="20"/>
                <w:lang w:val="es-CL"/>
              </w:rPr>
            </w:pPr>
            <w:r w:rsidRPr="00E21BAF">
              <w:rPr>
                <w:color w:val="FFFFFF" w:themeColor="background1"/>
                <w:sz w:val="20"/>
                <w:lang w:val="es-CL"/>
              </w:rPr>
              <w:t xml:space="preserve">versus </w:t>
            </w:r>
          </w:p>
          <w:p w:rsidR="00E21BAF" w:rsidRPr="00E21BAF" w:rsidRDefault="00E21BAF" w:rsidP="005D0089">
            <w:pPr>
              <w:jc w:val="center"/>
              <w:rPr>
                <w:color w:val="FFFFFF" w:themeColor="background1"/>
                <w:sz w:val="20"/>
                <w:lang w:val="es-CL"/>
              </w:rPr>
            </w:pPr>
            <w:r>
              <w:rPr>
                <w:color w:val="FFFFFF" w:themeColor="background1"/>
                <w:sz w:val="20"/>
                <w:lang w:val="es-CL"/>
              </w:rPr>
              <w:t xml:space="preserve">Sus </w:t>
            </w:r>
            <w:r w:rsidRPr="00E21BAF">
              <w:rPr>
                <w:color w:val="FFFFFF" w:themeColor="background1"/>
                <w:sz w:val="20"/>
                <w:lang w:val="es-CL"/>
              </w:rPr>
              <w:t>Parámetros más Influyentes</w:t>
            </w:r>
          </w:p>
        </w:tc>
        <w:tc>
          <w:tcPr>
            <w:tcW w:w="2973" w:type="dxa"/>
            <w:gridSpan w:val="4"/>
            <w:shd w:val="clear" w:color="auto" w:fill="BDD6EE" w:themeFill="accent5" w:themeFillTint="66"/>
            <w:vAlign w:val="center"/>
          </w:tcPr>
          <w:p w:rsidR="00E21BAF" w:rsidRPr="00E21BAF" w:rsidRDefault="00E21BAF" w:rsidP="00E21BAF">
            <w:pPr>
              <w:jc w:val="center"/>
              <w:rPr>
                <w:b/>
                <w:sz w:val="20"/>
                <w:lang w:val="es-CL"/>
              </w:rPr>
            </w:pPr>
            <w:r w:rsidRPr="00E21BAF">
              <w:rPr>
                <w:b/>
                <w:sz w:val="20"/>
                <w:lang w:val="es-CL"/>
              </w:rPr>
              <w:t>Parámetros Más Influyentes</w:t>
            </w:r>
          </w:p>
        </w:tc>
      </w:tr>
      <w:tr w:rsidR="00811961" w:rsidTr="00811961">
        <w:trPr>
          <w:cantSplit/>
          <w:trHeight w:val="1505"/>
          <w:jc w:val="center"/>
        </w:trPr>
        <w:tc>
          <w:tcPr>
            <w:tcW w:w="3259" w:type="dxa"/>
            <w:gridSpan w:val="2"/>
            <w:vMerge/>
            <w:shd w:val="clear" w:color="auto" w:fill="2E74B5" w:themeFill="accent5" w:themeFillShade="BF"/>
          </w:tcPr>
          <w:p w:rsidR="00811961" w:rsidRPr="00E21BAF" w:rsidRDefault="00811961" w:rsidP="005D0089">
            <w:pPr>
              <w:jc w:val="center"/>
              <w:rPr>
                <w:color w:val="FFFFFF" w:themeColor="background1"/>
                <w:sz w:val="20"/>
                <w:lang w:val="es-CL"/>
              </w:rPr>
            </w:pPr>
          </w:p>
        </w:tc>
        <w:tc>
          <w:tcPr>
            <w:tcW w:w="696" w:type="dxa"/>
            <w:shd w:val="clear" w:color="auto" w:fill="BDD6EE" w:themeFill="accent5" w:themeFillTint="66"/>
            <w:textDirection w:val="btLr"/>
            <w:vAlign w:val="center"/>
          </w:tcPr>
          <w:p w:rsidR="00811961" w:rsidRPr="00E21BAF" w:rsidRDefault="00811961" w:rsidP="007B52DA">
            <w:pPr>
              <w:ind w:left="113" w:right="113"/>
              <w:jc w:val="center"/>
              <w:rPr>
                <w:sz w:val="20"/>
                <w:lang w:val="es-CL"/>
              </w:rPr>
            </w:pPr>
            <w:r w:rsidRPr="00E21BAF">
              <w:rPr>
                <w:sz w:val="20"/>
                <w:lang w:val="es-CL"/>
              </w:rPr>
              <w:t>Inversión Unitaria</w:t>
            </w:r>
          </w:p>
        </w:tc>
        <w:tc>
          <w:tcPr>
            <w:tcW w:w="816" w:type="dxa"/>
            <w:shd w:val="clear" w:color="auto" w:fill="BDD6EE" w:themeFill="accent5" w:themeFillTint="66"/>
            <w:textDirection w:val="btLr"/>
            <w:vAlign w:val="center"/>
          </w:tcPr>
          <w:p w:rsidR="00811961" w:rsidRPr="00E21BAF" w:rsidRDefault="00811961" w:rsidP="007B52DA">
            <w:pPr>
              <w:ind w:left="113" w:right="113"/>
              <w:jc w:val="center"/>
              <w:rPr>
                <w:sz w:val="20"/>
                <w:lang w:val="es-CL"/>
              </w:rPr>
            </w:pPr>
            <w:r w:rsidRPr="00E21BAF">
              <w:rPr>
                <w:sz w:val="20"/>
                <w:lang w:val="es-CL"/>
              </w:rPr>
              <w:t>Demanda de Energía</w:t>
            </w:r>
          </w:p>
        </w:tc>
        <w:tc>
          <w:tcPr>
            <w:tcW w:w="699" w:type="dxa"/>
            <w:shd w:val="clear" w:color="auto" w:fill="BDD6EE" w:themeFill="accent5" w:themeFillTint="66"/>
            <w:textDirection w:val="btLr"/>
            <w:vAlign w:val="center"/>
          </w:tcPr>
          <w:p w:rsidR="00811961" w:rsidRPr="00E21BAF" w:rsidRDefault="00811961" w:rsidP="007B52DA">
            <w:pPr>
              <w:ind w:left="113" w:right="113"/>
              <w:jc w:val="center"/>
              <w:rPr>
                <w:sz w:val="20"/>
                <w:lang w:val="es-CL"/>
              </w:rPr>
            </w:pPr>
            <w:r w:rsidRPr="00E21BAF">
              <w:rPr>
                <w:sz w:val="20"/>
                <w:lang w:val="es-CL"/>
              </w:rPr>
              <w:t>Precio Medio de Venta</w:t>
            </w:r>
          </w:p>
        </w:tc>
        <w:tc>
          <w:tcPr>
            <w:tcW w:w="762" w:type="dxa"/>
            <w:shd w:val="clear" w:color="auto" w:fill="BDD6EE" w:themeFill="accent5" w:themeFillTint="66"/>
            <w:textDirection w:val="btLr"/>
            <w:vAlign w:val="center"/>
          </w:tcPr>
          <w:p w:rsidR="00811961" w:rsidRPr="00E21BAF" w:rsidRDefault="00811961" w:rsidP="00811961">
            <w:pPr>
              <w:ind w:left="113" w:right="113"/>
              <w:jc w:val="center"/>
              <w:rPr>
                <w:sz w:val="20"/>
                <w:lang w:val="es-CL"/>
              </w:rPr>
            </w:pPr>
            <w:r w:rsidRPr="00E21BAF">
              <w:rPr>
                <w:sz w:val="20"/>
                <w:lang w:val="es-CL"/>
              </w:rPr>
              <w:t>Precio Medio de Compra</w:t>
            </w:r>
          </w:p>
        </w:tc>
      </w:tr>
      <w:tr w:rsidR="00811961" w:rsidTr="00811961">
        <w:trPr>
          <w:trHeight w:val="252"/>
          <w:jc w:val="center"/>
        </w:trPr>
        <w:tc>
          <w:tcPr>
            <w:tcW w:w="654" w:type="dxa"/>
            <w:vMerge w:val="restart"/>
            <w:shd w:val="clear" w:color="auto" w:fill="BDD6EE" w:themeFill="accent5" w:themeFillTint="66"/>
            <w:textDirection w:val="btLr"/>
            <w:vAlign w:val="center"/>
          </w:tcPr>
          <w:p w:rsidR="00811961" w:rsidRPr="00E21BAF" w:rsidRDefault="00811961" w:rsidP="00E21BAF">
            <w:pPr>
              <w:ind w:left="113" w:right="113"/>
              <w:jc w:val="center"/>
              <w:rPr>
                <w:b/>
                <w:sz w:val="20"/>
                <w:lang w:val="es-CL"/>
              </w:rPr>
            </w:pPr>
            <w:r w:rsidRPr="00E21BAF">
              <w:rPr>
                <w:b/>
                <w:sz w:val="20"/>
                <w:lang w:val="es-CL"/>
              </w:rPr>
              <w:t>Ítems con Mayor Peso</w:t>
            </w: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Inversión</w:t>
            </w:r>
          </w:p>
        </w:tc>
        <w:tc>
          <w:tcPr>
            <w:tcW w:w="696" w:type="dxa"/>
            <w:vAlign w:val="center"/>
          </w:tcPr>
          <w:p w:rsidR="00811961" w:rsidRPr="00E21BAF" w:rsidRDefault="00811961" w:rsidP="007B52DA">
            <w:pPr>
              <w:jc w:val="center"/>
              <w:rPr>
                <w:sz w:val="20"/>
                <w:lang w:val="es-CL"/>
              </w:rPr>
            </w:pPr>
            <w:r w:rsidRPr="00E21BAF">
              <w:rPr>
                <w:sz w:val="20"/>
                <w:lang w:val="es-CL"/>
              </w:rPr>
              <w:t>x</w:t>
            </w:r>
          </w:p>
        </w:tc>
        <w:tc>
          <w:tcPr>
            <w:tcW w:w="816" w:type="dxa"/>
            <w:vAlign w:val="center"/>
          </w:tcPr>
          <w:p w:rsidR="00811961" w:rsidRPr="00E21BAF" w:rsidRDefault="00811961" w:rsidP="007B52DA">
            <w:pPr>
              <w:jc w:val="center"/>
              <w:rPr>
                <w:sz w:val="20"/>
                <w:lang w:val="es-CL"/>
              </w:rPr>
            </w:pPr>
          </w:p>
        </w:tc>
        <w:tc>
          <w:tcPr>
            <w:tcW w:w="699" w:type="dxa"/>
            <w:vAlign w:val="center"/>
          </w:tcPr>
          <w:p w:rsidR="00811961" w:rsidRPr="00E21BAF" w:rsidRDefault="00811961" w:rsidP="007B52DA">
            <w:pPr>
              <w:jc w:val="center"/>
              <w:rPr>
                <w:sz w:val="20"/>
                <w:lang w:val="es-CL"/>
              </w:rPr>
            </w:pPr>
          </w:p>
        </w:tc>
        <w:tc>
          <w:tcPr>
            <w:tcW w:w="762" w:type="dxa"/>
            <w:vAlign w:val="center"/>
          </w:tcPr>
          <w:p w:rsidR="00811961" w:rsidRPr="00E21BAF" w:rsidRDefault="00811961" w:rsidP="007B52DA">
            <w:pPr>
              <w:jc w:val="center"/>
              <w:rPr>
                <w:sz w:val="20"/>
                <w:lang w:val="es-CL"/>
              </w:rPr>
            </w:pPr>
          </w:p>
        </w:tc>
      </w:tr>
      <w:tr w:rsidR="00811961" w:rsidTr="00811961">
        <w:trPr>
          <w:trHeight w:val="252"/>
          <w:jc w:val="center"/>
        </w:trPr>
        <w:tc>
          <w:tcPr>
            <w:tcW w:w="654" w:type="dxa"/>
            <w:vMerge/>
            <w:shd w:val="clear" w:color="auto" w:fill="BDD6EE" w:themeFill="accent5" w:themeFillTint="66"/>
          </w:tcPr>
          <w:p w:rsidR="00811961" w:rsidRPr="00E21BAF" w:rsidRDefault="00811961" w:rsidP="007B52DA">
            <w:pPr>
              <w:rPr>
                <w:sz w:val="20"/>
                <w:lang w:val="es-CL"/>
              </w:rPr>
            </w:pP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Venta de Energía</w:t>
            </w:r>
          </w:p>
        </w:tc>
        <w:tc>
          <w:tcPr>
            <w:tcW w:w="696" w:type="dxa"/>
            <w:vAlign w:val="center"/>
          </w:tcPr>
          <w:p w:rsidR="00811961" w:rsidRPr="00E21BAF" w:rsidRDefault="00811961" w:rsidP="007B52DA">
            <w:pPr>
              <w:jc w:val="center"/>
              <w:rPr>
                <w:sz w:val="20"/>
                <w:lang w:val="es-CL"/>
              </w:rPr>
            </w:pPr>
          </w:p>
        </w:tc>
        <w:tc>
          <w:tcPr>
            <w:tcW w:w="816" w:type="dxa"/>
            <w:vAlign w:val="center"/>
          </w:tcPr>
          <w:p w:rsidR="00811961" w:rsidRPr="00E21BAF" w:rsidRDefault="00811961" w:rsidP="007B52DA">
            <w:pPr>
              <w:jc w:val="center"/>
              <w:rPr>
                <w:sz w:val="20"/>
                <w:lang w:val="es-CL"/>
              </w:rPr>
            </w:pPr>
            <w:r w:rsidRPr="00E21BAF">
              <w:rPr>
                <w:sz w:val="20"/>
                <w:lang w:val="es-CL"/>
              </w:rPr>
              <w:t>x</w:t>
            </w:r>
          </w:p>
        </w:tc>
        <w:tc>
          <w:tcPr>
            <w:tcW w:w="699" w:type="dxa"/>
            <w:vAlign w:val="center"/>
          </w:tcPr>
          <w:p w:rsidR="00811961" w:rsidRPr="00E21BAF" w:rsidRDefault="00811961" w:rsidP="007B52DA">
            <w:pPr>
              <w:jc w:val="center"/>
              <w:rPr>
                <w:sz w:val="20"/>
                <w:lang w:val="es-CL"/>
              </w:rPr>
            </w:pPr>
            <w:r w:rsidRPr="00E21BAF">
              <w:rPr>
                <w:sz w:val="20"/>
                <w:lang w:val="es-CL"/>
              </w:rPr>
              <w:t>x</w:t>
            </w:r>
          </w:p>
        </w:tc>
        <w:tc>
          <w:tcPr>
            <w:tcW w:w="762" w:type="dxa"/>
            <w:vAlign w:val="center"/>
          </w:tcPr>
          <w:p w:rsidR="00811961" w:rsidRPr="00E21BAF" w:rsidRDefault="00811961" w:rsidP="007B52DA">
            <w:pPr>
              <w:jc w:val="center"/>
              <w:rPr>
                <w:sz w:val="20"/>
                <w:lang w:val="es-CL"/>
              </w:rPr>
            </w:pPr>
          </w:p>
        </w:tc>
      </w:tr>
      <w:tr w:rsidR="00811961" w:rsidTr="00811961">
        <w:trPr>
          <w:trHeight w:val="277"/>
          <w:jc w:val="center"/>
        </w:trPr>
        <w:tc>
          <w:tcPr>
            <w:tcW w:w="654" w:type="dxa"/>
            <w:vMerge/>
            <w:shd w:val="clear" w:color="auto" w:fill="BDD6EE" w:themeFill="accent5" w:themeFillTint="66"/>
          </w:tcPr>
          <w:p w:rsidR="00811961" w:rsidRPr="00E21BAF" w:rsidRDefault="00811961" w:rsidP="007B52DA">
            <w:pPr>
              <w:rPr>
                <w:sz w:val="20"/>
                <w:lang w:val="es-CL"/>
              </w:rPr>
            </w:pP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Compra de Energía</w:t>
            </w:r>
          </w:p>
        </w:tc>
        <w:tc>
          <w:tcPr>
            <w:tcW w:w="696" w:type="dxa"/>
            <w:vAlign w:val="center"/>
          </w:tcPr>
          <w:p w:rsidR="00811961" w:rsidRPr="00E21BAF" w:rsidRDefault="00811961" w:rsidP="007B52DA">
            <w:pPr>
              <w:jc w:val="center"/>
              <w:rPr>
                <w:sz w:val="20"/>
                <w:lang w:val="es-CL"/>
              </w:rPr>
            </w:pPr>
          </w:p>
        </w:tc>
        <w:tc>
          <w:tcPr>
            <w:tcW w:w="816" w:type="dxa"/>
            <w:vAlign w:val="center"/>
          </w:tcPr>
          <w:p w:rsidR="00811961" w:rsidRPr="00E21BAF" w:rsidRDefault="00811961" w:rsidP="007B52DA">
            <w:pPr>
              <w:jc w:val="center"/>
              <w:rPr>
                <w:sz w:val="20"/>
                <w:lang w:val="es-CL"/>
              </w:rPr>
            </w:pPr>
            <w:r w:rsidRPr="00E21BAF">
              <w:rPr>
                <w:sz w:val="20"/>
                <w:lang w:val="es-CL"/>
              </w:rPr>
              <w:t>x</w:t>
            </w:r>
          </w:p>
        </w:tc>
        <w:tc>
          <w:tcPr>
            <w:tcW w:w="699" w:type="dxa"/>
            <w:vAlign w:val="center"/>
          </w:tcPr>
          <w:p w:rsidR="00811961" w:rsidRPr="00E21BAF" w:rsidRDefault="00811961" w:rsidP="007B52DA">
            <w:pPr>
              <w:jc w:val="center"/>
              <w:rPr>
                <w:sz w:val="20"/>
                <w:lang w:val="es-CL"/>
              </w:rPr>
            </w:pPr>
          </w:p>
        </w:tc>
        <w:tc>
          <w:tcPr>
            <w:tcW w:w="762" w:type="dxa"/>
            <w:vAlign w:val="center"/>
          </w:tcPr>
          <w:p w:rsidR="00811961" w:rsidRPr="00E21BAF" w:rsidRDefault="00811961" w:rsidP="007B52DA">
            <w:pPr>
              <w:jc w:val="center"/>
              <w:rPr>
                <w:sz w:val="20"/>
                <w:lang w:val="es-CL"/>
              </w:rPr>
            </w:pPr>
            <w:r w:rsidRPr="00E21BAF">
              <w:rPr>
                <w:sz w:val="20"/>
                <w:lang w:val="es-CL"/>
              </w:rPr>
              <w:t>x</w:t>
            </w:r>
          </w:p>
        </w:tc>
      </w:tr>
      <w:tr w:rsidR="00811961" w:rsidTr="00811961">
        <w:trPr>
          <w:trHeight w:val="252"/>
          <w:jc w:val="center"/>
        </w:trPr>
        <w:tc>
          <w:tcPr>
            <w:tcW w:w="654" w:type="dxa"/>
            <w:vMerge/>
            <w:shd w:val="clear" w:color="auto" w:fill="BDD6EE" w:themeFill="accent5" w:themeFillTint="66"/>
          </w:tcPr>
          <w:p w:rsidR="00811961" w:rsidRPr="00E21BAF" w:rsidRDefault="00811961" w:rsidP="007B52DA">
            <w:pPr>
              <w:rPr>
                <w:sz w:val="20"/>
                <w:lang w:val="es-CL"/>
              </w:rPr>
            </w:pP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Beneficio Consumidor</w:t>
            </w:r>
          </w:p>
        </w:tc>
        <w:tc>
          <w:tcPr>
            <w:tcW w:w="696" w:type="dxa"/>
            <w:vAlign w:val="center"/>
          </w:tcPr>
          <w:p w:rsidR="00811961" w:rsidRPr="00E21BAF" w:rsidRDefault="00811961" w:rsidP="007B52DA">
            <w:pPr>
              <w:jc w:val="center"/>
              <w:rPr>
                <w:sz w:val="20"/>
                <w:lang w:val="es-CL"/>
              </w:rPr>
            </w:pPr>
          </w:p>
        </w:tc>
        <w:tc>
          <w:tcPr>
            <w:tcW w:w="816" w:type="dxa"/>
            <w:vAlign w:val="center"/>
          </w:tcPr>
          <w:p w:rsidR="00811961" w:rsidRPr="00E21BAF" w:rsidRDefault="00811961" w:rsidP="007B52DA">
            <w:pPr>
              <w:jc w:val="center"/>
              <w:rPr>
                <w:sz w:val="20"/>
                <w:lang w:val="es-CL"/>
              </w:rPr>
            </w:pPr>
            <w:r w:rsidRPr="00E21BAF">
              <w:rPr>
                <w:sz w:val="20"/>
                <w:lang w:val="es-CL"/>
              </w:rPr>
              <w:t>x</w:t>
            </w:r>
          </w:p>
        </w:tc>
        <w:tc>
          <w:tcPr>
            <w:tcW w:w="699" w:type="dxa"/>
            <w:vAlign w:val="center"/>
          </w:tcPr>
          <w:p w:rsidR="00811961" w:rsidRPr="00E21BAF" w:rsidRDefault="00811961" w:rsidP="007B52DA">
            <w:pPr>
              <w:jc w:val="center"/>
              <w:rPr>
                <w:sz w:val="20"/>
                <w:lang w:val="es-CL"/>
              </w:rPr>
            </w:pPr>
            <w:r w:rsidRPr="00E21BAF">
              <w:rPr>
                <w:sz w:val="20"/>
                <w:lang w:val="es-CL"/>
              </w:rPr>
              <w:t>x</w:t>
            </w:r>
          </w:p>
        </w:tc>
        <w:tc>
          <w:tcPr>
            <w:tcW w:w="762" w:type="dxa"/>
            <w:vAlign w:val="center"/>
          </w:tcPr>
          <w:p w:rsidR="00811961" w:rsidRPr="00E21BAF" w:rsidRDefault="00811961" w:rsidP="007B52DA">
            <w:pPr>
              <w:jc w:val="center"/>
              <w:rPr>
                <w:sz w:val="20"/>
                <w:lang w:val="es-CL"/>
              </w:rPr>
            </w:pPr>
          </w:p>
        </w:tc>
      </w:tr>
      <w:tr w:rsidR="00811961" w:rsidTr="00811961">
        <w:trPr>
          <w:trHeight w:val="252"/>
          <w:jc w:val="center"/>
        </w:trPr>
        <w:tc>
          <w:tcPr>
            <w:tcW w:w="654" w:type="dxa"/>
            <w:vMerge/>
            <w:shd w:val="clear" w:color="auto" w:fill="BDD6EE" w:themeFill="accent5" w:themeFillTint="66"/>
          </w:tcPr>
          <w:p w:rsidR="00811961" w:rsidRPr="00E21BAF" w:rsidRDefault="00811961" w:rsidP="007B52DA">
            <w:pPr>
              <w:rPr>
                <w:sz w:val="20"/>
                <w:lang w:val="es-CL"/>
              </w:rPr>
            </w:pP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Beneficio Productor</w:t>
            </w:r>
          </w:p>
        </w:tc>
        <w:tc>
          <w:tcPr>
            <w:tcW w:w="696" w:type="dxa"/>
            <w:vAlign w:val="center"/>
          </w:tcPr>
          <w:p w:rsidR="00811961" w:rsidRPr="00E21BAF" w:rsidRDefault="00811961" w:rsidP="007B52DA">
            <w:pPr>
              <w:jc w:val="center"/>
              <w:rPr>
                <w:sz w:val="20"/>
                <w:lang w:val="es-CL"/>
              </w:rPr>
            </w:pPr>
          </w:p>
        </w:tc>
        <w:tc>
          <w:tcPr>
            <w:tcW w:w="816" w:type="dxa"/>
            <w:vAlign w:val="center"/>
          </w:tcPr>
          <w:p w:rsidR="00811961" w:rsidRPr="00E21BAF" w:rsidRDefault="00811961" w:rsidP="007B52DA">
            <w:pPr>
              <w:jc w:val="center"/>
              <w:rPr>
                <w:sz w:val="20"/>
                <w:lang w:val="es-CL"/>
              </w:rPr>
            </w:pPr>
          </w:p>
        </w:tc>
        <w:tc>
          <w:tcPr>
            <w:tcW w:w="699" w:type="dxa"/>
            <w:vAlign w:val="center"/>
          </w:tcPr>
          <w:p w:rsidR="00811961" w:rsidRPr="00E21BAF" w:rsidRDefault="00811961" w:rsidP="007B52DA">
            <w:pPr>
              <w:jc w:val="center"/>
              <w:rPr>
                <w:sz w:val="20"/>
                <w:lang w:val="es-CL"/>
              </w:rPr>
            </w:pPr>
          </w:p>
        </w:tc>
        <w:tc>
          <w:tcPr>
            <w:tcW w:w="762" w:type="dxa"/>
            <w:vAlign w:val="center"/>
          </w:tcPr>
          <w:p w:rsidR="00811961" w:rsidRPr="00E21BAF" w:rsidRDefault="00811961" w:rsidP="007B52DA">
            <w:pPr>
              <w:jc w:val="center"/>
              <w:rPr>
                <w:sz w:val="20"/>
                <w:lang w:val="es-CL"/>
              </w:rPr>
            </w:pPr>
          </w:p>
        </w:tc>
      </w:tr>
      <w:tr w:rsidR="00811961" w:rsidTr="00811961">
        <w:trPr>
          <w:trHeight w:val="252"/>
          <w:jc w:val="center"/>
        </w:trPr>
        <w:tc>
          <w:tcPr>
            <w:tcW w:w="654" w:type="dxa"/>
            <w:vMerge/>
            <w:shd w:val="clear" w:color="auto" w:fill="BDD6EE" w:themeFill="accent5" w:themeFillTint="66"/>
          </w:tcPr>
          <w:p w:rsidR="00811961" w:rsidRPr="00E21BAF" w:rsidRDefault="00811961" w:rsidP="007B52DA">
            <w:pPr>
              <w:rPr>
                <w:sz w:val="20"/>
                <w:lang w:val="es-CL"/>
              </w:rPr>
            </w:pP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Costo Adicional Distribución</w:t>
            </w:r>
          </w:p>
        </w:tc>
        <w:tc>
          <w:tcPr>
            <w:tcW w:w="696" w:type="dxa"/>
            <w:vAlign w:val="center"/>
          </w:tcPr>
          <w:p w:rsidR="00811961" w:rsidRPr="00E21BAF" w:rsidRDefault="00811961" w:rsidP="007B52DA">
            <w:pPr>
              <w:jc w:val="center"/>
              <w:rPr>
                <w:sz w:val="20"/>
                <w:lang w:val="es-CL"/>
              </w:rPr>
            </w:pPr>
            <w:r w:rsidRPr="00E21BAF">
              <w:rPr>
                <w:sz w:val="20"/>
                <w:lang w:val="es-CL"/>
              </w:rPr>
              <w:t>x</w:t>
            </w:r>
          </w:p>
        </w:tc>
        <w:tc>
          <w:tcPr>
            <w:tcW w:w="816" w:type="dxa"/>
            <w:vAlign w:val="center"/>
          </w:tcPr>
          <w:p w:rsidR="00811961" w:rsidRPr="00E21BAF" w:rsidRDefault="00811961" w:rsidP="007B52DA">
            <w:pPr>
              <w:jc w:val="center"/>
              <w:rPr>
                <w:sz w:val="20"/>
                <w:lang w:val="es-CL"/>
              </w:rPr>
            </w:pPr>
            <w:r w:rsidRPr="00E21BAF">
              <w:rPr>
                <w:sz w:val="20"/>
                <w:lang w:val="es-CL"/>
              </w:rPr>
              <w:t>x</w:t>
            </w:r>
          </w:p>
        </w:tc>
        <w:tc>
          <w:tcPr>
            <w:tcW w:w="699" w:type="dxa"/>
            <w:vAlign w:val="center"/>
          </w:tcPr>
          <w:p w:rsidR="00811961" w:rsidRPr="00E21BAF" w:rsidRDefault="00811961" w:rsidP="007B52DA">
            <w:pPr>
              <w:jc w:val="center"/>
              <w:rPr>
                <w:sz w:val="20"/>
                <w:lang w:val="es-CL"/>
              </w:rPr>
            </w:pPr>
          </w:p>
        </w:tc>
        <w:tc>
          <w:tcPr>
            <w:tcW w:w="762" w:type="dxa"/>
            <w:vAlign w:val="center"/>
          </w:tcPr>
          <w:p w:rsidR="00811961" w:rsidRPr="00E21BAF" w:rsidRDefault="00811961" w:rsidP="007B52DA">
            <w:pPr>
              <w:jc w:val="center"/>
              <w:rPr>
                <w:sz w:val="20"/>
                <w:lang w:val="es-CL"/>
              </w:rPr>
            </w:pPr>
          </w:p>
        </w:tc>
      </w:tr>
      <w:tr w:rsidR="00811961" w:rsidTr="00811961">
        <w:trPr>
          <w:trHeight w:val="308"/>
          <w:jc w:val="center"/>
        </w:trPr>
        <w:tc>
          <w:tcPr>
            <w:tcW w:w="654" w:type="dxa"/>
            <w:vMerge/>
            <w:shd w:val="clear" w:color="auto" w:fill="BDD6EE" w:themeFill="accent5" w:themeFillTint="66"/>
          </w:tcPr>
          <w:p w:rsidR="00811961" w:rsidRPr="00E21BAF" w:rsidRDefault="00811961" w:rsidP="007B52DA">
            <w:pPr>
              <w:rPr>
                <w:sz w:val="20"/>
                <w:lang w:val="es-CL"/>
              </w:rPr>
            </w:pP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Costo Variable de Generación</w:t>
            </w:r>
          </w:p>
        </w:tc>
        <w:tc>
          <w:tcPr>
            <w:tcW w:w="696" w:type="dxa"/>
            <w:vAlign w:val="center"/>
          </w:tcPr>
          <w:p w:rsidR="00811961" w:rsidRPr="00E21BAF" w:rsidRDefault="00811961" w:rsidP="007B52DA">
            <w:pPr>
              <w:jc w:val="center"/>
              <w:rPr>
                <w:sz w:val="20"/>
                <w:lang w:val="es-CL"/>
              </w:rPr>
            </w:pPr>
          </w:p>
        </w:tc>
        <w:tc>
          <w:tcPr>
            <w:tcW w:w="816" w:type="dxa"/>
            <w:vAlign w:val="center"/>
          </w:tcPr>
          <w:p w:rsidR="00811961" w:rsidRPr="00E21BAF" w:rsidRDefault="00811961" w:rsidP="007B52DA">
            <w:pPr>
              <w:jc w:val="center"/>
              <w:rPr>
                <w:sz w:val="20"/>
                <w:lang w:val="es-CL"/>
              </w:rPr>
            </w:pPr>
            <w:r w:rsidRPr="00E21BAF">
              <w:rPr>
                <w:sz w:val="20"/>
                <w:lang w:val="es-CL"/>
              </w:rPr>
              <w:t>x</w:t>
            </w:r>
          </w:p>
        </w:tc>
        <w:tc>
          <w:tcPr>
            <w:tcW w:w="699" w:type="dxa"/>
            <w:vAlign w:val="center"/>
          </w:tcPr>
          <w:p w:rsidR="00811961" w:rsidRPr="00E21BAF" w:rsidRDefault="00811961" w:rsidP="007B52DA">
            <w:pPr>
              <w:jc w:val="center"/>
              <w:rPr>
                <w:sz w:val="20"/>
                <w:lang w:val="es-CL"/>
              </w:rPr>
            </w:pPr>
          </w:p>
        </w:tc>
        <w:tc>
          <w:tcPr>
            <w:tcW w:w="762" w:type="dxa"/>
            <w:vAlign w:val="center"/>
          </w:tcPr>
          <w:p w:rsidR="00811961" w:rsidRPr="00E21BAF" w:rsidRDefault="00811961" w:rsidP="007B52DA">
            <w:pPr>
              <w:jc w:val="center"/>
              <w:rPr>
                <w:sz w:val="20"/>
                <w:lang w:val="es-CL"/>
              </w:rPr>
            </w:pPr>
            <w:r w:rsidRPr="00E21BAF">
              <w:rPr>
                <w:sz w:val="20"/>
                <w:lang w:val="es-CL"/>
              </w:rPr>
              <w:t>x</w:t>
            </w:r>
          </w:p>
        </w:tc>
      </w:tr>
      <w:tr w:rsidR="00811961" w:rsidTr="00811961">
        <w:trPr>
          <w:trHeight w:val="410"/>
          <w:jc w:val="center"/>
        </w:trPr>
        <w:tc>
          <w:tcPr>
            <w:tcW w:w="654" w:type="dxa"/>
            <w:vMerge/>
            <w:shd w:val="clear" w:color="auto" w:fill="BDD6EE" w:themeFill="accent5" w:themeFillTint="66"/>
          </w:tcPr>
          <w:p w:rsidR="00811961" w:rsidRPr="00E21BAF" w:rsidRDefault="00811961" w:rsidP="007B52DA">
            <w:pPr>
              <w:rPr>
                <w:sz w:val="20"/>
                <w:lang w:val="es-CL"/>
              </w:rPr>
            </w:pPr>
          </w:p>
        </w:tc>
        <w:tc>
          <w:tcPr>
            <w:tcW w:w="2605" w:type="dxa"/>
            <w:shd w:val="clear" w:color="auto" w:fill="BDD6EE" w:themeFill="accent5" w:themeFillTint="66"/>
            <w:vAlign w:val="center"/>
          </w:tcPr>
          <w:p w:rsidR="00811961" w:rsidRPr="00E21BAF" w:rsidRDefault="00811961" w:rsidP="007B52DA">
            <w:pPr>
              <w:rPr>
                <w:sz w:val="20"/>
                <w:lang w:val="es-CL"/>
              </w:rPr>
            </w:pPr>
            <w:r w:rsidRPr="00E21BAF">
              <w:rPr>
                <w:sz w:val="20"/>
                <w:lang w:val="es-CL"/>
              </w:rPr>
              <w:t>Subsidio al Combustible</w:t>
            </w:r>
          </w:p>
        </w:tc>
        <w:tc>
          <w:tcPr>
            <w:tcW w:w="696" w:type="dxa"/>
            <w:vAlign w:val="center"/>
          </w:tcPr>
          <w:p w:rsidR="00811961" w:rsidRPr="00E21BAF" w:rsidRDefault="00811961" w:rsidP="007B52DA">
            <w:pPr>
              <w:jc w:val="center"/>
              <w:rPr>
                <w:sz w:val="20"/>
                <w:lang w:val="es-CL"/>
              </w:rPr>
            </w:pPr>
          </w:p>
        </w:tc>
        <w:tc>
          <w:tcPr>
            <w:tcW w:w="816" w:type="dxa"/>
            <w:vAlign w:val="center"/>
          </w:tcPr>
          <w:p w:rsidR="00811961" w:rsidRPr="00E21BAF" w:rsidRDefault="00811961" w:rsidP="007B52DA">
            <w:pPr>
              <w:jc w:val="center"/>
              <w:rPr>
                <w:sz w:val="20"/>
                <w:lang w:val="es-CL"/>
              </w:rPr>
            </w:pPr>
            <w:r w:rsidRPr="00E21BAF">
              <w:rPr>
                <w:sz w:val="20"/>
                <w:lang w:val="es-CL"/>
              </w:rPr>
              <w:t>x</w:t>
            </w:r>
          </w:p>
        </w:tc>
        <w:tc>
          <w:tcPr>
            <w:tcW w:w="699" w:type="dxa"/>
            <w:vAlign w:val="center"/>
          </w:tcPr>
          <w:p w:rsidR="00811961" w:rsidRPr="00E21BAF" w:rsidRDefault="00811961" w:rsidP="007B52DA">
            <w:pPr>
              <w:jc w:val="center"/>
              <w:rPr>
                <w:sz w:val="20"/>
                <w:lang w:val="es-CL"/>
              </w:rPr>
            </w:pPr>
          </w:p>
        </w:tc>
        <w:tc>
          <w:tcPr>
            <w:tcW w:w="762" w:type="dxa"/>
            <w:vAlign w:val="center"/>
          </w:tcPr>
          <w:p w:rsidR="00811961" w:rsidRPr="00E21BAF" w:rsidRDefault="00811961" w:rsidP="007B52DA">
            <w:pPr>
              <w:jc w:val="center"/>
              <w:rPr>
                <w:sz w:val="20"/>
                <w:lang w:val="es-CL"/>
              </w:rPr>
            </w:pPr>
          </w:p>
        </w:tc>
      </w:tr>
    </w:tbl>
    <w:p w:rsidR="008A1DFB" w:rsidRDefault="008A1DFB" w:rsidP="00F56913">
      <w:pPr>
        <w:jc w:val="both"/>
        <w:rPr>
          <w:lang w:val="es-CL"/>
        </w:rPr>
      </w:pPr>
    </w:p>
    <w:p w:rsidR="008A1DFB" w:rsidRDefault="005D0089" w:rsidP="00F56913">
      <w:pPr>
        <w:jc w:val="both"/>
        <w:rPr>
          <w:lang w:val="es-CL"/>
        </w:rPr>
      </w:pPr>
      <w:r>
        <w:rPr>
          <w:lang w:val="es-CL"/>
        </w:rPr>
        <w:t>Con estos antecedentes se procederá a realizar los análisis de sensibilidad en el siguiente apartado, dando prioridad de análisis a aquellos parámetros que influyen en la mayor cantidad de ítems relevantes:</w:t>
      </w:r>
    </w:p>
    <w:p w:rsidR="005D0089" w:rsidRDefault="005D0089" w:rsidP="005D0089">
      <w:pPr>
        <w:pStyle w:val="ListParagraph"/>
        <w:numPr>
          <w:ilvl w:val="0"/>
          <w:numId w:val="22"/>
        </w:numPr>
        <w:jc w:val="both"/>
        <w:rPr>
          <w:lang w:val="es-CL"/>
        </w:rPr>
      </w:pPr>
      <w:r>
        <w:rPr>
          <w:lang w:val="es-CL"/>
        </w:rPr>
        <w:t>Demanda de Energía</w:t>
      </w:r>
    </w:p>
    <w:p w:rsidR="005D0089" w:rsidRDefault="005D0089" w:rsidP="005D0089">
      <w:pPr>
        <w:pStyle w:val="ListParagraph"/>
        <w:numPr>
          <w:ilvl w:val="0"/>
          <w:numId w:val="22"/>
        </w:numPr>
        <w:jc w:val="both"/>
        <w:rPr>
          <w:lang w:val="es-CL"/>
        </w:rPr>
      </w:pPr>
      <w:r>
        <w:rPr>
          <w:lang w:val="es-CL"/>
        </w:rPr>
        <w:t>Precio Medio de Venta</w:t>
      </w:r>
    </w:p>
    <w:p w:rsidR="005D0089" w:rsidRDefault="005D0089" w:rsidP="005D0089">
      <w:pPr>
        <w:pStyle w:val="ListParagraph"/>
        <w:numPr>
          <w:ilvl w:val="0"/>
          <w:numId w:val="22"/>
        </w:numPr>
        <w:jc w:val="both"/>
        <w:rPr>
          <w:lang w:val="es-CL"/>
        </w:rPr>
      </w:pPr>
      <w:r>
        <w:rPr>
          <w:lang w:val="es-CL"/>
        </w:rPr>
        <w:t>Precio Medio de Compra</w:t>
      </w:r>
    </w:p>
    <w:p w:rsidR="005D0089" w:rsidRDefault="005D0089" w:rsidP="005D0089">
      <w:pPr>
        <w:pStyle w:val="ListParagraph"/>
        <w:numPr>
          <w:ilvl w:val="0"/>
          <w:numId w:val="22"/>
        </w:numPr>
        <w:jc w:val="both"/>
        <w:rPr>
          <w:lang w:val="es-CL"/>
        </w:rPr>
      </w:pPr>
      <w:r>
        <w:rPr>
          <w:lang w:val="es-CL"/>
        </w:rPr>
        <w:t>Inversión</w:t>
      </w:r>
    </w:p>
    <w:p w:rsidR="005D0089" w:rsidRDefault="005D0089" w:rsidP="005D0089">
      <w:pPr>
        <w:jc w:val="both"/>
        <w:rPr>
          <w:lang w:val="es-CL"/>
        </w:rPr>
      </w:pPr>
    </w:p>
    <w:p w:rsidR="005D0089" w:rsidRDefault="005D0089" w:rsidP="005D0089">
      <w:pPr>
        <w:jc w:val="both"/>
        <w:rPr>
          <w:lang w:val="es-CL"/>
        </w:rPr>
      </w:pPr>
    </w:p>
    <w:p w:rsidR="001D6D32" w:rsidRPr="005D0089" w:rsidRDefault="001D6D32" w:rsidP="005D0089">
      <w:pPr>
        <w:jc w:val="both"/>
        <w:rPr>
          <w:lang w:val="es-CL"/>
        </w:rPr>
      </w:pPr>
    </w:p>
    <w:p w:rsidR="00AE477A" w:rsidRDefault="00AE477A" w:rsidP="00D8359C">
      <w:pPr>
        <w:pStyle w:val="Heading1"/>
        <w:rPr>
          <w:lang w:val="es-CL"/>
        </w:rPr>
      </w:pPr>
      <w:bookmarkStart w:id="33" w:name="_Toc491617776"/>
      <w:r>
        <w:rPr>
          <w:lang w:val="es-CL"/>
        </w:rPr>
        <w:t>Análisis de Sensibilidad</w:t>
      </w:r>
      <w:bookmarkEnd w:id="33"/>
    </w:p>
    <w:p w:rsidR="00D8359C" w:rsidRDefault="00D8359C" w:rsidP="00F56913">
      <w:pPr>
        <w:jc w:val="both"/>
        <w:rPr>
          <w:lang w:val="es-CL"/>
        </w:rPr>
      </w:pPr>
      <w:r>
        <w:rPr>
          <w:lang w:val="es-CL"/>
        </w:rPr>
        <w:t xml:space="preserve">Considerando los parámetros destacados de las evaluaciones financiera y económica, se aplica en cada uno de ellos una </w:t>
      </w:r>
      <w:r w:rsidRPr="00925CB6">
        <w:rPr>
          <w:b/>
          <w:lang w:val="es-CL"/>
        </w:rPr>
        <w:t>variación típica de +/- 15%,</w:t>
      </w:r>
      <w:r>
        <w:rPr>
          <w:lang w:val="es-CL"/>
        </w:rPr>
        <w:t xml:space="preserve"> de tal forma de determinar con ello la sensibilidad relativa de los indicadores de rentabilidad respecto a cada uno de ellos</w:t>
      </w:r>
      <w:r w:rsidR="00925CB6">
        <w:rPr>
          <w:lang w:val="es-CL"/>
        </w:rPr>
        <w:t>, de forma comparativa</w:t>
      </w:r>
      <w:r>
        <w:rPr>
          <w:lang w:val="es-CL"/>
        </w:rPr>
        <w:t>. Los resultados de este ejercicio se presentan en la tabla siguiente.</w:t>
      </w:r>
    </w:p>
    <w:p w:rsidR="00D8359C" w:rsidRDefault="00D8359C" w:rsidP="00F56913">
      <w:pPr>
        <w:jc w:val="both"/>
        <w:rPr>
          <w:lang w:val="es-CL"/>
        </w:rPr>
      </w:pPr>
      <w:r>
        <w:rPr>
          <w:lang w:val="es-CL"/>
        </w:rPr>
        <w:t xml:space="preserve"> </w:t>
      </w:r>
    </w:p>
    <w:p w:rsidR="00000D0F" w:rsidRDefault="00000D0F" w:rsidP="00F56913">
      <w:pPr>
        <w:jc w:val="both"/>
        <w:rPr>
          <w:lang w:val="es-CL"/>
        </w:rPr>
      </w:pPr>
    </w:p>
    <w:p w:rsidR="00D8359C" w:rsidRPr="00D8359C" w:rsidRDefault="00D8359C" w:rsidP="00D8359C">
      <w:pPr>
        <w:spacing w:after="0"/>
        <w:jc w:val="center"/>
        <w:rPr>
          <w:b/>
          <w:lang w:val="es-CL"/>
        </w:rPr>
      </w:pPr>
      <w:r w:rsidRPr="00D8359C">
        <w:rPr>
          <w:b/>
          <w:lang w:val="es-CL"/>
        </w:rPr>
        <w:t>Tabla N°42 Resultados del Análisis de Sensibilidad</w:t>
      </w:r>
    </w:p>
    <w:p w:rsidR="00D8359C" w:rsidRPr="00D8359C" w:rsidRDefault="00D8359C" w:rsidP="00D8359C">
      <w:pPr>
        <w:spacing w:after="0"/>
        <w:jc w:val="center"/>
        <w:rPr>
          <w:b/>
          <w:lang w:val="es-CL"/>
        </w:rPr>
      </w:pPr>
      <w:r w:rsidRPr="00D8359C">
        <w:rPr>
          <w:b/>
          <w:lang w:val="es-CL"/>
        </w:rPr>
        <w:t>Sobre variaciones típicas de +/-15% en parámetros más relevantes.</w:t>
      </w:r>
    </w:p>
    <w:p w:rsidR="00D8359C" w:rsidRDefault="00925CB6" w:rsidP="00F56913">
      <w:pPr>
        <w:jc w:val="both"/>
        <w:rPr>
          <w:lang w:val="es-CL"/>
        </w:rPr>
      </w:pPr>
      <w:r w:rsidRPr="00925CB6">
        <w:rPr>
          <w:noProof/>
          <w:lang w:val="en-US"/>
        </w:rPr>
        <w:drawing>
          <wp:inline distT="0" distB="0" distL="0" distR="0">
            <wp:extent cx="5754973" cy="220592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7426" cy="2210698"/>
                    </a:xfrm>
                    <a:prstGeom prst="rect">
                      <a:avLst/>
                    </a:prstGeom>
                    <a:noFill/>
                    <a:ln>
                      <a:noFill/>
                    </a:ln>
                  </pic:spPr>
                </pic:pic>
              </a:graphicData>
            </a:graphic>
          </wp:inline>
        </w:drawing>
      </w:r>
    </w:p>
    <w:p w:rsidR="00D8359C" w:rsidRDefault="00D8359C" w:rsidP="00F56913">
      <w:pPr>
        <w:jc w:val="both"/>
        <w:rPr>
          <w:lang w:val="es-CL"/>
        </w:rPr>
      </w:pPr>
    </w:p>
    <w:p w:rsidR="002A3FEF" w:rsidRDefault="002A3FEF" w:rsidP="00F56913">
      <w:pPr>
        <w:jc w:val="both"/>
        <w:rPr>
          <w:lang w:val="es-CL"/>
        </w:rPr>
      </w:pPr>
      <w:r>
        <w:rPr>
          <w:lang w:val="es-CL"/>
        </w:rPr>
        <w:t>Al variar cada parámetro</w:t>
      </w:r>
      <w:r w:rsidR="00AE55F6">
        <w:rPr>
          <w:lang w:val="es-CL"/>
        </w:rPr>
        <w:t xml:space="preserve"> de forma independiente</w:t>
      </w:r>
      <w:r>
        <w:rPr>
          <w:lang w:val="es-CL"/>
        </w:rPr>
        <w:t xml:space="preserve">, se </w:t>
      </w:r>
      <w:r w:rsidR="00D37F48">
        <w:rPr>
          <w:lang w:val="es-CL"/>
        </w:rPr>
        <w:t>destaca</w:t>
      </w:r>
      <w:r>
        <w:rPr>
          <w:lang w:val="es-CL"/>
        </w:rPr>
        <w:t xml:space="preserve"> el </w:t>
      </w:r>
      <w:r w:rsidRPr="00AE55F6">
        <w:rPr>
          <w:b/>
          <w:lang w:val="es-CL"/>
        </w:rPr>
        <w:t>Precio Medio de Venta</w:t>
      </w:r>
      <w:r>
        <w:rPr>
          <w:lang w:val="es-CL"/>
        </w:rPr>
        <w:t xml:space="preserve">, como el de mayor relevancia sobre la rentabilidad del programa, provocando una variación de </w:t>
      </w:r>
      <w:r w:rsidRPr="00AE55F6">
        <w:rPr>
          <w:b/>
          <w:lang w:val="es-CL"/>
        </w:rPr>
        <w:t>+/- US$ 106,3 Millones en el VAN F</w:t>
      </w:r>
      <w:r>
        <w:rPr>
          <w:lang w:val="es-CL"/>
        </w:rPr>
        <w:t xml:space="preserve"> y una variación de </w:t>
      </w:r>
      <w:r w:rsidRPr="00AE55F6">
        <w:rPr>
          <w:b/>
          <w:lang w:val="es-CL"/>
        </w:rPr>
        <w:t xml:space="preserve">+/- US$ </w:t>
      </w:r>
      <w:r w:rsidR="00925CB6">
        <w:rPr>
          <w:b/>
          <w:lang w:val="es-CL"/>
        </w:rPr>
        <w:t>4</w:t>
      </w:r>
      <w:r w:rsidRPr="00AE55F6">
        <w:rPr>
          <w:b/>
          <w:lang w:val="es-CL"/>
        </w:rPr>
        <w:t>65 millones en el VAN E</w:t>
      </w:r>
      <w:r>
        <w:rPr>
          <w:lang w:val="es-CL"/>
        </w:rPr>
        <w:t>. Se observa, además, que una declinación del 15% en el precio medio de venta, acarrea una caída del VAN F</w:t>
      </w:r>
      <w:r w:rsidR="00AA3BF7">
        <w:rPr>
          <w:lang w:val="es-CL"/>
        </w:rPr>
        <w:t xml:space="preserve"> de -106,3 Millones de US$, llegando</w:t>
      </w:r>
      <w:r>
        <w:rPr>
          <w:lang w:val="es-CL"/>
        </w:rPr>
        <w:t xml:space="preserve"> hasta los </w:t>
      </w:r>
      <w:r w:rsidRPr="002A3FEF">
        <w:rPr>
          <w:color w:val="FF0000"/>
          <w:lang w:val="es-CL"/>
        </w:rPr>
        <w:t xml:space="preserve">– 51.1 Millones de US$, </w:t>
      </w:r>
      <w:r>
        <w:rPr>
          <w:lang w:val="es-CL"/>
        </w:rPr>
        <w:t>junto con una TIR F de 10,1% (aún positiva, pero inferior al 12%).</w:t>
      </w:r>
    </w:p>
    <w:p w:rsidR="00BE465F" w:rsidRDefault="002A3FEF" w:rsidP="00F56913">
      <w:pPr>
        <w:jc w:val="both"/>
        <w:rPr>
          <w:lang w:val="es-CL"/>
        </w:rPr>
      </w:pPr>
      <w:r>
        <w:rPr>
          <w:lang w:val="es-CL"/>
        </w:rPr>
        <w:t>Lo anterior se vuelve relevante en escenarios que consideren una reducción de la tarifa a consumidores finales sin una consecuente baja del costo medio de compra (dependiente de los costos de generación y de transmisión). Sin embargo, en los casos más probables, el Precio Medio de Venta se reduciría en proporción similar y simultánea con el Precio Medio de Compra</w:t>
      </w:r>
      <w:r w:rsidR="00AE55F6">
        <w:rPr>
          <w:lang w:val="es-CL"/>
        </w:rPr>
        <w:t>. Por tanto, si se observa la variación del VAN F, al reducir el Precio Medio de Compra en un 15%, éste aumenta en +59,3 Millones de US$, lo cual compensa la caída observable al reducir el precio medio de venta, quedando en un</w:t>
      </w:r>
      <w:r w:rsidR="00AA3BF7">
        <w:rPr>
          <w:lang w:val="es-CL"/>
        </w:rPr>
        <w:t>a</w:t>
      </w:r>
      <w:r w:rsidR="00AE55F6">
        <w:rPr>
          <w:lang w:val="es-CL"/>
        </w:rPr>
        <w:t xml:space="preserve"> </w:t>
      </w:r>
      <w:r w:rsidR="00AA3BF7">
        <w:rPr>
          <w:lang w:val="es-CL"/>
        </w:rPr>
        <w:t>reducción</w:t>
      </w:r>
      <w:r w:rsidR="00AE55F6">
        <w:rPr>
          <w:lang w:val="es-CL"/>
        </w:rPr>
        <w:t xml:space="preserve"> net</w:t>
      </w:r>
      <w:r w:rsidR="00AA3BF7">
        <w:rPr>
          <w:lang w:val="es-CL"/>
        </w:rPr>
        <w:t>a</w:t>
      </w:r>
      <w:r w:rsidR="00AE55F6">
        <w:rPr>
          <w:lang w:val="es-CL"/>
        </w:rPr>
        <w:t xml:space="preserve"> del VAN F de </w:t>
      </w:r>
      <w:r w:rsidR="00AA3BF7">
        <w:rPr>
          <w:lang w:val="es-CL"/>
        </w:rPr>
        <w:t>-47</w:t>
      </w:r>
      <w:r w:rsidR="00AE55F6">
        <w:rPr>
          <w:lang w:val="es-CL"/>
        </w:rPr>
        <w:t xml:space="preserve"> Millones de US$</w:t>
      </w:r>
      <w:r w:rsidR="00AA3BF7">
        <w:rPr>
          <w:lang w:val="es-CL"/>
        </w:rPr>
        <w:t>, dejando aún un VAN F positivo de US$ 8 Millones</w:t>
      </w:r>
      <w:r w:rsidR="00AE55F6">
        <w:rPr>
          <w:lang w:val="es-CL"/>
        </w:rPr>
        <w:t>.</w:t>
      </w:r>
    </w:p>
    <w:p w:rsidR="00AE55F6" w:rsidRDefault="00AE55F6" w:rsidP="00F56913">
      <w:pPr>
        <w:jc w:val="both"/>
        <w:rPr>
          <w:lang w:val="es-CL"/>
        </w:rPr>
      </w:pPr>
      <w:r>
        <w:rPr>
          <w:lang w:val="es-CL"/>
        </w:rPr>
        <w:t xml:space="preserve">Así también, al aumentar las tarifas de venta de energía en un 15%, consecuentemente con el Precio Medio de Compra, </w:t>
      </w:r>
      <w:r w:rsidR="00AA3BF7">
        <w:rPr>
          <w:lang w:val="es-CL"/>
        </w:rPr>
        <w:t>se observa que el VAN F aumenta en +106,3 Millones de US$, por el aumento del Precio de Venta y decrece en -59,3 Millones de US$, dando como consecuencia un aumento del VAN F de +47 Millones de US$, quedando éste en un valor de US$ 102 Millones.</w:t>
      </w:r>
    </w:p>
    <w:p w:rsidR="00D37F48" w:rsidRDefault="00AE55F6" w:rsidP="00F56913">
      <w:pPr>
        <w:jc w:val="both"/>
        <w:rPr>
          <w:lang w:val="es-CL"/>
        </w:rPr>
      </w:pPr>
      <w:r>
        <w:rPr>
          <w:lang w:val="es-CL"/>
        </w:rPr>
        <w:t xml:space="preserve">Al mantener invariantes, los precios de venta y de compra de energía, el siguiente parámetro relevante es la </w:t>
      </w:r>
      <w:r w:rsidRPr="00AA3BF7">
        <w:rPr>
          <w:b/>
          <w:lang w:val="es-CL"/>
        </w:rPr>
        <w:t>Demanda de Energía</w:t>
      </w:r>
      <w:r>
        <w:rPr>
          <w:lang w:val="es-CL"/>
        </w:rPr>
        <w:t>, cuya variación de +/-15% produce una variación en el VAN F de +/- 52 Millones de US$, y de +/-</w:t>
      </w:r>
      <w:r w:rsidR="00925CB6">
        <w:rPr>
          <w:lang w:val="es-CL"/>
        </w:rPr>
        <w:t>281</w:t>
      </w:r>
      <w:r>
        <w:rPr>
          <w:lang w:val="es-CL"/>
        </w:rPr>
        <w:t>,5 Millones en el VAN E, manteniéndose en ambos casos la expectativa de una rentabilidad positiva.</w:t>
      </w:r>
      <w:r w:rsidR="00D37F48">
        <w:rPr>
          <w:lang w:val="es-CL"/>
        </w:rPr>
        <w:t xml:space="preserve"> </w:t>
      </w:r>
    </w:p>
    <w:p w:rsidR="00617B13" w:rsidRDefault="00D37F48" w:rsidP="00F56913">
      <w:pPr>
        <w:jc w:val="both"/>
        <w:rPr>
          <w:lang w:val="es-CL"/>
        </w:rPr>
      </w:pPr>
      <w:r>
        <w:rPr>
          <w:lang w:val="es-CL"/>
        </w:rPr>
        <w:t xml:space="preserve">Vale destacar en este punto que un </w:t>
      </w:r>
      <w:r w:rsidRPr="00D37F48">
        <w:rPr>
          <w:lang w:val="es-CL"/>
        </w:rPr>
        <w:t>58%</w:t>
      </w:r>
      <w:r>
        <w:rPr>
          <w:lang w:val="es-CL"/>
        </w:rPr>
        <w:t xml:space="preserve"> de las ventas de energía del programa está vinculada a la industria camaronera, por lo que la hipótesis de demanda </w:t>
      </w:r>
      <w:r w:rsidR="00925CB6">
        <w:rPr>
          <w:lang w:val="es-CL"/>
        </w:rPr>
        <w:t xml:space="preserve">y de precios </w:t>
      </w:r>
      <w:r>
        <w:rPr>
          <w:lang w:val="es-CL"/>
        </w:rPr>
        <w:t xml:space="preserve">de este grupo de usuarios es determinante en la rentabilidad </w:t>
      </w:r>
      <w:r w:rsidR="00925CB6">
        <w:rPr>
          <w:lang w:val="es-CL"/>
        </w:rPr>
        <w:t xml:space="preserve">general </w:t>
      </w:r>
      <w:r>
        <w:rPr>
          <w:lang w:val="es-CL"/>
        </w:rPr>
        <w:t>del programa.</w:t>
      </w:r>
      <w:r w:rsidR="009A2F16">
        <w:rPr>
          <w:lang w:val="es-CL"/>
        </w:rPr>
        <w:t xml:space="preserve"> </w:t>
      </w:r>
    </w:p>
    <w:p w:rsidR="00925CB6" w:rsidRDefault="00925CB6" w:rsidP="00F56913">
      <w:pPr>
        <w:jc w:val="both"/>
        <w:rPr>
          <w:lang w:val="es-CL"/>
        </w:rPr>
      </w:pPr>
    </w:p>
    <w:p w:rsidR="00925CB6" w:rsidRDefault="00925CB6" w:rsidP="00F56913">
      <w:pPr>
        <w:jc w:val="both"/>
        <w:rPr>
          <w:lang w:val="es-CL"/>
        </w:rPr>
      </w:pPr>
      <w:r>
        <w:rPr>
          <w:lang w:val="es-CL"/>
        </w:rPr>
        <w:t>Finalmente, se realiza un análisis de frontera para las variaciones extremas de cada parámetro relevante que pueden llevar a rentabilidades financieras bajo cero. Los resultados de este ejercicio se muestran en la figura 33.</w:t>
      </w:r>
    </w:p>
    <w:p w:rsidR="00925CB6" w:rsidRDefault="00925CB6" w:rsidP="00F56913">
      <w:pPr>
        <w:jc w:val="both"/>
        <w:rPr>
          <w:lang w:val="es-CL"/>
        </w:rPr>
      </w:pPr>
    </w:p>
    <w:p w:rsidR="00925CB6" w:rsidRDefault="00925CB6" w:rsidP="00F56913">
      <w:pPr>
        <w:jc w:val="both"/>
        <w:rPr>
          <w:lang w:val="es-CL"/>
        </w:rPr>
      </w:pPr>
      <w:r>
        <w:rPr>
          <w:noProof/>
          <w:lang w:val="en-US"/>
        </w:rPr>
        <w:drawing>
          <wp:inline distT="0" distB="0" distL="0" distR="0" wp14:anchorId="4C4C414A">
            <wp:extent cx="5600054" cy="4041894"/>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7275" cy="4054323"/>
                    </a:xfrm>
                    <a:prstGeom prst="rect">
                      <a:avLst/>
                    </a:prstGeom>
                    <a:noFill/>
                  </pic:spPr>
                </pic:pic>
              </a:graphicData>
            </a:graphic>
          </wp:inline>
        </w:drawing>
      </w:r>
    </w:p>
    <w:p w:rsidR="00724A13" w:rsidRDefault="009A2F16" w:rsidP="00724A13">
      <w:pPr>
        <w:jc w:val="both"/>
        <w:rPr>
          <w:lang w:val="es-CL"/>
        </w:rPr>
      </w:pPr>
      <w:r w:rsidRPr="00617B13">
        <w:rPr>
          <w:b/>
          <w:lang w:val="es-CL"/>
        </w:rPr>
        <w:t>Figura</w:t>
      </w:r>
      <w:r w:rsidR="00617B13" w:rsidRPr="00617B13">
        <w:rPr>
          <w:b/>
          <w:lang w:val="es-CL"/>
        </w:rPr>
        <w:t xml:space="preserve"> 33</w:t>
      </w:r>
      <w:r w:rsidR="00617B13" w:rsidRPr="00724A13">
        <w:rPr>
          <w:b/>
          <w:lang w:val="es-CL"/>
        </w:rPr>
        <w:t>.</w:t>
      </w:r>
      <w:r w:rsidR="00617B13" w:rsidRPr="00724A13">
        <w:rPr>
          <w:lang w:val="es-CL"/>
        </w:rPr>
        <w:t xml:space="preserve"> Sensibilidad de la Rentabilidad Financiera del Programa</w:t>
      </w:r>
      <w:r w:rsidR="002E31C1">
        <w:rPr>
          <w:lang w:val="es-CL"/>
        </w:rPr>
        <w:t xml:space="preserve"> al variar de forma independiente </w:t>
      </w:r>
      <w:r w:rsidR="00724A13">
        <w:rPr>
          <w:lang w:val="es-CL"/>
        </w:rPr>
        <w:t>cada uno de los parámetros más relevantes</w:t>
      </w:r>
      <w:r w:rsidR="00617B13">
        <w:rPr>
          <w:lang w:val="es-CL"/>
        </w:rPr>
        <w:t>.</w:t>
      </w:r>
      <w:r w:rsidR="00724A13">
        <w:rPr>
          <w:lang w:val="es-CL"/>
        </w:rPr>
        <w:t xml:space="preserve"> Se observa que la mayor pendiente corresponde al Precio Medio de Venta, donde una reducción de tan solo un 7.8% respecto a su valor esperado (según pliego 2017) se traduce en un VANF igual a 0. Este aspecto debe considerarse especialmente al buscar posibles rebajas tarifarias de cualquiera de los sectores aquí considerados, sin una consistencia equivalente desde los precios medios de compra que experimenta cada EED.</w:t>
      </w:r>
    </w:p>
    <w:p w:rsidR="009A2F16" w:rsidRDefault="00724A13" w:rsidP="00724A13">
      <w:pPr>
        <w:jc w:val="both"/>
        <w:rPr>
          <w:lang w:val="es-CL"/>
        </w:rPr>
      </w:pPr>
      <w:r>
        <w:rPr>
          <w:lang w:val="es-CL"/>
        </w:rPr>
        <w:t>Por su parte, un incremento de la inversión, por sobre un 19% también tendrá como consecuencia la pérdida de rentabilidad financiera del programa, lo que a juicio del consultor puede acontecer, especialmente si las proyecciones presupuestarias no hubieran considerado factores de encarecimiento de los equipamientos y otros factores productivos como la mano de obra o el transporte, que dependen, entre otras variables de licitaciones futuras.</w:t>
      </w:r>
    </w:p>
    <w:p w:rsidR="00724A13" w:rsidRDefault="00724A13" w:rsidP="00724A13">
      <w:pPr>
        <w:jc w:val="both"/>
        <w:rPr>
          <w:lang w:val="es-CL"/>
        </w:rPr>
      </w:pPr>
      <w:r>
        <w:rPr>
          <w:lang w:val="es-CL"/>
        </w:rPr>
        <w:t xml:space="preserve">Así también, si la demanda de energía real resulta ser </w:t>
      </w:r>
      <w:r w:rsidR="009365FA">
        <w:rPr>
          <w:lang w:val="es-CL"/>
        </w:rPr>
        <w:t>menos de un 16% de la prevista, entonces no habrá una rentabilidad financiera del programa. A juicio del consultor y considerando que se ha hecho una proyección conservadora de la demanda del sector camaronero, esta situación no es probable, puesto que excede los rangos típicos de incertidumbre de +/-10%, según experiencia del mismo consultor.</w:t>
      </w:r>
    </w:p>
    <w:p w:rsidR="00AE477A" w:rsidRDefault="00AE477A" w:rsidP="00AE55F6">
      <w:pPr>
        <w:pStyle w:val="Heading1"/>
        <w:rPr>
          <w:lang w:val="es-CL"/>
        </w:rPr>
      </w:pPr>
      <w:bookmarkStart w:id="34" w:name="_Toc491617777"/>
      <w:r>
        <w:rPr>
          <w:lang w:val="es-CL"/>
        </w:rPr>
        <w:t>Conclusiones</w:t>
      </w:r>
      <w:bookmarkEnd w:id="34"/>
    </w:p>
    <w:p w:rsidR="00AE55F6" w:rsidRDefault="00AE55F6" w:rsidP="00F56913">
      <w:pPr>
        <w:jc w:val="both"/>
        <w:rPr>
          <w:lang w:val="es-CL"/>
        </w:rPr>
      </w:pPr>
    </w:p>
    <w:p w:rsidR="00B6361C" w:rsidRDefault="001923F4" w:rsidP="00B6361C">
      <w:pPr>
        <w:jc w:val="both"/>
        <w:rPr>
          <w:lang w:val="es-CL"/>
        </w:rPr>
      </w:pPr>
      <w:r>
        <w:rPr>
          <w:lang w:val="es-CL"/>
        </w:rPr>
        <w:t>E</w:t>
      </w:r>
      <w:r w:rsidR="00B6361C">
        <w:rPr>
          <w:lang w:val="es-CL"/>
        </w:rPr>
        <w:t xml:space="preserve">l programa </w:t>
      </w:r>
      <w:r>
        <w:rPr>
          <w:lang w:val="es-CL"/>
        </w:rPr>
        <w:t>EC-L1223</w:t>
      </w:r>
      <w:r w:rsidR="00B6361C">
        <w:rPr>
          <w:lang w:val="es-CL"/>
        </w:rPr>
        <w:t xml:space="preserve"> resulta rentable de forma integral, presentando cierta debilidad relativa en la cartera de proyectos FERUM, así como en el proyecto del SNT en La Avanzada o del sistema de transmisión Tanicuchí, cuyo principal objetivo es alejar la actual subestación Mulaló de la zona de riesgo ante la eventual erupción del volcán Cotopaxi, cuya probabilidad de ocurrencia dentro del período de evaluación se ha estimado por sobre un 84%.</w:t>
      </w:r>
    </w:p>
    <w:p w:rsidR="00F50C16" w:rsidRDefault="00F50C16" w:rsidP="00B6361C">
      <w:pPr>
        <w:jc w:val="both"/>
        <w:rPr>
          <w:lang w:val="es-CL"/>
        </w:rPr>
      </w:pPr>
      <w:r>
        <w:rPr>
          <w:lang w:val="es-CL"/>
        </w:rPr>
        <w:t>La rentabilidad financiera</w:t>
      </w:r>
      <w:r w:rsidR="009A6099">
        <w:rPr>
          <w:lang w:val="es-CL"/>
        </w:rPr>
        <w:t>, para una inversión evaluada por US$ 218 Millones,</w:t>
      </w:r>
      <w:r>
        <w:rPr>
          <w:lang w:val="es-CL"/>
        </w:rPr>
        <w:t xml:space="preserve"> alcanza un VAN</w:t>
      </w:r>
      <w:r w:rsidR="009A6099">
        <w:rPr>
          <w:lang w:val="es-CL"/>
        </w:rPr>
        <w:t xml:space="preserve"> F</w:t>
      </w:r>
      <w:r>
        <w:rPr>
          <w:lang w:val="es-CL"/>
        </w:rPr>
        <w:t xml:space="preserve"> de US$ 55.2 Millones y una TIR </w:t>
      </w:r>
      <w:r w:rsidR="009A6099">
        <w:rPr>
          <w:lang w:val="es-CL"/>
        </w:rPr>
        <w:t xml:space="preserve">F </w:t>
      </w:r>
      <w:r>
        <w:rPr>
          <w:lang w:val="es-CL"/>
        </w:rPr>
        <w:t xml:space="preserve">de 13,9%. </w:t>
      </w:r>
      <w:r w:rsidR="009A6099">
        <w:rPr>
          <w:lang w:val="es-CL"/>
        </w:rPr>
        <w:t xml:space="preserve">Por otra parte, desde el punto de vista económico, adicionando la inversión de la agroindustria por US$ </w:t>
      </w:r>
      <w:r w:rsidR="001045C1">
        <w:rPr>
          <w:lang w:val="es-CL"/>
        </w:rPr>
        <w:t>196</w:t>
      </w:r>
      <w:r w:rsidR="009A6099">
        <w:rPr>
          <w:lang w:val="es-CL"/>
        </w:rPr>
        <w:t xml:space="preserve"> Millones, correspondiente a la adecuación de sus redes y equipamiento eléctrico, se alcanza un VAN E de US$ </w:t>
      </w:r>
      <w:r w:rsidR="001045C1">
        <w:rPr>
          <w:lang w:val="es-CL"/>
        </w:rPr>
        <w:t>2</w:t>
      </w:r>
      <w:r w:rsidR="009A6099">
        <w:rPr>
          <w:lang w:val="es-CL"/>
        </w:rPr>
        <w:t>.</w:t>
      </w:r>
      <w:r w:rsidR="001045C1">
        <w:rPr>
          <w:lang w:val="es-CL"/>
        </w:rPr>
        <w:t>206</w:t>
      </w:r>
      <w:r w:rsidR="009A6099">
        <w:rPr>
          <w:lang w:val="es-CL"/>
        </w:rPr>
        <w:t>,</w:t>
      </w:r>
      <w:r w:rsidR="001045C1">
        <w:rPr>
          <w:lang w:val="es-CL"/>
        </w:rPr>
        <w:t>0</w:t>
      </w:r>
      <w:r w:rsidR="009A6099">
        <w:rPr>
          <w:lang w:val="es-CL"/>
        </w:rPr>
        <w:t xml:space="preserve"> Millones y una TIR E de 4</w:t>
      </w:r>
      <w:r w:rsidR="001045C1">
        <w:rPr>
          <w:lang w:val="es-CL"/>
        </w:rPr>
        <w:t>7</w:t>
      </w:r>
      <w:r w:rsidR="009A6099">
        <w:rPr>
          <w:lang w:val="es-CL"/>
        </w:rPr>
        <w:t>,</w:t>
      </w:r>
      <w:r w:rsidR="001045C1">
        <w:rPr>
          <w:lang w:val="es-CL"/>
        </w:rPr>
        <w:t>7</w:t>
      </w:r>
      <w:r w:rsidR="009A6099">
        <w:rPr>
          <w:lang w:val="es-CL"/>
        </w:rPr>
        <w:t>%.</w:t>
      </w:r>
    </w:p>
    <w:p w:rsidR="00B6361C" w:rsidRDefault="00B6361C" w:rsidP="00B6361C">
      <w:pPr>
        <w:jc w:val="both"/>
        <w:rPr>
          <w:lang w:val="es-CL"/>
        </w:rPr>
      </w:pPr>
      <w:r>
        <w:rPr>
          <w:lang w:val="es-CL"/>
        </w:rPr>
        <w:t xml:space="preserve">La negatividad aparente de la rentabilidad financiera de los proyectos de Transmisión se revierte en gran medida, al complementarse con iniciativas de proyectos de distribución relacionados, que llevan el flujo energético hacia el cliente final en las EED de El Oro, Regional Norte, Santa Elena, Guayaquil y Cotopaxi, así como su aporte a los intercambios con Colombia y Perú o </w:t>
      </w:r>
      <w:r w:rsidR="008839D8">
        <w:rPr>
          <w:lang w:val="es-CL"/>
        </w:rPr>
        <w:t>a</w:t>
      </w:r>
      <w:r>
        <w:rPr>
          <w:lang w:val="es-CL"/>
        </w:rPr>
        <w:t>l flujo de energía hacia la agroindustria.</w:t>
      </w:r>
    </w:p>
    <w:p w:rsidR="009A6099" w:rsidRDefault="009A6099" w:rsidP="00B6361C">
      <w:pPr>
        <w:jc w:val="both"/>
        <w:rPr>
          <w:lang w:val="es-CL"/>
        </w:rPr>
      </w:pPr>
      <w:r>
        <w:rPr>
          <w:lang w:val="es-CL"/>
        </w:rPr>
        <w:t xml:space="preserve">Distinguen por su alta rentabilidad financiera los proyectos de </w:t>
      </w:r>
      <w:r w:rsidR="00755334">
        <w:rPr>
          <w:lang w:val="es-CL"/>
        </w:rPr>
        <w:t>las EED Guayaquil, El Oro y Manabí, seguidas por Milagro y Cotopaxi; los que tienden a compensar diversos resultados mixtos observables en el resto de las empresas distribuidoras.</w:t>
      </w:r>
    </w:p>
    <w:p w:rsidR="001923F4" w:rsidRDefault="001923F4" w:rsidP="00B6361C">
      <w:pPr>
        <w:jc w:val="both"/>
        <w:rPr>
          <w:lang w:val="es-CL"/>
        </w:rPr>
      </w:pPr>
      <w:r>
        <w:rPr>
          <w:lang w:val="es-CL"/>
        </w:rPr>
        <w:t>La rentabilidad del programa resulta esencialmente sensible a las variaciones tarifarias, especialmente si los precios de venta al consumidor final no varían de forma consistente con los Costos Medio</w:t>
      </w:r>
      <w:r w:rsidR="001045C1">
        <w:rPr>
          <w:lang w:val="es-CL"/>
        </w:rPr>
        <w:t>s de Generación y de Transmisión</w:t>
      </w:r>
      <w:r>
        <w:rPr>
          <w:lang w:val="es-CL"/>
        </w:rPr>
        <w:t xml:space="preserve">. </w:t>
      </w:r>
      <w:r w:rsidR="001045C1">
        <w:rPr>
          <w:lang w:val="es-CL"/>
        </w:rPr>
        <w:t>También el programa arriesga una rentabilidad financiera negativa si la inversión del programa se incrementa sobre un 19%.</w:t>
      </w:r>
    </w:p>
    <w:p w:rsidR="001923F4" w:rsidRDefault="001923F4" w:rsidP="00B6361C">
      <w:pPr>
        <w:jc w:val="both"/>
        <w:rPr>
          <w:lang w:val="es-CL"/>
        </w:rPr>
      </w:pPr>
      <w:r>
        <w:rPr>
          <w:lang w:val="es-CL"/>
        </w:rPr>
        <w:t>Desde el punto de vista económico, se han valorado diversos conceptos, resultando más relevantes el Beneficio del Consumidor Final</w:t>
      </w:r>
      <w:r w:rsidR="008839D8">
        <w:rPr>
          <w:lang w:val="es-CL"/>
        </w:rPr>
        <w:t xml:space="preserve"> y</w:t>
      </w:r>
      <w:r>
        <w:rPr>
          <w:lang w:val="es-CL"/>
        </w:rPr>
        <w:t xml:space="preserve"> El Beneficio del Productor (utilidad agroindustrial), compensados por costos económicos como los Costos Adicionales de Distribución (necesarios para llevar los grandes bloques de energía transportados por las nuevas instalaciones de transmisión hasta el consumidor final) o los Costos Variables de Generación, más bajos a inicio del horizonte de evaluación (2019) y crecientes en la medida que el crecimiento de la demanda y la falta de inversión en nuevos y mayores generadores a energía renovable (más allá de 2025) vuelve a tomar en cuenta paulatinamente la generación a base de combustibles fósiles, que además conllevan siempre una carga para el Estado en la forma de subsidio a los combustibles.</w:t>
      </w:r>
    </w:p>
    <w:p w:rsidR="008902BB" w:rsidRDefault="008902BB" w:rsidP="00755334">
      <w:pPr>
        <w:jc w:val="both"/>
        <w:rPr>
          <w:lang w:val="es-CL"/>
        </w:rPr>
      </w:pPr>
    </w:p>
    <w:p w:rsidR="001045C1" w:rsidRDefault="001045C1">
      <w:pPr>
        <w:rPr>
          <w:rFonts w:asciiTheme="majorHAnsi" w:eastAsiaTheme="majorEastAsia" w:hAnsiTheme="majorHAnsi" w:cstheme="majorBidi"/>
          <w:b/>
          <w:color w:val="2F5496" w:themeColor="accent1" w:themeShade="BF"/>
          <w:sz w:val="32"/>
          <w:szCs w:val="32"/>
          <w:lang w:val="es-CL"/>
        </w:rPr>
      </w:pPr>
      <w:r>
        <w:rPr>
          <w:lang w:val="es-CL"/>
        </w:rPr>
        <w:br w:type="page"/>
      </w:r>
    </w:p>
    <w:p w:rsidR="00AE477A" w:rsidRDefault="0041786A" w:rsidP="0041786A">
      <w:pPr>
        <w:pStyle w:val="Heading1"/>
        <w:rPr>
          <w:lang w:val="es-CL"/>
        </w:rPr>
      </w:pPr>
      <w:bookmarkStart w:id="35" w:name="_Toc491617778"/>
      <w:r>
        <w:rPr>
          <w:lang w:val="es-CL"/>
        </w:rPr>
        <w:t>Anexo 1. Inversiones por Proyecto</w:t>
      </w:r>
      <w:bookmarkEnd w:id="35"/>
    </w:p>
    <w:p w:rsidR="0041786A" w:rsidRDefault="0041786A" w:rsidP="00F56913">
      <w:pPr>
        <w:jc w:val="both"/>
        <w:rPr>
          <w:lang w:val="es-CL"/>
        </w:rPr>
      </w:pPr>
    </w:p>
    <w:p w:rsidR="00323AC0" w:rsidRPr="005C3744" w:rsidRDefault="00323AC0" w:rsidP="00F56913">
      <w:pPr>
        <w:jc w:val="both"/>
        <w:rPr>
          <w:b/>
          <w:lang w:val="es-CL"/>
        </w:rPr>
      </w:pPr>
      <w:r w:rsidRPr="005C3744">
        <w:rPr>
          <w:b/>
          <w:lang w:val="es-CL"/>
        </w:rPr>
        <w:t>Proyectos Expansión y Reforzamiento del SNT</w:t>
      </w:r>
    </w:p>
    <w:tbl>
      <w:tblPr>
        <w:tblW w:w="8647" w:type="dxa"/>
        <w:jc w:val="center"/>
        <w:tblCellMar>
          <w:top w:w="15" w:type="dxa"/>
          <w:left w:w="70" w:type="dxa"/>
          <w:bottom w:w="15" w:type="dxa"/>
          <w:right w:w="70" w:type="dxa"/>
        </w:tblCellMar>
        <w:tblLook w:val="04A0" w:firstRow="1" w:lastRow="0" w:firstColumn="1" w:lastColumn="0" w:noHBand="0" w:noVBand="1"/>
      </w:tblPr>
      <w:tblGrid>
        <w:gridCol w:w="1980"/>
        <w:gridCol w:w="4961"/>
        <w:gridCol w:w="1706"/>
      </w:tblGrid>
      <w:tr w:rsidR="00AB5400" w:rsidRPr="00814E69" w:rsidTr="00633397">
        <w:trPr>
          <w:trHeight w:val="317"/>
          <w:jc w:val="center"/>
        </w:trPr>
        <w:tc>
          <w:tcPr>
            <w:tcW w:w="198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B5400" w:rsidRPr="00323AC0" w:rsidRDefault="00AB5400" w:rsidP="008079B6">
            <w:pPr>
              <w:spacing w:after="0" w:line="240" w:lineRule="auto"/>
              <w:jc w:val="center"/>
              <w:rPr>
                <w:rFonts w:ascii="Calibri" w:eastAsia="Times New Roman" w:hAnsi="Calibri" w:cs="Calibri"/>
                <w:b/>
                <w:bCs/>
                <w:color w:val="000000"/>
                <w:sz w:val="16"/>
                <w:szCs w:val="16"/>
                <w:lang w:eastAsia="es-CR"/>
              </w:rPr>
            </w:pPr>
            <w:r w:rsidRPr="00323AC0">
              <w:rPr>
                <w:rFonts w:ascii="Calibri" w:eastAsia="Times New Roman" w:hAnsi="Calibri" w:cs="Calibri"/>
                <w:b/>
                <w:bCs/>
                <w:color w:val="000000"/>
                <w:sz w:val="16"/>
                <w:szCs w:val="16"/>
                <w:lang w:eastAsia="es-CR"/>
              </w:rPr>
              <w:t>Empresa</w:t>
            </w:r>
          </w:p>
        </w:tc>
        <w:tc>
          <w:tcPr>
            <w:tcW w:w="4961"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AB5400" w:rsidRPr="00323AC0" w:rsidRDefault="00AB5400" w:rsidP="008079B6">
            <w:pPr>
              <w:spacing w:after="0" w:line="240" w:lineRule="auto"/>
              <w:jc w:val="center"/>
              <w:rPr>
                <w:rFonts w:ascii="Calibri" w:eastAsia="Times New Roman" w:hAnsi="Calibri" w:cs="Calibri"/>
                <w:b/>
                <w:bCs/>
                <w:color w:val="000000"/>
                <w:sz w:val="16"/>
                <w:szCs w:val="16"/>
                <w:lang w:eastAsia="es-CR"/>
              </w:rPr>
            </w:pPr>
            <w:r w:rsidRPr="00323AC0">
              <w:rPr>
                <w:rFonts w:ascii="Calibri" w:eastAsia="Times New Roman" w:hAnsi="Calibri" w:cs="Calibri"/>
                <w:b/>
                <w:bCs/>
                <w:color w:val="000000"/>
                <w:sz w:val="16"/>
                <w:szCs w:val="16"/>
                <w:lang w:eastAsia="es-CR"/>
              </w:rPr>
              <w:t>Proyectos</w:t>
            </w:r>
          </w:p>
        </w:tc>
        <w:tc>
          <w:tcPr>
            <w:tcW w:w="1706"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AB5400" w:rsidRPr="00323AC0" w:rsidRDefault="00AB5400" w:rsidP="008079B6">
            <w:pPr>
              <w:spacing w:after="0" w:line="240" w:lineRule="auto"/>
              <w:jc w:val="center"/>
              <w:rPr>
                <w:rFonts w:ascii="Calibri" w:eastAsia="Times New Roman" w:hAnsi="Calibri" w:cs="Calibri"/>
                <w:b/>
                <w:bCs/>
                <w:color w:val="000000"/>
                <w:sz w:val="16"/>
                <w:szCs w:val="16"/>
                <w:lang w:eastAsia="es-CR"/>
              </w:rPr>
            </w:pPr>
            <w:r w:rsidRPr="00323AC0">
              <w:rPr>
                <w:rFonts w:ascii="Calibri" w:eastAsia="Times New Roman" w:hAnsi="Calibri" w:cs="Calibri"/>
                <w:b/>
                <w:bCs/>
                <w:color w:val="000000"/>
                <w:sz w:val="16"/>
                <w:szCs w:val="16"/>
                <w:lang w:eastAsia="es-CR"/>
              </w:rPr>
              <w:t>Inversión</w:t>
            </w:r>
          </w:p>
          <w:p w:rsidR="00AB5400" w:rsidRPr="00323AC0" w:rsidRDefault="00AB5400" w:rsidP="008079B6">
            <w:pPr>
              <w:spacing w:after="0" w:line="240" w:lineRule="auto"/>
              <w:jc w:val="center"/>
              <w:rPr>
                <w:rFonts w:ascii="Calibri" w:eastAsia="Times New Roman" w:hAnsi="Calibri" w:cs="Calibri"/>
                <w:b/>
                <w:bCs/>
                <w:color w:val="000000"/>
                <w:sz w:val="16"/>
                <w:szCs w:val="16"/>
                <w:lang w:eastAsia="es-CR"/>
              </w:rPr>
            </w:pPr>
            <w:r w:rsidRPr="00323AC0">
              <w:rPr>
                <w:rFonts w:ascii="Calibri" w:eastAsia="Times New Roman" w:hAnsi="Calibri" w:cs="Calibri"/>
                <w:b/>
                <w:bCs/>
                <w:color w:val="000000"/>
                <w:sz w:val="16"/>
                <w:szCs w:val="16"/>
                <w:lang w:eastAsia="es-CR"/>
              </w:rPr>
              <w:t>(US$ sin IVA)</w:t>
            </w:r>
          </w:p>
        </w:tc>
      </w:tr>
      <w:tr w:rsidR="00AB5400" w:rsidRPr="00814E69" w:rsidTr="00092045">
        <w:trPr>
          <w:trHeight w:val="285"/>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400" w:rsidRPr="00092045" w:rsidRDefault="00AB5400" w:rsidP="008079B6">
            <w:pPr>
              <w:spacing w:after="0" w:line="240" w:lineRule="auto"/>
              <w:jc w:val="center"/>
              <w:rPr>
                <w:rFonts w:ascii="Calibri" w:eastAsia="Times New Roman" w:hAnsi="Calibri" w:cs="Calibri"/>
                <w:bCs/>
                <w:color w:val="000000"/>
                <w:sz w:val="16"/>
                <w:szCs w:val="16"/>
                <w:lang w:eastAsia="es-CR"/>
              </w:rPr>
            </w:pPr>
            <w:r w:rsidRPr="00092045">
              <w:rPr>
                <w:rFonts w:ascii="Calibri" w:eastAsia="Times New Roman" w:hAnsi="Calibri" w:cs="Calibri"/>
                <w:bCs/>
                <w:color w:val="000000"/>
                <w:sz w:val="16"/>
                <w:szCs w:val="16"/>
                <w:lang w:eastAsia="es-CR"/>
              </w:rPr>
              <w:t>CELEC EP</w:t>
            </w:r>
          </w:p>
          <w:p w:rsidR="00AB5400" w:rsidRPr="00092045" w:rsidRDefault="00AB5400" w:rsidP="008079B6">
            <w:pPr>
              <w:spacing w:after="0" w:line="240" w:lineRule="auto"/>
              <w:jc w:val="center"/>
              <w:rPr>
                <w:rFonts w:ascii="Calibri" w:eastAsia="Times New Roman" w:hAnsi="Calibri" w:cs="Calibri"/>
                <w:bCs/>
                <w:color w:val="000000"/>
                <w:sz w:val="16"/>
                <w:szCs w:val="16"/>
                <w:lang w:eastAsia="es-CR"/>
              </w:rPr>
            </w:pPr>
            <w:r w:rsidRPr="00092045">
              <w:rPr>
                <w:rFonts w:ascii="Calibri" w:eastAsia="Times New Roman" w:hAnsi="Calibri" w:cs="Calibri"/>
                <w:bCs/>
                <w:color w:val="000000"/>
                <w:sz w:val="16"/>
                <w:szCs w:val="16"/>
                <w:lang w:eastAsia="es-CR"/>
              </w:rPr>
              <w:t xml:space="preserve">TRANSELECTRIC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Ampliación de la Subestación Posorja 138/69 kV</w:t>
            </w:r>
          </w:p>
        </w:tc>
        <w:tc>
          <w:tcPr>
            <w:tcW w:w="1706" w:type="dxa"/>
            <w:tcBorders>
              <w:top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jc w:val="right"/>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9.944.503</w:t>
            </w:r>
          </w:p>
        </w:tc>
      </w:tr>
      <w:tr w:rsidR="00AB5400" w:rsidRPr="00814E69" w:rsidTr="00092045">
        <w:trPr>
          <w:trHeight w:val="285"/>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hideMark/>
          </w:tcPr>
          <w:p w:rsidR="00AB5400" w:rsidRPr="00323AC0" w:rsidRDefault="00AB5400" w:rsidP="008079B6">
            <w:pPr>
              <w:spacing w:after="0" w:line="240" w:lineRule="auto"/>
              <w:rPr>
                <w:rFonts w:ascii="Calibri" w:eastAsia="Times New Roman" w:hAnsi="Calibri" w:cs="Calibri"/>
                <w:b/>
                <w:bCs/>
                <w:color w:val="000000"/>
                <w:sz w:val="16"/>
                <w:szCs w:val="16"/>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Sistema de Transmisión Las Orquídeas 230 kV, 225 MVA</w:t>
            </w:r>
          </w:p>
        </w:tc>
        <w:tc>
          <w:tcPr>
            <w:tcW w:w="1706" w:type="dxa"/>
            <w:tcBorders>
              <w:top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jc w:val="right"/>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27.582.136</w:t>
            </w:r>
          </w:p>
        </w:tc>
      </w:tr>
      <w:tr w:rsidR="00AB5400" w:rsidRPr="00814E69" w:rsidTr="00092045">
        <w:trPr>
          <w:trHeight w:val="285"/>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hideMark/>
          </w:tcPr>
          <w:p w:rsidR="00AB5400" w:rsidRPr="00323AC0" w:rsidRDefault="00AB5400" w:rsidP="008079B6">
            <w:pPr>
              <w:spacing w:after="0" w:line="240" w:lineRule="auto"/>
              <w:rPr>
                <w:rFonts w:ascii="Calibri" w:eastAsia="Times New Roman" w:hAnsi="Calibri" w:cs="Calibri"/>
                <w:b/>
                <w:bCs/>
                <w:color w:val="000000"/>
                <w:sz w:val="16"/>
                <w:szCs w:val="16"/>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Sistema de Transmisión Tanicuchí 230/138 kV</w:t>
            </w:r>
          </w:p>
        </w:tc>
        <w:tc>
          <w:tcPr>
            <w:tcW w:w="1706" w:type="dxa"/>
            <w:tcBorders>
              <w:top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jc w:val="right"/>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23.293.288</w:t>
            </w:r>
          </w:p>
        </w:tc>
      </w:tr>
      <w:tr w:rsidR="00AB5400" w:rsidRPr="00814E69" w:rsidTr="00092045">
        <w:trPr>
          <w:trHeight w:val="285"/>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hideMark/>
          </w:tcPr>
          <w:p w:rsidR="00AB5400" w:rsidRPr="00323AC0" w:rsidRDefault="00AB5400" w:rsidP="008079B6">
            <w:pPr>
              <w:spacing w:after="0" w:line="240" w:lineRule="auto"/>
              <w:rPr>
                <w:rFonts w:ascii="Calibri" w:eastAsia="Times New Roman" w:hAnsi="Calibri" w:cs="Calibri"/>
                <w:b/>
                <w:bCs/>
                <w:color w:val="000000"/>
                <w:sz w:val="16"/>
                <w:szCs w:val="16"/>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Sistema de Transmisión La Avanzada</w:t>
            </w:r>
            <w:r w:rsidRPr="00323AC0">
              <w:rPr>
                <w:rStyle w:val="FootnoteReference"/>
                <w:rFonts w:ascii="Calibri" w:eastAsia="Times New Roman" w:hAnsi="Calibri" w:cs="Calibri"/>
                <w:color w:val="000000"/>
                <w:sz w:val="16"/>
                <w:szCs w:val="16"/>
                <w:lang w:eastAsia="es-CR"/>
              </w:rPr>
              <w:footnoteReference w:id="33"/>
            </w:r>
            <w:r w:rsidRPr="00323AC0">
              <w:rPr>
                <w:rFonts w:ascii="Calibri" w:eastAsia="Times New Roman" w:hAnsi="Calibri" w:cs="Calibri"/>
                <w:color w:val="000000"/>
                <w:sz w:val="16"/>
                <w:szCs w:val="16"/>
                <w:lang w:eastAsia="es-CR"/>
              </w:rPr>
              <w:t xml:space="preserve"> 230 kV</w:t>
            </w:r>
          </w:p>
        </w:tc>
        <w:tc>
          <w:tcPr>
            <w:tcW w:w="1706" w:type="dxa"/>
            <w:tcBorders>
              <w:top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jc w:val="right"/>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31.957.863</w:t>
            </w:r>
          </w:p>
        </w:tc>
      </w:tr>
      <w:tr w:rsidR="00AB5400" w:rsidRPr="00814E69" w:rsidTr="00092045">
        <w:trPr>
          <w:trHeight w:val="285"/>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hideMark/>
          </w:tcPr>
          <w:p w:rsidR="00AB5400" w:rsidRPr="00323AC0" w:rsidRDefault="00AB5400" w:rsidP="008079B6">
            <w:pPr>
              <w:spacing w:after="0" w:line="240" w:lineRule="auto"/>
              <w:rPr>
                <w:rFonts w:ascii="Calibri" w:eastAsia="Times New Roman" w:hAnsi="Calibri" w:cs="Calibri"/>
                <w:b/>
                <w:bCs/>
                <w:color w:val="000000"/>
                <w:sz w:val="16"/>
                <w:szCs w:val="16"/>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Construcción de la Subestación Cajas 138/69 kV</w:t>
            </w:r>
          </w:p>
        </w:tc>
        <w:tc>
          <w:tcPr>
            <w:tcW w:w="1706" w:type="dxa"/>
            <w:tcBorders>
              <w:top w:val="single" w:sz="4" w:space="0" w:color="auto"/>
              <w:bottom w:val="single" w:sz="4" w:space="0" w:color="auto"/>
              <w:right w:val="single" w:sz="4" w:space="0" w:color="auto"/>
            </w:tcBorders>
            <w:shd w:val="clear" w:color="auto" w:fill="auto"/>
            <w:vAlign w:val="center"/>
            <w:hideMark/>
          </w:tcPr>
          <w:p w:rsidR="00AB5400" w:rsidRPr="00323AC0" w:rsidRDefault="00AB5400" w:rsidP="008079B6">
            <w:pPr>
              <w:spacing w:after="0" w:line="240" w:lineRule="auto"/>
              <w:jc w:val="right"/>
              <w:rPr>
                <w:rFonts w:ascii="Calibri" w:eastAsia="Times New Roman" w:hAnsi="Calibri" w:cs="Calibri"/>
                <w:color w:val="000000"/>
                <w:sz w:val="16"/>
                <w:szCs w:val="16"/>
                <w:lang w:eastAsia="es-CR"/>
              </w:rPr>
            </w:pPr>
            <w:r w:rsidRPr="00323AC0">
              <w:rPr>
                <w:rFonts w:ascii="Calibri" w:eastAsia="Times New Roman" w:hAnsi="Calibri" w:cs="Calibri"/>
                <w:color w:val="000000"/>
                <w:sz w:val="16"/>
                <w:szCs w:val="16"/>
                <w:lang w:eastAsia="es-CR"/>
              </w:rPr>
              <w:t>21.099.000</w:t>
            </w:r>
          </w:p>
        </w:tc>
      </w:tr>
    </w:tbl>
    <w:p w:rsidR="009867D8" w:rsidRDefault="009867D8" w:rsidP="00F56913">
      <w:pPr>
        <w:jc w:val="both"/>
        <w:rPr>
          <w:lang w:val="es-CL"/>
        </w:rPr>
      </w:pPr>
    </w:p>
    <w:p w:rsidR="00573753" w:rsidRDefault="00573753" w:rsidP="00F56913">
      <w:pPr>
        <w:jc w:val="both"/>
        <w:rPr>
          <w:lang w:val="es-CL"/>
        </w:rPr>
      </w:pPr>
    </w:p>
    <w:p w:rsidR="009867D8" w:rsidRPr="005C3744" w:rsidRDefault="00323AC0" w:rsidP="00F56913">
      <w:pPr>
        <w:jc w:val="both"/>
        <w:rPr>
          <w:b/>
          <w:lang w:val="es-CL"/>
        </w:rPr>
      </w:pPr>
      <w:r w:rsidRPr="005C3744">
        <w:rPr>
          <w:b/>
          <w:lang w:val="es-CL"/>
        </w:rPr>
        <w:t>Proyectos Expansión y Modernización del SND: Subtransmisión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4876"/>
        <w:gridCol w:w="1722"/>
      </w:tblGrid>
      <w:tr w:rsidR="008079B6" w:rsidRPr="008079B6" w:rsidTr="00573753">
        <w:trPr>
          <w:trHeight w:val="191"/>
        </w:trPr>
        <w:tc>
          <w:tcPr>
            <w:tcW w:w="2114" w:type="dxa"/>
            <w:shd w:val="clear" w:color="auto" w:fill="DEEAF6" w:themeFill="accent5" w:themeFillTint="33"/>
            <w:hideMark/>
          </w:tcPr>
          <w:p w:rsidR="008079B6" w:rsidRPr="00323AC0" w:rsidRDefault="00AB5400" w:rsidP="008079B6">
            <w:pPr>
              <w:jc w:val="both"/>
              <w:rPr>
                <w:b/>
                <w:bCs/>
                <w:sz w:val="16"/>
              </w:rPr>
            </w:pPr>
            <w:r w:rsidRPr="00323AC0">
              <w:rPr>
                <w:b/>
                <w:bCs/>
                <w:sz w:val="16"/>
              </w:rPr>
              <w:t>Empresa</w:t>
            </w:r>
          </w:p>
        </w:tc>
        <w:tc>
          <w:tcPr>
            <w:tcW w:w="4876" w:type="dxa"/>
            <w:shd w:val="clear" w:color="auto" w:fill="DEEAF6" w:themeFill="accent5" w:themeFillTint="33"/>
            <w:hideMark/>
          </w:tcPr>
          <w:p w:rsidR="008079B6" w:rsidRPr="00323AC0" w:rsidRDefault="00AB5400" w:rsidP="008079B6">
            <w:pPr>
              <w:jc w:val="both"/>
              <w:rPr>
                <w:b/>
                <w:bCs/>
                <w:sz w:val="16"/>
              </w:rPr>
            </w:pPr>
            <w:r w:rsidRPr="00323AC0">
              <w:rPr>
                <w:b/>
                <w:bCs/>
                <w:sz w:val="16"/>
              </w:rPr>
              <w:t>Proyectos</w:t>
            </w:r>
          </w:p>
        </w:tc>
        <w:tc>
          <w:tcPr>
            <w:tcW w:w="1722" w:type="dxa"/>
            <w:shd w:val="clear" w:color="auto" w:fill="DEEAF6" w:themeFill="accent5" w:themeFillTint="33"/>
            <w:hideMark/>
          </w:tcPr>
          <w:p w:rsidR="008079B6" w:rsidRPr="00323AC0" w:rsidRDefault="008079B6" w:rsidP="008079B6">
            <w:pPr>
              <w:jc w:val="both"/>
              <w:rPr>
                <w:b/>
                <w:bCs/>
                <w:sz w:val="16"/>
              </w:rPr>
            </w:pPr>
            <w:r w:rsidRPr="00323AC0">
              <w:rPr>
                <w:b/>
                <w:bCs/>
                <w:sz w:val="16"/>
              </w:rPr>
              <w:t>Inversión (US$)</w:t>
            </w:r>
          </w:p>
        </w:tc>
      </w:tr>
      <w:tr w:rsidR="008079B6" w:rsidRPr="008079B6" w:rsidTr="00573753">
        <w:trPr>
          <w:trHeight w:val="153"/>
        </w:trPr>
        <w:tc>
          <w:tcPr>
            <w:tcW w:w="2114" w:type="dxa"/>
            <w:noWrap/>
            <w:hideMark/>
          </w:tcPr>
          <w:p w:rsidR="008079B6" w:rsidRPr="00323AC0" w:rsidRDefault="008079B6" w:rsidP="008079B6">
            <w:pPr>
              <w:jc w:val="both"/>
              <w:rPr>
                <w:sz w:val="16"/>
              </w:rPr>
            </w:pPr>
            <w:r w:rsidRPr="00323AC0">
              <w:rPr>
                <w:sz w:val="16"/>
              </w:rPr>
              <w:t>CNEL El Oro</w:t>
            </w:r>
          </w:p>
        </w:tc>
        <w:tc>
          <w:tcPr>
            <w:tcW w:w="4876" w:type="dxa"/>
            <w:hideMark/>
          </w:tcPr>
          <w:p w:rsidR="008079B6" w:rsidRPr="00323AC0" w:rsidRDefault="008079B6" w:rsidP="008079B6">
            <w:pPr>
              <w:jc w:val="both"/>
              <w:rPr>
                <w:sz w:val="16"/>
              </w:rPr>
            </w:pPr>
            <w:r w:rsidRPr="00323AC0">
              <w:rPr>
                <w:sz w:val="16"/>
              </w:rPr>
              <w:t xml:space="preserve">REPOTENCIACIÓN DE LA S/E PORTOVELO </w:t>
            </w:r>
          </w:p>
        </w:tc>
        <w:tc>
          <w:tcPr>
            <w:tcW w:w="1722" w:type="dxa"/>
            <w:noWrap/>
            <w:hideMark/>
          </w:tcPr>
          <w:p w:rsidR="008079B6" w:rsidRPr="00323AC0" w:rsidRDefault="008079B6" w:rsidP="00AB5400">
            <w:pPr>
              <w:jc w:val="right"/>
              <w:rPr>
                <w:b/>
                <w:bCs/>
                <w:sz w:val="16"/>
              </w:rPr>
            </w:pPr>
            <w:r w:rsidRPr="00323AC0">
              <w:rPr>
                <w:b/>
                <w:bCs/>
                <w:sz w:val="16"/>
              </w:rPr>
              <w:t xml:space="preserve"> 777.829,78 </w:t>
            </w:r>
          </w:p>
        </w:tc>
      </w:tr>
      <w:tr w:rsidR="008079B6" w:rsidRPr="008079B6" w:rsidTr="00573753">
        <w:trPr>
          <w:trHeight w:val="150"/>
        </w:trPr>
        <w:tc>
          <w:tcPr>
            <w:tcW w:w="2114" w:type="dxa"/>
            <w:noWrap/>
            <w:hideMark/>
          </w:tcPr>
          <w:p w:rsidR="008079B6" w:rsidRPr="00323AC0" w:rsidRDefault="008079B6" w:rsidP="008079B6">
            <w:pPr>
              <w:jc w:val="both"/>
              <w:rPr>
                <w:sz w:val="16"/>
              </w:rPr>
            </w:pPr>
            <w:r w:rsidRPr="00323AC0">
              <w:rPr>
                <w:sz w:val="16"/>
              </w:rPr>
              <w:t>CNEL El Oro</w:t>
            </w:r>
          </w:p>
        </w:tc>
        <w:tc>
          <w:tcPr>
            <w:tcW w:w="4876" w:type="dxa"/>
            <w:hideMark/>
          </w:tcPr>
          <w:p w:rsidR="008079B6" w:rsidRPr="00323AC0" w:rsidRDefault="008079B6" w:rsidP="008079B6">
            <w:pPr>
              <w:jc w:val="both"/>
              <w:rPr>
                <w:sz w:val="16"/>
              </w:rPr>
            </w:pPr>
            <w:r w:rsidRPr="00323AC0">
              <w:rPr>
                <w:sz w:val="16"/>
              </w:rPr>
              <w:t>AMPLIACIÓN DE PATIO DE 69 KV Y DE 13,8 KV EN LA S/E PAGUA</w:t>
            </w:r>
          </w:p>
        </w:tc>
        <w:tc>
          <w:tcPr>
            <w:tcW w:w="1722" w:type="dxa"/>
            <w:noWrap/>
            <w:hideMark/>
          </w:tcPr>
          <w:p w:rsidR="008079B6" w:rsidRPr="00323AC0" w:rsidRDefault="008079B6" w:rsidP="00AB5400">
            <w:pPr>
              <w:jc w:val="right"/>
              <w:rPr>
                <w:b/>
                <w:bCs/>
                <w:sz w:val="16"/>
              </w:rPr>
            </w:pPr>
            <w:r w:rsidRPr="00323AC0">
              <w:rPr>
                <w:b/>
                <w:bCs/>
                <w:sz w:val="16"/>
              </w:rPr>
              <w:t xml:space="preserve"> 872.627,84 </w:t>
            </w:r>
          </w:p>
        </w:tc>
      </w:tr>
      <w:tr w:rsidR="008079B6" w:rsidRPr="008079B6" w:rsidTr="00573753">
        <w:trPr>
          <w:trHeight w:val="209"/>
        </w:trPr>
        <w:tc>
          <w:tcPr>
            <w:tcW w:w="2114" w:type="dxa"/>
            <w:noWrap/>
            <w:hideMark/>
          </w:tcPr>
          <w:p w:rsidR="008079B6" w:rsidRPr="00323AC0" w:rsidRDefault="008079B6" w:rsidP="008079B6">
            <w:pPr>
              <w:jc w:val="both"/>
              <w:rPr>
                <w:sz w:val="16"/>
              </w:rPr>
            </w:pPr>
            <w:r w:rsidRPr="00323AC0">
              <w:rPr>
                <w:sz w:val="16"/>
              </w:rPr>
              <w:t>CNEL El Oro</w:t>
            </w:r>
          </w:p>
        </w:tc>
        <w:tc>
          <w:tcPr>
            <w:tcW w:w="4876" w:type="dxa"/>
            <w:hideMark/>
          </w:tcPr>
          <w:p w:rsidR="008079B6" w:rsidRPr="00323AC0" w:rsidRDefault="008079B6" w:rsidP="008079B6">
            <w:pPr>
              <w:jc w:val="both"/>
              <w:rPr>
                <w:sz w:val="16"/>
              </w:rPr>
            </w:pPr>
            <w:r w:rsidRPr="00323AC0">
              <w:rPr>
                <w:sz w:val="16"/>
              </w:rPr>
              <w:t>AMPLIACIÓN DE PATIO DE 13,8 KVY REPOTENCIACIÓN DE LA S/E LOS PINOS</w:t>
            </w:r>
          </w:p>
        </w:tc>
        <w:tc>
          <w:tcPr>
            <w:tcW w:w="1722" w:type="dxa"/>
            <w:noWrap/>
            <w:hideMark/>
          </w:tcPr>
          <w:p w:rsidR="008079B6" w:rsidRPr="00323AC0" w:rsidRDefault="008079B6" w:rsidP="00AB5400">
            <w:pPr>
              <w:jc w:val="right"/>
              <w:rPr>
                <w:b/>
                <w:bCs/>
                <w:sz w:val="16"/>
              </w:rPr>
            </w:pPr>
            <w:r w:rsidRPr="00323AC0">
              <w:rPr>
                <w:b/>
                <w:bCs/>
                <w:sz w:val="16"/>
              </w:rPr>
              <w:t xml:space="preserve"> 1.079.140,28 </w:t>
            </w:r>
          </w:p>
        </w:tc>
      </w:tr>
      <w:tr w:rsidR="008079B6" w:rsidRPr="008079B6" w:rsidTr="00573753">
        <w:trPr>
          <w:trHeight w:val="204"/>
        </w:trPr>
        <w:tc>
          <w:tcPr>
            <w:tcW w:w="2114" w:type="dxa"/>
            <w:noWrap/>
            <w:hideMark/>
          </w:tcPr>
          <w:p w:rsidR="008079B6" w:rsidRPr="00323AC0" w:rsidRDefault="008079B6" w:rsidP="008079B6">
            <w:pPr>
              <w:jc w:val="both"/>
              <w:rPr>
                <w:sz w:val="16"/>
              </w:rPr>
            </w:pPr>
            <w:r w:rsidRPr="00323AC0">
              <w:rPr>
                <w:sz w:val="16"/>
              </w:rPr>
              <w:t>CNEL Guayaquil</w:t>
            </w:r>
          </w:p>
        </w:tc>
        <w:tc>
          <w:tcPr>
            <w:tcW w:w="4876" w:type="dxa"/>
            <w:hideMark/>
          </w:tcPr>
          <w:p w:rsidR="008079B6" w:rsidRPr="00323AC0" w:rsidRDefault="008079B6" w:rsidP="008079B6">
            <w:pPr>
              <w:jc w:val="both"/>
              <w:rPr>
                <w:sz w:val="16"/>
              </w:rPr>
            </w:pPr>
            <w:r w:rsidRPr="00323AC0">
              <w:rPr>
                <w:sz w:val="16"/>
              </w:rPr>
              <w:t>Construcción de la nueva subestación de reducción a 69/13,8 kV "3 Bocas"</w:t>
            </w:r>
          </w:p>
        </w:tc>
        <w:tc>
          <w:tcPr>
            <w:tcW w:w="1722" w:type="dxa"/>
            <w:noWrap/>
            <w:hideMark/>
          </w:tcPr>
          <w:p w:rsidR="008079B6" w:rsidRPr="00323AC0" w:rsidRDefault="008079B6" w:rsidP="00AB5400">
            <w:pPr>
              <w:jc w:val="right"/>
              <w:rPr>
                <w:b/>
                <w:bCs/>
                <w:sz w:val="16"/>
              </w:rPr>
            </w:pPr>
            <w:r w:rsidRPr="00323AC0">
              <w:rPr>
                <w:b/>
                <w:bCs/>
                <w:sz w:val="16"/>
              </w:rPr>
              <w:t xml:space="preserve"> 1.728.582,56 </w:t>
            </w:r>
          </w:p>
        </w:tc>
      </w:tr>
      <w:tr w:rsidR="008079B6" w:rsidRPr="008079B6" w:rsidTr="00573753">
        <w:trPr>
          <w:trHeight w:val="204"/>
        </w:trPr>
        <w:tc>
          <w:tcPr>
            <w:tcW w:w="2114" w:type="dxa"/>
            <w:noWrap/>
            <w:hideMark/>
          </w:tcPr>
          <w:p w:rsidR="008079B6" w:rsidRPr="00323AC0" w:rsidRDefault="008079B6" w:rsidP="008079B6">
            <w:pPr>
              <w:jc w:val="both"/>
              <w:rPr>
                <w:sz w:val="16"/>
              </w:rPr>
            </w:pPr>
            <w:r w:rsidRPr="00323AC0">
              <w:rPr>
                <w:sz w:val="16"/>
              </w:rPr>
              <w:t>CNEL Guayaquil</w:t>
            </w:r>
          </w:p>
        </w:tc>
        <w:tc>
          <w:tcPr>
            <w:tcW w:w="4876" w:type="dxa"/>
            <w:hideMark/>
          </w:tcPr>
          <w:p w:rsidR="008079B6" w:rsidRPr="00323AC0" w:rsidRDefault="008079B6" w:rsidP="008079B6">
            <w:pPr>
              <w:jc w:val="both"/>
              <w:rPr>
                <w:sz w:val="16"/>
              </w:rPr>
            </w:pPr>
            <w:r w:rsidRPr="00323AC0">
              <w:rPr>
                <w:sz w:val="16"/>
              </w:rPr>
              <w:t>Construcción del Tap a 69 kV para energizar a la Nueva S/E Tres Bocas</w:t>
            </w:r>
          </w:p>
        </w:tc>
        <w:tc>
          <w:tcPr>
            <w:tcW w:w="1722" w:type="dxa"/>
            <w:noWrap/>
            <w:hideMark/>
          </w:tcPr>
          <w:p w:rsidR="008079B6" w:rsidRPr="00323AC0" w:rsidRDefault="008079B6" w:rsidP="00AB5400">
            <w:pPr>
              <w:jc w:val="right"/>
              <w:rPr>
                <w:b/>
                <w:bCs/>
                <w:sz w:val="16"/>
              </w:rPr>
            </w:pPr>
            <w:r w:rsidRPr="00323AC0">
              <w:rPr>
                <w:b/>
                <w:bCs/>
                <w:sz w:val="16"/>
              </w:rPr>
              <w:t xml:space="preserve"> 57.572,09 </w:t>
            </w:r>
          </w:p>
        </w:tc>
      </w:tr>
      <w:tr w:rsidR="008079B6" w:rsidRPr="008079B6" w:rsidTr="00573753">
        <w:trPr>
          <w:trHeight w:val="188"/>
        </w:trPr>
        <w:tc>
          <w:tcPr>
            <w:tcW w:w="2114" w:type="dxa"/>
            <w:noWrap/>
            <w:hideMark/>
          </w:tcPr>
          <w:p w:rsidR="008079B6" w:rsidRPr="00323AC0" w:rsidRDefault="008079B6" w:rsidP="008079B6">
            <w:pPr>
              <w:jc w:val="both"/>
              <w:rPr>
                <w:sz w:val="16"/>
              </w:rPr>
            </w:pPr>
            <w:r w:rsidRPr="00323AC0">
              <w:rPr>
                <w:sz w:val="16"/>
              </w:rPr>
              <w:t>CNEL Guayas Los Ríos</w:t>
            </w:r>
          </w:p>
        </w:tc>
        <w:tc>
          <w:tcPr>
            <w:tcW w:w="4876" w:type="dxa"/>
            <w:hideMark/>
          </w:tcPr>
          <w:p w:rsidR="008079B6" w:rsidRPr="00323AC0" w:rsidRDefault="008079B6" w:rsidP="008079B6">
            <w:pPr>
              <w:jc w:val="both"/>
              <w:rPr>
                <w:sz w:val="16"/>
              </w:rPr>
            </w:pPr>
            <w:r w:rsidRPr="00323AC0">
              <w:rPr>
                <w:sz w:val="16"/>
              </w:rPr>
              <w:t>CONSTRUCCIÓN DE LA DOBLE TERNA L_ST SNT S/E DURAN L1 - L2 69 kV</w:t>
            </w:r>
          </w:p>
        </w:tc>
        <w:tc>
          <w:tcPr>
            <w:tcW w:w="1722" w:type="dxa"/>
            <w:noWrap/>
            <w:hideMark/>
          </w:tcPr>
          <w:p w:rsidR="008079B6" w:rsidRPr="00323AC0" w:rsidRDefault="008079B6" w:rsidP="00AB5400">
            <w:pPr>
              <w:jc w:val="right"/>
              <w:rPr>
                <w:b/>
                <w:bCs/>
                <w:sz w:val="16"/>
              </w:rPr>
            </w:pPr>
            <w:r w:rsidRPr="00323AC0">
              <w:rPr>
                <w:b/>
                <w:bCs/>
                <w:sz w:val="16"/>
              </w:rPr>
              <w:t xml:space="preserve"> 2.351.664,03 </w:t>
            </w:r>
          </w:p>
        </w:tc>
      </w:tr>
      <w:tr w:rsidR="008079B6" w:rsidRPr="008079B6" w:rsidTr="00573753">
        <w:trPr>
          <w:trHeight w:val="199"/>
        </w:trPr>
        <w:tc>
          <w:tcPr>
            <w:tcW w:w="2114" w:type="dxa"/>
            <w:noWrap/>
            <w:hideMark/>
          </w:tcPr>
          <w:p w:rsidR="008079B6" w:rsidRPr="00323AC0" w:rsidRDefault="008079B6" w:rsidP="008079B6">
            <w:pPr>
              <w:jc w:val="both"/>
              <w:rPr>
                <w:sz w:val="16"/>
              </w:rPr>
            </w:pPr>
            <w:r w:rsidRPr="00323AC0">
              <w:rPr>
                <w:sz w:val="16"/>
              </w:rPr>
              <w:t>CNEL Los Ríos</w:t>
            </w:r>
          </w:p>
        </w:tc>
        <w:tc>
          <w:tcPr>
            <w:tcW w:w="4876" w:type="dxa"/>
            <w:hideMark/>
          </w:tcPr>
          <w:p w:rsidR="008079B6" w:rsidRPr="00323AC0" w:rsidRDefault="008079B6" w:rsidP="008079B6">
            <w:pPr>
              <w:jc w:val="both"/>
              <w:rPr>
                <w:sz w:val="16"/>
              </w:rPr>
            </w:pPr>
            <w:r w:rsidRPr="00323AC0">
              <w:rPr>
                <w:sz w:val="16"/>
              </w:rPr>
              <w:t>Construcción Subestación  Terminal Terrestre 2  -20 MVA - 69/13.8 KV</w:t>
            </w:r>
          </w:p>
        </w:tc>
        <w:tc>
          <w:tcPr>
            <w:tcW w:w="1722" w:type="dxa"/>
            <w:noWrap/>
            <w:hideMark/>
          </w:tcPr>
          <w:p w:rsidR="008079B6" w:rsidRPr="00323AC0" w:rsidRDefault="008079B6" w:rsidP="00AB5400">
            <w:pPr>
              <w:jc w:val="right"/>
              <w:rPr>
                <w:b/>
                <w:bCs/>
                <w:sz w:val="16"/>
              </w:rPr>
            </w:pPr>
            <w:r w:rsidRPr="00323AC0">
              <w:rPr>
                <w:b/>
                <w:bCs/>
                <w:sz w:val="16"/>
              </w:rPr>
              <w:t xml:space="preserve"> 2.943.907,92 </w:t>
            </w:r>
          </w:p>
        </w:tc>
      </w:tr>
      <w:tr w:rsidR="008079B6" w:rsidRPr="008079B6" w:rsidTr="00573753">
        <w:trPr>
          <w:trHeight w:val="142"/>
        </w:trPr>
        <w:tc>
          <w:tcPr>
            <w:tcW w:w="2114" w:type="dxa"/>
            <w:noWrap/>
            <w:hideMark/>
          </w:tcPr>
          <w:p w:rsidR="008079B6" w:rsidRPr="00323AC0" w:rsidRDefault="008079B6" w:rsidP="008079B6">
            <w:pPr>
              <w:jc w:val="both"/>
              <w:rPr>
                <w:sz w:val="16"/>
              </w:rPr>
            </w:pPr>
            <w:r w:rsidRPr="00323AC0">
              <w:rPr>
                <w:sz w:val="16"/>
              </w:rPr>
              <w:t>CNEL Los Ríos</w:t>
            </w:r>
          </w:p>
        </w:tc>
        <w:tc>
          <w:tcPr>
            <w:tcW w:w="4876" w:type="dxa"/>
            <w:hideMark/>
          </w:tcPr>
          <w:p w:rsidR="008079B6" w:rsidRPr="00323AC0" w:rsidRDefault="008079B6" w:rsidP="008079B6">
            <w:pPr>
              <w:jc w:val="both"/>
              <w:rPr>
                <w:sz w:val="16"/>
              </w:rPr>
            </w:pPr>
            <w:r w:rsidRPr="00323AC0">
              <w:rPr>
                <w:sz w:val="16"/>
              </w:rPr>
              <w:t>Construcción S/E San Juan</w:t>
            </w:r>
          </w:p>
        </w:tc>
        <w:tc>
          <w:tcPr>
            <w:tcW w:w="1722" w:type="dxa"/>
            <w:noWrap/>
            <w:hideMark/>
          </w:tcPr>
          <w:p w:rsidR="008079B6" w:rsidRPr="00323AC0" w:rsidRDefault="008079B6" w:rsidP="00AB5400">
            <w:pPr>
              <w:jc w:val="right"/>
              <w:rPr>
                <w:b/>
                <w:bCs/>
                <w:sz w:val="16"/>
              </w:rPr>
            </w:pPr>
            <w:r w:rsidRPr="00323AC0">
              <w:rPr>
                <w:b/>
                <w:bCs/>
                <w:sz w:val="16"/>
              </w:rPr>
              <w:t xml:space="preserve"> 2.482.811,45 </w:t>
            </w:r>
          </w:p>
        </w:tc>
      </w:tr>
      <w:tr w:rsidR="008079B6" w:rsidRPr="008079B6" w:rsidTr="00573753">
        <w:trPr>
          <w:trHeight w:val="252"/>
        </w:trPr>
        <w:tc>
          <w:tcPr>
            <w:tcW w:w="2114" w:type="dxa"/>
            <w:noWrap/>
            <w:hideMark/>
          </w:tcPr>
          <w:p w:rsidR="008079B6" w:rsidRPr="00323AC0" w:rsidRDefault="008079B6" w:rsidP="008079B6">
            <w:pPr>
              <w:jc w:val="both"/>
              <w:rPr>
                <w:sz w:val="16"/>
              </w:rPr>
            </w:pPr>
            <w:r w:rsidRPr="00323AC0">
              <w:rPr>
                <w:sz w:val="16"/>
              </w:rPr>
              <w:t>CNEL Manabí</w:t>
            </w:r>
          </w:p>
        </w:tc>
        <w:tc>
          <w:tcPr>
            <w:tcW w:w="4876" w:type="dxa"/>
            <w:hideMark/>
          </w:tcPr>
          <w:p w:rsidR="008079B6" w:rsidRPr="00323AC0" w:rsidRDefault="008079B6" w:rsidP="008079B6">
            <w:pPr>
              <w:jc w:val="both"/>
              <w:rPr>
                <w:sz w:val="16"/>
              </w:rPr>
            </w:pPr>
            <w:r w:rsidRPr="00323AC0">
              <w:rPr>
                <w:sz w:val="16"/>
              </w:rPr>
              <w:t>CONSTRUCCIÓN LÍNEA DE SUBTRANSMISIÓN MANTA 2-MANTA 1</w:t>
            </w:r>
          </w:p>
        </w:tc>
        <w:tc>
          <w:tcPr>
            <w:tcW w:w="1722" w:type="dxa"/>
            <w:noWrap/>
            <w:hideMark/>
          </w:tcPr>
          <w:p w:rsidR="008079B6" w:rsidRPr="00323AC0" w:rsidRDefault="008079B6" w:rsidP="00AB5400">
            <w:pPr>
              <w:jc w:val="right"/>
              <w:rPr>
                <w:b/>
                <w:bCs/>
                <w:sz w:val="16"/>
              </w:rPr>
            </w:pPr>
            <w:r w:rsidRPr="00323AC0">
              <w:rPr>
                <w:b/>
                <w:bCs/>
                <w:sz w:val="16"/>
              </w:rPr>
              <w:t xml:space="preserve"> 1.567.788,80 </w:t>
            </w:r>
          </w:p>
        </w:tc>
      </w:tr>
      <w:tr w:rsidR="008079B6" w:rsidRPr="008079B6" w:rsidTr="00573753">
        <w:trPr>
          <w:trHeight w:val="250"/>
        </w:trPr>
        <w:tc>
          <w:tcPr>
            <w:tcW w:w="2114" w:type="dxa"/>
            <w:noWrap/>
            <w:hideMark/>
          </w:tcPr>
          <w:p w:rsidR="008079B6" w:rsidRPr="00323AC0" w:rsidRDefault="008079B6" w:rsidP="008079B6">
            <w:pPr>
              <w:jc w:val="both"/>
              <w:rPr>
                <w:sz w:val="16"/>
              </w:rPr>
            </w:pPr>
            <w:r w:rsidRPr="00323AC0">
              <w:rPr>
                <w:sz w:val="16"/>
              </w:rPr>
              <w:t>CNEL Milagro</w:t>
            </w:r>
          </w:p>
        </w:tc>
        <w:tc>
          <w:tcPr>
            <w:tcW w:w="4876" w:type="dxa"/>
            <w:hideMark/>
          </w:tcPr>
          <w:p w:rsidR="008079B6" w:rsidRPr="00323AC0" w:rsidRDefault="008079B6" w:rsidP="008079B6">
            <w:pPr>
              <w:jc w:val="both"/>
              <w:rPr>
                <w:sz w:val="16"/>
              </w:rPr>
            </w:pPr>
            <w:r w:rsidRPr="00323AC0">
              <w:rPr>
                <w:sz w:val="16"/>
              </w:rPr>
              <w:t>REPOTENCIACION DE LA LINEA DE SUBTRANSMSION A 69 KV MILAGRO - YAGUACHI</w:t>
            </w:r>
          </w:p>
        </w:tc>
        <w:tc>
          <w:tcPr>
            <w:tcW w:w="1722" w:type="dxa"/>
            <w:noWrap/>
            <w:hideMark/>
          </w:tcPr>
          <w:p w:rsidR="008079B6" w:rsidRPr="00323AC0" w:rsidRDefault="008079B6" w:rsidP="00AB5400">
            <w:pPr>
              <w:jc w:val="right"/>
              <w:rPr>
                <w:b/>
                <w:bCs/>
                <w:sz w:val="16"/>
              </w:rPr>
            </w:pPr>
            <w:r w:rsidRPr="00323AC0">
              <w:rPr>
                <w:b/>
                <w:bCs/>
                <w:sz w:val="16"/>
              </w:rPr>
              <w:t xml:space="preserve"> 965.831,70 </w:t>
            </w:r>
          </w:p>
        </w:tc>
      </w:tr>
      <w:tr w:rsidR="008079B6" w:rsidRPr="008079B6" w:rsidTr="00573753">
        <w:trPr>
          <w:trHeight w:val="285"/>
        </w:trPr>
        <w:tc>
          <w:tcPr>
            <w:tcW w:w="2114" w:type="dxa"/>
            <w:noWrap/>
            <w:hideMark/>
          </w:tcPr>
          <w:p w:rsidR="008079B6" w:rsidRPr="00323AC0" w:rsidRDefault="008079B6" w:rsidP="008079B6">
            <w:pPr>
              <w:jc w:val="both"/>
              <w:rPr>
                <w:sz w:val="16"/>
              </w:rPr>
            </w:pPr>
            <w:r w:rsidRPr="00323AC0">
              <w:rPr>
                <w:sz w:val="16"/>
              </w:rPr>
              <w:t>E. E. Cotopaxi</w:t>
            </w:r>
          </w:p>
        </w:tc>
        <w:tc>
          <w:tcPr>
            <w:tcW w:w="4876" w:type="dxa"/>
            <w:hideMark/>
          </w:tcPr>
          <w:p w:rsidR="008079B6" w:rsidRPr="00323AC0" w:rsidRDefault="008079B6" w:rsidP="008079B6">
            <w:pPr>
              <w:jc w:val="both"/>
              <w:rPr>
                <w:sz w:val="16"/>
              </w:rPr>
            </w:pPr>
            <w:r w:rsidRPr="00323AC0">
              <w:rPr>
                <w:sz w:val="16"/>
              </w:rPr>
              <w:t>Sistema de Tanicuchí 138/69 kV</w:t>
            </w:r>
          </w:p>
        </w:tc>
        <w:tc>
          <w:tcPr>
            <w:tcW w:w="1722" w:type="dxa"/>
            <w:noWrap/>
            <w:hideMark/>
          </w:tcPr>
          <w:p w:rsidR="008079B6" w:rsidRPr="00323AC0" w:rsidRDefault="008079B6" w:rsidP="00AB5400">
            <w:pPr>
              <w:jc w:val="right"/>
              <w:rPr>
                <w:b/>
                <w:bCs/>
                <w:sz w:val="16"/>
              </w:rPr>
            </w:pPr>
            <w:r w:rsidRPr="00323AC0">
              <w:rPr>
                <w:b/>
                <w:bCs/>
                <w:sz w:val="16"/>
              </w:rPr>
              <w:t xml:space="preserve"> 8.574.516,38 </w:t>
            </w:r>
          </w:p>
        </w:tc>
      </w:tr>
      <w:tr w:rsidR="008079B6" w:rsidRPr="008079B6" w:rsidTr="00573753">
        <w:trPr>
          <w:trHeight w:val="254"/>
        </w:trPr>
        <w:tc>
          <w:tcPr>
            <w:tcW w:w="2114" w:type="dxa"/>
            <w:noWrap/>
            <w:hideMark/>
          </w:tcPr>
          <w:p w:rsidR="008079B6" w:rsidRPr="00323AC0" w:rsidRDefault="008079B6" w:rsidP="008079B6">
            <w:pPr>
              <w:jc w:val="both"/>
              <w:rPr>
                <w:sz w:val="16"/>
              </w:rPr>
            </w:pPr>
            <w:r w:rsidRPr="00323AC0">
              <w:rPr>
                <w:sz w:val="16"/>
              </w:rPr>
              <w:t>E. E. Regional Norte</w:t>
            </w:r>
          </w:p>
        </w:tc>
        <w:tc>
          <w:tcPr>
            <w:tcW w:w="4876" w:type="dxa"/>
            <w:hideMark/>
          </w:tcPr>
          <w:p w:rsidR="008079B6" w:rsidRPr="00323AC0" w:rsidRDefault="008079B6" w:rsidP="008079B6">
            <w:pPr>
              <w:jc w:val="both"/>
              <w:rPr>
                <w:sz w:val="16"/>
              </w:rPr>
            </w:pPr>
            <w:r w:rsidRPr="00323AC0">
              <w:rPr>
                <w:sz w:val="16"/>
              </w:rPr>
              <w:t xml:space="preserve">Salidas de 69 y redes de subtransmisión para conectar la Subestación El Cajas 138/69 kV </w:t>
            </w:r>
          </w:p>
        </w:tc>
        <w:tc>
          <w:tcPr>
            <w:tcW w:w="1722" w:type="dxa"/>
            <w:noWrap/>
            <w:hideMark/>
          </w:tcPr>
          <w:p w:rsidR="008079B6" w:rsidRPr="00323AC0" w:rsidRDefault="008079B6" w:rsidP="00AB5400">
            <w:pPr>
              <w:jc w:val="right"/>
              <w:rPr>
                <w:b/>
                <w:bCs/>
                <w:sz w:val="16"/>
              </w:rPr>
            </w:pPr>
            <w:r w:rsidRPr="00323AC0">
              <w:rPr>
                <w:b/>
                <w:bCs/>
                <w:sz w:val="16"/>
              </w:rPr>
              <w:t xml:space="preserve"> 2.450.000,00 </w:t>
            </w:r>
          </w:p>
        </w:tc>
      </w:tr>
      <w:tr w:rsidR="008079B6" w:rsidRPr="008079B6" w:rsidTr="00573753">
        <w:trPr>
          <w:trHeight w:val="203"/>
        </w:trPr>
        <w:tc>
          <w:tcPr>
            <w:tcW w:w="2114" w:type="dxa"/>
            <w:noWrap/>
            <w:hideMark/>
          </w:tcPr>
          <w:p w:rsidR="008079B6" w:rsidRPr="00323AC0" w:rsidRDefault="008079B6" w:rsidP="008079B6">
            <w:pPr>
              <w:jc w:val="both"/>
              <w:rPr>
                <w:sz w:val="16"/>
              </w:rPr>
            </w:pPr>
            <w:r w:rsidRPr="00323AC0">
              <w:rPr>
                <w:sz w:val="16"/>
              </w:rPr>
              <w:t>E. E. Regional Sur</w:t>
            </w:r>
          </w:p>
        </w:tc>
        <w:tc>
          <w:tcPr>
            <w:tcW w:w="4876" w:type="dxa"/>
            <w:hideMark/>
          </w:tcPr>
          <w:p w:rsidR="008079B6" w:rsidRPr="00323AC0" w:rsidRDefault="008079B6" w:rsidP="008079B6">
            <w:pPr>
              <w:jc w:val="both"/>
              <w:rPr>
                <w:sz w:val="16"/>
              </w:rPr>
            </w:pPr>
            <w:r w:rsidRPr="00323AC0">
              <w:rPr>
                <w:sz w:val="16"/>
              </w:rPr>
              <w:t>Construcción de la L/S/T Bomboiza – Gualaquiza</w:t>
            </w:r>
          </w:p>
        </w:tc>
        <w:tc>
          <w:tcPr>
            <w:tcW w:w="1722" w:type="dxa"/>
            <w:noWrap/>
            <w:hideMark/>
          </w:tcPr>
          <w:p w:rsidR="008079B6" w:rsidRPr="00323AC0" w:rsidRDefault="008079B6" w:rsidP="00AB5400">
            <w:pPr>
              <w:jc w:val="right"/>
              <w:rPr>
                <w:b/>
                <w:bCs/>
                <w:sz w:val="16"/>
              </w:rPr>
            </w:pPr>
            <w:r w:rsidRPr="00323AC0">
              <w:rPr>
                <w:b/>
                <w:bCs/>
                <w:sz w:val="16"/>
              </w:rPr>
              <w:t xml:space="preserve"> 2.252.414,70 </w:t>
            </w:r>
          </w:p>
        </w:tc>
      </w:tr>
      <w:tr w:rsidR="008079B6" w:rsidRPr="008079B6" w:rsidTr="00573753">
        <w:trPr>
          <w:trHeight w:val="276"/>
        </w:trPr>
        <w:tc>
          <w:tcPr>
            <w:tcW w:w="2114" w:type="dxa"/>
            <w:noWrap/>
            <w:hideMark/>
          </w:tcPr>
          <w:p w:rsidR="008079B6" w:rsidRPr="00323AC0" w:rsidRDefault="008079B6" w:rsidP="008079B6">
            <w:pPr>
              <w:jc w:val="both"/>
              <w:rPr>
                <w:sz w:val="16"/>
              </w:rPr>
            </w:pPr>
            <w:r w:rsidRPr="00323AC0">
              <w:rPr>
                <w:sz w:val="16"/>
              </w:rPr>
              <w:t>E.E. Galápagos</w:t>
            </w:r>
          </w:p>
        </w:tc>
        <w:tc>
          <w:tcPr>
            <w:tcW w:w="4876" w:type="dxa"/>
            <w:hideMark/>
          </w:tcPr>
          <w:p w:rsidR="008079B6" w:rsidRPr="00323AC0" w:rsidRDefault="008079B6" w:rsidP="008079B6">
            <w:pPr>
              <w:jc w:val="both"/>
              <w:rPr>
                <w:sz w:val="16"/>
              </w:rPr>
            </w:pPr>
            <w:r w:rsidRPr="00323AC0">
              <w:rPr>
                <w:sz w:val="16"/>
              </w:rPr>
              <w:t>MODERNIZACIÓN Y REPOTENCIACIÓN DE LA SUBESTACIÓN SAN CRISTÓBAL</w:t>
            </w:r>
          </w:p>
        </w:tc>
        <w:tc>
          <w:tcPr>
            <w:tcW w:w="1722" w:type="dxa"/>
            <w:noWrap/>
            <w:hideMark/>
          </w:tcPr>
          <w:p w:rsidR="008079B6" w:rsidRPr="00323AC0" w:rsidRDefault="008079B6" w:rsidP="00AB5400">
            <w:pPr>
              <w:jc w:val="right"/>
              <w:rPr>
                <w:b/>
                <w:bCs/>
                <w:sz w:val="16"/>
              </w:rPr>
            </w:pPr>
            <w:r w:rsidRPr="00323AC0">
              <w:rPr>
                <w:b/>
                <w:bCs/>
                <w:sz w:val="16"/>
              </w:rPr>
              <w:t xml:space="preserve"> 2.463.045,61 </w:t>
            </w:r>
          </w:p>
        </w:tc>
      </w:tr>
    </w:tbl>
    <w:p w:rsidR="0041786A" w:rsidRDefault="0041786A" w:rsidP="00F56913">
      <w:pPr>
        <w:jc w:val="both"/>
        <w:rPr>
          <w:lang w:val="es-CL"/>
        </w:rPr>
      </w:pPr>
    </w:p>
    <w:p w:rsidR="00AE477A" w:rsidRDefault="00AE477A" w:rsidP="00F56913">
      <w:pPr>
        <w:jc w:val="both"/>
        <w:rPr>
          <w:lang w:val="es-CL"/>
        </w:rPr>
      </w:pPr>
    </w:p>
    <w:p w:rsidR="00573753" w:rsidRDefault="00573753" w:rsidP="00F56913">
      <w:pPr>
        <w:jc w:val="both"/>
        <w:rPr>
          <w:lang w:val="es-CL"/>
        </w:rPr>
      </w:pPr>
    </w:p>
    <w:p w:rsidR="00323AC0" w:rsidRPr="005C3744" w:rsidRDefault="00323AC0" w:rsidP="00323AC0">
      <w:pPr>
        <w:jc w:val="both"/>
        <w:rPr>
          <w:b/>
          <w:lang w:val="es-CL"/>
        </w:rPr>
      </w:pPr>
      <w:r w:rsidRPr="005C3744">
        <w:rPr>
          <w:b/>
          <w:lang w:val="es-CL"/>
        </w:rPr>
        <w:t>Proyectos Expansión y Modernización del SND: Distribución</w:t>
      </w:r>
      <w:r w:rsidR="005C3744" w:rsidRPr="005C3744">
        <w:rPr>
          <w:b/>
          <w:lang w:val="es-C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5586"/>
        <w:gridCol w:w="1418"/>
      </w:tblGrid>
      <w:tr w:rsidR="00323AC0" w:rsidRPr="00323AC0" w:rsidTr="00573753">
        <w:trPr>
          <w:trHeight w:val="525"/>
        </w:trPr>
        <w:tc>
          <w:tcPr>
            <w:tcW w:w="1780" w:type="dxa"/>
            <w:shd w:val="clear" w:color="auto" w:fill="DEEAF6" w:themeFill="accent5" w:themeFillTint="33"/>
            <w:noWrap/>
          </w:tcPr>
          <w:p w:rsidR="00323AC0" w:rsidRPr="00323AC0" w:rsidRDefault="00323AC0" w:rsidP="00323AC0">
            <w:pPr>
              <w:jc w:val="both"/>
              <w:rPr>
                <w:b/>
                <w:bCs/>
                <w:sz w:val="18"/>
              </w:rPr>
            </w:pPr>
            <w:r w:rsidRPr="00323AC0">
              <w:rPr>
                <w:b/>
                <w:bCs/>
                <w:sz w:val="18"/>
              </w:rPr>
              <w:t>Empresa</w:t>
            </w:r>
          </w:p>
        </w:tc>
        <w:tc>
          <w:tcPr>
            <w:tcW w:w="5586" w:type="dxa"/>
            <w:shd w:val="clear" w:color="auto" w:fill="DEEAF6" w:themeFill="accent5" w:themeFillTint="33"/>
          </w:tcPr>
          <w:p w:rsidR="00323AC0" w:rsidRPr="00323AC0" w:rsidRDefault="00323AC0" w:rsidP="00323AC0">
            <w:pPr>
              <w:jc w:val="both"/>
              <w:rPr>
                <w:b/>
                <w:bCs/>
                <w:sz w:val="18"/>
              </w:rPr>
            </w:pPr>
            <w:r w:rsidRPr="00323AC0">
              <w:rPr>
                <w:b/>
                <w:bCs/>
                <w:sz w:val="18"/>
              </w:rPr>
              <w:t>Proyectos</w:t>
            </w:r>
          </w:p>
        </w:tc>
        <w:tc>
          <w:tcPr>
            <w:tcW w:w="1418" w:type="dxa"/>
            <w:shd w:val="clear" w:color="auto" w:fill="DEEAF6" w:themeFill="accent5" w:themeFillTint="33"/>
            <w:noWrap/>
          </w:tcPr>
          <w:p w:rsidR="00323AC0" w:rsidRPr="00323AC0" w:rsidRDefault="00323AC0" w:rsidP="005C3744">
            <w:pPr>
              <w:jc w:val="right"/>
              <w:rPr>
                <w:b/>
                <w:bCs/>
                <w:sz w:val="18"/>
              </w:rPr>
            </w:pPr>
            <w:r w:rsidRPr="00323AC0">
              <w:rPr>
                <w:b/>
                <w:bCs/>
                <w:sz w:val="18"/>
              </w:rPr>
              <w:t>Inversión (US$)</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CNEL Santa Elena</w:t>
            </w:r>
          </w:p>
        </w:tc>
        <w:tc>
          <w:tcPr>
            <w:tcW w:w="5586" w:type="dxa"/>
            <w:hideMark/>
          </w:tcPr>
          <w:p w:rsidR="00323AC0" w:rsidRPr="00323AC0" w:rsidRDefault="00323AC0">
            <w:pPr>
              <w:rPr>
                <w:sz w:val="18"/>
              </w:rPr>
            </w:pPr>
            <w:r w:rsidRPr="00323AC0">
              <w:rPr>
                <w:sz w:val="18"/>
              </w:rPr>
              <w:t xml:space="preserve">Repotenciación de redes en media tensión </w:t>
            </w:r>
            <w:r w:rsidRPr="00323AC0">
              <w:rPr>
                <w:sz w:val="18"/>
              </w:rPr>
              <w:br/>
              <w:t>LA LIBERTAD, CABECERA CANTONAL</w:t>
            </w:r>
          </w:p>
        </w:tc>
        <w:tc>
          <w:tcPr>
            <w:tcW w:w="1418" w:type="dxa"/>
            <w:noWrap/>
            <w:hideMark/>
          </w:tcPr>
          <w:p w:rsidR="00323AC0" w:rsidRPr="00323AC0" w:rsidRDefault="00323AC0" w:rsidP="005C3744">
            <w:pPr>
              <w:jc w:val="right"/>
              <w:rPr>
                <w:b/>
                <w:bCs/>
                <w:sz w:val="18"/>
              </w:rPr>
            </w:pPr>
            <w:r w:rsidRPr="00323AC0">
              <w:rPr>
                <w:b/>
                <w:bCs/>
                <w:sz w:val="18"/>
              </w:rPr>
              <w:t xml:space="preserve"> 1.075.200,00 </w:t>
            </w:r>
          </w:p>
        </w:tc>
      </w:tr>
      <w:tr w:rsidR="00323AC0" w:rsidRPr="00323AC0" w:rsidTr="00573753">
        <w:trPr>
          <w:trHeight w:val="555"/>
        </w:trPr>
        <w:tc>
          <w:tcPr>
            <w:tcW w:w="1780" w:type="dxa"/>
            <w:noWrap/>
            <w:hideMark/>
          </w:tcPr>
          <w:p w:rsidR="00323AC0" w:rsidRPr="00323AC0" w:rsidRDefault="00323AC0">
            <w:pPr>
              <w:rPr>
                <w:sz w:val="18"/>
              </w:rPr>
            </w:pPr>
            <w:r w:rsidRPr="00323AC0">
              <w:rPr>
                <w:sz w:val="18"/>
              </w:rPr>
              <w:t>CNEL Santa Elena</w:t>
            </w:r>
          </w:p>
        </w:tc>
        <w:tc>
          <w:tcPr>
            <w:tcW w:w="5586" w:type="dxa"/>
            <w:hideMark/>
          </w:tcPr>
          <w:p w:rsidR="00323AC0" w:rsidRPr="00323AC0" w:rsidRDefault="00323AC0">
            <w:pPr>
              <w:rPr>
                <w:sz w:val="18"/>
              </w:rPr>
            </w:pPr>
            <w:r w:rsidRPr="00323AC0">
              <w:rPr>
                <w:sz w:val="18"/>
              </w:rPr>
              <w:t xml:space="preserve">Repotenciación de redes en media tensión </w:t>
            </w:r>
            <w:r w:rsidRPr="00323AC0">
              <w:rPr>
                <w:sz w:val="18"/>
              </w:rPr>
              <w:br/>
              <w:t>CHANDUY</w:t>
            </w:r>
          </w:p>
        </w:tc>
        <w:tc>
          <w:tcPr>
            <w:tcW w:w="1418" w:type="dxa"/>
            <w:noWrap/>
            <w:hideMark/>
          </w:tcPr>
          <w:p w:rsidR="00323AC0" w:rsidRPr="00323AC0" w:rsidRDefault="00323AC0" w:rsidP="005C3744">
            <w:pPr>
              <w:jc w:val="right"/>
              <w:rPr>
                <w:b/>
                <w:bCs/>
                <w:sz w:val="18"/>
              </w:rPr>
            </w:pPr>
            <w:r w:rsidRPr="00323AC0">
              <w:rPr>
                <w:b/>
                <w:bCs/>
                <w:sz w:val="18"/>
              </w:rPr>
              <w:t xml:space="preserve"> 143.668,82 </w:t>
            </w:r>
          </w:p>
        </w:tc>
      </w:tr>
      <w:tr w:rsidR="00323AC0" w:rsidRPr="00323AC0" w:rsidTr="00573753">
        <w:trPr>
          <w:trHeight w:val="566"/>
        </w:trPr>
        <w:tc>
          <w:tcPr>
            <w:tcW w:w="1780" w:type="dxa"/>
            <w:noWrap/>
            <w:hideMark/>
          </w:tcPr>
          <w:p w:rsidR="00323AC0" w:rsidRPr="00323AC0" w:rsidRDefault="00323AC0">
            <w:pPr>
              <w:rPr>
                <w:sz w:val="18"/>
              </w:rPr>
            </w:pPr>
            <w:r w:rsidRPr="00323AC0">
              <w:rPr>
                <w:sz w:val="18"/>
              </w:rPr>
              <w:t>CNEL Santa Elena</w:t>
            </w:r>
          </w:p>
        </w:tc>
        <w:tc>
          <w:tcPr>
            <w:tcW w:w="5586" w:type="dxa"/>
            <w:hideMark/>
          </w:tcPr>
          <w:p w:rsidR="00323AC0" w:rsidRPr="00323AC0" w:rsidRDefault="00323AC0">
            <w:pPr>
              <w:rPr>
                <w:sz w:val="18"/>
              </w:rPr>
            </w:pPr>
            <w:r w:rsidRPr="00323AC0">
              <w:rPr>
                <w:sz w:val="18"/>
              </w:rPr>
              <w:t>REPOTENCIACIÓN DE LOS ALIMENTADORES SAN JUAN, IMPESCA Y JAMBELÍ A NIVEL DE 13.8 kV - DIVISIÓN PLAYAS – FASE II</w:t>
            </w:r>
          </w:p>
        </w:tc>
        <w:tc>
          <w:tcPr>
            <w:tcW w:w="1418" w:type="dxa"/>
            <w:noWrap/>
            <w:hideMark/>
          </w:tcPr>
          <w:p w:rsidR="00323AC0" w:rsidRPr="00323AC0" w:rsidRDefault="00323AC0" w:rsidP="005C3744">
            <w:pPr>
              <w:jc w:val="right"/>
              <w:rPr>
                <w:b/>
                <w:bCs/>
                <w:sz w:val="18"/>
              </w:rPr>
            </w:pPr>
            <w:r w:rsidRPr="00323AC0">
              <w:rPr>
                <w:b/>
                <w:bCs/>
                <w:sz w:val="18"/>
              </w:rPr>
              <w:t xml:space="preserve"> 388.212,36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CNEL Santo Domingo</w:t>
            </w:r>
          </w:p>
        </w:tc>
        <w:tc>
          <w:tcPr>
            <w:tcW w:w="5586" w:type="dxa"/>
            <w:hideMark/>
          </w:tcPr>
          <w:p w:rsidR="00323AC0" w:rsidRPr="00323AC0" w:rsidRDefault="00323AC0">
            <w:pPr>
              <w:rPr>
                <w:sz w:val="18"/>
              </w:rPr>
            </w:pPr>
            <w:r w:rsidRPr="00323AC0">
              <w:rPr>
                <w:sz w:val="18"/>
              </w:rPr>
              <w:t>Reforzamiento  de redes  de medio y bajo voltaje y centros de transformacion del Alimentador trifasico Pepepan</w:t>
            </w:r>
          </w:p>
        </w:tc>
        <w:tc>
          <w:tcPr>
            <w:tcW w:w="1418" w:type="dxa"/>
            <w:noWrap/>
            <w:hideMark/>
          </w:tcPr>
          <w:p w:rsidR="00323AC0" w:rsidRPr="00323AC0" w:rsidRDefault="00323AC0" w:rsidP="005C3744">
            <w:pPr>
              <w:jc w:val="right"/>
              <w:rPr>
                <w:b/>
                <w:bCs/>
                <w:sz w:val="18"/>
              </w:rPr>
            </w:pPr>
            <w:r w:rsidRPr="00323AC0">
              <w:rPr>
                <w:b/>
                <w:bCs/>
                <w:sz w:val="18"/>
              </w:rPr>
              <w:t xml:space="preserve"> 582.400,00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CNEL Santo Domingo</w:t>
            </w:r>
          </w:p>
        </w:tc>
        <w:tc>
          <w:tcPr>
            <w:tcW w:w="5586" w:type="dxa"/>
            <w:hideMark/>
          </w:tcPr>
          <w:p w:rsidR="00323AC0" w:rsidRPr="00323AC0" w:rsidRDefault="00323AC0">
            <w:pPr>
              <w:rPr>
                <w:sz w:val="18"/>
              </w:rPr>
            </w:pPr>
            <w:r w:rsidRPr="00323AC0">
              <w:rPr>
                <w:sz w:val="18"/>
              </w:rPr>
              <w:t>Reforzamiento y construcción  de redes de medio y bajo voltaje y centros de transformación Alimentadores No.1</w:t>
            </w:r>
          </w:p>
        </w:tc>
        <w:tc>
          <w:tcPr>
            <w:tcW w:w="1418" w:type="dxa"/>
            <w:noWrap/>
            <w:hideMark/>
          </w:tcPr>
          <w:p w:rsidR="00323AC0" w:rsidRPr="00323AC0" w:rsidRDefault="00323AC0" w:rsidP="005C3744">
            <w:pPr>
              <w:jc w:val="right"/>
              <w:rPr>
                <w:b/>
                <w:bCs/>
                <w:sz w:val="18"/>
              </w:rPr>
            </w:pPr>
            <w:r w:rsidRPr="00323AC0">
              <w:rPr>
                <w:b/>
                <w:bCs/>
                <w:sz w:val="18"/>
              </w:rPr>
              <w:t xml:space="preserve"> 671.187,37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CNEL Santo Domingo</w:t>
            </w:r>
          </w:p>
        </w:tc>
        <w:tc>
          <w:tcPr>
            <w:tcW w:w="5586" w:type="dxa"/>
            <w:hideMark/>
          </w:tcPr>
          <w:p w:rsidR="00323AC0" w:rsidRPr="00323AC0" w:rsidRDefault="00323AC0">
            <w:pPr>
              <w:rPr>
                <w:sz w:val="18"/>
              </w:rPr>
            </w:pPr>
            <w:r w:rsidRPr="00323AC0">
              <w:rPr>
                <w:sz w:val="18"/>
              </w:rPr>
              <w:t>Cambio de conductor desnudo por cable semi-aislado en media tensión de derivación a Los Libres</w:t>
            </w:r>
          </w:p>
        </w:tc>
        <w:tc>
          <w:tcPr>
            <w:tcW w:w="1418" w:type="dxa"/>
            <w:noWrap/>
            <w:hideMark/>
          </w:tcPr>
          <w:p w:rsidR="00323AC0" w:rsidRPr="00323AC0" w:rsidRDefault="00323AC0" w:rsidP="005C3744">
            <w:pPr>
              <w:jc w:val="right"/>
              <w:rPr>
                <w:b/>
                <w:bCs/>
                <w:sz w:val="18"/>
              </w:rPr>
            </w:pPr>
            <w:r w:rsidRPr="00323AC0">
              <w:rPr>
                <w:b/>
                <w:bCs/>
                <w:sz w:val="18"/>
              </w:rPr>
              <w:t xml:space="preserve"> 326.659,40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CNEL Santo Domingo</w:t>
            </w:r>
          </w:p>
        </w:tc>
        <w:tc>
          <w:tcPr>
            <w:tcW w:w="5586" w:type="dxa"/>
            <w:hideMark/>
          </w:tcPr>
          <w:p w:rsidR="00323AC0" w:rsidRPr="00323AC0" w:rsidRDefault="00323AC0">
            <w:pPr>
              <w:rPr>
                <w:sz w:val="18"/>
              </w:rPr>
            </w:pPr>
            <w:r w:rsidRPr="00323AC0">
              <w:rPr>
                <w:sz w:val="18"/>
              </w:rPr>
              <w:t>Cambio de conductor desnudo por cable semi-aislado en media tensión alimentador Luz de América sector Las Caucheras</w:t>
            </w:r>
          </w:p>
        </w:tc>
        <w:tc>
          <w:tcPr>
            <w:tcW w:w="1418" w:type="dxa"/>
            <w:noWrap/>
            <w:hideMark/>
          </w:tcPr>
          <w:p w:rsidR="00323AC0" w:rsidRPr="00323AC0" w:rsidRDefault="00323AC0" w:rsidP="005C3744">
            <w:pPr>
              <w:jc w:val="right"/>
              <w:rPr>
                <w:b/>
                <w:bCs/>
                <w:sz w:val="18"/>
              </w:rPr>
            </w:pPr>
            <w:r w:rsidRPr="00323AC0">
              <w:rPr>
                <w:b/>
                <w:bCs/>
                <w:sz w:val="18"/>
              </w:rPr>
              <w:t xml:space="preserve"> 392.630,32 </w:t>
            </w:r>
          </w:p>
        </w:tc>
      </w:tr>
      <w:tr w:rsidR="00323AC0" w:rsidRPr="00323AC0" w:rsidTr="00573753">
        <w:trPr>
          <w:trHeight w:val="1229"/>
        </w:trPr>
        <w:tc>
          <w:tcPr>
            <w:tcW w:w="1780" w:type="dxa"/>
            <w:noWrap/>
            <w:hideMark/>
          </w:tcPr>
          <w:p w:rsidR="00323AC0" w:rsidRPr="00323AC0" w:rsidRDefault="00323AC0">
            <w:pPr>
              <w:rPr>
                <w:sz w:val="18"/>
              </w:rPr>
            </w:pPr>
            <w:r w:rsidRPr="00323AC0">
              <w:rPr>
                <w:sz w:val="18"/>
              </w:rPr>
              <w:t>CNEL Sucumbíos</w:t>
            </w:r>
          </w:p>
        </w:tc>
        <w:tc>
          <w:tcPr>
            <w:tcW w:w="5586" w:type="dxa"/>
            <w:hideMark/>
          </w:tcPr>
          <w:p w:rsidR="00323AC0" w:rsidRPr="00323AC0" w:rsidRDefault="00323AC0" w:rsidP="00323AC0">
            <w:pPr>
              <w:rPr>
                <w:sz w:val="18"/>
              </w:rPr>
            </w:pPr>
            <w:r w:rsidRPr="00323AC0">
              <w:rPr>
                <w:sz w:val="18"/>
              </w:rPr>
              <w:t xml:space="preserve">REPOTENCIACIÓN  DE CENTROS DE TRANSFORMACIÓN, CAMBIO DE ACOMETIDAS Y MEDIDORES EN LA PROVINCIA DE SUCUMBÍOS, EN LOS CANTONES DE LAGO AGRIO, CASCALES Y GONZALO PIZARRO  PARA LA ATENCIÓN A CLIENTES EN REDES A 120V Y QUE TIENEN COCINA DE INDUCCIÓN </w:t>
            </w:r>
          </w:p>
        </w:tc>
        <w:tc>
          <w:tcPr>
            <w:tcW w:w="1418" w:type="dxa"/>
            <w:noWrap/>
            <w:hideMark/>
          </w:tcPr>
          <w:p w:rsidR="00323AC0" w:rsidRPr="00323AC0" w:rsidRDefault="00323AC0" w:rsidP="005C3744">
            <w:pPr>
              <w:jc w:val="right"/>
              <w:rPr>
                <w:b/>
                <w:bCs/>
                <w:sz w:val="18"/>
              </w:rPr>
            </w:pPr>
            <w:r w:rsidRPr="00323AC0">
              <w:rPr>
                <w:b/>
                <w:bCs/>
                <w:sz w:val="18"/>
              </w:rPr>
              <w:t xml:space="preserve"> 1.167.659,77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REDES ELECTRICAS SANTO DOMINGO</w:t>
            </w:r>
          </w:p>
        </w:tc>
        <w:tc>
          <w:tcPr>
            <w:tcW w:w="1418" w:type="dxa"/>
            <w:noWrap/>
            <w:hideMark/>
          </w:tcPr>
          <w:p w:rsidR="00323AC0" w:rsidRPr="00323AC0" w:rsidRDefault="00323AC0" w:rsidP="005C3744">
            <w:pPr>
              <w:jc w:val="right"/>
              <w:rPr>
                <w:b/>
                <w:bCs/>
                <w:sz w:val="18"/>
              </w:rPr>
            </w:pPr>
            <w:r w:rsidRPr="00323AC0">
              <w:rPr>
                <w:b/>
                <w:bCs/>
                <w:sz w:val="18"/>
              </w:rPr>
              <w:t xml:space="preserve"> 100.188,49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REDES ELECTRICAS CALVARIO</w:t>
            </w:r>
          </w:p>
        </w:tc>
        <w:tc>
          <w:tcPr>
            <w:tcW w:w="1418" w:type="dxa"/>
            <w:noWrap/>
            <w:hideMark/>
          </w:tcPr>
          <w:p w:rsidR="00323AC0" w:rsidRPr="00323AC0" w:rsidRDefault="00323AC0" w:rsidP="005C3744">
            <w:pPr>
              <w:jc w:val="right"/>
              <w:rPr>
                <w:b/>
                <w:bCs/>
                <w:sz w:val="18"/>
              </w:rPr>
            </w:pPr>
            <w:r w:rsidRPr="00323AC0">
              <w:rPr>
                <w:b/>
                <w:bCs/>
                <w:sz w:val="18"/>
              </w:rPr>
              <w:t xml:space="preserve"> 101.060,59 </w:t>
            </w:r>
          </w:p>
        </w:tc>
      </w:tr>
      <w:tr w:rsidR="00323AC0" w:rsidRPr="00323AC0" w:rsidTr="00573753">
        <w:trPr>
          <w:trHeight w:val="555"/>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SERVICIO ELÉCTRICO. MEJORAMIENTO DE REDES BARRIO VISTA HERMOSA</w:t>
            </w:r>
          </w:p>
        </w:tc>
        <w:tc>
          <w:tcPr>
            <w:tcW w:w="1418" w:type="dxa"/>
            <w:noWrap/>
            <w:hideMark/>
          </w:tcPr>
          <w:p w:rsidR="00323AC0" w:rsidRPr="00323AC0" w:rsidRDefault="00323AC0" w:rsidP="005C3744">
            <w:pPr>
              <w:jc w:val="right"/>
              <w:rPr>
                <w:b/>
                <w:bCs/>
                <w:sz w:val="18"/>
              </w:rPr>
            </w:pPr>
            <w:r w:rsidRPr="00323AC0">
              <w:rPr>
                <w:b/>
                <w:bCs/>
                <w:sz w:val="18"/>
              </w:rPr>
              <w:t xml:space="preserve"> 225.875,34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redes eléctricas Huertos Familiares</w:t>
            </w:r>
          </w:p>
        </w:tc>
        <w:tc>
          <w:tcPr>
            <w:tcW w:w="1418" w:type="dxa"/>
            <w:noWrap/>
            <w:hideMark/>
          </w:tcPr>
          <w:p w:rsidR="00323AC0" w:rsidRPr="00323AC0" w:rsidRDefault="00323AC0" w:rsidP="005C3744">
            <w:pPr>
              <w:jc w:val="right"/>
              <w:rPr>
                <w:b/>
                <w:bCs/>
                <w:sz w:val="18"/>
              </w:rPr>
            </w:pPr>
            <w:r w:rsidRPr="00323AC0">
              <w:rPr>
                <w:b/>
                <w:bCs/>
                <w:sz w:val="18"/>
              </w:rPr>
              <w:t xml:space="preserve"> 57.765,77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redes cdla del Chofer - barrios Palandacocha y Gil Ramirez Davalos</w:t>
            </w:r>
          </w:p>
        </w:tc>
        <w:tc>
          <w:tcPr>
            <w:tcW w:w="1418" w:type="dxa"/>
            <w:noWrap/>
            <w:hideMark/>
          </w:tcPr>
          <w:p w:rsidR="00323AC0" w:rsidRPr="00323AC0" w:rsidRDefault="00323AC0" w:rsidP="005C3744">
            <w:pPr>
              <w:jc w:val="right"/>
              <w:rPr>
                <w:b/>
                <w:bCs/>
                <w:sz w:val="18"/>
              </w:rPr>
            </w:pPr>
            <w:r w:rsidRPr="00323AC0">
              <w:rPr>
                <w:b/>
                <w:bCs/>
                <w:sz w:val="18"/>
              </w:rPr>
              <w:t xml:space="preserve"> 243.989,59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redes eléctricas Lushanta</w:t>
            </w:r>
          </w:p>
        </w:tc>
        <w:tc>
          <w:tcPr>
            <w:tcW w:w="1418" w:type="dxa"/>
            <w:noWrap/>
            <w:hideMark/>
          </w:tcPr>
          <w:p w:rsidR="00323AC0" w:rsidRPr="00323AC0" w:rsidRDefault="00323AC0" w:rsidP="005C3744">
            <w:pPr>
              <w:jc w:val="right"/>
              <w:rPr>
                <w:b/>
                <w:bCs/>
                <w:sz w:val="18"/>
              </w:rPr>
            </w:pPr>
            <w:r w:rsidRPr="00323AC0">
              <w:rPr>
                <w:b/>
                <w:bCs/>
                <w:sz w:val="18"/>
              </w:rPr>
              <w:t xml:space="preserve"> 56.101,78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alimentador Canelos</w:t>
            </w:r>
          </w:p>
        </w:tc>
        <w:tc>
          <w:tcPr>
            <w:tcW w:w="1418" w:type="dxa"/>
            <w:noWrap/>
            <w:hideMark/>
          </w:tcPr>
          <w:p w:rsidR="00323AC0" w:rsidRPr="00323AC0" w:rsidRDefault="00323AC0" w:rsidP="005C3744">
            <w:pPr>
              <w:jc w:val="right"/>
              <w:rPr>
                <w:b/>
                <w:bCs/>
                <w:sz w:val="18"/>
              </w:rPr>
            </w:pPr>
            <w:r w:rsidRPr="00323AC0">
              <w:rPr>
                <w:b/>
                <w:bCs/>
                <w:sz w:val="18"/>
              </w:rPr>
              <w:t xml:space="preserve"> 460.014,81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servicio eléctrico, Remodelacion Coop. Plaza Aray</w:t>
            </w:r>
          </w:p>
        </w:tc>
        <w:tc>
          <w:tcPr>
            <w:tcW w:w="1418" w:type="dxa"/>
            <w:noWrap/>
            <w:hideMark/>
          </w:tcPr>
          <w:p w:rsidR="00323AC0" w:rsidRPr="00323AC0" w:rsidRDefault="00323AC0" w:rsidP="005C3744">
            <w:pPr>
              <w:jc w:val="right"/>
              <w:rPr>
                <w:b/>
                <w:bCs/>
                <w:sz w:val="18"/>
              </w:rPr>
            </w:pPr>
            <w:r w:rsidRPr="00323AC0">
              <w:rPr>
                <w:b/>
                <w:bCs/>
                <w:sz w:val="18"/>
              </w:rPr>
              <w:t xml:space="preserve"> 71.925,72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servicio eléctrico San Jose de Veracruz</w:t>
            </w:r>
          </w:p>
        </w:tc>
        <w:tc>
          <w:tcPr>
            <w:tcW w:w="1418" w:type="dxa"/>
            <w:noWrap/>
            <w:hideMark/>
          </w:tcPr>
          <w:p w:rsidR="00323AC0" w:rsidRPr="00323AC0" w:rsidRDefault="00323AC0" w:rsidP="005C3744">
            <w:pPr>
              <w:jc w:val="right"/>
              <w:rPr>
                <w:b/>
                <w:bCs/>
                <w:sz w:val="18"/>
              </w:rPr>
            </w:pPr>
            <w:r w:rsidRPr="00323AC0">
              <w:rPr>
                <w:b/>
                <w:bCs/>
                <w:sz w:val="18"/>
              </w:rPr>
              <w:t xml:space="preserve"> 166.419,28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Mejoramiento de redes vía Pindo Mirador - cantón Mera</w:t>
            </w:r>
          </w:p>
        </w:tc>
        <w:tc>
          <w:tcPr>
            <w:tcW w:w="1418" w:type="dxa"/>
            <w:noWrap/>
            <w:hideMark/>
          </w:tcPr>
          <w:p w:rsidR="00323AC0" w:rsidRPr="00323AC0" w:rsidRDefault="00323AC0" w:rsidP="005C3744">
            <w:pPr>
              <w:jc w:val="right"/>
              <w:rPr>
                <w:b/>
                <w:bCs/>
                <w:sz w:val="18"/>
              </w:rPr>
            </w:pPr>
            <w:r w:rsidRPr="00323AC0">
              <w:rPr>
                <w:b/>
                <w:bCs/>
                <w:sz w:val="18"/>
              </w:rPr>
              <w:t xml:space="preserve"> 72.224,90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 E. Ambato</w:t>
            </w:r>
          </w:p>
        </w:tc>
        <w:tc>
          <w:tcPr>
            <w:tcW w:w="5586" w:type="dxa"/>
            <w:hideMark/>
          </w:tcPr>
          <w:p w:rsidR="00323AC0" w:rsidRPr="00323AC0" w:rsidRDefault="00323AC0">
            <w:pPr>
              <w:rPr>
                <w:sz w:val="18"/>
              </w:rPr>
            </w:pPr>
            <w:r w:rsidRPr="00323AC0">
              <w:rPr>
                <w:sz w:val="18"/>
              </w:rPr>
              <w:t>Construción alimentador El Triunfo - Villano</w:t>
            </w:r>
          </w:p>
        </w:tc>
        <w:tc>
          <w:tcPr>
            <w:tcW w:w="1418" w:type="dxa"/>
            <w:noWrap/>
            <w:hideMark/>
          </w:tcPr>
          <w:p w:rsidR="00323AC0" w:rsidRPr="00323AC0" w:rsidRDefault="00323AC0" w:rsidP="005C3744">
            <w:pPr>
              <w:jc w:val="right"/>
              <w:rPr>
                <w:b/>
                <w:bCs/>
                <w:sz w:val="18"/>
              </w:rPr>
            </w:pPr>
            <w:r w:rsidRPr="00323AC0">
              <w:rPr>
                <w:b/>
                <w:bCs/>
                <w:sz w:val="18"/>
              </w:rPr>
              <w:t xml:space="preserve"> 1.006.942,25 </w:t>
            </w:r>
          </w:p>
        </w:tc>
      </w:tr>
      <w:tr w:rsidR="00323AC0" w:rsidRPr="00323AC0" w:rsidTr="00573753">
        <w:trPr>
          <w:trHeight w:val="489"/>
        </w:trPr>
        <w:tc>
          <w:tcPr>
            <w:tcW w:w="1780" w:type="dxa"/>
            <w:hideMark/>
          </w:tcPr>
          <w:p w:rsidR="00323AC0" w:rsidRPr="00323AC0" w:rsidRDefault="00323AC0">
            <w:pPr>
              <w:rPr>
                <w:sz w:val="18"/>
              </w:rPr>
            </w:pPr>
            <w:r w:rsidRPr="00323AC0">
              <w:rPr>
                <w:sz w:val="18"/>
              </w:rPr>
              <w:t>E. E. Azogues</w:t>
            </w:r>
          </w:p>
        </w:tc>
        <w:tc>
          <w:tcPr>
            <w:tcW w:w="5586" w:type="dxa"/>
            <w:hideMark/>
          </w:tcPr>
          <w:p w:rsidR="00323AC0" w:rsidRPr="00323AC0" w:rsidRDefault="00323AC0">
            <w:pPr>
              <w:rPr>
                <w:sz w:val="18"/>
              </w:rPr>
            </w:pPr>
            <w:r w:rsidRPr="00323AC0">
              <w:rPr>
                <w:sz w:val="18"/>
              </w:rPr>
              <w:t>MEJORAMIENTO DE LA OPERACIÓN DE INTERRUPTORES Y RECONECTADORES</w:t>
            </w:r>
          </w:p>
        </w:tc>
        <w:tc>
          <w:tcPr>
            <w:tcW w:w="1418" w:type="dxa"/>
            <w:noWrap/>
            <w:hideMark/>
          </w:tcPr>
          <w:p w:rsidR="00323AC0" w:rsidRPr="00323AC0" w:rsidRDefault="00323AC0" w:rsidP="005C3744">
            <w:pPr>
              <w:jc w:val="right"/>
              <w:rPr>
                <w:b/>
                <w:bCs/>
                <w:sz w:val="18"/>
              </w:rPr>
            </w:pPr>
            <w:r w:rsidRPr="00323AC0">
              <w:rPr>
                <w:b/>
                <w:bCs/>
                <w:sz w:val="18"/>
              </w:rPr>
              <w:t xml:space="preserve"> 164.160,92 </w:t>
            </w:r>
          </w:p>
        </w:tc>
      </w:tr>
      <w:tr w:rsidR="00323AC0" w:rsidRPr="00323AC0" w:rsidTr="00573753">
        <w:trPr>
          <w:trHeight w:val="412"/>
        </w:trPr>
        <w:tc>
          <w:tcPr>
            <w:tcW w:w="1780" w:type="dxa"/>
            <w:hideMark/>
          </w:tcPr>
          <w:p w:rsidR="00323AC0" w:rsidRPr="00323AC0" w:rsidRDefault="00323AC0">
            <w:pPr>
              <w:rPr>
                <w:sz w:val="18"/>
              </w:rPr>
            </w:pPr>
            <w:r w:rsidRPr="00323AC0">
              <w:rPr>
                <w:sz w:val="18"/>
              </w:rPr>
              <w:t>E. E. Azogues</w:t>
            </w:r>
          </w:p>
        </w:tc>
        <w:tc>
          <w:tcPr>
            <w:tcW w:w="5586" w:type="dxa"/>
            <w:hideMark/>
          </w:tcPr>
          <w:p w:rsidR="00323AC0" w:rsidRPr="00323AC0" w:rsidRDefault="00323AC0">
            <w:pPr>
              <w:rPr>
                <w:sz w:val="18"/>
              </w:rPr>
            </w:pPr>
            <w:r w:rsidRPr="00323AC0">
              <w:rPr>
                <w:sz w:val="18"/>
              </w:rPr>
              <w:t xml:space="preserve">ALIMENTADOR TRIFÁSICO BELLAVISTA - CHAVAY ALTO </w:t>
            </w:r>
          </w:p>
        </w:tc>
        <w:tc>
          <w:tcPr>
            <w:tcW w:w="1418" w:type="dxa"/>
            <w:noWrap/>
            <w:hideMark/>
          </w:tcPr>
          <w:p w:rsidR="00323AC0" w:rsidRPr="00323AC0" w:rsidRDefault="00323AC0" w:rsidP="005C3744">
            <w:pPr>
              <w:jc w:val="right"/>
              <w:rPr>
                <w:b/>
                <w:bCs/>
                <w:sz w:val="18"/>
              </w:rPr>
            </w:pPr>
            <w:r w:rsidRPr="00323AC0">
              <w:rPr>
                <w:b/>
                <w:bCs/>
                <w:sz w:val="18"/>
              </w:rPr>
              <w:t xml:space="preserve"> 70.043,25 </w:t>
            </w:r>
          </w:p>
        </w:tc>
      </w:tr>
      <w:tr w:rsidR="00323AC0" w:rsidRPr="00323AC0" w:rsidTr="00573753">
        <w:trPr>
          <w:trHeight w:val="438"/>
        </w:trPr>
        <w:tc>
          <w:tcPr>
            <w:tcW w:w="1780" w:type="dxa"/>
            <w:noWrap/>
            <w:hideMark/>
          </w:tcPr>
          <w:p w:rsidR="00323AC0" w:rsidRPr="00323AC0" w:rsidRDefault="00323AC0">
            <w:pPr>
              <w:rPr>
                <w:sz w:val="18"/>
              </w:rPr>
            </w:pPr>
            <w:r w:rsidRPr="00323AC0">
              <w:rPr>
                <w:sz w:val="18"/>
              </w:rPr>
              <w:t>E. E. Cotopaxi</w:t>
            </w:r>
          </w:p>
        </w:tc>
        <w:tc>
          <w:tcPr>
            <w:tcW w:w="5586" w:type="dxa"/>
            <w:hideMark/>
          </w:tcPr>
          <w:p w:rsidR="00323AC0" w:rsidRPr="00323AC0" w:rsidRDefault="00323AC0">
            <w:pPr>
              <w:rPr>
                <w:sz w:val="18"/>
              </w:rPr>
            </w:pPr>
            <w:r w:rsidRPr="00323AC0">
              <w:rPr>
                <w:sz w:val="18"/>
              </w:rPr>
              <w:t>Reforzamiento en San Francisco de  Chipe unión y Progreso</w:t>
            </w:r>
          </w:p>
        </w:tc>
        <w:tc>
          <w:tcPr>
            <w:tcW w:w="1418" w:type="dxa"/>
            <w:noWrap/>
            <w:hideMark/>
          </w:tcPr>
          <w:p w:rsidR="00323AC0" w:rsidRPr="00323AC0" w:rsidRDefault="00323AC0" w:rsidP="005C3744">
            <w:pPr>
              <w:jc w:val="right"/>
              <w:rPr>
                <w:b/>
                <w:bCs/>
                <w:sz w:val="18"/>
              </w:rPr>
            </w:pPr>
            <w:r w:rsidRPr="00323AC0">
              <w:rPr>
                <w:b/>
                <w:bCs/>
                <w:sz w:val="18"/>
              </w:rPr>
              <w:t xml:space="preserve"> 14.771,58 </w:t>
            </w:r>
          </w:p>
        </w:tc>
      </w:tr>
      <w:tr w:rsidR="00323AC0" w:rsidRPr="00323AC0" w:rsidTr="00573753">
        <w:trPr>
          <w:trHeight w:val="426"/>
        </w:trPr>
        <w:tc>
          <w:tcPr>
            <w:tcW w:w="1780" w:type="dxa"/>
            <w:noWrap/>
            <w:hideMark/>
          </w:tcPr>
          <w:p w:rsidR="00323AC0" w:rsidRPr="00323AC0" w:rsidRDefault="00323AC0">
            <w:pPr>
              <w:rPr>
                <w:sz w:val="18"/>
              </w:rPr>
            </w:pPr>
            <w:r w:rsidRPr="00323AC0">
              <w:rPr>
                <w:sz w:val="18"/>
              </w:rPr>
              <w:t>E. E. Cotopaxi</w:t>
            </w:r>
          </w:p>
        </w:tc>
        <w:tc>
          <w:tcPr>
            <w:tcW w:w="5586" w:type="dxa"/>
            <w:hideMark/>
          </w:tcPr>
          <w:p w:rsidR="00323AC0" w:rsidRPr="00323AC0" w:rsidRDefault="00323AC0">
            <w:pPr>
              <w:rPr>
                <w:sz w:val="18"/>
              </w:rPr>
            </w:pPr>
            <w:r w:rsidRPr="00323AC0">
              <w:rPr>
                <w:sz w:val="18"/>
              </w:rPr>
              <w:t>Red de Distribución Santa Rosa Moraspungo</w:t>
            </w:r>
          </w:p>
        </w:tc>
        <w:tc>
          <w:tcPr>
            <w:tcW w:w="1418" w:type="dxa"/>
            <w:noWrap/>
            <w:hideMark/>
          </w:tcPr>
          <w:p w:rsidR="00323AC0" w:rsidRPr="00323AC0" w:rsidRDefault="00323AC0" w:rsidP="005C3744">
            <w:pPr>
              <w:jc w:val="right"/>
              <w:rPr>
                <w:b/>
                <w:bCs/>
                <w:sz w:val="18"/>
              </w:rPr>
            </w:pPr>
            <w:r w:rsidRPr="00323AC0">
              <w:rPr>
                <w:b/>
                <w:bCs/>
                <w:sz w:val="18"/>
              </w:rPr>
              <w:t xml:space="preserve"> 37.807,64 </w:t>
            </w:r>
          </w:p>
        </w:tc>
      </w:tr>
      <w:tr w:rsidR="00323AC0" w:rsidRPr="00323AC0" w:rsidTr="00573753">
        <w:trPr>
          <w:trHeight w:val="248"/>
        </w:trPr>
        <w:tc>
          <w:tcPr>
            <w:tcW w:w="1780" w:type="dxa"/>
            <w:noWrap/>
            <w:hideMark/>
          </w:tcPr>
          <w:p w:rsidR="00323AC0" w:rsidRPr="00323AC0" w:rsidRDefault="00323AC0">
            <w:pPr>
              <w:rPr>
                <w:sz w:val="18"/>
              </w:rPr>
            </w:pPr>
            <w:r w:rsidRPr="00323AC0">
              <w:rPr>
                <w:sz w:val="18"/>
              </w:rPr>
              <w:t>E. E. Cotopaxi</w:t>
            </w:r>
          </w:p>
        </w:tc>
        <w:tc>
          <w:tcPr>
            <w:tcW w:w="5586" w:type="dxa"/>
            <w:hideMark/>
          </w:tcPr>
          <w:p w:rsidR="00323AC0" w:rsidRPr="00323AC0" w:rsidRDefault="00323AC0">
            <w:pPr>
              <w:rPr>
                <w:sz w:val="18"/>
              </w:rPr>
            </w:pPr>
            <w:r w:rsidRPr="00323AC0">
              <w:rPr>
                <w:sz w:val="18"/>
              </w:rPr>
              <w:t>Construcción S/E SAQUISILI 69-13,8 kV; 16 MVA</w:t>
            </w:r>
          </w:p>
        </w:tc>
        <w:tc>
          <w:tcPr>
            <w:tcW w:w="1418" w:type="dxa"/>
            <w:noWrap/>
            <w:hideMark/>
          </w:tcPr>
          <w:p w:rsidR="00323AC0" w:rsidRPr="00323AC0" w:rsidRDefault="00323AC0" w:rsidP="005C3744">
            <w:pPr>
              <w:jc w:val="right"/>
              <w:rPr>
                <w:b/>
                <w:bCs/>
                <w:sz w:val="18"/>
              </w:rPr>
            </w:pPr>
            <w:r w:rsidRPr="00323AC0">
              <w:rPr>
                <w:b/>
                <w:bCs/>
                <w:sz w:val="18"/>
              </w:rPr>
              <w:t xml:space="preserve"> 1.624.798,64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Quito</w:t>
            </w:r>
          </w:p>
        </w:tc>
        <w:tc>
          <w:tcPr>
            <w:tcW w:w="5586" w:type="dxa"/>
            <w:hideMark/>
          </w:tcPr>
          <w:p w:rsidR="00323AC0" w:rsidRPr="00323AC0" w:rsidRDefault="00323AC0">
            <w:pPr>
              <w:rPr>
                <w:sz w:val="18"/>
              </w:rPr>
            </w:pPr>
            <w:r w:rsidRPr="00323AC0">
              <w:rPr>
                <w:sz w:val="18"/>
              </w:rPr>
              <w:t>Reforzamiento de redes de medio, bajo voltaje y alumbrado público primario 31C, sector El Tambillo</w:t>
            </w:r>
          </w:p>
        </w:tc>
        <w:tc>
          <w:tcPr>
            <w:tcW w:w="1418" w:type="dxa"/>
            <w:noWrap/>
            <w:hideMark/>
          </w:tcPr>
          <w:p w:rsidR="00323AC0" w:rsidRPr="00323AC0" w:rsidRDefault="00323AC0" w:rsidP="005C3744">
            <w:pPr>
              <w:jc w:val="right"/>
              <w:rPr>
                <w:b/>
                <w:bCs/>
                <w:sz w:val="18"/>
              </w:rPr>
            </w:pPr>
            <w:r w:rsidRPr="00323AC0">
              <w:rPr>
                <w:b/>
                <w:bCs/>
                <w:sz w:val="18"/>
              </w:rPr>
              <w:t xml:space="preserve"> 208.779,68 </w:t>
            </w:r>
          </w:p>
        </w:tc>
      </w:tr>
      <w:tr w:rsidR="00323AC0" w:rsidRPr="00323AC0" w:rsidTr="00573753">
        <w:trPr>
          <w:trHeight w:val="555"/>
        </w:trPr>
        <w:tc>
          <w:tcPr>
            <w:tcW w:w="1780" w:type="dxa"/>
            <w:noWrap/>
            <w:hideMark/>
          </w:tcPr>
          <w:p w:rsidR="00323AC0" w:rsidRPr="00323AC0" w:rsidRDefault="00323AC0">
            <w:pPr>
              <w:rPr>
                <w:sz w:val="18"/>
              </w:rPr>
            </w:pPr>
            <w:r w:rsidRPr="00323AC0">
              <w:rPr>
                <w:sz w:val="18"/>
              </w:rPr>
              <w:t>E. E. Quito</w:t>
            </w:r>
          </w:p>
        </w:tc>
        <w:tc>
          <w:tcPr>
            <w:tcW w:w="5586" w:type="dxa"/>
            <w:hideMark/>
          </w:tcPr>
          <w:p w:rsidR="00323AC0" w:rsidRPr="00323AC0" w:rsidRDefault="00323AC0">
            <w:pPr>
              <w:rPr>
                <w:sz w:val="18"/>
              </w:rPr>
            </w:pPr>
            <w:r w:rsidRPr="00323AC0">
              <w:rPr>
                <w:sz w:val="18"/>
              </w:rPr>
              <w:t>Reforzamiento de redes de medio, bajo voltaje y alumbrado público primario  San Rafael 27A</w:t>
            </w:r>
          </w:p>
        </w:tc>
        <w:tc>
          <w:tcPr>
            <w:tcW w:w="1418" w:type="dxa"/>
            <w:noWrap/>
            <w:hideMark/>
          </w:tcPr>
          <w:p w:rsidR="00323AC0" w:rsidRPr="00323AC0" w:rsidRDefault="00323AC0" w:rsidP="005C3744">
            <w:pPr>
              <w:jc w:val="right"/>
              <w:rPr>
                <w:b/>
                <w:bCs/>
                <w:sz w:val="18"/>
              </w:rPr>
            </w:pPr>
            <w:r w:rsidRPr="00323AC0">
              <w:rPr>
                <w:b/>
                <w:bCs/>
                <w:sz w:val="18"/>
              </w:rPr>
              <w:t xml:space="preserve"> 374.181,77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Quito</w:t>
            </w:r>
          </w:p>
        </w:tc>
        <w:tc>
          <w:tcPr>
            <w:tcW w:w="5586" w:type="dxa"/>
            <w:hideMark/>
          </w:tcPr>
          <w:p w:rsidR="00323AC0" w:rsidRPr="00323AC0" w:rsidRDefault="00323AC0">
            <w:pPr>
              <w:rPr>
                <w:sz w:val="18"/>
              </w:rPr>
            </w:pPr>
            <w:r w:rsidRPr="00323AC0">
              <w:rPr>
                <w:sz w:val="18"/>
              </w:rPr>
              <w:t>Reforzamiento de redes de medio bajo, voltaje y alumbrado público primario 49A, poblado de Pacto</w:t>
            </w:r>
          </w:p>
        </w:tc>
        <w:tc>
          <w:tcPr>
            <w:tcW w:w="1418" w:type="dxa"/>
            <w:noWrap/>
            <w:hideMark/>
          </w:tcPr>
          <w:p w:rsidR="00323AC0" w:rsidRPr="00323AC0" w:rsidRDefault="00323AC0" w:rsidP="005C3744">
            <w:pPr>
              <w:jc w:val="right"/>
              <w:rPr>
                <w:b/>
                <w:bCs/>
                <w:sz w:val="18"/>
              </w:rPr>
            </w:pPr>
            <w:r w:rsidRPr="00323AC0">
              <w:rPr>
                <w:b/>
                <w:bCs/>
                <w:sz w:val="18"/>
              </w:rPr>
              <w:t xml:space="preserve"> 180.260,02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Quito</w:t>
            </w:r>
          </w:p>
        </w:tc>
        <w:tc>
          <w:tcPr>
            <w:tcW w:w="5586" w:type="dxa"/>
            <w:hideMark/>
          </w:tcPr>
          <w:p w:rsidR="00323AC0" w:rsidRPr="00323AC0" w:rsidRDefault="00323AC0">
            <w:pPr>
              <w:rPr>
                <w:sz w:val="18"/>
              </w:rPr>
            </w:pPr>
            <w:r w:rsidRPr="00323AC0">
              <w:rPr>
                <w:sz w:val="18"/>
              </w:rPr>
              <w:t>Reforzamiento de redes de medio, bajo voltaje y alumbrado público primario 49D, poblado Nanegalito</w:t>
            </w:r>
          </w:p>
        </w:tc>
        <w:tc>
          <w:tcPr>
            <w:tcW w:w="1418" w:type="dxa"/>
            <w:noWrap/>
            <w:hideMark/>
          </w:tcPr>
          <w:p w:rsidR="00323AC0" w:rsidRPr="00323AC0" w:rsidRDefault="00323AC0" w:rsidP="005C3744">
            <w:pPr>
              <w:jc w:val="right"/>
              <w:rPr>
                <w:b/>
                <w:bCs/>
                <w:sz w:val="18"/>
              </w:rPr>
            </w:pPr>
            <w:r w:rsidRPr="00323AC0">
              <w:rPr>
                <w:b/>
                <w:bCs/>
                <w:sz w:val="18"/>
              </w:rPr>
              <w:t xml:space="preserve"> 149.332,62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Quito</w:t>
            </w:r>
          </w:p>
        </w:tc>
        <w:tc>
          <w:tcPr>
            <w:tcW w:w="5586" w:type="dxa"/>
            <w:hideMark/>
          </w:tcPr>
          <w:p w:rsidR="00323AC0" w:rsidRPr="00323AC0" w:rsidRDefault="00323AC0">
            <w:pPr>
              <w:rPr>
                <w:sz w:val="18"/>
              </w:rPr>
            </w:pPr>
            <w:r w:rsidRPr="00323AC0">
              <w:rPr>
                <w:sz w:val="18"/>
              </w:rPr>
              <w:t>Reforzamiento de redes de medio, bajo voltaje y alumbrado público primario 58A, sector Chinchiloma</w:t>
            </w:r>
          </w:p>
        </w:tc>
        <w:tc>
          <w:tcPr>
            <w:tcW w:w="1418" w:type="dxa"/>
            <w:noWrap/>
            <w:hideMark/>
          </w:tcPr>
          <w:p w:rsidR="00323AC0" w:rsidRPr="00323AC0" w:rsidRDefault="00323AC0" w:rsidP="005C3744">
            <w:pPr>
              <w:jc w:val="right"/>
              <w:rPr>
                <w:b/>
                <w:bCs/>
                <w:sz w:val="18"/>
              </w:rPr>
            </w:pPr>
            <w:r w:rsidRPr="00323AC0">
              <w:rPr>
                <w:b/>
                <w:bCs/>
                <w:sz w:val="18"/>
              </w:rPr>
              <w:t xml:space="preserve"> 308.363,08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Quito</w:t>
            </w:r>
          </w:p>
        </w:tc>
        <w:tc>
          <w:tcPr>
            <w:tcW w:w="5586" w:type="dxa"/>
            <w:hideMark/>
          </w:tcPr>
          <w:p w:rsidR="00323AC0" w:rsidRPr="00323AC0" w:rsidRDefault="00323AC0">
            <w:pPr>
              <w:rPr>
                <w:sz w:val="18"/>
              </w:rPr>
            </w:pPr>
            <w:r w:rsidRPr="00323AC0">
              <w:rPr>
                <w:sz w:val="18"/>
              </w:rPr>
              <w:t>Reforzamiento de redes de medio, bajo voltaje y alumbrado público, sector Reino de Quito</w:t>
            </w:r>
          </w:p>
        </w:tc>
        <w:tc>
          <w:tcPr>
            <w:tcW w:w="1418" w:type="dxa"/>
            <w:noWrap/>
            <w:hideMark/>
          </w:tcPr>
          <w:p w:rsidR="00323AC0" w:rsidRPr="00323AC0" w:rsidRDefault="00323AC0" w:rsidP="005C3744">
            <w:pPr>
              <w:jc w:val="right"/>
              <w:rPr>
                <w:b/>
                <w:bCs/>
                <w:sz w:val="18"/>
              </w:rPr>
            </w:pPr>
            <w:r w:rsidRPr="00323AC0">
              <w:rPr>
                <w:b/>
                <w:bCs/>
                <w:sz w:val="18"/>
              </w:rPr>
              <w:t xml:space="preserve"> 127.514,37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Quito</w:t>
            </w:r>
          </w:p>
        </w:tc>
        <w:tc>
          <w:tcPr>
            <w:tcW w:w="5586" w:type="dxa"/>
            <w:hideMark/>
          </w:tcPr>
          <w:p w:rsidR="00323AC0" w:rsidRPr="00323AC0" w:rsidRDefault="00323AC0">
            <w:pPr>
              <w:rPr>
                <w:sz w:val="18"/>
              </w:rPr>
            </w:pPr>
            <w:r w:rsidRPr="00323AC0">
              <w:rPr>
                <w:sz w:val="18"/>
              </w:rPr>
              <w:t>Reforzamiento de redes de medio, bajo voltaje y alumbrado público, sector Santa Rosa de Cumbayá</w:t>
            </w:r>
          </w:p>
        </w:tc>
        <w:tc>
          <w:tcPr>
            <w:tcW w:w="1418" w:type="dxa"/>
            <w:noWrap/>
            <w:hideMark/>
          </w:tcPr>
          <w:p w:rsidR="00323AC0" w:rsidRPr="00323AC0" w:rsidRDefault="00323AC0" w:rsidP="005C3744">
            <w:pPr>
              <w:jc w:val="right"/>
              <w:rPr>
                <w:b/>
                <w:bCs/>
                <w:sz w:val="18"/>
              </w:rPr>
            </w:pPr>
            <w:r w:rsidRPr="00323AC0">
              <w:rPr>
                <w:b/>
                <w:bCs/>
                <w:sz w:val="18"/>
              </w:rPr>
              <w:t xml:space="preserve"> 103.702,36 </w:t>
            </w:r>
          </w:p>
        </w:tc>
      </w:tr>
      <w:tr w:rsidR="00323AC0" w:rsidRPr="00323AC0" w:rsidTr="00573753">
        <w:trPr>
          <w:trHeight w:val="285"/>
        </w:trPr>
        <w:tc>
          <w:tcPr>
            <w:tcW w:w="1780" w:type="dxa"/>
            <w:noWrap/>
            <w:hideMark/>
          </w:tcPr>
          <w:p w:rsidR="00323AC0" w:rsidRPr="00323AC0" w:rsidRDefault="00323AC0">
            <w:pPr>
              <w:rPr>
                <w:sz w:val="18"/>
              </w:rPr>
            </w:pPr>
            <w:r w:rsidRPr="00323AC0">
              <w:rPr>
                <w:sz w:val="18"/>
              </w:rPr>
              <w:t>E. E. Riobamba</w:t>
            </w:r>
          </w:p>
        </w:tc>
        <w:tc>
          <w:tcPr>
            <w:tcW w:w="5586" w:type="dxa"/>
            <w:hideMark/>
          </w:tcPr>
          <w:p w:rsidR="00323AC0" w:rsidRPr="00323AC0" w:rsidRDefault="00323AC0">
            <w:pPr>
              <w:rPr>
                <w:sz w:val="18"/>
              </w:rPr>
            </w:pPr>
            <w:r w:rsidRPr="00323AC0">
              <w:rPr>
                <w:sz w:val="18"/>
              </w:rPr>
              <w:t>Repotenciación de redes de distribución San Pedro de Las Abras</w:t>
            </w:r>
          </w:p>
        </w:tc>
        <w:tc>
          <w:tcPr>
            <w:tcW w:w="1418" w:type="dxa"/>
            <w:noWrap/>
            <w:hideMark/>
          </w:tcPr>
          <w:p w:rsidR="00323AC0" w:rsidRPr="00323AC0" w:rsidRDefault="00323AC0" w:rsidP="005C3744">
            <w:pPr>
              <w:jc w:val="right"/>
              <w:rPr>
                <w:b/>
                <w:bCs/>
                <w:sz w:val="18"/>
              </w:rPr>
            </w:pPr>
            <w:r w:rsidRPr="00323AC0">
              <w:rPr>
                <w:b/>
                <w:bCs/>
                <w:sz w:val="18"/>
              </w:rPr>
              <w:t xml:space="preserve"> 51.111,11 </w:t>
            </w:r>
          </w:p>
        </w:tc>
      </w:tr>
      <w:tr w:rsidR="00323AC0" w:rsidRPr="00323AC0" w:rsidTr="00573753">
        <w:trPr>
          <w:trHeight w:val="330"/>
        </w:trPr>
        <w:tc>
          <w:tcPr>
            <w:tcW w:w="1780" w:type="dxa"/>
            <w:noWrap/>
            <w:hideMark/>
          </w:tcPr>
          <w:p w:rsidR="00323AC0" w:rsidRPr="00323AC0" w:rsidRDefault="00323AC0">
            <w:pPr>
              <w:rPr>
                <w:sz w:val="18"/>
              </w:rPr>
            </w:pPr>
            <w:r w:rsidRPr="00323AC0">
              <w:rPr>
                <w:sz w:val="18"/>
              </w:rPr>
              <w:t>E. E. Riobamba</w:t>
            </w:r>
          </w:p>
        </w:tc>
        <w:tc>
          <w:tcPr>
            <w:tcW w:w="5586" w:type="dxa"/>
            <w:hideMark/>
          </w:tcPr>
          <w:p w:rsidR="00323AC0" w:rsidRPr="00323AC0" w:rsidRDefault="00323AC0">
            <w:pPr>
              <w:rPr>
                <w:sz w:val="18"/>
              </w:rPr>
            </w:pPr>
            <w:r w:rsidRPr="00323AC0">
              <w:rPr>
                <w:sz w:val="18"/>
              </w:rPr>
              <w:t>Repotenciación de redes de distribución sector Olte San Pedro</w:t>
            </w:r>
          </w:p>
        </w:tc>
        <w:tc>
          <w:tcPr>
            <w:tcW w:w="1418" w:type="dxa"/>
            <w:noWrap/>
            <w:hideMark/>
          </w:tcPr>
          <w:p w:rsidR="00323AC0" w:rsidRPr="00323AC0" w:rsidRDefault="00323AC0" w:rsidP="005C3744">
            <w:pPr>
              <w:jc w:val="right"/>
              <w:rPr>
                <w:b/>
                <w:bCs/>
                <w:sz w:val="18"/>
              </w:rPr>
            </w:pPr>
            <w:r w:rsidRPr="00323AC0">
              <w:rPr>
                <w:b/>
                <w:bCs/>
                <w:sz w:val="18"/>
              </w:rPr>
              <w:t xml:space="preserve"> 182.248,14 </w:t>
            </w:r>
          </w:p>
        </w:tc>
      </w:tr>
      <w:tr w:rsidR="00323AC0" w:rsidRPr="00323AC0" w:rsidTr="00573753">
        <w:trPr>
          <w:trHeight w:val="337"/>
        </w:trPr>
        <w:tc>
          <w:tcPr>
            <w:tcW w:w="1780" w:type="dxa"/>
            <w:noWrap/>
            <w:hideMark/>
          </w:tcPr>
          <w:p w:rsidR="00323AC0" w:rsidRPr="00323AC0" w:rsidRDefault="00323AC0">
            <w:pPr>
              <w:rPr>
                <w:sz w:val="18"/>
              </w:rPr>
            </w:pPr>
            <w:r w:rsidRPr="00323AC0">
              <w:rPr>
                <w:sz w:val="18"/>
              </w:rPr>
              <w:t>E. E. Riobamba</w:t>
            </w:r>
          </w:p>
        </w:tc>
        <w:tc>
          <w:tcPr>
            <w:tcW w:w="5586" w:type="dxa"/>
            <w:hideMark/>
          </w:tcPr>
          <w:p w:rsidR="00323AC0" w:rsidRPr="00323AC0" w:rsidRDefault="00323AC0">
            <w:pPr>
              <w:rPr>
                <w:sz w:val="18"/>
              </w:rPr>
            </w:pPr>
            <w:r w:rsidRPr="00323AC0">
              <w:rPr>
                <w:sz w:val="18"/>
              </w:rPr>
              <w:t>Repotenciación de redes de distribución barrio El Carmen San Andres</w:t>
            </w:r>
          </w:p>
        </w:tc>
        <w:tc>
          <w:tcPr>
            <w:tcW w:w="1418" w:type="dxa"/>
            <w:noWrap/>
            <w:hideMark/>
          </w:tcPr>
          <w:p w:rsidR="00323AC0" w:rsidRPr="00323AC0" w:rsidRDefault="00323AC0" w:rsidP="005C3744">
            <w:pPr>
              <w:jc w:val="right"/>
              <w:rPr>
                <w:b/>
                <w:bCs/>
                <w:sz w:val="18"/>
              </w:rPr>
            </w:pPr>
            <w:r w:rsidRPr="00323AC0">
              <w:rPr>
                <w:b/>
                <w:bCs/>
                <w:sz w:val="18"/>
              </w:rPr>
              <w:t xml:space="preserve"> 33.634,82 </w:t>
            </w:r>
          </w:p>
        </w:tc>
      </w:tr>
      <w:tr w:rsidR="00323AC0" w:rsidRPr="00323AC0" w:rsidTr="00573753">
        <w:trPr>
          <w:trHeight w:val="285"/>
        </w:trPr>
        <w:tc>
          <w:tcPr>
            <w:tcW w:w="1780" w:type="dxa"/>
            <w:noWrap/>
            <w:hideMark/>
          </w:tcPr>
          <w:p w:rsidR="00323AC0" w:rsidRPr="00323AC0" w:rsidRDefault="00323AC0">
            <w:pPr>
              <w:rPr>
                <w:sz w:val="18"/>
              </w:rPr>
            </w:pPr>
            <w:r w:rsidRPr="00323AC0">
              <w:rPr>
                <w:sz w:val="18"/>
              </w:rPr>
              <w:t>E. E. Riobamba</w:t>
            </w:r>
          </w:p>
        </w:tc>
        <w:tc>
          <w:tcPr>
            <w:tcW w:w="5586" w:type="dxa"/>
            <w:hideMark/>
          </w:tcPr>
          <w:p w:rsidR="00323AC0" w:rsidRPr="00323AC0" w:rsidRDefault="00323AC0">
            <w:pPr>
              <w:rPr>
                <w:sz w:val="18"/>
              </w:rPr>
            </w:pPr>
            <w:r w:rsidRPr="00323AC0">
              <w:rPr>
                <w:sz w:val="18"/>
              </w:rPr>
              <w:t>Repotenciación de redes de distribución comunidad Lalanshi</w:t>
            </w:r>
          </w:p>
        </w:tc>
        <w:tc>
          <w:tcPr>
            <w:tcW w:w="1418" w:type="dxa"/>
            <w:noWrap/>
            <w:hideMark/>
          </w:tcPr>
          <w:p w:rsidR="00323AC0" w:rsidRPr="00323AC0" w:rsidRDefault="00323AC0" w:rsidP="005C3744">
            <w:pPr>
              <w:jc w:val="right"/>
              <w:rPr>
                <w:b/>
                <w:bCs/>
                <w:sz w:val="18"/>
              </w:rPr>
            </w:pPr>
            <w:r w:rsidRPr="00323AC0">
              <w:rPr>
                <w:b/>
                <w:bCs/>
                <w:sz w:val="18"/>
              </w:rPr>
              <w:t xml:space="preserve"> 163.776,07 </w:t>
            </w:r>
          </w:p>
        </w:tc>
      </w:tr>
      <w:tr w:rsidR="00323AC0" w:rsidRPr="00323AC0" w:rsidTr="00573753">
        <w:trPr>
          <w:trHeight w:val="285"/>
        </w:trPr>
        <w:tc>
          <w:tcPr>
            <w:tcW w:w="1780" w:type="dxa"/>
            <w:noWrap/>
            <w:hideMark/>
          </w:tcPr>
          <w:p w:rsidR="00323AC0" w:rsidRPr="00323AC0" w:rsidRDefault="00323AC0">
            <w:pPr>
              <w:rPr>
                <w:sz w:val="18"/>
              </w:rPr>
            </w:pPr>
            <w:r w:rsidRPr="00323AC0">
              <w:rPr>
                <w:sz w:val="18"/>
              </w:rPr>
              <w:t>E. E. Riobamba</w:t>
            </w:r>
          </w:p>
        </w:tc>
        <w:tc>
          <w:tcPr>
            <w:tcW w:w="5586" w:type="dxa"/>
            <w:hideMark/>
          </w:tcPr>
          <w:p w:rsidR="00323AC0" w:rsidRPr="00323AC0" w:rsidRDefault="00323AC0">
            <w:pPr>
              <w:rPr>
                <w:sz w:val="18"/>
              </w:rPr>
            </w:pPr>
            <w:r w:rsidRPr="00323AC0">
              <w:rPr>
                <w:sz w:val="18"/>
              </w:rPr>
              <w:t>Repotenciación de redes comunidad Pungal San Pedro</w:t>
            </w:r>
          </w:p>
        </w:tc>
        <w:tc>
          <w:tcPr>
            <w:tcW w:w="1418" w:type="dxa"/>
            <w:noWrap/>
            <w:hideMark/>
          </w:tcPr>
          <w:p w:rsidR="00323AC0" w:rsidRPr="00323AC0" w:rsidRDefault="00323AC0" w:rsidP="005C3744">
            <w:pPr>
              <w:jc w:val="right"/>
              <w:rPr>
                <w:b/>
                <w:bCs/>
                <w:sz w:val="18"/>
              </w:rPr>
            </w:pPr>
            <w:r w:rsidRPr="00323AC0">
              <w:rPr>
                <w:b/>
                <w:bCs/>
                <w:sz w:val="18"/>
              </w:rPr>
              <w:t xml:space="preserve"> 209.444,63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 E. Riobamba</w:t>
            </w:r>
          </w:p>
        </w:tc>
        <w:tc>
          <w:tcPr>
            <w:tcW w:w="5586" w:type="dxa"/>
            <w:hideMark/>
          </w:tcPr>
          <w:p w:rsidR="00323AC0" w:rsidRPr="00323AC0" w:rsidRDefault="00323AC0">
            <w:pPr>
              <w:rPr>
                <w:sz w:val="18"/>
              </w:rPr>
            </w:pPr>
            <w:r w:rsidRPr="00323AC0">
              <w:rPr>
                <w:sz w:val="18"/>
              </w:rPr>
              <w:t>Repotenciación de redes de distribución comunidad Gualipite Jatumpamba-Matriz-Guamote</w:t>
            </w:r>
          </w:p>
        </w:tc>
        <w:tc>
          <w:tcPr>
            <w:tcW w:w="1418" w:type="dxa"/>
            <w:noWrap/>
            <w:hideMark/>
          </w:tcPr>
          <w:p w:rsidR="00323AC0" w:rsidRPr="00323AC0" w:rsidRDefault="00323AC0" w:rsidP="005C3744">
            <w:pPr>
              <w:jc w:val="right"/>
              <w:rPr>
                <w:b/>
                <w:bCs/>
                <w:sz w:val="18"/>
              </w:rPr>
            </w:pPr>
            <w:r w:rsidRPr="00323AC0">
              <w:rPr>
                <w:b/>
                <w:bCs/>
                <w:sz w:val="18"/>
              </w:rPr>
              <w:t xml:space="preserve"> 135.346,68 </w:t>
            </w:r>
          </w:p>
        </w:tc>
      </w:tr>
      <w:tr w:rsidR="00323AC0" w:rsidRPr="00323AC0" w:rsidTr="00573753">
        <w:trPr>
          <w:trHeight w:val="525"/>
        </w:trPr>
        <w:tc>
          <w:tcPr>
            <w:tcW w:w="1780" w:type="dxa"/>
            <w:noWrap/>
            <w:hideMark/>
          </w:tcPr>
          <w:p w:rsidR="00323AC0" w:rsidRPr="00323AC0" w:rsidRDefault="00323AC0">
            <w:pPr>
              <w:rPr>
                <w:sz w:val="18"/>
              </w:rPr>
            </w:pPr>
            <w:r w:rsidRPr="00323AC0">
              <w:rPr>
                <w:sz w:val="18"/>
              </w:rPr>
              <w:t>E.E. Centrosur</w:t>
            </w:r>
          </w:p>
        </w:tc>
        <w:tc>
          <w:tcPr>
            <w:tcW w:w="5586" w:type="dxa"/>
            <w:hideMark/>
          </w:tcPr>
          <w:p w:rsidR="00323AC0" w:rsidRPr="00323AC0" w:rsidRDefault="00323AC0">
            <w:pPr>
              <w:rPr>
                <w:sz w:val="18"/>
              </w:rPr>
            </w:pPr>
            <w:r w:rsidRPr="00323AC0">
              <w:rPr>
                <w:sz w:val="18"/>
              </w:rPr>
              <w:t>Mejora del alimentador 2211 desde S/E No.22 hasta el acceso Sur Logroño para mejorar la confiabilidad del sistema</w:t>
            </w:r>
          </w:p>
        </w:tc>
        <w:tc>
          <w:tcPr>
            <w:tcW w:w="1418" w:type="dxa"/>
            <w:noWrap/>
            <w:hideMark/>
          </w:tcPr>
          <w:p w:rsidR="00323AC0" w:rsidRPr="00323AC0" w:rsidRDefault="00323AC0" w:rsidP="005C3744">
            <w:pPr>
              <w:jc w:val="right"/>
              <w:rPr>
                <w:b/>
                <w:bCs/>
                <w:sz w:val="18"/>
              </w:rPr>
            </w:pPr>
            <w:r w:rsidRPr="00323AC0">
              <w:rPr>
                <w:b/>
                <w:bCs/>
                <w:sz w:val="18"/>
              </w:rPr>
              <w:t xml:space="preserve"> 523.816,32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Centrosur</w:t>
            </w:r>
          </w:p>
        </w:tc>
        <w:tc>
          <w:tcPr>
            <w:tcW w:w="5586" w:type="dxa"/>
            <w:hideMark/>
          </w:tcPr>
          <w:p w:rsidR="00323AC0" w:rsidRPr="00323AC0" w:rsidRDefault="00323AC0">
            <w:pPr>
              <w:rPr>
                <w:sz w:val="18"/>
              </w:rPr>
            </w:pPr>
            <w:r w:rsidRPr="00323AC0">
              <w:rPr>
                <w:sz w:val="18"/>
              </w:rPr>
              <w:t>Nuevo enlace alimentador 1823 S/E 18 - Altar Urco</w:t>
            </w:r>
          </w:p>
        </w:tc>
        <w:tc>
          <w:tcPr>
            <w:tcW w:w="1418" w:type="dxa"/>
            <w:noWrap/>
            <w:hideMark/>
          </w:tcPr>
          <w:p w:rsidR="00323AC0" w:rsidRPr="00323AC0" w:rsidRDefault="00323AC0" w:rsidP="005C3744">
            <w:pPr>
              <w:jc w:val="right"/>
              <w:rPr>
                <w:b/>
                <w:bCs/>
                <w:sz w:val="18"/>
              </w:rPr>
            </w:pPr>
            <w:r w:rsidRPr="00323AC0">
              <w:rPr>
                <w:b/>
                <w:bCs/>
                <w:sz w:val="18"/>
              </w:rPr>
              <w:t xml:space="preserve"> 270.114,56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Centrosur</w:t>
            </w:r>
          </w:p>
        </w:tc>
        <w:tc>
          <w:tcPr>
            <w:tcW w:w="5586" w:type="dxa"/>
            <w:hideMark/>
          </w:tcPr>
          <w:p w:rsidR="00323AC0" w:rsidRPr="00323AC0" w:rsidRDefault="00323AC0">
            <w:pPr>
              <w:rPr>
                <w:sz w:val="18"/>
              </w:rPr>
            </w:pPr>
            <w:r w:rsidRPr="00323AC0">
              <w:rPr>
                <w:sz w:val="18"/>
              </w:rPr>
              <w:t>Mej. alimentador El Molino Cochaseca</w:t>
            </w:r>
          </w:p>
        </w:tc>
        <w:tc>
          <w:tcPr>
            <w:tcW w:w="1418" w:type="dxa"/>
            <w:noWrap/>
            <w:hideMark/>
          </w:tcPr>
          <w:p w:rsidR="00323AC0" w:rsidRPr="00323AC0" w:rsidRDefault="00323AC0" w:rsidP="005C3744">
            <w:pPr>
              <w:jc w:val="right"/>
              <w:rPr>
                <w:b/>
                <w:bCs/>
                <w:sz w:val="18"/>
              </w:rPr>
            </w:pPr>
            <w:r w:rsidRPr="00323AC0">
              <w:rPr>
                <w:b/>
                <w:bCs/>
                <w:sz w:val="18"/>
              </w:rPr>
              <w:t xml:space="preserve"> 72.719,12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Centrosur</w:t>
            </w:r>
          </w:p>
        </w:tc>
        <w:tc>
          <w:tcPr>
            <w:tcW w:w="5586" w:type="dxa"/>
            <w:hideMark/>
          </w:tcPr>
          <w:p w:rsidR="00323AC0" w:rsidRPr="00323AC0" w:rsidRDefault="00323AC0">
            <w:pPr>
              <w:rPr>
                <w:sz w:val="18"/>
              </w:rPr>
            </w:pPr>
            <w:r w:rsidRPr="00323AC0">
              <w:rPr>
                <w:sz w:val="18"/>
              </w:rPr>
              <w:t>Mej. alimentador Yaritzagua El Molino El Progreso Nabon</w:t>
            </w:r>
          </w:p>
        </w:tc>
        <w:tc>
          <w:tcPr>
            <w:tcW w:w="1418" w:type="dxa"/>
            <w:noWrap/>
            <w:hideMark/>
          </w:tcPr>
          <w:p w:rsidR="00323AC0" w:rsidRPr="00323AC0" w:rsidRDefault="00323AC0" w:rsidP="005C3744">
            <w:pPr>
              <w:jc w:val="right"/>
              <w:rPr>
                <w:b/>
                <w:bCs/>
                <w:sz w:val="18"/>
              </w:rPr>
            </w:pPr>
            <w:r w:rsidRPr="00323AC0">
              <w:rPr>
                <w:b/>
                <w:bCs/>
                <w:sz w:val="18"/>
              </w:rPr>
              <w:t xml:space="preserve"> 80.241,29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Centrosur</w:t>
            </w:r>
          </w:p>
        </w:tc>
        <w:tc>
          <w:tcPr>
            <w:tcW w:w="5586" w:type="dxa"/>
            <w:hideMark/>
          </w:tcPr>
          <w:p w:rsidR="00323AC0" w:rsidRPr="00323AC0" w:rsidRDefault="00323AC0">
            <w:pPr>
              <w:rPr>
                <w:sz w:val="18"/>
              </w:rPr>
            </w:pPr>
            <w:r w:rsidRPr="00323AC0">
              <w:rPr>
                <w:sz w:val="18"/>
              </w:rPr>
              <w:t>Mej. alimentador Cochaseca-La Paz El Progreso</w:t>
            </w:r>
          </w:p>
        </w:tc>
        <w:tc>
          <w:tcPr>
            <w:tcW w:w="1418" w:type="dxa"/>
            <w:noWrap/>
            <w:hideMark/>
          </w:tcPr>
          <w:p w:rsidR="00323AC0" w:rsidRPr="00323AC0" w:rsidRDefault="00323AC0" w:rsidP="005C3744">
            <w:pPr>
              <w:jc w:val="right"/>
              <w:rPr>
                <w:b/>
                <w:bCs/>
                <w:sz w:val="18"/>
              </w:rPr>
            </w:pPr>
            <w:r w:rsidRPr="00323AC0">
              <w:rPr>
                <w:b/>
                <w:bCs/>
                <w:sz w:val="18"/>
              </w:rPr>
              <w:t xml:space="preserve"> 81.590,36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Centrosur</w:t>
            </w:r>
          </w:p>
        </w:tc>
        <w:tc>
          <w:tcPr>
            <w:tcW w:w="5586" w:type="dxa"/>
            <w:hideMark/>
          </w:tcPr>
          <w:p w:rsidR="00323AC0" w:rsidRPr="00323AC0" w:rsidRDefault="00323AC0">
            <w:pPr>
              <w:rPr>
                <w:sz w:val="18"/>
              </w:rPr>
            </w:pPr>
            <w:r w:rsidRPr="00323AC0">
              <w:rPr>
                <w:sz w:val="18"/>
              </w:rPr>
              <w:t>Mejora alimentador 0523 mejora línea control Quinuas-H       </w:t>
            </w:r>
          </w:p>
        </w:tc>
        <w:tc>
          <w:tcPr>
            <w:tcW w:w="1418" w:type="dxa"/>
            <w:noWrap/>
            <w:hideMark/>
          </w:tcPr>
          <w:p w:rsidR="00323AC0" w:rsidRPr="00323AC0" w:rsidRDefault="00323AC0" w:rsidP="005C3744">
            <w:pPr>
              <w:jc w:val="right"/>
              <w:rPr>
                <w:b/>
                <w:bCs/>
                <w:sz w:val="18"/>
              </w:rPr>
            </w:pPr>
            <w:r w:rsidRPr="00323AC0">
              <w:rPr>
                <w:b/>
                <w:bCs/>
                <w:sz w:val="18"/>
              </w:rPr>
              <w:t xml:space="preserve"> 257.992,52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Centrosur</w:t>
            </w:r>
          </w:p>
        </w:tc>
        <w:tc>
          <w:tcPr>
            <w:tcW w:w="5586" w:type="dxa"/>
            <w:hideMark/>
          </w:tcPr>
          <w:p w:rsidR="00323AC0" w:rsidRPr="00323AC0" w:rsidRDefault="00323AC0">
            <w:pPr>
              <w:rPr>
                <w:sz w:val="18"/>
              </w:rPr>
            </w:pPr>
            <w:r w:rsidRPr="00323AC0">
              <w:rPr>
                <w:sz w:val="18"/>
              </w:rPr>
              <w:t xml:space="preserve">Repotenciación del sistema eléctrico en la parroquia Mendez            </w:t>
            </w:r>
          </w:p>
        </w:tc>
        <w:tc>
          <w:tcPr>
            <w:tcW w:w="1418" w:type="dxa"/>
            <w:noWrap/>
            <w:hideMark/>
          </w:tcPr>
          <w:p w:rsidR="00323AC0" w:rsidRPr="00323AC0" w:rsidRDefault="00323AC0" w:rsidP="005C3744">
            <w:pPr>
              <w:jc w:val="right"/>
              <w:rPr>
                <w:b/>
                <w:bCs/>
                <w:sz w:val="18"/>
              </w:rPr>
            </w:pPr>
            <w:r w:rsidRPr="00323AC0">
              <w:rPr>
                <w:b/>
                <w:bCs/>
                <w:sz w:val="18"/>
              </w:rPr>
              <w:t xml:space="preserve"> 244.354,92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Galápagos</w:t>
            </w:r>
          </w:p>
        </w:tc>
        <w:tc>
          <w:tcPr>
            <w:tcW w:w="5586" w:type="dxa"/>
            <w:hideMark/>
          </w:tcPr>
          <w:p w:rsidR="00323AC0" w:rsidRPr="00323AC0" w:rsidRDefault="00323AC0">
            <w:pPr>
              <w:rPr>
                <w:sz w:val="18"/>
              </w:rPr>
            </w:pPr>
            <w:r w:rsidRPr="00323AC0">
              <w:rPr>
                <w:sz w:val="18"/>
              </w:rPr>
              <w:t>Reconfiguración de la red de distribución, en la calle Matazarno</w:t>
            </w:r>
          </w:p>
        </w:tc>
        <w:tc>
          <w:tcPr>
            <w:tcW w:w="1418" w:type="dxa"/>
            <w:noWrap/>
            <w:hideMark/>
          </w:tcPr>
          <w:p w:rsidR="00323AC0" w:rsidRPr="00323AC0" w:rsidRDefault="00323AC0" w:rsidP="005C3744">
            <w:pPr>
              <w:jc w:val="right"/>
              <w:rPr>
                <w:b/>
                <w:bCs/>
                <w:sz w:val="18"/>
              </w:rPr>
            </w:pPr>
            <w:r w:rsidRPr="00323AC0">
              <w:rPr>
                <w:b/>
                <w:bCs/>
                <w:sz w:val="18"/>
              </w:rPr>
              <w:t xml:space="preserve"> 44.965,38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Galápagos</w:t>
            </w:r>
          </w:p>
        </w:tc>
        <w:tc>
          <w:tcPr>
            <w:tcW w:w="5586" w:type="dxa"/>
            <w:hideMark/>
          </w:tcPr>
          <w:p w:rsidR="00323AC0" w:rsidRPr="00323AC0" w:rsidRDefault="00323AC0">
            <w:pPr>
              <w:rPr>
                <w:sz w:val="18"/>
              </w:rPr>
            </w:pPr>
            <w:r w:rsidRPr="00323AC0">
              <w:rPr>
                <w:sz w:val="18"/>
              </w:rPr>
              <w:t>Reconfiguración de la red de distribución del sector “El Chino"</w:t>
            </w:r>
          </w:p>
        </w:tc>
        <w:tc>
          <w:tcPr>
            <w:tcW w:w="1418" w:type="dxa"/>
            <w:noWrap/>
            <w:hideMark/>
          </w:tcPr>
          <w:p w:rsidR="00323AC0" w:rsidRPr="00323AC0" w:rsidRDefault="00323AC0" w:rsidP="005C3744">
            <w:pPr>
              <w:jc w:val="right"/>
              <w:rPr>
                <w:b/>
                <w:bCs/>
                <w:sz w:val="18"/>
              </w:rPr>
            </w:pPr>
            <w:r w:rsidRPr="00323AC0">
              <w:rPr>
                <w:b/>
                <w:bCs/>
                <w:sz w:val="18"/>
              </w:rPr>
              <w:t xml:space="preserve"> 113.069,00 </w:t>
            </w:r>
          </w:p>
        </w:tc>
      </w:tr>
      <w:tr w:rsidR="00323AC0" w:rsidRPr="00323AC0" w:rsidTr="00573753">
        <w:trPr>
          <w:trHeight w:val="270"/>
        </w:trPr>
        <w:tc>
          <w:tcPr>
            <w:tcW w:w="1780" w:type="dxa"/>
            <w:noWrap/>
            <w:hideMark/>
          </w:tcPr>
          <w:p w:rsidR="00323AC0" w:rsidRPr="00323AC0" w:rsidRDefault="00323AC0">
            <w:pPr>
              <w:rPr>
                <w:sz w:val="18"/>
              </w:rPr>
            </w:pPr>
            <w:r w:rsidRPr="00323AC0">
              <w:rPr>
                <w:sz w:val="18"/>
              </w:rPr>
              <w:t>E.E. Galápagos</w:t>
            </w:r>
          </w:p>
        </w:tc>
        <w:tc>
          <w:tcPr>
            <w:tcW w:w="5586" w:type="dxa"/>
            <w:hideMark/>
          </w:tcPr>
          <w:p w:rsidR="00323AC0" w:rsidRPr="00323AC0" w:rsidRDefault="00323AC0">
            <w:pPr>
              <w:rPr>
                <w:sz w:val="18"/>
              </w:rPr>
            </w:pPr>
            <w:r w:rsidRPr="00323AC0">
              <w:rPr>
                <w:sz w:val="18"/>
              </w:rPr>
              <w:t>Reconfiguracion de la red de distribución barrio Loja Etapa 1</w:t>
            </w:r>
          </w:p>
        </w:tc>
        <w:tc>
          <w:tcPr>
            <w:tcW w:w="1418" w:type="dxa"/>
            <w:noWrap/>
            <w:hideMark/>
          </w:tcPr>
          <w:p w:rsidR="00323AC0" w:rsidRPr="00323AC0" w:rsidRDefault="00323AC0" w:rsidP="005C3744">
            <w:pPr>
              <w:jc w:val="right"/>
              <w:rPr>
                <w:b/>
                <w:bCs/>
                <w:sz w:val="18"/>
              </w:rPr>
            </w:pPr>
            <w:r w:rsidRPr="00323AC0">
              <w:rPr>
                <w:b/>
                <w:bCs/>
                <w:sz w:val="18"/>
              </w:rPr>
              <w:t xml:space="preserve"> 244.622,40 </w:t>
            </w:r>
          </w:p>
        </w:tc>
      </w:tr>
    </w:tbl>
    <w:p w:rsidR="005C3744" w:rsidRDefault="005C3744">
      <w:pPr>
        <w:rPr>
          <w:lang w:val="es-CL"/>
        </w:rPr>
      </w:pPr>
    </w:p>
    <w:p w:rsidR="005C3744" w:rsidRPr="005C3744" w:rsidRDefault="005C3744">
      <w:pPr>
        <w:rPr>
          <w:b/>
          <w:lang w:val="es-CL"/>
        </w:rPr>
      </w:pPr>
      <w:r w:rsidRPr="005C3744">
        <w:rPr>
          <w:b/>
          <w:lang w:val="es-CL"/>
        </w:rPr>
        <w:t>Proyectos FERUM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5815"/>
        <w:gridCol w:w="1036"/>
      </w:tblGrid>
      <w:tr w:rsidR="00E3792E" w:rsidRPr="005C3744" w:rsidTr="00E3792E">
        <w:trPr>
          <w:trHeight w:val="582"/>
        </w:trPr>
        <w:tc>
          <w:tcPr>
            <w:tcW w:w="1977" w:type="dxa"/>
            <w:shd w:val="clear" w:color="auto" w:fill="DEEAF6" w:themeFill="accent5" w:themeFillTint="33"/>
            <w:hideMark/>
          </w:tcPr>
          <w:p w:rsidR="00E3792E" w:rsidRPr="005C3744" w:rsidRDefault="00E3792E" w:rsidP="00E3792E">
            <w:pPr>
              <w:rPr>
                <w:b/>
                <w:bCs/>
                <w:sz w:val="18"/>
                <w:szCs w:val="18"/>
              </w:rPr>
            </w:pPr>
            <w:r w:rsidRPr="005C3744">
              <w:rPr>
                <w:b/>
                <w:bCs/>
                <w:sz w:val="18"/>
                <w:szCs w:val="18"/>
              </w:rPr>
              <w:t>Empresa Distribuidora</w:t>
            </w:r>
          </w:p>
        </w:tc>
        <w:tc>
          <w:tcPr>
            <w:tcW w:w="5815" w:type="dxa"/>
            <w:shd w:val="clear" w:color="auto" w:fill="DEEAF6" w:themeFill="accent5" w:themeFillTint="33"/>
            <w:hideMark/>
          </w:tcPr>
          <w:p w:rsidR="00E3792E" w:rsidRPr="005C3744" w:rsidRDefault="00E3792E" w:rsidP="00E3792E">
            <w:pPr>
              <w:rPr>
                <w:b/>
                <w:bCs/>
                <w:sz w:val="18"/>
                <w:szCs w:val="18"/>
              </w:rPr>
            </w:pPr>
            <w:r w:rsidRPr="005C3744">
              <w:rPr>
                <w:b/>
                <w:bCs/>
                <w:sz w:val="18"/>
                <w:szCs w:val="18"/>
              </w:rPr>
              <w:t>Nombre del Proyecto FERUM</w:t>
            </w:r>
          </w:p>
        </w:tc>
        <w:tc>
          <w:tcPr>
            <w:tcW w:w="10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E3792E" w:rsidRPr="00E3792E" w:rsidRDefault="00E3792E" w:rsidP="00E3792E">
            <w:pPr>
              <w:jc w:val="center"/>
              <w:rPr>
                <w:rFonts w:ascii="Calibri" w:hAnsi="Calibri" w:cs="Calibri"/>
                <w:b/>
                <w:bCs/>
                <w:sz w:val="18"/>
                <w:szCs w:val="18"/>
              </w:rPr>
            </w:pPr>
            <w:r>
              <w:rPr>
                <w:rFonts w:ascii="Calibri" w:hAnsi="Calibri" w:cs="Calibri"/>
                <w:b/>
                <w:bCs/>
                <w:sz w:val="18"/>
                <w:szCs w:val="18"/>
              </w:rPr>
              <w:t>Inversión US$</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16 moradores de Yunguilla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97.847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9 moradores de La Libertad del Congreso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49.177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18 moradores de Cumbillí Chico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77.180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5 moradores de El Tingo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20.524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4 moradores de la Variante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16.217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5 moradores de Yanahurco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20.186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10 moradores de Tabanal Chico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40.232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de Líneas y Redes para 17 moradores de San Vicente de Porotopamba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68.249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de líneas y redes para 3 moradores Limón Bajo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11.925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de líneas y redes para 6 moradores de Porvenir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23.830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6 moradores de Palmira 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23.760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5 moradores de San Franciso Surupamba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19.715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22 moradores de La Cena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86.112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11 moradores de Limon Cadiloma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42.853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13 moradores de Lumbigana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48.655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de Líneas y Redes para 22 moradores de El Naranjal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79.385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Lineas y Redes para 11 moradores de La Cena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39.117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de líneas y redes para 16 moradores  de las Juntas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55.411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de Líneas y Redes para 7 moradores de Yatubí Bajo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23.757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25 moradores de Mindina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83.234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de Líneas y Redes para 7 moradores de Colombia Alta el Rosario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22.614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4 moradores de santa rosa de agua clara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11.840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6 moradores de Larcapamba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14.962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9 moradores de Carbón Tamboloma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18.269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de Líneas y Redes para 8 moradores de Tablaspamba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13.414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Líneas y Redes para 15 moradores de Lanzahurco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66.367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Construcción Líneas y Redes para 13 moradores de La Margarita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56.364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Bolivar</w:t>
            </w:r>
          </w:p>
        </w:tc>
        <w:tc>
          <w:tcPr>
            <w:tcW w:w="5815" w:type="dxa"/>
            <w:noWrap/>
            <w:hideMark/>
          </w:tcPr>
          <w:p w:rsidR="00E3792E" w:rsidRPr="005C3744" w:rsidRDefault="00E3792E" w:rsidP="00E3792E">
            <w:pPr>
              <w:rPr>
                <w:sz w:val="18"/>
                <w:szCs w:val="18"/>
              </w:rPr>
            </w:pPr>
            <w:r w:rsidRPr="005C3744">
              <w:rPr>
                <w:sz w:val="18"/>
                <w:szCs w:val="18"/>
              </w:rPr>
              <w:t>Construccion de Líneas y Redes para 29 moradores de San Antonio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122.847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ELECTRICA PARA EL SITIO BIJAOYACU DE TRES CERRITOS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36.511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BARRIO CARLOS FALQUEZ BATALLAS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90.338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LA COOPERATIVA TENIENTE HUGO ORTIZ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17.572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SITIO LA PRIMAVERA DE CERDAN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33.028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BARRIO EL BOSQUE III ETAPA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110.585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SITIO AGUAS CALIENTES DE MUYUYACU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44.167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SITIO LOMA REDONDA VIA A SAN LUIS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91.839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ELÉCTRICA PARA EL SITIO GUERRAS ALTO Y GUERRAS BAJO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39.676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LOS BARRIOS MACARIO VALAREZO Y EL CHOFER II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98.226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BARRIO BRISAS SECTOR V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66.477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SITIO SAN VICENTE DE CALIFORNIA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47.962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SITIO LA FORTUNA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38.670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ELECTRICA PARA EL SITIO EL AMPARO DE RAJARO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16.560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ELECTRICA PARA EL SITIO 27 DE ENERO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19.526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ELÉCTRICA PARA EL BARRIO SANTA MARTHA DEL SITIO GUAYACANES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24.087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ELÉCTRICA PARA EL SITIO EL ACHIOTE DE AMBOCAS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18.528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ELECTRICA PARA VARIOS SITIOS DE LA PARROQUIA BELLAVISTA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223.777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ELÉCTRICA PARA LA COOPERATIVA CIEN FAMILIAS SECTOR POLIGONO SUR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33.655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ELÉCTRICA PARA EL SITIO LOS LAURELES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95.531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ELÉCTRICA PARA EL BARRIO EL CISNE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41.884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BARRIO COSTA AZUL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48.530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CONSTRUCCIÓN DE LA RED ELECTRICA PARA EL BARRIO RIO NORTE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25.938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SECTOR DEL RIO DEL SITIO 16 DE JULIO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15.347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El Oro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PARA EL BARRIO ROSA ALVARADO DEL SITIO ESTERO MEDINA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52.334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RASCADERA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166.096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 xml:space="preserve">CONSTRUCCION DE REDES DE DISTRIBUCION ESTERO LEON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48.380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24 DE MAYO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90.657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AGUA FRIA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42.511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POWAN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34.180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LA PERLA - PARTIDERO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77.947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EL CALVARIO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63.762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CONSTRUCCIÓN DE REDES DE DISTRIBUCIÓN 25 DE ENERO 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31.981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CONSTRUCCIÓN DE REDES DE DISTRIBUCIÓN BOCA DEL SUCIO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150.207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CONSTRUCCIÓN DE REDES DE DISTRIBUCIÓN CACAO II</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29.492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CORRE MONO DE LA UNION DE QUININDE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102.575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SANTA PATRICIA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261.576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 xml:space="preserve">CONSTRUCCION DE REDES DE DISTRIBUCION ESTERO ONDO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234.179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 xml:space="preserve">CONSTRUCCION DE REDES DE DISTRIBUCION MEDIANIA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222.297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TIGRILLOS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182.518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LOS ANGELES II</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sz w:val="18"/>
                <w:szCs w:val="18"/>
              </w:rPr>
            </w:pPr>
            <w:r w:rsidRPr="00E3792E">
              <w:rPr>
                <w:rFonts w:ascii="Calibri" w:hAnsi="Calibri" w:cs="Calibri"/>
                <w:sz w:val="18"/>
                <w:szCs w:val="18"/>
              </w:rPr>
              <w:t xml:space="preserve"> 134.516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4 DE AGOSTO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696.723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LA FRESCURA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57.255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LA GUYACANES LUCHA DE LOS POBRES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49.049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LA JOSEFINA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33.074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LUZ Y LIBERTAD</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48.571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SAN JOSE BOTROSA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76.009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CONSTRUCCION DE REDES DE DISTRIBUCION PALMERA DE LOS ANDES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140.604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 xml:space="preserve">CONSTRUCCION DE REDES DE DISTRIBUCION EL PARAISO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74.758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Esmeraldas</w:t>
            </w:r>
          </w:p>
        </w:tc>
        <w:tc>
          <w:tcPr>
            <w:tcW w:w="5815" w:type="dxa"/>
            <w:noWrap/>
            <w:hideMark/>
          </w:tcPr>
          <w:p w:rsidR="00E3792E" w:rsidRPr="005C3744" w:rsidRDefault="00E3792E" w:rsidP="00E3792E">
            <w:pPr>
              <w:rPr>
                <w:sz w:val="18"/>
                <w:szCs w:val="18"/>
              </w:rPr>
            </w:pPr>
            <w:r w:rsidRPr="005C3744">
              <w:rPr>
                <w:sz w:val="18"/>
                <w:szCs w:val="18"/>
              </w:rPr>
              <w:t>CONSTRUCCIÓN DE REDES DE DISTRIBUCIÓN CHONTADURO DE TABIAZO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446.528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 y Medidores en la Coop. Reynaldo Quiñonez  sector Monte Sinaí</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624.563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Acometidas y Medidores en la Cooperativa Janeth Toral Lámina 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397.771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 y Medidores en  la  Coop. Las Delicias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50.952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Acometidas y Medidores en la Cooperativa San Alejo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171.371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Acometidas y Medidores en la Cooperativa Nueva Vida II</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215.174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 y Medidores en  la  Coop. Unión Libre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39.222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Acometidas y Medidores en la Cooperativa Los Juanes sector Monte Sinaí</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537.961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Guayaquil</w:t>
            </w:r>
          </w:p>
        </w:tc>
        <w:tc>
          <w:tcPr>
            <w:tcW w:w="5815" w:type="dxa"/>
            <w:noWrap/>
            <w:hideMark/>
          </w:tcPr>
          <w:p w:rsidR="00E3792E" w:rsidRPr="005C3744" w:rsidRDefault="00E3792E" w:rsidP="00E3792E">
            <w:pPr>
              <w:rPr>
                <w:sz w:val="18"/>
                <w:szCs w:val="18"/>
              </w:rPr>
            </w:pPr>
            <w:r w:rsidRPr="005C3744">
              <w:rPr>
                <w:sz w:val="18"/>
                <w:szCs w:val="18"/>
              </w:rPr>
              <w:t>Proyecto Integral de Extensión de Redes, Iluminación, Acometidas y Medidores en la Cooperativa Realidad de Dios sector Monte Sinaí</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742.101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Arcadia 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31.882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Ampliaciones Papayo - Pijío - La Seca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49.092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San Sebastián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16.207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San Carlos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21.193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Santa Rosa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15.586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Las Palmas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21.579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Los Micos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50.301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Nueva Unión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23.391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Barbasco de Arriba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8.195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Higuerón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30.554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San Pedro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14.185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Barranco Amarillo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56.622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El Pasaje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22.107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La Nueva Esperanza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34.277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Bejuco de María de Abajo (sectores # 1 y # 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25.323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Estero de Piedra de Abajo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45.494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Estero Lagarto # 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15.193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San Felipe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93.456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Las Palmas Moquique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21.441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 xml:space="preserve">Ampliación San Ignacio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20.022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Sabulón - Estero Chico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57.226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San Andrés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29.511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Jerusalém de Arriba (sector Pancho Juano)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17.748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Mis Ensueños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25.722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San Antonio del Congo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53.797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Jauneche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226.258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La Independencia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44.712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Nuevo Porvenir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16.269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La Luz</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29.793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Lampa de Arriba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24.895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El Guayabo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26.588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Cucharas de Arriba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26.304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San Palermo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42.534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Guayas Los Rios</w:t>
            </w:r>
          </w:p>
        </w:tc>
        <w:tc>
          <w:tcPr>
            <w:tcW w:w="5815" w:type="dxa"/>
            <w:noWrap/>
            <w:hideMark/>
          </w:tcPr>
          <w:p w:rsidR="00E3792E" w:rsidRPr="005C3744" w:rsidRDefault="00E3792E" w:rsidP="00E3792E">
            <w:pPr>
              <w:rPr>
                <w:sz w:val="18"/>
                <w:szCs w:val="18"/>
              </w:rPr>
            </w:pPr>
            <w:r w:rsidRPr="005C3744">
              <w:rPr>
                <w:sz w:val="18"/>
                <w:szCs w:val="18"/>
              </w:rPr>
              <w:t>Ampliación La Balsa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16.238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El Paraiso Sector Los Girasoles para beneficiar a 26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17.171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Cdla. La Malaria para beneficiar a 26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25.048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Los Angeles Sector La Posa para beneficiar a 31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27.639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Rcto.Nueva Ilusion - El Cisne para beneficiar a 31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28.945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Lotizacion El Recuerdo para beneficiar a 27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27.563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Aguas Frias de Medellin Sector El Paraiso para beneficiar a 20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23.341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Paz Srs. Gomez para beneficiar a 12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16.957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Las Cañitas 2 para beneficiar a 25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27.250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Candilejo sector La Loma para beneficiar a 16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17.619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Los Angeles - Quinsaloma, para beneficiar a 32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33.860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Mecha  para beneficiar a 18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27.277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Jose de la Mira para beneficiar a 48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70.545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Voluntad de Dios para beneficiar a 27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34.590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Miguel de Los Ríos para beneficiar a 18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22.353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El Tamarindo para beneficiar a 19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24.232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Rctos. Bella Sombra, San Jacinto, La Estrella, Los Angeles, para beneficiar a 144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252.944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Rcto.La Lolita para beneficiar a 8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16.757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Jesus Maria para beneficiar a 13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43.773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El Recuerdo Los Angeles para beneficiar a 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9.978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Nuevo Progreso para beneficiar a 31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39.682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Las Marias Srs. Mosquera, para beneficiar a 16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24.165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El Jobo para beneficiar a 5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9.396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Genovesa  para beneficiar a 14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21.670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El Eden  - Los Angeles para beneficiar a 11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21.191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Francisco de Chojampe para beneficiar a 33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67.681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Rafael Srs. Barandicae para beneficiar a 23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40.576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Cadeal para beneficiar a 14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26.822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Sal  para beneficiar a 17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21.712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Teresa Srs. Bravo beneficiar a 29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33.922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Fortuna 2 , para beneficiar a 16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40.424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Estero Lindo sector Norte  para beneficiar a 42familias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31.345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Jacinto La Cascada  para beneficiar a 12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38.814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Agustin - Jujan  para beneficiar a 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8.755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Maria A-B para beneficiar a 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17.364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Caserio Santa Rosa para beneficiar a 13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40.352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Higueron  para beneficiar a 28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80.269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Achotillo para beneficiar a 10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28.351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Guillermo para beneficiar a 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8.484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Pepa de Oro para  beneficiar a 11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30.804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Geronimo La Mallia para beneficiar a 24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65.768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Estero Grande Las Casitas para beneficiar a 17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45.947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Mapansillo sector Flor Maria para beneficiar a 13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43.437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Montes de Agua para beneficiar a 27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70.763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Enrique, para beneficiar a 11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28.349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Las Garzas Srs. Tomala  para beneficiar a 15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38.329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Pozuelo para beneficiar a 16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17.880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Las Mercedes para beneficiar a 15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36.783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Santa Lucia Srs. Lucero para beneficiar a 24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58.718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Balserio Sector San Antonio - El Paraiso  para beneficiar a 17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41.252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El Cauje para beneficiar a 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16.758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Palmasola para beneficiar a 8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18.971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Lechugal Srs Moreta para beneficiar a 16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37.260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Santa Cecilia  para beneficiar a 7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16.092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Fortuna, para beneficiar a 13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29.541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San Temistocles para beneficiar a 23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51.441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Aguacatal para beneficiar a 12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26.802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Cedros 2 Srs. Miranda para beneficiar a 31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68.895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Limoncillo, para beneficiar a 25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54.100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El Charro  para beneficiar a 14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29.587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Boqueron para beneficiar a 21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44.098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Los Rios</w:t>
            </w:r>
          </w:p>
        </w:tc>
        <w:tc>
          <w:tcPr>
            <w:tcW w:w="5815" w:type="dxa"/>
            <w:noWrap/>
            <w:hideMark/>
          </w:tcPr>
          <w:p w:rsidR="00E3792E" w:rsidRPr="005C3744" w:rsidRDefault="00E3792E" w:rsidP="00E3792E">
            <w:pPr>
              <w:rPr>
                <w:sz w:val="18"/>
                <w:szCs w:val="18"/>
              </w:rPr>
            </w:pPr>
            <w:r w:rsidRPr="005C3744">
              <w:rPr>
                <w:sz w:val="18"/>
                <w:szCs w:val="18"/>
              </w:rPr>
              <w:t>Construccion Red Rcto. La Florida  para beneficiar a 5 familias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18.008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LOS TIGRES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29.712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AMPLIACIÓN RED ELÉCTRICA SITIO LA BALSA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43.679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ELECTRIFICACION DEL SITIO EL LIMON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26.510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ENTRADA A LA PALMITA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68.523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ELECTRIFICACION DEL SITIO LA TINAJA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15.421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AMPLIACION RED ELECTRICA SITIO PROSPERINA - AGUA FRIA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222.222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GUARUMO LA CHORRERA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42.368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AMPLIACION RED ELECTRICA SITIO SAN JACINTO DE LUA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35.063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RED ELÉCTRICA SITIO LAS PALMAS-LAS CAÑITAS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33.796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ELECTRIFICACION DEL SITIO CIUDADELA BUENOS DIAS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27.217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AMPLIACION DEL SITIO SOTA CHICA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22.723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 LOS SITIOS JOJANA- LA LIBRE Y LOURDES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67.987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ELECTRIFICACION LINEA Y RED SITIO SAN PEDRO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28.491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SANTA CLARA - ESTERO SECO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17.666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 LOS SITIOS COROCITO-CAPRICHO-BAJO GRANDE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68.826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ELECTRIFICACION DEL SITIO LA FLORIDA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69.916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ELECTRIFICACION DEL SITIO MOCORA-QUEBRADA AGUA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77.750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DADAL VÍA A NOBOA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20.966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AMPLIACION RED ELECTRICA DEL SITIO SAN RAMON KM 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29.182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AMPLIACION RED ELECTRICA SITIO MERCEDES I - LA LAGUNA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88.498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RED ELÉCTRICA SITIO TIERRA SANTA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295.231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AMPLIACIÓN LINEA Y RED ELÉCTRICA SITIO MONTENEGRO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21.061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SECAL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35.535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EL TROPEZÓN - LA CRUCITA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29.018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ELECTRIFICACÓN DEL SITIO ENTRADA A LAS YUCAS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27.988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LAS JIGUAS ADENTRO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15.226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CALLE LOS MOYUYOS ENTRADA HOSTERÍA SOL Y MAR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40.085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 LOS SITIOS LAS PIEDRAS - LA PUENTE - LA ISLA - LA COMUNA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89.142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LOS TILLALES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15.184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PACOCHE ARRIBA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13.733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SAN PEDRO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41.749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 xml:space="preserve">ELECTRIFICACIÓN DEL SITIO LEONIDAS PLAZA - CAÑA BRAVA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41.241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SAN JOSÉ DE SAN JUAN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91.759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TABLADA DEL TIGRE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48.885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BOTIJA AFUERA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30.416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Manabi</w:t>
            </w:r>
          </w:p>
        </w:tc>
        <w:tc>
          <w:tcPr>
            <w:tcW w:w="5815" w:type="dxa"/>
            <w:noWrap/>
            <w:hideMark/>
          </w:tcPr>
          <w:p w:rsidR="00E3792E" w:rsidRPr="005C3744" w:rsidRDefault="00E3792E" w:rsidP="00E3792E">
            <w:pPr>
              <w:rPr>
                <w:sz w:val="18"/>
                <w:szCs w:val="18"/>
              </w:rPr>
            </w:pPr>
            <w:r w:rsidRPr="005C3744">
              <w:rPr>
                <w:sz w:val="18"/>
                <w:szCs w:val="18"/>
              </w:rPr>
              <w:t>ELECTRIFICACIÓN DEL SITIO CERRITO MIRADOR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44.475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MEJORAMIENTO DE REDES ELECTRICAS DEL RECINTO BELLA FLOR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62.342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MEJORAMIENTO DE REDES ELECTRICAS DEL RECINTO POMA ROSA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14.154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MEJORAMIENTO DE REDES ELECTRICAS DEL RECINTO LA ZANJA 2 FAMILIAS CHOEZ</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6.147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AMPLIACION DE REDES ELECTRICAS EN EL SECTOR DE LA CAMARONERA RIO TAURA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21.553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AMPLIACION DE REDES ELECTRICAS EN EL SECTOR VIRGEN DE CHILLA-NUEVO NARANJAL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74.355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REMODELACION  DE REDES ELECTRICAS EN EL RECINTO POCOS PALOS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MEJORAMIENTO DE REDES ELECTRICAS DEL RECINTO SAN JOAQUIN 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110.015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MEJORAMIENTO DE LAS REDES ELECTRICAS DEL RECINTO LA VICTORIA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18.144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SAN FRANCISCO LOS PESANTEZ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11.420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LOS JARDINES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12.074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SAN MARTIN DE PORRES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11.103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XAVIER ROMERO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97.191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LA SUYA CENTRAL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13.331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LOS AGUACATES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6.922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PIÑOELAL 2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20.353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ORILLAS DEL RIO BULU BULU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13.194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CHONGONAL LOS PALMA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19.489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EL CAIMITO LOS GUERRERO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49.864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EL ROSAL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7.081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ESTERO BLANCO 2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14.711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LA ESPERANZA 2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8.975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LOS ANGELES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22.848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PAJONAL NORTE LOS DUARTE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9.950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RANCHO DE PIEDRA 3 Y 4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45.743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SAN MIGUEL BAJO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44.813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PLAYA SECA LA TRINCA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4.763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EL MANGO LOS ZHUMI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22.056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SAN JOSE DEL EDEN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24.747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SAN PEDRO LAS PAVAS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12.214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TIERRA DEL CAMPESINO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39.037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CIUDADELA SAN JORGE 3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36.816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CIUDADELA GALAPAGOS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19.660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RECINTO PROSPERIDAD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31.592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AMPLIACION DE REDES ELECTRICAS DEL CAMPAMENTO "LA VICTORIA"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14.369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RECINTO CHAGUE HERMANOS CALLE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9.779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Milagro</w:t>
            </w:r>
          </w:p>
        </w:tc>
        <w:tc>
          <w:tcPr>
            <w:tcW w:w="5815" w:type="dxa"/>
            <w:noWrap/>
            <w:hideMark/>
          </w:tcPr>
          <w:p w:rsidR="00E3792E" w:rsidRPr="005C3744" w:rsidRDefault="00E3792E" w:rsidP="00E3792E">
            <w:pPr>
              <w:rPr>
                <w:sz w:val="18"/>
                <w:szCs w:val="18"/>
              </w:rPr>
            </w:pPr>
            <w:r w:rsidRPr="005C3744">
              <w:rPr>
                <w:sz w:val="18"/>
                <w:szCs w:val="18"/>
              </w:rPr>
              <w:t>MLG  AMPLIACION DEL SISTEMA ELECTRICO DEL SECTOR LA ZANJA EL GALLINAZO GT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20.697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LAS CAÑITAS - COMUNA SALANGUILLO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12.664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LOS VERGELES, C. ELOY ALFARO - COM. SAN PABLO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30.067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 ESCUELA-COM. PUERTO SABANA GRANDE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22.859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NUEVA ESPERANZA-LA LIBERTAD</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33.115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ANTENA-COM. SAN VICENTE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70.314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RIOMAR, F.Q.-COM. SAN FRANCISCO DE LAS NUÑEZ</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43.916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LAS PALMERAS II-COM. OLON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23.032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VILLAMAR-COM. OLON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24.539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RIO HONDO-COM. ENGABAO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40.704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CDLA HACIA UN FUTURO-COM. SAN PABLO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39.259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NUEVA JERUSALEN ETAPA II-SANTA ELENA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44.174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LA ALDEA-COM. MANGLARALTO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75.325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ENTRADA A LA POBLACION-COM. DOS MANGAS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23.930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6 DE DICIEMBRE-COM. SAN MARCOS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12.511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BRISA DE BALLENITA-SANTA ELENA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31.067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PLAYA GALAPAGOS-COM. MONTAÑITA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32.627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FICUS NORTE-COM. ENGUNGA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24.207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LOS VERGELES-COM. SAN PABLO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35.523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BUENOS AIRES-COM. SINCHAL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25.328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CRISTO DEL CONSUELO-COM- RIO SECO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16.682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ALBARRADA-COMUNA VILLINGOTA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18.712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ESCUELA COMUNA DOS MANGAS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49.357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30 DE MAYO - PARROQUIA COLONCHE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33.612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23 DE ABRIL -COM SAN PEDRO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19.510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BELLAVISTA CASETA AGUAPEN - COMUNA SAN PABLO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20.135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COM. VIV. ASOC. UNIDOS CON JACOB</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24.739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LA ESPERANZA- VIA DOS MANGAS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47.510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LOS CORALES-SANTA ELENA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72.191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ENTRADA GUANGALA-COLONCHE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29.640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ADEMSE ACTUAL-SANTA ELENA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46.548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SAN FRANCISCO-JUAN GOMEZ RENDON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116.102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PERU COMUNA EL MORRILLO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73.483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RUTA DEL SOL - LIBERTADOR BOLIVAR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54.854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COMUNA SUBE Y BAJA - JULIO MORENO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56.822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COMUNA LIMONCITO -JULIO MORENO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163.911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COMUNA SUCRE-VIA A GUAYAQUIL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42.195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LINDO-CERECITA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25.257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ESPAÑA, B. LAS PEÑAS-COM. ENGABAO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101.730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SAN JOSE-COM. MONTEVERDE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16.125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CRUCE DE PALMAR-COM PALMAR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61.768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CEMENTERIO-COM PALMAR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53.928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B. 10 DE AGOSTO - COMUNA SAN PEDRO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37.745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SECTOR LAS CHALAS, VIA GUANGALA-COLONCHE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41.646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Sta Elena</w:t>
            </w:r>
          </w:p>
        </w:tc>
        <w:tc>
          <w:tcPr>
            <w:tcW w:w="5815" w:type="dxa"/>
            <w:noWrap/>
            <w:hideMark/>
          </w:tcPr>
          <w:p w:rsidR="00E3792E" w:rsidRPr="005C3744" w:rsidRDefault="00E3792E" w:rsidP="00E3792E">
            <w:pPr>
              <w:rPr>
                <w:sz w:val="18"/>
                <w:szCs w:val="18"/>
              </w:rPr>
            </w:pPr>
            <w:r w:rsidRPr="005C3744">
              <w:rPr>
                <w:sz w:val="18"/>
                <w:szCs w:val="18"/>
              </w:rPr>
              <w:t>ELECTRIFICACION EL TIGRILLO -COMUNA MONTAÑITA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152.861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SAN LORENZO RIO LIMONES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13.868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ELECTRICA DEL RECINTO POZA ONDA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25.053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ELECTRICA DEL SECTOR LA RAIZ EL MAYAL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14.902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ELECTRICA DEL SECTOR LA FLORIDA VIEJA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14.302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PEDRO LUIS, EL ESFUERZO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14.724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ELÉTRICA EN EL SITIO ESTERO LA ONZA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47.691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LAS MERCEDES DE AGUA SUCIA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25.204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COCHAPAMBA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68.803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EN PUERTO RICO SECTOR VENTANA CULEBRITA II</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54.070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RECINTO SANTA LUCIA PARRAGA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19.089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ELECTRICA EN EL SITIO SECTOR "Y" DE LOS LOORES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15.940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LA BRAVA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73.215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LA INDEPENDENCIA PUERTO QUITO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27.954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 xml:space="preserve">CONSTRUCCIÓN DE LA RED ELÉCTRICA DEL SECTOR 10 DE AGOSTO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22.550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COMUNIDAD CARLOS JULIO AROSEMENA TOLA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30.937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SECTOR WILFRIDO LOOR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14.989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SECTOR LA BOLIVAR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14.437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LINDICHE 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15.696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EN S.M. DEL TOACHI SECTOR LA MINA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24.067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EN ROSARIO SECTOR MARINA I</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14.757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BRISAS DEL ÑANGO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11.033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EN PUERTO LIMON SECTOR LA ESPERANZA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18.647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 xml:space="preserve">CONSTRUCCION DE LA RED ELECTRICA  EN LA COMUNIDAD BUENOS AIRES - EL MATE - CARRASCO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126.996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EN  S. J. DEL BUA SECTOR 11 DE NOVIEMBRE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13.399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EN LA COMUNIDAD LAS MONCE SENGUE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16.525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EN LA COMUNIDAD LOS MAZOS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14.394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SECTOR RECINTO EL GUAYABO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27.628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SECTOR RECINTO SAN REMO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12.241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 LA URBANIZACIÓN MOREIRA BARRIO VIRGEN DEL CISNE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18.163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DEL SECTOR PALMA SOLA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13.260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DEL SECTOR RAMAL EL GUSANITO RECINTO MIRADOR DE LA SELVA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11.809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DEL RECINTO LIBERTAD DEL CÓNGOMA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16.943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DEL BARRIO ALTAMIRA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21.961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DEL SECTOR VÍA CRISTOBAL COLÓN CHIGUILPE EL SÁBALO Km. 6.4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24.293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DEL SECTOR LIMON CHICO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22.063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RECINTO LA ALEGRIA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18.012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CONSTRUCCION DE LA RED ELECTRICA DEL SECTOR LA MEDIANIA VÍA A PEDERNALES 1.3Km + 1,6 MARGEN DERECHO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23.478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SAN FRANCISCO DE CHILA SECTOR "SUR"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31.598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CONSTRUCCIÓN DE LA RED ELÉCTRICA DEL SECTOR GRUPO EL DORADO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37.901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EXTENCION DE MEDIO VOLTAJE A 7.62 KV EN SAN GABRIEL DEL BABA DEL PUENTE MARGEN DERECHO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9.090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EXTENCION DE MEDIO VOLTAJE A 7.62 KV PARAISO LA 14 VIA LA 25 LA FORTUNA SECTOR LUZ DE AMERICA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20.796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Sto Domingo</w:t>
            </w:r>
          </w:p>
        </w:tc>
        <w:tc>
          <w:tcPr>
            <w:tcW w:w="5815" w:type="dxa"/>
            <w:noWrap/>
            <w:hideMark/>
          </w:tcPr>
          <w:p w:rsidR="00E3792E" w:rsidRPr="005C3744" w:rsidRDefault="00E3792E" w:rsidP="00E3792E">
            <w:pPr>
              <w:rPr>
                <w:sz w:val="18"/>
                <w:szCs w:val="18"/>
              </w:rPr>
            </w:pPr>
            <w:r w:rsidRPr="005C3744">
              <w:rPr>
                <w:sz w:val="18"/>
                <w:szCs w:val="18"/>
              </w:rPr>
              <w:t>EXTENSION EN MEDIO Y BAJO VOLTAJE VIA LOS LIBRES SECTOR RECINTO EL PROGRESO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14.569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CONSTRUCCIÓN Y MEJORA DE REDES DE DISTRIBUCIÓN ELECTRICA PARROQUIA SAN SEBASTIAN DEL COCA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200.916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CONSTRUCCIÓN Y MEJORA DE REDES DE DISTRIBUCIÓN ELECTRICA PARROQUIA UNION MILAGREÑA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58.648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CONSTRUCCIÓN Y MEJORA DE REDES DE DISTRIBUCIÓN ELECTRICA PARROQUIA GUAYUSA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277.849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ELECTRIFICACIÓN PARA LA COMUNIDAD ALIANZA AGRÍCOLA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62.908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CONSTRUCCIÓN Y MEJORA DE REDES DE DISTRIBUCIÓN ELECTRICA PARROQUIA EL DORADO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607.766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ELECTRIFICACION COMUNIDAD SANTA ROSA -FREDY SILVA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53.277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ELECTRIFICACION SECTOR NUEVA JERUSALEN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185.047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ELECTRIFICACION SECTOR SELVA ALEGRE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38.640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CONSTRUCCIÓN Y MEJORA DE REDES DE DISTRIBUCIÓN ELECTRICA PARROQUIA DAYUMA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686.082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CONSTRUCCIÓN Y MEJORA DE REDES DE DISTRIBUCIÓN ELECTRICA PARROQUIA AVILA HUIRUNO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178.270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ELECTRIFICACION SECTOR 12 DE FEBRERO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54.442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CONSTRUCCIÓN Y MEJORA DE REDES DE DISTRIBUCIÓN ELECTRICA PARROQUIA PUERTO MURIALDO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49.050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CNEL Sucumbios</w:t>
            </w:r>
          </w:p>
        </w:tc>
        <w:tc>
          <w:tcPr>
            <w:tcW w:w="5815" w:type="dxa"/>
            <w:noWrap/>
            <w:hideMark/>
          </w:tcPr>
          <w:p w:rsidR="00E3792E" w:rsidRPr="005C3744" w:rsidRDefault="00E3792E" w:rsidP="00E3792E">
            <w:pPr>
              <w:rPr>
                <w:sz w:val="18"/>
                <w:szCs w:val="18"/>
              </w:rPr>
            </w:pPr>
            <w:r w:rsidRPr="005C3744">
              <w:rPr>
                <w:sz w:val="18"/>
                <w:szCs w:val="18"/>
              </w:rPr>
              <w:t>ELECTRIFICACIÓN PARA LA COMUNIDAD EL NARANJAL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142.165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Paparawa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191.061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Comunidad Palati</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121.616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Comunidad Kuakash</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83.596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Barrio El Mirador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77.759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Asociación "ACIA" - Arajuno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207.608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Colonia  Gavilan del Anzu</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39.072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Comunidad Sharup</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102.459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Sarayacu Puerto - Canelos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66.417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Palimbe - Canelos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78.691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El Talín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91.916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Comunidad Ankuash</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94.567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Ambato</w:t>
            </w:r>
          </w:p>
        </w:tc>
        <w:tc>
          <w:tcPr>
            <w:tcW w:w="5815" w:type="dxa"/>
            <w:noWrap/>
            <w:hideMark/>
          </w:tcPr>
          <w:p w:rsidR="00E3792E" w:rsidRPr="005C3744" w:rsidRDefault="00E3792E" w:rsidP="00E3792E">
            <w:pPr>
              <w:rPr>
                <w:sz w:val="18"/>
                <w:szCs w:val="18"/>
              </w:rPr>
            </w:pPr>
            <w:r w:rsidRPr="005C3744">
              <w:rPr>
                <w:sz w:val="18"/>
                <w:szCs w:val="18"/>
              </w:rPr>
              <w:t>WAYSA KUCHA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38.453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Azogues</w:t>
            </w:r>
          </w:p>
        </w:tc>
        <w:tc>
          <w:tcPr>
            <w:tcW w:w="5815" w:type="dxa"/>
            <w:noWrap/>
            <w:hideMark/>
          </w:tcPr>
          <w:p w:rsidR="00E3792E" w:rsidRPr="005C3744" w:rsidRDefault="00E3792E" w:rsidP="00E3792E">
            <w:pPr>
              <w:rPr>
                <w:sz w:val="18"/>
                <w:szCs w:val="18"/>
              </w:rPr>
            </w:pPr>
            <w:r w:rsidRPr="005C3744">
              <w:rPr>
                <w:sz w:val="18"/>
                <w:szCs w:val="18"/>
              </w:rPr>
              <w:t>ELECTRIFICCIÓN DEL SECTOR CHAPTE DE LUIS CORDERO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30.525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Azogues</w:t>
            </w:r>
          </w:p>
        </w:tc>
        <w:tc>
          <w:tcPr>
            <w:tcW w:w="5815" w:type="dxa"/>
            <w:noWrap/>
            <w:hideMark/>
          </w:tcPr>
          <w:p w:rsidR="00E3792E" w:rsidRPr="005C3744" w:rsidRDefault="00E3792E" w:rsidP="00E3792E">
            <w:pPr>
              <w:rPr>
                <w:sz w:val="18"/>
                <w:szCs w:val="18"/>
              </w:rPr>
            </w:pPr>
            <w:r w:rsidRPr="005C3744">
              <w:rPr>
                <w:sz w:val="18"/>
                <w:szCs w:val="18"/>
              </w:rPr>
              <w:t>ELECTRIFICCIÓN RURAL SECTOR PUCAGUAZO - BAYAS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30.587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Azogues</w:t>
            </w:r>
          </w:p>
        </w:tc>
        <w:tc>
          <w:tcPr>
            <w:tcW w:w="5815" w:type="dxa"/>
            <w:noWrap/>
            <w:hideMark/>
          </w:tcPr>
          <w:p w:rsidR="00E3792E" w:rsidRPr="005C3744" w:rsidRDefault="00E3792E" w:rsidP="00E3792E">
            <w:pPr>
              <w:rPr>
                <w:sz w:val="18"/>
                <w:szCs w:val="18"/>
              </w:rPr>
            </w:pPr>
            <w:r w:rsidRPr="005C3744">
              <w:rPr>
                <w:sz w:val="18"/>
                <w:szCs w:val="18"/>
              </w:rPr>
              <w:t>ELECTRIFICCIÓN RURAL SECTOR CACHI CORALCAY - SAN ANTONIO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138.739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EN SECTOR DE PIEDRA AZUL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112.905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EN SECTOR DE SILVAN</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61.976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RIO BLANCO SAN ANTONIO DE PAGUANCAY</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76.246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EN SECTOR DE COMUNIDAD DE PULPITO Y SAN LUIS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105.922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NUEVO RUMIPAMBA CHICO 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18.685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SAN MARTIN DE PUZHIO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35.851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SECTOR MAMATIA SIQUINA CHAUCHA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49.479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SAGRADO CORAZON DE JESUS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49.408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NUEVO HATOBOLO-YURACSACHA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34.075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BANGUIR LUDO SIGSIG</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30.253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ZHULLICAY</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14.149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LOCALIDAD DE SAN RAMON DUCUR CAÑAR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32.888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SECTOR DE BAYAN- SAN JOSE DE RARANGA SIGSIG</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17.016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CONSTRCCION REDES MT-BT COMUNIDAD FONDO HUAICO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25.458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MT-BT SECTOR CIUDADELA SANTA MARTHA / LA TRONCAL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48.279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ELECTRIFICACIÓN DE LA COMUNIDAD DE YUNKUAPAIS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65.500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JEMPEKAT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25.897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SENKIANKAS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8.826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 - BT LOCALIDAD BAYZHUN CARMEN DE JADAN TR 133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48.231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 - BT EN SECTORES DE SAN PEDRO BAJO HONORATO VAZQUEZ CAÑAR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39.577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CONSTRUCCION REDES MT - BT EN SECTORES DE SAN PEDRO DE ZHUMIRAL</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48.240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Centrosur</w:t>
            </w:r>
          </w:p>
        </w:tc>
        <w:tc>
          <w:tcPr>
            <w:tcW w:w="5815" w:type="dxa"/>
            <w:noWrap/>
            <w:hideMark/>
          </w:tcPr>
          <w:p w:rsidR="00E3792E" w:rsidRPr="005C3744" w:rsidRDefault="00E3792E" w:rsidP="00E3792E">
            <w:pPr>
              <w:rPr>
                <w:sz w:val="18"/>
                <w:szCs w:val="18"/>
              </w:rPr>
            </w:pPr>
            <w:r w:rsidRPr="005C3744">
              <w:rPr>
                <w:sz w:val="18"/>
                <w:szCs w:val="18"/>
              </w:rPr>
              <w:t>LA MISION SAN PEDRO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66.654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 La Josefina, Capilla Chico Y El Tigre Machay</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76.166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En Pucara Pangua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35.815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Construcción De Red Recintos El Cristal Y Campo Alegre 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168.094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De Distribución En El Barrio Corazón De Jesús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7.529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De Distribución En El Barrio San Luis De Chipeamburgo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13.692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De Distribución En San Agustin Del Carmen - La Mana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25.703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Distribución Chisulchi Chico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17.472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Distribución En Guasumbini Bajo Sigchos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26.230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De Distribución Laigua Bellavista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11.131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Distribribución En Locoa Santa Ana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16.439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Distribución Santa Rosa De Pichul Oriente</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16.819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Reforzamiento De Red Sector Guapulo Arriba El Tejar</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9.691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De Distribribución En Patutan Sector 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18.101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Remodelación De Red Chosoalo - Chugchilan De Sigchos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21.181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Distribución Punta Brava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51.302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Distribución Tres De Mayo Pujili</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22.235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De Distribución En Patoa De Vacas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18.212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Distribución En Mariscal Sucre Poalo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31.395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Cotopaxi</w:t>
            </w:r>
          </w:p>
        </w:tc>
        <w:tc>
          <w:tcPr>
            <w:tcW w:w="5815" w:type="dxa"/>
            <w:noWrap/>
            <w:hideMark/>
          </w:tcPr>
          <w:p w:rsidR="00E3792E" w:rsidRPr="005C3744" w:rsidRDefault="00E3792E" w:rsidP="00E3792E">
            <w:pPr>
              <w:rPr>
                <w:sz w:val="18"/>
                <w:szCs w:val="18"/>
              </w:rPr>
            </w:pPr>
            <w:r w:rsidRPr="005C3744">
              <w:rPr>
                <w:sz w:val="18"/>
                <w:szCs w:val="18"/>
              </w:rPr>
              <w:t>Red De Distribucion En Milimpamba-Zumbahua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29.466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Galapagos</w:t>
            </w:r>
          </w:p>
        </w:tc>
        <w:tc>
          <w:tcPr>
            <w:tcW w:w="5815" w:type="dxa"/>
            <w:noWrap/>
            <w:hideMark/>
          </w:tcPr>
          <w:p w:rsidR="00E3792E" w:rsidRPr="005C3744" w:rsidRDefault="00E3792E" w:rsidP="00E3792E">
            <w:pPr>
              <w:rPr>
                <w:sz w:val="18"/>
                <w:szCs w:val="18"/>
              </w:rPr>
            </w:pPr>
            <w:r w:rsidRPr="005C3744">
              <w:rPr>
                <w:sz w:val="18"/>
                <w:szCs w:val="18"/>
              </w:rPr>
              <w:t>REPOTENCIACIÓN DE RED DE DISTRIBUCIÓN EN EL SECTOR BARRIO NUEVO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30.250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Galapagos</w:t>
            </w:r>
          </w:p>
        </w:tc>
        <w:tc>
          <w:tcPr>
            <w:tcW w:w="5815" w:type="dxa"/>
            <w:noWrap/>
            <w:hideMark/>
          </w:tcPr>
          <w:p w:rsidR="00E3792E" w:rsidRPr="005C3744" w:rsidRDefault="00E3792E" w:rsidP="00E3792E">
            <w:pPr>
              <w:rPr>
                <w:sz w:val="18"/>
                <w:szCs w:val="18"/>
              </w:rPr>
            </w:pPr>
            <w:r w:rsidRPr="005C3744">
              <w:rPr>
                <w:sz w:val="18"/>
                <w:szCs w:val="18"/>
              </w:rPr>
              <w:t>REPOTENCIACIÓN DE REDES DE DISTRIBUCIÓN EN EL SECTOR PEDREGAL V</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27.270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Galapagos</w:t>
            </w:r>
          </w:p>
        </w:tc>
        <w:tc>
          <w:tcPr>
            <w:tcW w:w="5815" w:type="dxa"/>
            <w:noWrap/>
            <w:hideMark/>
          </w:tcPr>
          <w:p w:rsidR="00E3792E" w:rsidRPr="005C3744" w:rsidRDefault="00E3792E" w:rsidP="00E3792E">
            <w:pPr>
              <w:rPr>
                <w:sz w:val="18"/>
                <w:szCs w:val="18"/>
              </w:rPr>
            </w:pPr>
            <w:r w:rsidRPr="005C3744">
              <w:rPr>
                <w:sz w:val="18"/>
                <w:szCs w:val="18"/>
              </w:rPr>
              <w:t>CONSTRUCCIÓN DE NUEVA RED DE DISTRIBUCIÓN EN EL SECTOR LOS GEMELOS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104.408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Galapagos</w:t>
            </w:r>
          </w:p>
        </w:tc>
        <w:tc>
          <w:tcPr>
            <w:tcW w:w="5815" w:type="dxa"/>
            <w:noWrap/>
            <w:hideMark/>
          </w:tcPr>
          <w:p w:rsidR="00E3792E" w:rsidRPr="005C3744" w:rsidRDefault="00E3792E" w:rsidP="00E3792E">
            <w:pPr>
              <w:rPr>
                <w:sz w:val="18"/>
                <w:szCs w:val="18"/>
              </w:rPr>
            </w:pPr>
            <w:r w:rsidRPr="005C3744">
              <w:rPr>
                <w:sz w:val="18"/>
                <w:szCs w:val="18"/>
              </w:rPr>
              <w:t>EXPANSIÓN DE LA RED DE DISTRIBUCIÓN, EN EL SECTOR JARDINES DE BELLAVISTA, ZONA RURAL DE SANTA CRUZ.</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81.426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BARRIO RENACER DE PRIORATO (UM)</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60.026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LA ESPERANZA EL GUITARRERO - BOLIVAR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19.388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SECTOR EL CAUCHO EL ANGEL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32.046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SECTOR EL RAMAL DE AMBUQUI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14.946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SECTOR SANTA MARIA DE CHICAL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32.630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COMPLEMENTO DE ELECTRIFICACIÓN Y RRD Y APT SECTOR RIO PIGUAMBI - ALTO TAMBO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20.715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SECTOR CULEBRILLAS PARROQUIA ANGOCHAGUA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9.664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SECTOR PAN DE AZUCAR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31.221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COMUNIDAD DE AJUMBUELA - TUMBABIRO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14.358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 xml:space="preserve">ELECTRIFICACION RIO VERDE MEDIO ( R )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35.656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COMPLEMENTO DE ELECTRIFICACION EN  YAHUARCOCHA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10.823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RRD Y APT SECTOR EL  LECHERO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41.814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Y RRD  LOMA NEGRA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22.113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1768EC" w:rsidRDefault="00E3792E" w:rsidP="00E3792E">
            <w:pPr>
              <w:rPr>
                <w:sz w:val="18"/>
                <w:szCs w:val="18"/>
                <w:lang w:val="pt-BR"/>
              </w:rPr>
            </w:pPr>
            <w:r w:rsidRPr="001768EC">
              <w:rPr>
                <w:sz w:val="18"/>
                <w:szCs w:val="18"/>
                <w:lang w:val="pt-BR"/>
              </w:rPr>
              <w:t>ELECTRIFICACIÒN CACHACO VIA GETSEMANI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1768EC">
              <w:rPr>
                <w:rFonts w:ascii="Calibri" w:hAnsi="Calibri" w:cs="Calibri"/>
                <w:color w:val="000000"/>
                <w:sz w:val="18"/>
                <w:szCs w:val="18"/>
                <w:lang w:val="pt-BR"/>
              </w:rPr>
              <w:t xml:space="preserve"> </w:t>
            </w:r>
            <w:r w:rsidRPr="00E3792E">
              <w:rPr>
                <w:rFonts w:ascii="Calibri" w:hAnsi="Calibri" w:cs="Calibri"/>
                <w:color w:val="000000"/>
                <w:sz w:val="18"/>
                <w:szCs w:val="18"/>
              </w:rPr>
              <w:t xml:space="preserve">9.936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ELECTRIFICACIÒN SECTOR LA LOMA DE AGUIRRE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19.825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ELECTRIFICACIÒN SECTOR EL VERDE CHICAL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63.821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READECUACION DE RED SECTOR CAUCHO ALTO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49.699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ELECTRIFICACIÒN RIO BLANCO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7.900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CONSTRUCCION DE REDES DE DISTRIBUCION VARIOS SECTORES PARA AREAS RURALES DE LAS PARROQUIAS DE OTAVALO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600.000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Y RRD LA VIOLETA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40.128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Norte</w:t>
            </w:r>
          </w:p>
        </w:tc>
        <w:tc>
          <w:tcPr>
            <w:tcW w:w="5815" w:type="dxa"/>
            <w:noWrap/>
            <w:hideMark/>
          </w:tcPr>
          <w:p w:rsidR="00E3792E" w:rsidRPr="005C3744" w:rsidRDefault="00E3792E" w:rsidP="00E3792E">
            <w:pPr>
              <w:rPr>
                <w:sz w:val="18"/>
                <w:szCs w:val="18"/>
              </w:rPr>
            </w:pPr>
            <w:r w:rsidRPr="005C3744">
              <w:rPr>
                <w:sz w:val="18"/>
                <w:szCs w:val="18"/>
              </w:rPr>
              <w:t>ELECTRIFICACION RRD Y APT SECTOR CONDOR MIRADOR  OTAVALO ( R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30.756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REMODELACIÓN, CONSTRUCCIÓN E IMPLEMENTACIÓN DE NUEVAS REDES EN BAJO Y MEDIO VOLTAJE UYACHUL ALTO</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130.619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"BARRIO SAN VICENTE DE CALDERÓN, I ETAPA"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104.443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CONSTRUCCION E IMPLEMENTACIÓN DE NUEVAS REDES DE BAJO Y MEDIO VOLTAJE, SANTA TERESITA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63.581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RANCHO SAN ANTONIO ALTO, CALLES "H", "L", PASAJES "21 ,"O"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57.298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"SANTA TERESITA, ETAPA II"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49.536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REMODELACIÓN, CONSTRUCCIÓN E IMPLEMENTACIÓN DE NUEVAS REDES EN BAJO Y MEDIO VOLTAJE BARRIO 19 DE MAYO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26.908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BARRIO ALEGRÍA DEL CRECER</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23.256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PASAJES 5 Y 6, PINOS DE LA PULIDA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17.263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 xml:space="preserve">REMODELACIÓN, CONSTRUCCIÓN E IMPLEMENTACIÓN DE NUEVAS REDES EN BAJO Y MEDIO VOLTAJE PASAJE MIDEROS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16.822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 xml:space="preserve">REMODELACIÓN, CONSTRUCCIÓN E IMPLEMENTACIÓN DE NUEVAS REDES EN BAJO Y MEDIO VOLTAJE CRISTO REY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15.095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CONSTRUCCION E IMPLEMENTACION DE NUEVAS REDES DE MEDIO Y BAJO VOLTAJE-ASOCIACION SINCHY MUSHUK-CALLE 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13.673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"PASAJE PAQUISHA"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10.542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CALLE E35 - SECTOR ASCAZUBI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10.436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SANTA ANA DE CALDERON</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203.474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-BARRIO GRANJA TERESA ALTUNA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23.380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VIA A PUEBLO VIEJO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8.516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REMODELACIÓN, CONSTRUCCIÓN E IMPLEMENTACIÓN DE NUEVAS REDES EN BAJO Y MEDIO VOLTAJE LOTIZACION ASO DAC</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314.656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"DANIEL MONTOYA 1"</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40.542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CALLE M BARRIO SAN ALFONSO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17.549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CONSTRUCCIÓN E IMPLEMENTACIÓN DE NUEVAS REDES EN BAJO Y MEDIO VOLTAJE BARRIO MIRAVALLE CAMINO DE LOS INCAS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26.686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REMODELACIÓN, CONSTRUCCIÓN E IMPLEMENTACIÓN DE NUEVAS REDES EN BAJO Y MEDIO VOLTAJE UYACHUL BAJO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77.891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REMODELACIÓN, CONSTRUCCIÓN E IMPLEMENTACIÓN DE NUEVAS REDES EN BAJO Y MEDIO VOLTAJE BARRIO LA GARZOTA SEGUNDA ETAPA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90.564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Quito</w:t>
            </w:r>
          </w:p>
        </w:tc>
        <w:tc>
          <w:tcPr>
            <w:tcW w:w="5815" w:type="dxa"/>
            <w:noWrap/>
            <w:hideMark/>
          </w:tcPr>
          <w:p w:rsidR="00E3792E" w:rsidRPr="005C3744" w:rsidRDefault="00E3792E" w:rsidP="00E3792E">
            <w:pPr>
              <w:rPr>
                <w:sz w:val="18"/>
                <w:szCs w:val="18"/>
              </w:rPr>
            </w:pPr>
            <w:r w:rsidRPr="005C3744">
              <w:rPr>
                <w:sz w:val="18"/>
                <w:szCs w:val="18"/>
              </w:rPr>
              <w:t>CONSTRUCCION E IMPLEMANTACION DE NUEVAS REDES DE MEDIO Y BAJO VOLTAJE PASAJE SAN CARLOS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19.267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COMUNIDAD DE CHINILOMA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21.976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PRIMERO DE MAYO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8.655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SECTOR CAGUALOMA - COMUNIDAD CHAUZAN TOTORILLAS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16.537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SECTOR CASCAJAL - MATRIZ</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7.713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SECTOR YURASPAMBA ENTRADA DE LA HOSTERIA EL TROJE</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11.392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MANUEL GUAIRACAJA-LUIS MOYOLEMA-JOSE MOYOLEMA -VIA A MACAS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6.018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EL ARENAL</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20.337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CARAPUNGO / LA MATRIZ</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15.085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LA INMACULADA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15.405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SAN JOSE DE MACAJI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17.374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COMUNIDAD DE TEPEYAG BAJO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19.816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COLAIPUD / LA MATRIZ</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28.202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CALLES CARCHI Y SUCUMBIOS / SR. SORIA MARIO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6.587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COMUNIDADES DE TIPIN CHACALLU Y TIPIN TABLASPAMBA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64.572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24 DE MAYO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6.875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BARRIO LOS TRES POTRILLO / AIRON</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9.369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AMPLIACIÒN DE ELECTRIFICACIÒN SECTOR MIRADOR ALTO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9.784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AMPLIANCION DE ELECTRIFICACIÓN BARRIO LA LOLITA NUEVA ESPERANZA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28.043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LIBERTAD</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7.790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SRS. PERALTA, HARO, CAYAMBE /BARRIO 13 DE MAYO /CAB. CANTONA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6.067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CALLE SUIZA Y UCRANIA / SECTOR SABU DETRAS DE DINAPEN</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6.796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EL TAMBO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10.017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NUEVA ESPERANZA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23.908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SHILSHI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8.699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SECTOR ACHANSI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13.228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COMUNIDAD SAN VICENTE DE LUISA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19.522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COMUNIDAD SAN VICENTE DE ELEMPATA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11.774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SRS. AULES, MOROCHO Y CUTUHUAN / BARRIO SATA ROSA DE MULTITU</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9.934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COMUNIDAD AZUAY</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16.044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COMUNIDAD LA PRIMAVERA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5.104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COMUNIDAD HIERBA BUENA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63.990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SECTOR HONDURAS SALVADOR</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4.789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RECINTO SAN JUAN DE LA ISLA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5.455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RECINTO SACRAMENTO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11.843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SECTOR SAN FRANCISCO DE CUNUGUACHAY</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3.825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LA FLORIDA CANTON RIOBAMBA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8.877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LA FLORIDA CANTON GUANO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10.767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SRS. NAUYA,MOYOLEMA, LEMA Y NAULA/ NUEVA VIA A MACAS KM3 Y 4</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7.522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CASTAÑEDA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20.376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SRS. INSUSATI JUAN, BAÑO LUIS Y MAZA ALFONSO /CALLE POLONIA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7.350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BARRIO LOS NOGALES / LA MATRIZ</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12.908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Riobamba</w:t>
            </w:r>
          </w:p>
        </w:tc>
        <w:tc>
          <w:tcPr>
            <w:tcW w:w="5815" w:type="dxa"/>
            <w:noWrap/>
            <w:hideMark/>
          </w:tcPr>
          <w:p w:rsidR="00E3792E" w:rsidRPr="005C3744" w:rsidRDefault="00E3792E" w:rsidP="00E3792E">
            <w:pPr>
              <w:rPr>
                <w:sz w:val="18"/>
                <w:szCs w:val="18"/>
              </w:rPr>
            </w:pPr>
            <w:r w:rsidRPr="005C3744">
              <w:rPr>
                <w:sz w:val="18"/>
                <w:szCs w:val="18"/>
              </w:rPr>
              <w:t>VIA QUE UNE LA VIA CHAMBO Y LA VIA A SAN LUIS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11.111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LUZ DE AMERICA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50.668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GUAYANUMA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26.343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BARRIO EL PARAISO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41.443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LA ESPERANZA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10.340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PASHKIUS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49.841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 xml:space="preserve">CONSTRUCCIÓN DE REDES ELÉCTRICAS EN EL BARRIO LA LIBERTAD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26.406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SHORUPE BAJO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18.574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 xml:space="preserve">CONSTRUCCIÓN DE REDES ELÉCTRICAS EN EL SANGOLA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41.223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SAN RAMON</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22.496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NUMBAIME</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39.913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LIMON BAJO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7.894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AMPLIACIÓN REDES ELÉCTRICAS  SASASPAS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50.166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RAMIREZPAMBA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8.393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NAMACUNTZA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75.746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EL TUNDO - SANGÜILAMA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16.833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SHAGUINDO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27.353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SAN FELIPE - LIMON VEGA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16.832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CRUZPAMBA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31.575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PICCHIC - ACACANA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12.628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CONONZA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18.945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FRAILEJONES - TOTUMITOS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18.935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EL BOSQUE</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48.438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EL FUNDO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31.846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REINA DEL CISNE ETAPA III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25.690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CONSAGUANA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9.696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LOS ANGELES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21.053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ENTRADA LA LIBERTAD</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8.102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SAN MIGUEL DE YAWINTS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43.636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TIUKCHA-PASHCOS-MICHANUNKA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101.415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LOS CEIBOS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75.205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GUINEO GRANDE</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11.946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CANTERA DEL PINAR</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17.487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AMALUZA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23.449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LOS LIRIOS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10.526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UNIÓN LOJANA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21.053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ACHUNTS-SAN FRANCISCO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59.960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EL CHUI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14.000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NUNGUI BAJO Y ALTO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85.149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LEONIDAS QUEVEDO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22.960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CAÑIC - PASHIN- GULAC</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155.315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 xml:space="preserve">CONSTRUCCIÓN DE REDES ELÉCTRICAS EN EL BARRIO SAN PABLO DE TENTA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237.167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PUCAPAMBA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32.100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EL TEJAR</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47.507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LAS CUADRAS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40.695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LA VICTORIA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43.601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CAZHARRUMI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54.642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ORGANOS ALTO-ZAMBUMBA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27.361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CARANGO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58.942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LAS PALMITAS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73.232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LAS PALMERAS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27.364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SACAPIANGA ALTO-SARACOLA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14.737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GUELEDEL</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113.689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SAN ANTONIO DE CUMBE</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61.550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SANTO DOMINGO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32.036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LOS HOYOS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48.791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MOLLOPAMBA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37.504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ESTERAPAMBA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13.588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GUAMBONA II</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11.868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ELTRICAS EN EL BARRIO CHONTAL-BALSAL</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66.484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PICOTILLA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57.636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ELTRICAS EN EL BARRIO COCHURCO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36.829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EL PRADO DE CARBONCILLO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32.831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ELTRICAS EN EL BARRIO PANGUINTZA ALTO</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20.672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LAS ORQUIDEAS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26.049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SAN JOSÉ DE LOS HACHOS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18.984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RIVERAS DEL ZAMORA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26.636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NUNPAN</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50.238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LA ALCANTARILLA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30.893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LOS ENTIERROS</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70.940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BARRIO  PARA  DOTACIÓN DE YURAS CHURUPALLANA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126.484 </w:t>
            </w:r>
          </w:p>
        </w:tc>
      </w:tr>
      <w:tr w:rsidR="00E3792E" w:rsidRPr="005C3744" w:rsidTr="00E3792E">
        <w:trPr>
          <w:trHeight w:val="285"/>
        </w:trPr>
        <w:tc>
          <w:tcPr>
            <w:tcW w:w="1977" w:type="dxa"/>
            <w:noWrap/>
            <w:hideMark/>
          </w:tcPr>
          <w:p w:rsidR="00E3792E" w:rsidRPr="005C3744" w:rsidRDefault="00E3792E" w:rsidP="00E3792E">
            <w:pPr>
              <w:rPr>
                <w:sz w:val="18"/>
                <w:szCs w:val="18"/>
              </w:rPr>
            </w:pPr>
            <w:r w:rsidRPr="005C3744">
              <w:rPr>
                <w:sz w:val="18"/>
                <w:szCs w:val="18"/>
              </w:rPr>
              <w:t>E.E. Sur</w:t>
            </w:r>
          </w:p>
        </w:tc>
        <w:tc>
          <w:tcPr>
            <w:tcW w:w="5815" w:type="dxa"/>
            <w:noWrap/>
            <w:hideMark/>
          </w:tcPr>
          <w:p w:rsidR="00E3792E" w:rsidRPr="005C3744" w:rsidRDefault="00E3792E" w:rsidP="00E3792E">
            <w:pPr>
              <w:rPr>
                <w:sz w:val="18"/>
                <w:szCs w:val="18"/>
              </w:rPr>
            </w:pPr>
            <w:r w:rsidRPr="005C3744">
              <w:rPr>
                <w:sz w:val="18"/>
                <w:szCs w:val="18"/>
              </w:rPr>
              <w:t>CONSTRUCCIÓN DE REDES ELÉCTRICAS EN EL SECTOR HUATO CORURA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E3792E" w:rsidRPr="00E3792E" w:rsidRDefault="00E3792E" w:rsidP="00E3792E">
            <w:pPr>
              <w:jc w:val="right"/>
              <w:rPr>
                <w:rFonts w:ascii="Calibri" w:hAnsi="Calibri" w:cs="Calibri"/>
                <w:color w:val="000000"/>
                <w:sz w:val="18"/>
                <w:szCs w:val="18"/>
              </w:rPr>
            </w:pPr>
            <w:r w:rsidRPr="00E3792E">
              <w:rPr>
                <w:rFonts w:ascii="Calibri" w:hAnsi="Calibri" w:cs="Calibri"/>
                <w:color w:val="000000"/>
                <w:sz w:val="18"/>
                <w:szCs w:val="18"/>
              </w:rPr>
              <w:t xml:space="preserve"> 127.918 </w:t>
            </w:r>
          </w:p>
        </w:tc>
      </w:tr>
    </w:tbl>
    <w:p w:rsidR="005C3744" w:rsidRDefault="005C3744">
      <w:pPr>
        <w:rPr>
          <w:lang w:val="es-CL"/>
        </w:rPr>
      </w:pPr>
    </w:p>
    <w:p w:rsidR="005C3744" w:rsidRDefault="005C3744">
      <w:pPr>
        <w:rPr>
          <w:lang w:val="es-CL"/>
        </w:rPr>
      </w:pPr>
    </w:p>
    <w:p w:rsidR="005C3744" w:rsidRPr="005C3744" w:rsidRDefault="005C3744">
      <w:pPr>
        <w:rPr>
          <w:b/>
          <w:lang w:val="es-CL"/>
        </w:rPr>
      </w:pPr>
      <w:r w:rsidRPr="005C3744">
        <w:rPr>
          <w:b/>
          <w:lang w:val="es-CL"/>
        </w:rPr>
        <w:t>Proyectos Extensión de Redes para la Agroindustria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gridCol w:w="1134"/>
      </w:tblGrid>
      <w:tr w:rsidR="005C3744" w:rsidRPr="005C3744" w:rsidTr="00573753">
        <w:trPr>
          <w:trHeight w:val="310"/>
        </w:trPr>
        <w:tc>
          <w:tcPr>
            <w:tcW w:w="2122" w:type="dxa"/>
            <w:shd w:val="clear" w:color="auto" w:fill="DEEAF6" w:themeFill="accent5" w:themeFillTint="33"/>
            <w:hideMark/>
          </w:tcPr>
          <w:p w:rsidR="005C3744" w:rsidRPr="005C3744" w:rsidRDefault="005C3744" w:rsidP="005C3744">
            <w:pPr>
              <w:rPr>
                <w:b/>
                <w:bCs/>
                <w:sz w:val="18"/>
                <w:szCs w:val="18"/>
              </w:rPr>
            </w:pPr>
            <w:r w:rsidRPr="005C3744">
              <w:rPr>
                <w:b/>
                <w:bCs/>
                <w:sz w:val="18"/>
                <w:szCs w:val="18"/>
              </w:rPr>
              <w:t>DISTRIBUIDORA</w:t>
            </w:r>
          </w:p>
        </w:tc>
        <w:tc>
          <w:tcPr>
            <w:tcW w:w="5670" w:type="dxa"/>
            <w:shd w:val="clear" w:color="auto" w:fill="DEEAF6" w:themeFill="accent5" w:themeFillTint="33"/>
            <w:hideMark/>
          </w:tcPr>
          <w:p w:rsidR="005C3744" w:rsidRPr="005C3744" w:rsidRDefault="005C3744" w:rsidP="005C3744">
            <w:pPr>
              <w:rPr>
                <w:b/>
                <w:bCs/>
                <w:sz w:val="18"/>
                <w:szCs w:val="18"/>
              </w:rPr>
            </w:pPr>
            <w:r w:rsidRPr="005C3744">
              <w:rPr>
                <w:b/>
                <w:bCs/>
                <w:sz w:val="18"/>
                <w:szCs w:val="18"/>
              </w:rPr>
              <w:t>NOMBRE PROYECTO</w:t>
            </w:r>
          </w:p>
        </w:tc>
        <w:tc>
          <w:tcPr>
            <w:tcW w:w="1134" w:type="dxa"/>
            <w:shd w:val="clear" w:color="auto" w:fill="DEEAF6" w:themeFill="accent5" w:themeFillTint="33"/>
            <w:hideMark/>
          </w:tcPr>
          <w:p w:rsidR="005C3744" w:rsidRPr="005C3744" w:rsidRDefault="005C3744" w:rsidP="00E3792E">
            <w:pPr>
              <w:jc w:val="right"/>
              <w:rPr>
                <w:b/>
                <w:bCs/>
                <w:sz w:val="18"/>
                <w:szCs w:val="18"/>
              </w:rPr>
            </w:pPr>
            <w:r w:rsidRPr="005C3744">
              <w:rPr>
                <w:b/>
                <w:bCs/>
                <w:sz w:val="18"/>
                <w:szCs w:val="18"/>
              </w:rPr>
              <w:t>Inversión (US$)</w:t>
            </w:r>
          </w:p>
        </w:tc>
      </w:tr>
      <w:tr w:rsidR="005C3744" w:rsidRPr="005C3744" w:rsidTr="00573753">
        <w:trPr>
          <w:trHeight w:val="349"/>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CONSTRUCCIÓN DE LA LÍNEA TRIFASICA DESDE LA PARROQUIA TENGUEL  HASTA EL SITIO LOS CONCHEROS</w:t>
            </w:r>
          </w:p>
        </w:tc>
        <w:tc>
          <w:tcPr>
            <w:tcW w:w="1134" w:type="dxa"/>
            <w:hideMark/>
          </w:tcPr>
          <w:p w:rsidR="005C3744" w:rsidRPr="005C3744" w:rsidRDefault="005C3744" w:rsidP="00E3792E">
            <w:pPr>
              <w:jc w:val="right"/>
              <w:rPr>
                <w:sz w:val="18"/>
                <w:szCs w:val="18"/>
              </w:rPr>
            </w:pPr>
            <w:r w:rsidRPr="005C3744">
              <w:rPr>
                <w:sz w:val="18"/>
                <w:szCs w:val="18"/>
              </w:rPr>
              <w:t xml:space="preserve"> 208.457,5 </w:t>
            </w:r>
          </w:p>
        </w:tc>
      </w:tr>
      <w:tr w:rsidR="005C3744" w:rsidRPr="005C3744" w:rsidTr="00573753">
        <w:trPr>
          <w:trHeight w:val="346"/>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CONSTRUCCIÓN DE LA LÍNEA TRIFASICA PARA EL SECTOR DE LAS CAMARONERAS DE LA ASOCIACIÓN LEDESMA - COODEVIR</w:t>
            </w:r>
          </w:p>
        </w:tc>
        <w:tc>
          <w:tcPr>
            <w:tcW w:w="1134" w:type="dxa"/>
            <w:hideMark/>
          </w:tcPr>
          <w:p w:rsidR="005C3744" w:rsidRPr="005C3744" w:rsidRDefault="005C3744" w:rsidP="00E3792E">
            <w:pPr>
              <w:jc w:val="right"/>
              <w:rPr>
                <w:sz w:val="18"/>
                <w:szCs w:val="18"/>
              </w:rPr>
            </w:pPr>
            <w:r w:rsidRPr="005C3744">
              <w:rPr>
                <w:sz w:val="18"/>
                <w:szCs w:val="18"/>
              </w:rPr>
              <w:t xml:space="preserve"> 190.088,0 </w:t>
            </w:r>
          </w:p>
        </w:tc>
      </w:tr>
      <w:tr w:rsidR="005C3744" w:rsidRPr="005C3744" w:rsidTr="00573753">
        <w:trPr>
          <w:trHeight w:val="343"/>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CONSTRUCCIÓN DE LA LÍNEA TRIFASICA PARA EL SECTOR DE LAS CAMARONERAS DEL SITIO CORRAL VIEJO Y SAL SI PUEDES</w:t>
            </w:r>
          </w:p>
        </w:tc>
        <w:tc>
          <w:tcPr>
            <w:tcW w:w="1134" w:type="dxa"/>
            <w:hideMark/>
          </w:tcPr>
          <w:p w:rsidR="005C3744" w:rsidRPr="005C3744" w:rsidRDefault="005C3744" w:rsidP="00E3792E">
            <w:pPr>
              <w:jc w:val="right"/>
              <w:rPr>
                <w:sz w:val="18"/>
                <w:szCs w:val="18"/>
              </w:rPr>
            </w:pPr>
            <w:r w:rsidRPr="005C3744">
              <w:rPr>
                <w:sz w:val="18"/>
                <w:szCs w:val="18"/>
              </w:rPr>
              <w:t xml:space="preserve"> 108.006,3 </w:t>
            </w:r>
          </w:p>
        </w:tc>
      </w:tr>
      <w:tr w:rsidR="005C3744" w:rsidRPr="005C3744" w:rsidTr="00573753">
        <w:trPr>
          <w:trHeight w:val="348"/>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CONSTRUCCIÓN DE LA LÍNEA TRIFASICA PARA EL SECTOR DE LAS CAMARONERAS DEL SECTOR COSTA AZUL</w:t>
            </w:r>
          </w:p>
        </w:tc>
        <w:tc>
          <w:tcPr>
            <w:tcW w:w="1134" w:type="dxa"/>
            <w:hideMark/>
          </w:tcPr>
          <w:p w:rsidR="005C3744" w:rsidRPr="005C3744" w:rsidRDefault="005C3744" w:rsidP="00E3792E">
            <w:pPr>
              <w:jc w:val="right"/>
              <w:rPr>
                <w:sz w:val="18"/>
                <w:szCs w:val="18"/>
              </w:rPr>
            </w:pPr>
            <w:r w:rsidRPr="005C3744">
              <w:rPr>
                <w:sz w:val="18"/>
                <w:szCs w:val="18"/>
              </w:rPr>
              <w:t xml:space="preserve"> 37.392,8 </w:t>
            </w:r>
          </w:p>
        </w:tc>
      </w:tr>
      <w:tr w:rsidR="005C3744" w:rsidRPr="005C3744" w:rsidTr="00573753">
        <w:trPr>
          <w:trHeight w:val="116"/>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 xml:space="preserve">CONSTRUCCIÓN DEL ALIMENTADOR VIA BALOSA - KM13 </w:t>
            </w:r>
          </w:p>
        </w:tc>
        <w:tc>
          <w:tcPr>
            <w:tcW w:w="1134" w:type="dxa"/>
            <w:hideMark/>
          </w:tcPr>
          <w:p w:rsidR="005C3744" w:rsidRPr="005C3744" w:rsidRDefault="005C3744" w:rsidP="00E3792E">
            <w:pPr>
              <w:jc w:val="right"/>
              <w:rPr>
                <w:sz w:val="18"/>
                <w:szCs w:val="18"/>
              </w:rPr>
            </w:pPr>
            <w:r w:rsidRPr="005C3744">
              <w:rPr>
                <w:sz w:val="18"/>
                <w:szCs w:val="18"/>
              </w:rPr>
              <w:t xml:space="preserve"> 114.768,3 </w:t>
            </w:r>
          </w:p>
        </w:tc>
      </w:tr>
      <w:tr w:rsidR="005C3744" w:rsidRPr="005C3744" w:rsidTr="00573753">
        <w:trPr>
          <w:trHeight w:val="283"/>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 xml:space="preserve">CONSTRUCCIÓN DEL ALIMENTADOR KM13 - VIA SANTA ROSA </w:t>
            </w:r>
          </w:p>
        </w:tc>
        <w:tc>
          <w:tcPr>
            <w:tcW w:w="1134" w:type="dxa"/>
            <w:hideMark/>
          </w:tcPr>
          <w:p w:rsidR="005C3744" w:rsidRPr="005C3744" w:rsidRDefault="005C3744" w:rsidP="00E3792E">
            <w:pPr>
              <w:jc w:val="right"/>
              <w:rPr>
                <w:sz w:val="18"/>
                <w:szCs w:val="18"/>
              </w:rPr>
            </w:pPr>
            <w:r w:rsidRPr="005C3744">
              <w:rPr>
                <w:sz w:val="18"/>
                <w:szCs w:val="18"/>
              </w:rPr>
              <w:t xml:space="preserve"> 261.252,9 </w:t>
            </w:r>
          </w:p>
        </w:tc>
      </w:tr>
      <w:tr w:rsidR="005C3744" w:rsidRPr="005C3744" w:rsidTr="00573753">
        <w:trPr>
          <w:trHeight w:val="189"/>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CONSTRUCCIÓN DEL ALIMENTADOR  DESDE S/E PAGUA  - SABANA DE  PAGUA</w:t>
            </w:r>
          </w:p>
        </w:tc>
        <w:tc>
          <w:tcPr>
            <w:tcW w:w="1134" w:type="dxa"/>
            <w:hideMark/>
          </w:tcPr>
          <w:p w:rsidR="005C3744" w:rsidRPr="005C3744" w:rsidRDefault="005C3744" w:rsidP="00E3792E">
            <w:pPr>
              <w:jc w:val="right"/>
              <w:rPr>
                <w:sz w:val="18"/>
                <w:szCs w:val="18"/>
              </w:rPr>
            </w:pPr>
            <w:r w:rsidRPr="005C3744">
              <w:rPr>
                <w:sz w:val="18"/>
                <w:szCs w:val="18"/>
              </w:rPr>
              <w:t xml:space="preserve"> 407.967,2 </w:t>
            </w:r>
          </w:p>
        </w:tc>
      </w:tr>
      <w:tr w:rsidR="005C3744" w:rsidRPr="005C3744" w:rsidTr="00573753">
        <w:trPr>
          <w:trHeight w:val="364"/>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LINEA DE SUBTRANSMISION A 69 KV S/E ARENILLAS-S/E LA PITAHAYA</w:t>
            </w:r>
          </w:p>
        </w:tc>
        <w:tc>
          <w:tcPr>
            <w:tcW w:w="1134" w:type="dxa"/>
            <w:hideMark/>
          </w:tcPr>
          <w:p w:rsidR="005C3744" w:rsidRPr="005C3744" w:rsidRDefault="005C3744" w:rsidP="00E3792E">
            <w:pPr>
              <w:jc w:val="right"/>
              <w:rPr>
                <w:sz w:val="18"/>
                <w:szCs w:val="18"/>
              </w:rPr>
            </w:pPr>
            <w:r w:rsidRPr="005C3744">
              <w:rPr>
                <w:sz w:val="18"/>
                <w:szCs w:val="18"/>
              </w:rPr>
              <w:t xml:space="preserve"> 1.316.617,9 </w:t>
            </w:r>
          </w:p>
        </w:tc>
      </w:tr>
      <w:tr w:rsidR="005C3744" w:rsidRPr="005C3744" w:rsidTr="00573753">
        <w:trPr>
          <w:trHeight w:val="553"/>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CONSTRUCCIÓN DE LA LÍNEA TRIFASICA PARA EL SECTOR DE LAS CAMARONERAS DEL SECTOR EL RETIRO</w:t>
            </w:r>
          </w:p>
        </w:tc>
        <w:tc>
          <w:tcPr>
            <w:tcW w:w="1134" w:type="dxa"/>
            <w:hideMark/>
          </w:tcPr>
          <w:p w:rsidR="005C3744" w:rsidRPr="005C3744" w:rsidRDefault="005C3744" w:rsidP="00E3792E">
            <w:pPr>
              <w:jc w:val="right"/>
              <w:rPr>
                <w:sz w:val="18"/>
                <w:szCs w:val="18"/>
              </w:rPr>
            </w:pPr>
            <w:r w:rsidRPr="005C3744">
              <w:rPr>
                <w:sz w:val="18"/>
                <w:szCs w:val="18"/>
              </w:rPr>
              <w:t xml:space="preserve"> 207.799,9 </w:t>
            </w:r>
          </w:p>
        </w:tc>
      </w:tr>
      <w:tr w:rsidR="005C3744" w:rsidRPr="005C3744" w:rsidTr="00573753">
        <w:trPr>
          <w:trHeight w:val="318"/>
        </w:trPr>
        <w:tc>
          <w:tcPr>
            <w:tcW w:w="2122" w:type="dxa"/>
            <w:noWrap/>
            <w:hideMark/>
          </w:tcPr>
          <w:p w:rsidR="005C3744" w:rsidRPr="005C3744" w:rsidRDefault="005C3744" w:rsidP="005C3744">
            <w:pPr>
              <w:rPr>
                <w:sz w:val="18"/>
                <w:szCs w:val="18"/>
              </w:rPr>
            </w:pPr>
            <w:r w:rsidRPr="005C3744">
              <w:rPr>
                <w:sz w:val="18"/>
                <w:szCs w:val="18"/>
              </w:rPr>
              <w:t>CNEL EL ORO</w:t>
            </w:r>
          </w:p>
        </w:tc>
        <w:tc>
          <w:tcPr>
            <w:tcW w:w="5670" w:type="dxa"/>
            <w:hideMark/>
          </w:tcPr>
          <w:p w:rsidR="005C3744" w:rsidRPr="005C3744" w:rsidRDefault="005C3744">
            <w:pPr>
              <w:rPr>
                <w:sz w:val="18"/>
                <w:szCs w:val="18"/>
              </w:rPr>
            </w:pPr>
            <w:r w:rsidRPr="005C3744">
              <w:rPr>
                <w:sz w:val="18"/>
                <w:szCs w:val="18"/>
              </w:rPr>
              <w:t>ADQUISICIÓN DE SUBESTACIÓN MÓVIL</w:t>
            </w:r>
          </w:p>
        </w:tc>
        <w:tc>
          <w:tcPr>
            <w:tcW w:w="1134" w:type="dxa"/>
            <w:hideMark/>
          </w:tcPr>
          <w:p w:rsidR="005C3744" w:rsidRPr="005C3744" w:rsidRDefault="005C3744" w:rsidP="00E3792E">
            <w:pPr>
              <w:jc w:val="right"/>
              <w:rPr>
                <w:sz w:val="18"/>
                <w:szCs w:val="18"/>
              </w:rPr>
            </w:pPr>
            <w:r w:rsidRPr="005C3744">
              <w:rPr>
                <w:sz w:val="18"/>
                <w:szCs w:val="18"/>
              </w:rPr>
              <w:t xml:space="preserve"> 892.500,0 </w:t>
            </w:r>
          </w:p>
        </w:tc>
      </w:tr>
      <w:tr w:rsidR="005C3744" w:rsidRPr="005C3744" w:rsidTr="00573753">
        <w:trPr>
          <w:trHeight w:val="380"/>
        </w:trPr>
        <w:tc>
          <w:tcPr>
            <w:tcW w:w="2122" w:type="dxa"/>
            <w:noWrap/>
            <w:hideMark/>
          </w:tcPr>
          <w:p w:rsidR="005C3744" w:rsidRPr="005C3744" w:rsidRDefault="005C3744" w:rsidP="005C3744">
            <w:pPr>
              <w:rPr>
                <w:sz w:val="18"/>
                <w:szCs w:val="18"/>
              </w:rPr>
            </w:pPr>
            <w:r w:rsidRPr="005C3744">
              <w:rPr>
                <w:sz w:val="18"/>
                <w:szCs w:val="18"/>
              </w:rPr>
              <w:t>CNEL ESMERALDAS</w:t>
            </w:r>
          </w:p>
        </w:tc>
        <w:tc>
          <w:tcPr>
            <w:tcW w:w="5670" w:type="dxa"/>
            <w:hideMark/>
          </w:tcPr>
          <w:p w:rsidR="005C3744" w:rsidRPr="005C3744" w:rsidRDefault="005C3744">
            <w:pPr>
              <w:rPr>
                <w:sz w:val="18"/>
                <w:szCs w:val="18"/>
              </w:rPr>
            </w:pPr>
            <w:r w:rsidRPr="005C3744">
              <w:rPr>
                <w:sz w:val="18"/>
                <w:szCs w:val="18"/>
              </w:rPr>
              <w:t>Construccion Alimentador Tres Vìas</w:t>
            </w:r>
          </w:p>
        </w:tc>
        <w:tc>
          <w:tcPr>
            <w:tcW w:w="1134" w:type="dxa"/>
            <w:hideMark/>
          </w:tcPr>
          <w:p w:rsidR="005C3744" w:rsidRPr="005C3744" w:rsidRDefault="005C3744" w:rsidP="00E3792E">
            <w:pPr>
              <w:jc w:val="right"/>
              <w:rPr>
                <w:sz w:val="18"/>
                <w:szCs w:val="18"/>
              </w:rPr>
            </w:pPr>
            <w:r w:rsidRPr="005C3744">
              <w:rPr>
                <w:sz w:val="18"/>
                <w:szCs w:val="18"/>
              </w:rPr>
              <w:t xml:space="preserve"> 1.248.697,1 </w:t>
            </w:r>
          </w:p>
        </w:tc>
      </w:tr>
      <w:tr w:rsidR="005C3744" w:rsidRPr="005C3744" w:rsidTr="00573753">
        <w:trPr>
          <w:trHeight w:val="259"/>
        </w:trPr>
        <w:tc>
          <w:tcPr>
            <w:tcW w:w="2122" w:type="dxa"/>
            <w:noWrap/>
            <w:hideMark/>
          </w:tcPr>
          <w:p w:rsidR="005C3744" w:rsidRPr="005C3744" w:rsidRDefault="005C3744" w:rsidP="005C3744">
            <w:pPr>
              <w:rPr>
                <w:sz w:val="18"/>
                <w:szCs w:val="18"/>
              </w:rPr>
            </w:pPr>
            <w:r w:rsidRPr="005C3744">
              <w:rPr>
                <w:sz w:val="18"/>
                <w:szCs w:val="18"/>
              </w:rPr>
              <w:t>CNEL ESMERALDAS</w:t>
            </w:r>
          </w:p>
        </w:tc>
        <w:tc>
          <w:tcPr>
            <w:tcW w:w="5670" w:type="dxa"/>
            <w:hideMark/>
          </w:tcPr>
          <w:p w:rsidR="005C3744" w:rsidRPr="005C3744" w:rsidRDefault="005C3744">
            <w:pPr>
              <w:rPr>
                <w:sz w:val="18"/>
                <w:szCs w:val="18"/>
              </w:rPr>
            </w:pPr>
            <w:r w:rsidRPr="005C3744">
              <w:rPr>
                <w:sz w:val="18"/>
                <w:szCs w:val="18"/>
              </w:rPr>
              <w:t>Costrucción  Alimentador Mompiche</w:t>
            </w:r>
          </w:p>
        </w:tc>
        <w:tc>
          <w:tcPr>
            <w:tcW w:w="1134" w:type="dxa"/>
            <w:hideMark/>
          </w:tcPr>
          <w:p w:rsidR="005C3744" w:rsidRPr="005C3744" w:rsidRDefault="005C3744" w:rsidP="00E3792E">
            <w:pPr>
              <w:jc w:val="right"/>
              <w:rPr>
                <w:sz w:val="18"/>
                <w:szCs w:val="18"/>
              </w:rPr>
            </w:pPr>
            <w:r w:rsidRPr="005C3744">
              <w:rPr>
                <w:sz w:val="18"/>
                <w:szCs w:val="18"/>
              </w:rPr>
              <w:t xml:space="preserve"> 815.808,7 </w:t>
            </w:r>
          </w:p>
        </w:tc>
      </w:tr>
      <w:tr w:rsidR="005C3744" w:rsidRPr="005C3744" w:rsidTr="00573753">
        <w:trPr>
          <w:trHeight w:val="604"/>
        </w:trPr>
        <w:tc>
          <w:tcPr>
            <w:tcW w:w="2122" w:type="dxa"/>
            <w:noWrap/>
            <w:hideMark/>
          </w:tcPr>
          <w:p w:rsidR="005C3744" w:rsidRPr="005C3744" w:rsidRDefault="005C3744" w:rsidP="005C3744">
            <w:pPr>
              <w:rPr>
                <w:sz w:val="18"/>
                <w:szCs w:val="18"/>
              </w:rPr>
            </w:pPr>
            <w:r w:rsidRPr="005C3744">
              <w:rPr>
                <w:sz w:val="18"/>
                <w:szCs w:val="18"/>
              </w:rPr>
              <w:t>CNEL GUAYAQUIL</w:t>
            </w:r>
          </w:p>
        </w:tc>
        <w:tc>
          <w:tcPr>
            <w:tcW w:w="5670" w:type="dxa"/>
            <w:hideMark/>
          </w:tcPr>
          <w:p w:rsidR="005C3744" w:rsidRPr="005C3744" w:rsidRDefault="005C3744">
            <w:pPr>
              <w:rPr>
                <w:sz w:val="18"/>
                <w:szCs w:val="18"/>
              </w:rPr>
            </w:pPr>
            <w:r w:rsidRPr="005C3744">
              <w:rPr>
                <w:sz w:val="18"/>
                <w:szCs w:val="18"/>
              </w:rPr>
              <w:t>CONSTRUCCIÓN DEL TAP A 69 kV PARA LA FUTURA S/E CAMARONERAS (ENERGIZADO A 13.8 kV) + LÍNEA DE DISTRIBUCIÓN A 13.8 kV DESDE FUTURA S/E CAMARONERA HASTA LA CAMARONERA OMARSA</w:t>
            </w:r>
          </w:p>
        </w:tc>
        <w:tc>
          <w:tcPr>
            <w:tcW w:w="1134" w:type="dxa"/>
            <w:hideMark/>
          </w:tcPr>
          <w:p w:rsidR="005C3744" w:rsidRPr="005C3744" w:rsidRDefault="005C3744" w:rsidP="00E3792E">
            <w:pPr>
              <w:jc w:val="right"/>
              <w:rPr>
                <w:sz w:val="18"/>
                <w:szCs w:val="18"/>
              </w:rPr>
            </w:pPr>
            <w:r w:rsidRPr="005C3744">
              <w:rPr>
                <w:sz w:val="18"/>
                <w:szCs w:val="18"/>
              </w:rPr>
              <w:t xml:space="preserve"> 838.240,0 </w:t>
            </w:r>
          </w:p>
        </w:tc>
      </w:tr>
      <w:tr w:rsidR="005C3744" w:rsidRPr="005C3744" w:rsidTr="00573753">
        <w:trPr>
          <w:trHeight w:val="226"/>
        </w:trPr>
        <w:tc>
          <w:tcPr>
            <w:tcW w:w="2122" w:type="dxa"/>
            <w:noWrap/>
            <w:hideMark/>
          </w:tcPr>
          <w:p w:rsidR="005C3744" w:rsidRPr="005C3744" w:rsidRDefault="005C3744" w:rsidP="005C3744">
            <w:pPr>
              <w:rPr>
                <w:sz w:val="18"/>
                <w:szCs w:val="18"/>
              </w:rPr>
            </w:pPr>
            <w:r w:rsidRPr="005C3744">
              <w:rPr>
                <w:sz w:val="18"/>
                <w:szCs w:val="18"/>
              </w:rPr>
              <w:t>CNEL GUAYAQUIL</w:t>
            </w:r>
          </w:p>
        </w:tc>
        <w:tc>
          <w:tcPr>
            <w:tcW w:w="5670" w:type="dxa"/>
            <w:hideMark/>
          </w:tcPr>
          <w:p w:rsidR="005C3744" w:rsidRPr="005C3744" w:rsidRDefault="005C3744">
            <w:pPr>
              <w:rPr>
                <w:sz w:val="18"/>
                <w:szCs w:val="18"/>
              </w:rPr>
            </w:pPr>
            <w:r w:rsidRPr="005C3744">
              <w:rPr>
                <w:sz w:val="18"/>
                <w:szCs w:val="18"/>
              </w:rPr>
              <w:t>REPOTENCIACIÓN DE LA LÍNEA EXISTENTE (AL. VALLE ALTO) DESDE LA CARRETERA (VÍA A LA COSTA) HASTA LA CAMARONERA FINCACUA</w:t>
            </w:r>
          </w:p>
        </w:tc>
        <w:tc>
          <w:tcPr>
            <w:tcW w:w="1134" w:type="dxa"/>
            <w:hideMark/>
          </w:tcPr>
          <w:p w:rsidR="005C3744" w:rsidRPr="005C3744" w:rsidRDefault="005C3744" w:rsidP="00E3792E">
            <w:pPr>
              <w:jc w:val="right"/>
              <w:rPr>
                <w:sz w:val="18"/>
                <w:szCs w:val="18"/>
              </w:rPr>
            </w:pPr>
            <w:r w:rsidRPr="005C3744">
              <w:rPr>
                <w:sz w:val="18"/>
                <w:szCs w:val="18"/>
              </w:rPr>
              <w:t xml:space="preserve"> 80.390,4 </w:t>
            </w:r>
          </w:p>
        </w:tc>
      </w:tr>
      <w:tr w:rsidR="005C3744" w:rsidRPr="005C3744" w:rsidTr="00573753">
        <w:trPr>
          <w:trHeight w:val="136"/>
        </w:trPr>
        <w:tc>
          <w:tcPr>
            <w:tcW w:w="2122" w:type="dxa"/>
            <w:noWrap/>
            <w:hideMark/>
          </w:tcPr>
          <w:p w:rsidR="005C3744" w:rsidRPr="005C3744" w:rsidRDefault="005C3744" w:rsidP="005C3744">
            <w:pPr>
              <w:rPr>
                <w:sz w:val="18"/>
                <w:szCs w:val="18"/>
              </w:rPr>
            </w:pPr>
            <w:r w:rsidRPr="005C3744">
              <w:rPr>
                <w:sz w:val="18"/>
                <w:szCs w:val="18"/>
              </w:rPr>
              <w:t>CNEL GUAYAQUIL</w:t>
            </w:r>
          </w:p>
        </w:tc>
        <w:tc>
          <w:tcPr>
            <w:tcW w:w="5670" w:type="dxa"/>
            <w:hideMark/>
          </w:tcPr>
          <w:p w:rsidR="005C3744" w:rsidRPr="005C3744" w:rsidRDefault="005C3744">
            <w:pPr>
              <w:rPr>
                <w:sz w:val="18"/>
                <w:szCs w:val="18"/>
              </w:rPr>
            </w:pPr>
            <w:r w:rsidRPr="005C3744">
              <w:rPr>
                <w:sz w:val="18"/>
                <w:szCs w:val="18"/>
              </w:rPr>
              <w:t>S/E CAMARONERAS (INCLUYE TERRENO + PROTECCIÓN DE TAP)</w:t>
            </w:r>
          </w:p>
        </w:tc>
        <w:tc>
          <w:tcPr>
            <w:tcW w:w="1134" w:type="dxa"/>
            <w:hideMark/>
          </w:tcPr>
          <w:p w:rsidR="005C3744" w:rsidRPr="005C3744" w:rsidRDefault="005C3744" w:rsidP="00E3792E">
            <w:pPr>
              <w:jc w:val="right"/>
              <w:rPr>
                <w:sz w:val="18"/>
                <w:szCs w:val="18"/>
              </w:rPr>
            </w:pPr>
            <w:r w:rsidRPr="005C3744">
              <w:rPr>
                <w:sz w:val="18"/>
                <w:szCs w:val="18"/>
              </w:rPr>
              <w:t xml:space="preserve"> 1.566.000,0 </w:t>
            </w:r>
          </w:p>
        </w:tc>
      </w:tr>
      <w:tr w:rsidR="005C3744" w:rsidRPr="005C3744" w:rsidTr="00573753">
        <w:trPr>
          <w:trHeight w:val="472"/>
        </w:trPr>
        <w:tc>
          <w:tcPr>
            <w:tcW w:w="2122" w:type="dxa"/>
            <w:noWrap/>
            <w:hideMark/>
          </w:tcPr>
          <w:p w:rsidR="005C3744" w:rsidRPr="005C3744" w:rsidRDefault="005C3744" w:rsidP="005C3744">
            <w:pPr>
              <w:rPr>
                <w:sz w:val="18"/>
                <w:szCs w:val="18"/>
              </w:rPr>
            </w:pPr>
            <w:r w:rsidRPr="005C3744">
              <w:rPr>
                <w:sz w:val="18"/>
                <w:szCs w:val="18"/>
              </w:rPr>
              <w:t>CNEL GUAYAQUIL</w:t>
            </w:r>
          </w:p>
        </w:tc>
        <w:tc>
          <w:tcPr>
            <w:tcW w:w="5670" w:type="dxa"/>
            <w:hideMark/>
          </w:tcPr>
          <w:p w:rsidR="005C3744" w:rsidRPr="005C3744" w:rsidRDefault="005C3744">
            <w:pPr>
              <w:rPr>
                <w:sz w:val="18"/>
                <w:szCs w:val="18"/>
              </w:rPr>
            </w:pPr>
            <w:r w:rsidRPr="005C3744">
              <w:rPr>
                <w:sz w:val="18"/>
                <w:szCs w:val="18"/>
              </w:rPr>
              <w:t>CONSTRUCCIÓN DE LA ALIMENTADORA A 13.8 kV DESDE FUTURA S/E CAMARONERAS HASTA LA CAMARONERA FINCACUA</w:t>
            </w:r>
          </w:p>
        </w:tc>
        <w:tc>
          <w:tcPr>
            <w:tcW w:w="1134" w:type="dxa"/>
            <w:hideMark/>
          </w:tcPr>
          <w:p w:rsidR="005C3744" w:rsidRPr="005C3744" w:rsidRDefault="005C3744" w:rsidP="00E3792E">
            <w:pPr>
              <w:jc w:val="right"/>
              <w:rPr>
                <w:sz w:val="18"/>
                <w:szCs w:val="18"/>
              </w:rPr>
            </w:pPr>
            <w:r w:rsidRPr="005C3744">
              <w:rPr>
                <w:sz w:val="18"/>
                <w:szCs w:val="18"/>
              </w:rPr>
              <w:t xml:space="preserve"> 524.784,0 </w:t>
            </w:r>
          </w:p>
        </w:tc>
      </w:tr>
      <w:tr w:rsidR="005C3744" w:rsidRPr="005C3744" w:rsidTr="00573753">
        <w:trPr>
          <w:trHeight w:val="364"/>
        </w:trPr>
        <w:tc>
          <w:tcPr>
            <w:tcW w:w="2122" w:type="dxa"/>
            <w:noWrap/>
            <w:hideMark/>
          </w:tcPr>
          <w:p w:rsidR="005C3744" w:rsidRPr="005C3744" w:rsidRDefault="005C3744" w:rsidP="005C3744">
            <w:pPr>
              <w:rPr>
                <w:sz w:val="18"/>
                <w:szCs w:val="18"/>
              </w:rPr>
            </w:pPr>
            <w:r w:rsidRPr="005C3744">
              <w:rPr>
                <w:sz w:val="18"/>
                <w:szCs w:val="18"/>
              </w:rPr>
              <w:t>CNEL GUAYAQUIL</w:t>
            </w:r>
          </w:p>
        </w:tc>
        <w:tc>
          <w:tcPr>
            <w:tcW w:w="5670" w:type="dxa"/>
            <w:hideMark/>
          </w:tcPr>
          <w:p w:rsidR="005C3744" w:rsidRPr="005C3744" w:rsidRDefault="005C3744">
            <w:pPr>
              <w:rPr>
                <w:sz w:val="18"/>
                <w:szCs w:val="18"/>
              </w:rPr>
            </w:pPr>
            <w:r w:rsidRPr="005C3744">
              <w:rPr>
                <w:sz w:val="18"/>
                <w:szCs w:val="18"/>
              </w:rPr>
              <w:t>REPOTENCIACIÓN DE LA LÍNEA EXISTENTE (AL. CHONGÓN) DESDE LA SALIDA DE LA S/E CHONGON HASTA LA FUTURA S/E CAMARONERAS</w:t>
            </w:r>
          </w:p>
        </w:tc>
        <w:tc>
          <w:tcPr>
            <w:tcW w:w="1134" w:type="dxa"/>
            <w:hideMark/>
          </w:tcPr>
          <w:p w:rsidR="005C3744" w:rsidRPr="005C3744" w:rsidRDefault="005C3744" w:rsidP="00E3792E">
            <w:pPr>
              <w:jc w:val="right"/>
              <w:rPr>
                <w:sz w:val="18"/>
                <w:szCs w:val="18"/>
              </w:rPr>
            </w:pPr>
            <w:r w:rsidRPr="005C3744">
              <w:rPr>
                <w:sz w:val="18"/>
                <w:szCs w:val="18"/>
              </w:rPr>
              <w:t xml:space="preserve"> 89.750,2 </w:t>
            </w:r>
          </w:p>
        </w:tc>
      </w:tr>
      <w:tr w:rsidR="005C3744" w:rsidRPr="005C3744" w:rsidTr="00573753">
        <w:trPr>
          <w:trHeight w:val="412"/>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Vía a Rcto. Chonero</w:t>
            </w:r>
          </w:p>
        </w:tc>
        <w:tc>
          <w:tcPr>
            <w:tcW w:w="1134" w:type="dxa"/>
            <w:hideMark/>
          </w:tcPr>
          <w:p w:rsidR="005C3744" w:rsidRPr="005C3744" w:rsidRDefault="005C3744" w:rsidP="00E3792E">
            <w:pPr>
              <w:jc w:val="right"/>
              <w:rPr>
                <w:sz w:val="18"/>
                <w:szCs w:val="18"/>
              </w:rPr>
            </w:pPr>
            <w:r w:rsidRPr="005C3744">
              <w:rPr>
                <w:sz w:val="18"/>
                <w:szCs w:val="18"/>
              </w:rPr>
              <w:t xml:space="preserve"> 141.580,0 </w:t>
            </w:r>
          </w:p>
        </w:tc>
      </w:tr>
      <w:tr w:rsidR="005C3744" w:rsidRPr="005C3744" w:rsidTr="00573753">
        <w:trPr>
          <w:trHeight w:val="460"/>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Vía a Rcto. Cuatro Mangas</w:t>
            </w:r>
          </w:p>
        </w:tc>
        <w:tc>
          <w:tcPr>
            <w:tcW w:w="1134" w:type="dxa"/>
            <w:hideMark/>
          </w:tcPr>
          <w:p w:rsidR="005C3744" w:rsidRPr="005C3744" w:rsidRDefault="005C3744" w:rsidP="00E3792E">
            <w:pPr>
              <w:jc w:val="right"/>
              <w:rPr>
                <w:sz w:val="18"/>
                <w:szCs w:val="18"/>
              </w:rPr>
            </w:pPr>
            <w:r w:rsidRPr="005C3744">
              <w:rPr>
                <w:sz w:val="18"/>
                <w:szCs w:val="18"/>
              </w:rPr>
              <w:t xml:space="preserve"> 61.336,0 </w:t>
            </w:r>
          </w:p>
        </w:tc>
      </w:tr>
      <w:tr w:rsidR="005C3744" w:rsidRPr="005C3744" w:rsidTr="00573753">
        <w:trPr>
          <w:trHeight w:val="380"/>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Vía a Rcto. La Caracas (La Guayas)</w:t>
            </w:r>
          </w:p>
        </w:tc>
        <w:tc>
          <w:tcPr>
            <w:tcW w:w="1134" w:type="dxa"/>
            <w:hideMark/>
          </w:tcPr>
          <w:p w:rsidR="005C3744" w:rsidRPr="005C3744" w:rsidRDefault="005C3744" w:rsidP="00E3792E">
            <w:pPr>
              <w:jc w:val="right"/>
              <w:rPr>
                <w:sz w:val="18"/>
                <w:szCs w:val="18"/>
              </w:rPr>
            </w:pPr>
            <w:r w:rsidRPr="005C3744">
              <w:rPr>
                <w:sz w:val="18"/>
                <w:szCs w:val="18"/>
              </w:rPr>
              <w:t xml:space="preserve"> 143.803,0 </w:t>
            </w:r>
          </w:p>
        </w:tc>
      </w:tr>
      <w:tr w:rsidR="005C3744" w:rsidRPr="005C3744" w:rsidTr="00573753">
        <w:trPr>
          <w:trHeight w:val="542"/>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Vía a sector 2 de Mayo entrada al retiro de Hampton</w:t>
            </w:r>
          </w:p>
        </w:tc>
        <w:tc>
          <w:tcPr>
            <w:tcW w:w="1134" w:type="dxa"/>
            <w:hideMark/>
          </w:tcPr>
          <w:p w:rsidR="005C3744" w:rsidRPr="005C3744" w:rsidRDefault="005C3744" w:rsidP="00E3792E">
            <w:pPr>
              <w:jc w:val="right"/>
              <w:rPr>
                <w:sz w:val="18"/>
                <w:szCs w:val="18"/>
              </w:rPr>
            </w:pPr>
            <w:r w:rsidRPr="005C3744">
              <w:rPr>
                <w:sz w:val="18"/>
                <w:szCs w:val="18"/>
              </w:rPr>
              <w:t xml:space="preserve"> 125.871,3 </w:t>
            </w:r>
          </w:p>
        </w:tc>
      </w:tr>
      <w:tr w:rsidR="005C3744" w:rsidRPr="005C3744" w:rsidTr="00573753">
        <w:trPr>
          <w:trHeight w:val="462"/>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Vía a Rcto. Faita (San Carlos)</w:t>
            </w:r>
          </w:p>
        </w:tc>
        <w:tc>
          <w:tcPr>
            <w:tcW w:w="1134" w:type="dxa"/>
            <w:hideMark/>
          </w:tcPr>
          <w:p w:rsidR="005C3744" w:rsidRPr="005C3744" w:rsidRDefault="005C3744" w:rsidP="00E3792E">
            <w:pPr>
              <w:jc w:val="right"/>
              <w:rPr>
                <w:sz w:val="18"/>
                <w:szCs w:val="18"/>
              </w:rPr>
            </w:pPr>
            <w:r w:rsidRPr="005C3744">
              <w:rPr>
                <w:sz w:val="18"/>
                <w:szCs w:val="18"/>
              </w:rPr>
              <w:t xml:space="preserve"> 119.294,0 </w:t>
            </w:r>
          </w:p>
        </w:tc>
      </w:tr>
      <w:tr w:rsidR="005C3744" w:rsidRPr="005C3744" w:rsidTr="00573753">
        <w:trPr>
          <w:trHeight w:val="386"/>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Vía a Rctos. La Banquera - Pinela</w:t>
            </w:r>
          </w:p>
        </w:tc>
        <w:tc>
          <w:tcPr>
            <w:tcW w:w="1134" w:type="dxa"/>
            <w:hideMark/>
          </w:tcPr>
          <w:p w:rsidR="005C3744" w:rsidRPr="005C3744" w:rsidRDefault="005C3744" w:rsidP="00E3792E">
            <w:pPr>
              <w:jc w:val="right"/>
              <w:rPr>
                <w:sz w:val="18"/>
                <w:szCs w:val="18"/>
              </w:rPr>
            </w:pPr>
            <w:r w:rsidRPr="005C3744">
              <w:rPr>
                <w:sz w:val="18"/>
                <w:szCs w:val="18"/>
              </w:rPr>
              <w:t xml:space="preserve"> 416.119,9 </w:t>
            </w:r>
          </w:p>
        </w:tc>
      </w:tr>
      <w:tr w:rsidR="005C3744" w:rsidRPr="005C3744" w:rsidTr="00573753">
        <w:trPr>
          <w:trHeight w:val="708"/>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que va desde Rcto. Fatima por el desvio a Villao hasta la Cadena</w:t>
            </w:r>
          </w:p>
        </w:tc>
        <w:tc>
          <w:tcPr>
            <w:tcW w:w="1134" w:type="dxa"/>
            <w:hideMark/>
          </w:tcPr>
          <w:p w:rsidR="005C3744" w:rsidRPr="005C3744" w:rsidRDefault="005C3744" w:rsidP="00E3792E">
            <w:pPr>
              <w:jc w:val="right"/>
              <w:rPr>
                <w:sz w:val="18"/>
                <w:szCs w:val="18"/>
              </w:rPr>
            </w:pPr>
            <w:r w:rsidRPr="005C3744">
              <w:rPr>
                <w:sz w:val="18"/>
                <w:szCs w:val="18"/>
              </w:rPr>
              <w:t xml:space="preserve"> 172.572,2 </w:t>
            </w:r>
          </w:p>
        </w:tc>
      </w:tr>
      <w:tr w:rsidR="005C3744" w:rsidRPr="005C3744" w:rsidTr="00573753">
        <w:trPr>
          <w:trHeight w:val="472"/>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que va desde el Barrio Duran hasta la Parroquia Valle de la Virgen</w:t>
            </w:r>
          </w:p>
        </w:tc>
        <w:tc>
          <w:tcPr>
            <w:tcW w:w="1134" w:type="dxa"/>
            <w:hideMark/>
          </w:tcPr>
          <w:p w:rsidR="005C3744" w:rsidRPr="005C3744" w:rsidRDefault="005C3744" w:rsidP="00E3792E">
            <w:pPr>
              <w:jc w:val="right"/>
              <w:rPr>
                <w:sz w:val="18"/>
                <w:szCs w:val="18"/>
              </w:rPr>
            </w:pPr>
            <w:r w:rsidRPr="005C3744">
              <w:rPr>
                <w:sz w:val="18"/>
                <w:szCs w:val="18"/>
              </w:rPr>
              <w:t xml:space="preserve"> 262.566,6 </w:t>
            </w:r>
          </w:p>
        </w:tc>
      </w:tr>
      <w:tr w:rsidR="005C3744" w:rsidRPr="005C3744" w:rsidTr="00573753">
        <w:trPr>
          <w:trHeight w:val="364"/>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Bifásica que va desde Lomas de Sargentillo hasta el Rcto. Las Cañas</w:t>
            </w:r>
          </w:p>
        </w:tc>
        <w:tc>
          <w:tcPr>
            <w:tcW w:w="1134" w:type="dxa"/>
            <w:hideMark/>
          </w:tcPr>
          <w:p w:rsidR="005C3744" w:rsidRPr="005C3744" w:rsidRDefault="005C3744" w:rsidP="00E3792E">
            <w:pPr>
              <w:jc w:val="right"/>
              <w:rPr>
                <w:sz w:val="18"/>
                <w:szCs w:val="18"/>
              </w:rPr>
            </w:pPr>
            <w:r w:rsidRPr="005C3744">
              <w:rPr>
                <w:sz w:val="18"/>
                <w:szCs w:val="18"/>
              </w:rPr>
              <w:t xml:space="preserve"> 108.959,0 </w:t>
            </w:r>
          </w:p>
        </w:tc>
      </w:tr>
      <w:tr w:rsidR="005C3744" w:rsidRPr="005C3744" w:rsidTr="00573753">
        <w:trPr>
          <w:trHeight w:val="411"/>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ramal Bifásico que va desde Salitre, sector La Bucana hasta el Rcto. Paula León</w:t>
            </w:r>
          </w:p>
        </w:tc>
        <w:tc>
          <w:tcPr>
            <w:tcW w:w="1134" w:type="dxa"/>
            <w:hideMark/>
          </w:tcPr>
          <w:p w:rsidR="005C3744" w:rsidRPr="005C3744" w:rsidRDefault="005C3744" w:rsidP="00E3792E">
            <w:pPr>
              <w:jc w:val="right"/>
              <w:rPr>
                <w:sz w:val="18"/>
                <w:szCs w:val="18"/>
              </w:rPr>
            </w:pPr>
            <w:r w:rsidRPr="005C3744">
              <w:rPr>
                <w:sz w:val="18"/>
                <w:szCs w:val="18"/>
              </w:rPr>
              <w:t xml:space="preserve"> 220.180,7 </w:t>
            </w:r>
          </w:p>
        </w:tc>
      </w:tr>
      <w:tr w:rsidR="005C3744" w:rsidRPr="005C3744" w:rsidTr="00573753">
        <w:trPr>
          <w:trHeight w:val="602"/>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Bifásica que va a los Rctos. La T, Monte Mono, La Clemencia, San Pedro, Bramaderos, El Naranjo, Bajo Grande, Palo de Iguana, Lomas de León, El Limón y otros</w:t>
            </w:r>
          </w:p>
        </w:tc>
        <w:tc>
          <w:tcPr>
            <w:tcW w:w="1134" w:type="dxa"/>
            <w:hideMark/>
          </w:tcPr>
          <w:p w:rsidR="005C3744" w:rsidRPr="005C3744" w:rsidRDefault="005C3744" w:rsidP="00E3792E">
            <w:pPr>
              <w:jc w:val="right"/>
              <w:rPr>
                <w:sz w:val="18"/>
                <w:szCs w:val="18"/>
              </w:rPr>
            </w:pPr>
            <w:r w:rsidRPr="005C3744">
              <w:rPr>
                <w:sz w:val="18"/>
                <w:szCs w:val="18"/>
              </w:rPr>
              <w:t xml:space="preserve"> 212.009,7 </w:t>
            </w:r>
          </w:p>
        </w:tc>
      </w:tr>
      <w:tr w:rsidR="005C3744" w:rsidRPr="005C3744" w:rsidTr="00573753">
        <w:trPr>
          <w:trHeight w:val="380"/>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Monofásica que va al Rctos. Calentura Baja, Calentura Alta, Los Angeles y La vuelta de los angeles</w:t>
            </w:r>
          </w:p>
        </w:tc>
        <w:tc>
          <w:tcPr>
            <w:tcW w:w="1134" w:type="dxa"/>
            <w:hideMark/>
          </w:tcPr>
          <w:p w:rsidR="005C3744" w:rsidRPr="005C3744" w:rsidRDefault="005C3744" w:rsidP="00E3792E">
            <w:pPr>
              <w:jc w:val="right"/>
              <w:rPr>
                <w:sz w:val="18"/>
                <w:szCs w:val="18"/>
              </w:rPr>
            </w:pPr>
            <w:r w:rsidRPr="005C3744">
              <w:rPr>
                <w:sz w:val="18"/>
                <w:szCs w:val="18"/>
              </w:rPr>
              <w:t xml:space="preserve"> 170.245,9 </w:t>
            </w:r>
          </w:p>
        </w:tc>
      </w:tr>
      <w:tr w:rsidR="005C3744" w:rsidRPr="005C3744" w:rsidTr="00573753">
        <w:trPr>
          <w:trHeight w:val="542"/>
        </w:trPr>
        <w:tc>
          <w:tcPr>
            <w:tcW w:w="2122" w:type="dxa"/>
            <w:noWrap/>
            <w:hideMark/>
          </w:tcPr>
          <w:p w:rsidR="005C3744" w:rsidRPr="005C3744" w:rsidRDefault="005C3744" w:rsidP="005C3744">
            <w:pPr>
              <w:rPr>
                <w:sz w:val="18"/>
                <w:szCs w:val="18"/>
              </w:rPr>
            </w:pPr>
            <w:r w:rsidRPr="005C3744">
              <w:rPr>
                <w:sz w:val="18"/>
                <w:szCs w:val="18"/>
              </w:rPr>
              <w:t>CNEL GUAYAS LOS RÍOS</w:t>
            </w:r>
          </w:p>
        </w:tc>
        <w:tc>
          <w:tcPr>
            <w:tcW w:w="5670" w:type="dxa"/>
            <w:hideMark/>
          </w:tcPr>
          <w:p w:rsidR="005C3744" w:rsidRPr="005C3744" w:rsidRDefault="005C3744">
            <w:pPr>
              <w:rPr>
                <w:sz w:val="18"/>
                <w:szCs w:val="18"/>
              </w:rPr>
            </w:pPr>
            <w:r w:rsidRPr="005C3744">
              <w:rPr>
                <w:sz w:val="18"/>
                <w:szCs w:val="18"/>
              </w:rPr>
              <w:t>Trifasear Línea Bifásica Cauchiche - Puná Vieja</w:t>
            </w:r>
          </w:p>
        </w:tc>
        <w:tc>
          <w:tcPr>
            <w:tcW w:w="1134" w:type="dxa"/>
            <w:hideMark/>
          </w:tcPr>
          <w:p w:rsidR="005C3744" w:rsidRPr="005C3744" w:rsidRDefault="005C3744" w:rsidP="00E3792E">
            <w:pPr>
              <w:jc w:val="right"/>
              <w:rPr>
                <w:sz w:val="18"/>
                <w:szCs w:val="18"/>
              </w:rPr>
            </w:pPr>
            <w:r w:rsidRPr="005C3744">
              <w:rPr>
                <w:sz w:val="18"/>
                <w:szCs w:val="18"/>
              </w:rPr>
              <w:t xml:space="preserve"> 124.029,1 </w:t>
            </w:r>
          </w:p>
        </w:tc>
      </w:tr>
      <w:tr w:rsidR="005C3744" w:rsidRPr="005C3744" w:rsidTr="00573753">
        <w:trPr>
          <w:trHeight w:val="462"/>
        </w:trPr>
        <w:tc>
          <w:tcPr>
            <w:tcW w:w="2122" w:type="dxa"/>
            <w:noWrap/>
            <w:hideMark/>
          </w:tcPr>
          <w:p w:rsidR="005C3744" w:rsidRPr="005C3744" w:rsidRDefault="005C3744" w:rsidP="005C3744">
            <w:pPr>
              <w:rPr>
                <w:sz w:val="18"/>
                <w:szCs w:val="18"/>
              </w:rPr>
            </w:pPr>
            <w:r w:rsidRPr="005C3744">
              <w:rPr>
                <w:sz w:val="18"/>
                <w:szCs w:val="18"/>
              </w:rPr>
              <w:t>CNEL MANABÍ</w:t>
            </w:r>
          </w:p>
        </w:tc>
        <w:tc>
          <w:tcPr>
            <w:tcW w:w="5670" w:type="dxa"/>
            <w:hideMark/>
          </w:tcPr>
          <w:p w:rsidR="005C3744" w:rsidRPr="005C3744" w:rsidRDefault="005C3744">
            <w:pPr>
              <w:rPr>
                <w:sz w:val="18"/>
                <w:szCs w:val="18"/>
              </w:rPr>
            </w:pPr>
            <w:r w:rsidRPr="005C3744">
              <w:rPr>
                <w:sz w:val="18"/>
                <w:szCs w:val="18"/>
              </w:rPr>
              <w:t>ADQUISICIÓN DE SUBESTACIÓN MÓVIL</w:t>
            </w:r>
          </w:p>
        </w:tc>
        <w:tc>
          <w:tcPr>
            <w:tcW w:w="1134" w:type="dxa"/>
            <w:hideMark/>
          </w:tcPr>
          <w:p w:rsidR="005C3744" w:rsidRPr="005C3744" w:rsidRDefault="005C3744" w:rsidP="00E3792E">
            <w:pPr>
              <w:jc w:val="right"/>
              <w:rPr>
                <w:sz w:val="18"/>
                <w:szCs w:val="18"/>
              </w:rPr>
            </w:pPr>
            <w:r w:rsidRPr="005C3744">
              <w:rPr>
                <w:sz w:val="18"/>
                <w:szCs w:val="18"/>
              </w:rPr>
              <w:t xml:space="preserve"> 892.500,0 </w:t>
            </w:r>
          </w:p>
        </w:tc>
      </w:tr>
      <w:tr w:rsidR="005C3744" w:rsidRPr="005C3744" w:rsidTr="00573753">
        <w:trPr>
          <w:trHeight w:val="509"/>
        </w:trPr>
        <w:tc>
          <w:tcPr>
            <w:tcW w:w="2122" w:type="dxa"/>
            <w:noWrap/>
            <w:hideMark/>
          </w:tcPr>
          <w:p w:rsidR="005C3744" w:rsidRPr="005C3744" w:rsidRDefault="005C3744" w:rsidP="005C3744">
            <w:pPr>
              <w:rPr>
                <w:sz w:val="18"/>
                <w:szCs w:val="18"/>
              </w:rPr>
            </w:pPr>
            <w:r w:rsidRPr="005C3744">
              <w:rPr>
                <w:sz w:val="18"/>
                <w:szCs w:val="18"/>
              </w:rPr>
              <w:t>CNEL MANABÍ</w:t>
            </w:r>
          </w:p>
        </w:tc>
        <w:tc>
          <w:tcPr>
            <w:tcW w:w="5670" w:type="dxa"/>
            <w:hideMark/>
          </w:tcPr>
          <w:p w:rsidR="005C3744" w:rsidRPr="005C3744" w:rsidRDefault="005C3744">
            <w:pPr>
              <w:rPr>
                <w:sz w:val="18"/>
                <w:szCs w:val="18"/>
                <w:u w:val="single"/>
              </w:rPr>
            </w:pPr>
            <w:r w:rsidRPr="00E3792E">
              <w:rPr>
                <w:sz w:val="18"/>
                <w:szCs w:val="18"/>
                <w:u w:val="single"/>
              </w:rPr>
              <w:t>CONSTRUCCION ALIMENTADORES SAN VICENTE (13.8KM)</w:t>
            </w:r>
          </w:p>
        </w:tc>
        <w:tc>
          <w:tcPr>
            <w:tcW w:w="1134" w:type="dxa"/>
            <w:hideMark/>
          </w:tcPr>
          <w:p w:rsidR="005C3744" w:rsidRPr="005C3744" w:rsidRDefault="005C3744" w:rsidP="00E3792E">
            <w:pPr>
              <w:jc w:val="right"/>
              <w:rPr>
                <w:sz w:val="18"/>
                <w:szCs w:val="18"/>
              </w:rPr>
            </w:pPr>
            <w:r w:rsidRPr="005C3744">
              <w:rPr>
                <w:sz w:val="18"/>
                <w:szCs w:val="18"/>
              </w:rPr>
              <w:t xml:space="preserve"> 792.200,0 </w:t>
            </w:r>
          </w:p>
        </w:tc>
      </w:tr>
      <w:tr w:rsidR="005C3744" w:rsidRPr="005C3744" w:rsidTr="00573753">
        <w:trPr>
          <w:trHeight w:val="566"/>
        </w:trPr>
        <w:tc>
          <w:tcPr>
            <w:tcW w:w="2122" w:type="dxa"/>
            <w:noWrap/>
            <w:hideMark/>
          </w:tcPr>
          <w:p w:rsidR="005C3744" w:rsidRPr="005C3744" w:rsidRDefault="005C3744" w:rsidP="005C3744">
            <w:pPr>
              <w:rPr>
                <w:sz w:val="18"/>
                <w:szCs w:val="18"/>
              </w:rPr>
            </w:pPr>
            <w:r w:rsidRPr="005C3744">
              <w:rPr>
                <w:sz w:val="18"/>
                <w:szCs w:val="18"/>
              </w:rPr>
              <w:t>CNEL MANABÍ</w:t>
            </w:r>
          </w:p>
        </w:tc>
        <w:tc>
          <w:tcPr>
            <w:tcW w:w="5670" w:type="dxa"/>
            <w:hideMark/>
          </w:tcPr>
          <w:p w:rsidR="005C3744" w:rsidRPr="005C3744" w:rsidRDefault="005C3744">
            <w:pPr>
              <w:rPr>
                <w:sz w:val="18"/>
                <w:szCs w:val="18"/>
                <w:u w:val="single"/>
              </w:rPr>
            </w:pPr>
            <w:r w:rsidRPr="00E3792E">
              <w:rPr>
                <w:sz w:val="18"/>
                <w:szCs w:val="18"/>
                <w:u w:val="single"/>
              </w:rPr>
              <w:t>MARCO TULIO DIAZ QUINTEROS</w:t>
            </w:r>
          </w:p>
        </w:tc>
        <w:tc>
          <w:tcPr>
            <w:tcW w:w="1134" w:type="dxa"/>
            <w:hideMark/>
          </w:tcPr>
          <w:p w:rsidR="005C3744" w:rsidRPr="005C3744" w:rsidRDefault="005C3744" w:rsidP="00E3792E">
            <w:pPr>
              <w:jc w:val="right"/>
              <w:rPr>
                <w:sz w:val="18"/>
                <w:szCs w:val="18"/>
              </w:rPr>
            </w:pPr>
            <w:r w:rsidRPr="005C3744">
              <w:rPr>
                <w:sz w:val="18"/>
                <w:szCs w:val="18"/>
              </w:rPr>
              <w:t xml:space="preserve"> 63.201,2 </w:t>
            </w:r>
          </w:p>
        </w:tc>
      </w:tr>
      <w:tr w:rsidR="005C3744" w:rsidRPr="005C3744" w:rsidTr="00573753">
        <w:trPr>
          <w:trHeight w:val="425"/>
        </w:trPr>
        <w:tc>
          <w:tcPr>
            <w:tcW w:w="2122" w:type="dxa"/>
            <w:noWrap/>
            <w:hideMark/>
          </w:tcPr>
          <w:p w:rsidR="005C3744" w:rsidRPr="005C3744" w:rsidRDefault="005C3744" w:rsidP="005C3744">
            <w:pPr>
              <w:rPr>
                <w:sz w:val="18"/>
                <w:szCs w:val="18"/>
              </w:rPr>
            </w:pPr>
            <w:r w:rsidRPr="005C3744">
              <w:rPr>
                <w:sz w:val="18"/>
                <w:szCs w:val="18"/>
              </w:rPr>
              <w:t>CNEL MANABÍ</w:t>
            </w:r>
          </w:p>
        </w:tc>
        <w:tc>
          <w:tcPr>
            <w:tcW w:w="5670" w:type="dxa"/>
            <w:hideMark/>
          </w:tcPr>
          <w:p w:rsidR="005C3744" w:rsidRPr="005C3744" w:rsidRDefault="005C3744">
            <w:pPr>
              <w:rPr>
                <w:sz w:val="18"/>
                <w:szCs w:val="18"/>
                <w:u w:val="single"/>
              </w:rPr>
            </w:pPr>
            <w:r w:rsidRPr="00E3792E">
              <w:rPr>
                <w:sz w:val="18"/>
                <w:szCs w:val="18"/>
                <w:u w:val="single"/>
              </w:rPr>
              <w:t>GUIDO RAMON BELLETINI ANDRADE</w:t>
            </w:r>
          </w:p>
        </w:tc>
        <w:tc>
          <w:tcPr>
            <w:tcW w:w="1134" w:type="dxa"/>
            <w:hideMark/>
          </w:tcPr>
          <w:p w:rsidR="005C3744" w:rsidRPr="005C3744" w:rsidRDefault="005C3744" w:rsidP="00E3792E">
            <w:pPr>
              <w:jc w:val="right"/>
              <w:rPr>
                <w:sz w:val="18"/>
                <w:szCs w:val="18"/>
              </w:rPr>
            </w:pPr>
            <w:r w:rsidRPr="005C3744">
              <w:rPr>
                <w:sz w:val="18"/>
                <w:szCs w:val="18"/>
              </w:rPr>
              <w:t xml:space="preserve"> 10.434,6 </w:t>
            </w:r>
          </w:p>
        </w:tc>
      </w:tr>
      <w:tr w:rsidR="005C3744" w:rsidRPr="005C3744" w:rsidTr="00573753">
        <w:trPr>
          <w:trHeight w:val="330"/>
        </w:trPr>
        <w:tc>
          <w:tcPr>
            <w:tcW w:w="2122" w:type="dxa"/>
            <w:noWrap/>
            <w:hideMark/>
          </w:tcPr>
          <w:p w:rsidR="005C3744" w:rsidRPr="005C3744" w:rsidRDefault="005C3744" w:rsidP="005C3744">
            <w:pPr>
              <w:rPr>
                <w:sz w:val="18"/>
                <w:szCs w:val="18"/>
              </w:rPr>
            </w:pPr>
            <w:r w:rsidRPr="005C3744">
              <w:rPr>
                <w:sz w:val="18"/>
                <w:szCs w:val="18"/>
              </w:rPr>
              <w:t>CNEL MANABÍ</w:t>
            </w:r>
          </w:p>
        </w:tc>
        <w:tc>
          <w:tcPr>
            <w:tcW w:w="5670" w:type="dxa"/>
            <w:hideMark/>
          </w:tcPr>
          <w:p w:rsidR="005C3744" w:rsidRPr="005C3744" w:rsidRDefault="005C3744">
            <w:pPr>
              <w:rPr>
                <w:sz w:val="18"/>
                <w:szCs w:val="18"/>
                <w:u w:val="single"/>
              </w:rPr>
            </w:pPr>
            <w:r w:rsidRPr="00E3792E">
              <w:rPr>
                <w:sz w:val="18"/>
                <w:szCs w:val="18"/>
                <w:u w:val="single"/>
              </w:rPr>
              <w:t>SR. RUBEN ALEJANDRO LOOR ARTEAGA</w:t>
            </w:r>
          </w:p>
        </w:tc>
        <w:tc>
          <w:tcPr>
            <w:tcW w:w="1134" w:type="dxa"/>
            <w:hideMark/>
          </w:tcPr>
          <w:p w:rsidR="005C3744" w:rsidRPr="005C3744" w:rsidRDefault="005C3744" w:rsidP="00E3792E">
            <w:pPr>
              <w:jc w:val="right"/>
              <w:rPr>
                <w:sz w:val="18"/>
                <w:szCs w:val="18"/>
              </w:rPr>
            </w:pPr>
            <w:r w:rsidRPr="005C3744">
              <w:rPr>
                <w:sz w:val="18"/>
                <w:szCs w:val="18"/>
              </w:rPr>
              <w:t xml:space="preserve"> 10.434,6 </w:t>
            </w:r>
          </w:p>
        </w:tc>
      </w:tr>
      <w:tr w:rsidR="005C3744" w:rsidRPr="005C3744" w:rsidTr="00573753">
        <w:trPr>
          <w:trHeight w:val="506"/>
        </w:trPr>
        <w:tc>
          <w:tcPr>
            <w:tcW w:w="2122" w:type="dxa"/>
            <w:noWrap/>
            <w:hideMark/>
          </w:tcPr>
          <w:p w:rsidR="005C3744" w:rsidRPr="005C3744" w:rsidRDefault="005C3744" w:rsidP="005C3744">
            <w:pPr>
              <w:rPr>
                <w:sz w:val="18"/>
                <w:szCs w:val="18"/>
              </w:rPr>
            </w:pPr>
            <w:r w:rsidRPr="005C3744">
              <w:rPr>
                <w:sz w:val="18"/>
                <w:szCs w:val="18"/>
              </w:rPr>
              <w:t>CNEL MILAGRO</w:t>
            </w:r>
          </w:p>
        </w:tc>
        <w:tc>
          <w:tcPr>
            <w:tcW w:w="5670" w:type="dxa"/>
            <w:hideMark/>
          </w:tcPr>
          <w:p w:rsidR="005C3744" w:rsidRPr="005C3744" w:rsidRDefault="005C3744">
            <w:pPr>
              <w:rPr>
                <w:sz w:val="18"/>
                <w:szCs w:val="18"/>
              </w:rPr>
            </w:pPr>
            <w:r w:rsidRPr="005C3744">
              <w:rPr>
                <w:sz w:val="18"/>
                <w:szCs w:val="18"/>
              </w:rPr>
              <w:t>ALIMENTADOR TRIFASICO CAMARONERAS TAURA</w:t>
            </w:r>
          </w:p>
        </w:tc>
        <w:tc>
          <w:tcPr>
            <w:tcW w:w="1134" w:type="dxa"/>
            <w:hideMark/>
          </w:tcPr>
          <w:p w:rsidR="005C3744" w:rsidRPr="005C3744" w:rsidRDefault="005C3744" w:rsidP="00E3792E">
            <w:pPr>
              <w:jc w:val="right"/>
              <w:rPr>
                <w:sz w:val="18"/>
                <w:szCs w:val="18"/>
              </w:rPr>
            </w:pPr>
            <w:r w:rsidRPr="005C3744">
              <w:rPr>
                <w:sz w:val="18"/>
                <w:szCs w:val="18"/>
              </w:rPr>
              <w:t xml:space="preserve"> 631.318,9 </w:t>
            </w:r>
          </w:p>
        </w:tc>
      </w:tr>
      <w:tr w:rsidR="005C3744" w:rsidRPr="005C3744" w:rsidTr="00573753">
        <w:trPr>
          <w:trHeight w:val="411"/>
        </w:trPr>
        <w:tc>
          <w:tcPr>
            <w:tcW w:w="2122" w:type="dxa"/>
            <w:noWrap/>
            <w:hideMark/>
          </w:tcPr>
          <w:p w:rsidR="005C3744" w:rsidRPr="005C3744" w:rsidRDefault="005C3744" w:rsidP="005C3744">
            <w:pPr>
              <w:rPr>
                <w:sz w:val="18"/>
                <w:szCs w:val="18"/>
              </w:rPr>
            </w:pPr>
            <w:r w:rsidRPr="005C3744">
              <w:rPr>
                <w:sz w:val="18"/>
                <w:szCs w:val="18"/>
              </w:rPr>
              <w:t>CNEL MILAGRO</w:t>
            </w:r>
          </w:p>
        </w:tc>
        <w:tc>
          <w:tcPr>
            <w:tcW w:w="5670" w:type="dxa"/>
            <w:hideMark/>
          </w:tcPr>
          <w:p w:rsidR="005C3744" w:rsidRPr="005C3744" w:rsidRDefault="005C3744">
            <w:pPr>
              <w:rPr>
                <w:sz w:val="18"/>
                <w:szCs w:val="18"/>
              </w:rPr>
            </w:pPr>
            <w:r w:rsidRPr="005C3744">
              <w:rPr>
                <w:sz w:val="18"/>
                <w:szCs w:val="18"/>
              </w:rPr>
              <w:t>ALIMENTADOR TRIFASICO CAMARONERAS BOLICHE</w:t>
            </w:r>
          </w:p>
        </w:tc>
        <w:tc>
          <w:tcPr>
            <w:tcW w:w="1134" w:type="dxa"/>
            <w:hideMark/>
          </w:tcPr>
          <w:p w:rsidR="005C3744" w:rsidRPr="005C3744" w:rsidRDefault="005C3744" w:rsidP="00E3792E">
            <w:pPr>
              <w:jc w:val="right"/>
              <w:rPr>
                <w:sz w:val="18"/>
                <w:szCs w:val="18"/>
              </w:rPr>
            </w:pPr>
            <w:r w:rsidRPr="005C3744">
              <w:rPr>
                <w:sz w:val="18"/>
                <w:szCs w:val="18"/>
              </w:rPr>
              <w:t xml:space="preserve"> 623.541,3 </w:t>
            </w:r>
          </w:p>
        </w:tc>
      </w:tr>
      <w:tr w:rsidR="005C3744" w:rsidRPr="005C3744" w:rsidTr="00573753">
        <w:trPr>
          <w:trHeight w:val="460"/>
        </w:trPr>
        <w:tc>
          <w:tcPr>
            <w:tcW w:w="2122" w:type="dxa"/>
            <w:noWrap/>
            <w:hideMark/>
          </w:tcPr>
          <w:p w:rsidR="005C3744" w:rsidRPr="005C3744" w:rsidRDefault="005C3744" w:rsidP="005C3744">
            <w:pPr>
              <w:rPr>
                <w:sz w:val="18"/>
                <w:szCs w:val="18"/>
              </w:rPr>
            </w:pPr>
            <w:r w:rsidRPr="005C3744">
              <w:rPr>
                <w:sz w:val="18"/>
                <w:szCs w:val="18"/>
              </w:rPr>
              <w:t>CNEL MILAGRO</w:t>
            </w:r>
          </w:p>
        </w:tc>
        <w:tc>
          <w:tcPr>
            <w:tcW w:w="5670" w:type="dxa"/>
            <w:hideMark/>
          </w:tcPr>
          <w:p w:rsidR="005C3744" w:rsidRPr="005C3744" w:rsidRDefault="005C3744">
            <w:pPr>
              <w:rPr>
                <w:sz w:val="18"/>
                <w:szCs w:val="18"/>
              </w:rPr>
            </w:pPr>
            <w:r w:rsidRPr="005C3744">
              <w:rPr>
                <w:sz w:val="18"/>
                <w:szCs w:val="18"/>
              </w:rPr>
              <w:t>ALIMENTADOR TRIFASICO CAMARONERAS CERRO PELADO</w:t>
            </w:r>
          </w:p>
        </w:tc>
        <w:tc>
          <w:tcPr>
            <w:tcW w:w="1134" w:type="dxa"/>
            <w:hideMark/>
          </w:tcPr>
          <w:p w:rsidR="005C3744" w:rsidRPr="005C3744" w:rsidRDefault="005C3744" w:rsidP="00E3792E">
            <w:pPr>
              <w:jc w:val="right"/>
              <w:rPr>
                <w:sz w:val="18"/>
                <w:szCs w:val="18"/>
              </w:rPr>
            </w:pPr>
            <w:r w:rsidRPr="005C3744">
              <w:rPr>
                <w:sz w:val="18"/>
                <w:szCs w:val="18"/>
              </w:rPr>
              <w:t xml:space="preserve"> 635.999,8 </w:t>
            </w:r>
          </w:p>
        </w:tc>
      </w:tr>
      <w:tr w:rsidR="005C3744" w:rsidRPr="005C3744" w:rsidTr="00573753">
        <w:trPr>
          <w:trHeight w:val="380"/>
        </w:trPr>
        <w:tc>
          <w:tcPr>
            <w:tcW w:w="2122" w:type="dxa"/>
            <w:noWrap/>
            <w:hideMark/>
          </w:tcPr>
          <w:p w:rsidR="005C3744" w:rsidRPr="005C3744" w:rsidRDefault="005C3744" w:rsidP="005C3744">
            <w:pPr>
              <w:rPr>
                <w:sz w:val="18"/>
                <w:szCs w:val="18"/>
              </w:rPr>
            </w:pPr>
            <w:r w:rsidRPr="005C3744">
              <w:rPr>
                <w:sz w:val="18"/>
                <w:szCs w:val="18"/>
              </w:rPr>
              <w:t>CNEL MILAGRO</w:t>
            </w:r>
          </w:p>
        </w:tc>
        <w:tc>
          <w:tcPr>
            <w:tcW w:w="5670" w:type="dxa"/>
            <w:hideMark/>
          </w:tcPr>
          <w:p w:rsidR="005C3744" w:rsidRPr="005C3744" w:rsidRDefault="005C3744">
            <w:pPr>
              <w:rPr>
                <w:sz w:val="18"/>
                <w:szCs w:val="18"/>
              </w:rPr>
            </w:pPr>
            <w:r w:rsidRPr="005C3744">
              <w:rPr>
                <w:sz w:val="18"/>
                <w:szCs w:val="18"/>
              </w:rPr>
              <w:t>ALIMENTADOR TRIFASICO CAMARONERAS VILLA NUEVA 2</w:t>
            </w:r>
          </w:p>
        </w:tc>
        <w:tc>
          <w:tcPr>
            <w:tcW w:w="1134" w:type="dxa"/>
            <w:hideMark/>
          </w:tcPr>
          <w:p w:rsidR="005C3744" w:rsidRPr="005C3744" w:rsidRDefault="005C3744" w:rsidP="00E3792E">
            <w:pPr>
              <w:jc w:val="right"/>
              <w:rPr>
                <w:sz w:val="18"/>
                <w:szCs w:val="18"/>
              </w:rPr>
            </w:pPr>
            <w:r w:rsidRPr="005C3744">
              <w:rPr>
                <w:sz w:val="18"/>
                <w:szCs w:val="18"/>
              </w:rPr>
              <w:t xml:space="preserve"> 455.291,6 </w:t>
            </w:r>
          </w:p>
        </w:tc>
      </w:tr>
      <w:tr w:rsidR="005C3744" w:rsidRPr="005C3744" w:rsidTr="00573753">
        <w:trPr>
          <w:trHeight w:val="542"/>
        </w:trPr>
        <w:tc>
          <w:tcPr>
            <w:tcW w:w="2122" w:type="dxa"/>
            <w:noWrap/>
            <w:hideMark/>
          </w:tcPr>
          <w:p w:rsidR="005C3744" w:rsidRPr="005C3744" w:rsidRDefault="005C3744" w:rsidP="005C3744">
            <w:pPr>
              <w:rPr>
                <w:sz w:val="18"/>
                <w:szCs w:val="18"/>
              </w:rPr>
            </w:pPr>
            <w:r w:rsidRPr="005C3744">
              <w:rPr>
                <w:sz w:val="18"/>
                <w:szCs w:val="18"/>
              </w:rPr>
              <w:t>CNEL MILAGRO</w:t>
            </w:r>
          </w:p>
        </w:tc>
        <w:tc>
          <w:tcPr>
            <w:tcW w:w="5670" w:type="dxa"/>
            <w:hideMark/>
          </w:tcPr>
          <w:p w:rsidR="005C3744" w:rsidRPr="005C3744" w:rsidRDefault="005C3744">
            <w:pPr>
              <w:rPr>
                <w:sz w:val="18"/>
                <w:szCs w:val="18"/>
              </w:rPr>
            </w:pPr>
            <w:r w:rsidRPr="005C3744">
              <w:rPr>
                <w:sz w:val="18"/>
                <w:szCs w:val="18"/>
              </w:rPr>
              <w:t>REPOTENCIACION DE LA S/E  MONTERO</w:t>
            </w:r>
          </w:p>
        </w:tc>
        <w:tc>
          <w:tcPr>
            <w:tcW w:w="1134" w:type="dxa"/>
            <w:hideMark/>
          </w:tcPr>
          <w:p w:rsidR="005C3744" w:rsidRPr="005C3744" w:rsidRDefault="005C3744" w:rsidP="00E3792E">
            <w:pPr>
              <w:jc w:val="right"/>
              <w:rPr>
                <w:sz w:val="18"/>
                <w:szCs w:val="18"/>
              </w:rPr>
            </w:pPr>
            <w:r w:rsidRPr="005C3744">
              <w:rPr>
                <w:sz w:val="18"/>
                <w:szCs w:val="18"/>
              </w:rPr>
              <w:t xml:space="preserve"> 655.000,0 </w:t>
            </w:r>
          </w:p>
        </w:tc>
      </w:tr>
      <w:tr w:rsidR="005C3744" w:rsidRPr="005C3744" w:rsidTr="00573753">
        <w:trPr>
          <w:trHeight w:val="320"/>
        </w:trPr>
        <w:tc>
          <w:tcPr>
            <w:tcW w:w="2122" w:type="dxa"/>
            <w:noWrap/>
            <w:hideMark/>
          </w:tcPr>
          <w:p w:rsidR="005C3744" w:rsidRPr="005C3744" w:rsidRDefault="005C3744" w:rsidP="005C3744">
            <w:pPr>
              <w:rPr>
                <w:sz w:val="18"/>
                <w:szCs w:val="18"/>
              </w:rPr>
            </w:pPr>
            <w:r w:rsidRPr="005C3744">
              <w:rPr>
                <w:sz w:val="18"/>
                <w:szCs w:val="18"/>
              </w:rPr>
              <w:t>CNEL MILAGRO</w:t>
            </w:r>
          </w:p>
        </w:tc>
        <w:tc>
          <w:tcPr>
            <w:tcW w:w="5670" w:type="dxa"/>
            <w:hideMark/>
          </w:tcPr>
          <w:p w:rsidR="005C3744" w:rsidRPr="005C3744" w:rsidRDefault="005C3744">
            <w:pPr>
              <w:rPr>
                <w:sz w:val="18"/>
                <w:szCs w:val="18"/>
              </w:rPr>
            </w:pPr>
            <w:r w:rsidRPr="005C3744">
              <w:rPr>
                <w:sz w:val="18"/>
                <w:szCs w:val="18"/>
              </w:rPr>
              <w:t>REPOTENCIACION CELDAS MT SUBESTACION NARANJAL</w:t>
            </w:r>
          </w:p>
        </w:tc>
        <w:tc>
          <w:tcPr>
            <w:tcW w:w="1134" w:type="dxa"/>
            <w:hideMark/>
          </w:tcPr>
          <w:p w:rsidR="005C3744" w:rsidRPr="005C3744" w:rsidRDefault="005C3744" w:rsidP="00E3792E">
            <w:pPr>
              <w:jc w:val="right"/>
              <w:rPr>
                <w:sz w:val="18"/>
                <w:szCs w:val="18"/>
              </w:rPr>
            </w:pPr>
            <w:r w:rsidRPr="005C3744">
              <w:rPr>
                <w:sz w:val="18"/>
                <w:szCs w:val="18"/>
              </w:rPr>
              <w:t xml:space="preserve"> 793.054,6 </w:t>
            </w:r>
          </w:p>
        </w:tc>
      </w:tr>
      <w:tr w:rsidR="005C3744" w:rsidRPr="005C3744" w:rsidTr="00573753">
        <w:trPr>
          <w:trHeight w:val="850"/>
        </w:trPr>
        <w:tc>
          <w:tcPr>
            <w:tcW w:w="2122" w:type="dxa"/>
            <w:hideMark/>
          </w:tcPr>
          <w:p w:rsidR="005C3744" w:rsidRPr="005C3744" w:rsidRDefault="005C3744" w:rsidP="005C3744">
            <w:pPr>
              <w:rPr>
                <w:sz w:val="18"/>
                <w:szCs w:val="18"/>
              </w:rPr>
            </w:pPr>
            <w:r w:rsidRPr="005C3744">
              <w:rPr>
                <w:sz w:val="18"/>
                <w:szCs w:val="18"/>
              </w:rPr>
              <w:t>CNEL SANTA ELENA</w:t>
            </w:r>
          </w:p>
        </w:tc>
        <w:tc>
          <w:tcPr>
            <w:tcW w:w="5670" w:type="dxa"/>
            <w:hideMark/>
          </w:tcPr>
          <w:p w:rsidR="005C3744" w:rsidRPr="005C3744" w:rsidRDefault="005C3744">
            <w:pPr>
              <w:rPr>
                <w:sz w:val="18"/>
                <w:szCs w:val="18"/>
              </w:rPr>
            </w:pPr>
            <w:r w:rsidRPr="005C3744">
              <w:rPr>
                <w:sz w:val="18"/>
                <w:szCs w:val="18"/>
              </w:rPr>
              <w:t>CONSTRUCCION DE LA LINEA DE SUBTRANSMISION de la linea de 69 kv s/e san lorenzo-saba</w:t>
            </w:r>
            <w:r w:rsidR="00480D45">
              <w:rPr>
                <w:sz w:val="18"/>
                <w:szCs w:val="18"/>
              </w:rPr>
              <w:t>na grande y s/e sabana grande (</w:t>
            </w:r>
            <w:r w:rsidRPr="005C3744">
              <w:rPr>
                <w:sz w:val="18"/>
                <w:szCs w:val="18"/>
              </w:rPr>
              <w:t>INCLUYE 3 ALIMENTADORE A 13.8KV)</w:t>
            </w:r>
          </w:p>
        </w:tc>
        <w:tc>
          <w:tcPr>
            <w:tcW w:w="1134" w:type="dxa"/>
            <w:hideMark/>
          </w:tcPr>
          <w:p w:rsidR="005C3744" w:rsidRPr="005C3744" w:rsidRDefault="005C3744" w:rsidP="00E3792E">
            <w:pPr>
              <w:jc w:val="right"/>
              <w:rPr>
                <w:sz w:val="18"/>
                <w:szCs w:val="18"/>
              </w:rPr>
            </w:pPr>
            <w:r w:rsidRPr="005C3744">
              <w:rPr>
                <w:sz w:val="18"/>
                <w:szCs w:val="18"/>
              </w:rPr>
              <w:t xml:space="preserve"> 3.808.000,0 </w:t>
            </w:r>
          </w:p>
        </w:tc>
      </w:tr>
      <w:tr w:rsidR="005C3744" w:rsidRPr="005C3744" w:rsidTr="00573753">
        <w:trPr>
          <w:trHeight w:val="472"/>
        </w:trPr>
        <w:tc>
          <w:tcPr>
            <w:tcW w:w="2122" w:type="dxa"/>
            <w:hideMark/>
          </w:tcPr>
          <w:p w:rsidR="005C3744" w:rsidRPr="005C3744" w:rsidRDefault="005C3744" w:rsidP="005C3744">
            <w:pPr>
              <w:rPr>
                <w:sz w:val="18"/>
                <w:szCs w:val="18"/>
              </w:rPr>
            </w:pPr>
            <w:r w:rsidRPr="005C3744">
              <w:rPr>
                <w:sz w:val="18"/>
                <w:szCs w:val="18"/>
              </w:rPr>
              <w:t>CNEL SANTA ELENA</w:t>
            </w:r>
          </w:p>
        </w:tc>
        <w:tc>
          <w:tcPr>
            <w:tcW w:w="5670" w:type="dxa"/>
            <w:hideMark/>
          </w:tcPr>
          <w:p w:rsidR="005C3744" w:rsidRPr="005C3744" w:rsidRDefault="00480D45">
            <w:pPr>
              <w:rPr>
                <w:sz w:val="18"/>
                <w:szCs w:val="18"/>
              </w:rPr>
            </w:pPr>
            <w:r w:rsidRPr="005C3744">
              <w:rPr>
                <w:sz w:val="18"/>
                <w:szCs w:val="18"/>
              </w:rPr>
              <w:t>Electrificación</w:t>
            </w:r>
            <w:r w:rsidR="005C3744" w:rsidRPr="005C3744">
              <w:rPr>
                <w:sz w:val="18"/>
                <w:szCs w:val="18"/>
              </w:rPr>
              <w:t xml:space="preserve"> Camaronera FILACAS</w:t>
            </w:r>
          </w:p>
        </w:tc>
        <w:tc>
          <w:tcPr>
            <w:tcW w:w="1134" w:type="dxa"/>
            <w:hideMark/>
          </w:tcPr>
          <w:p w:rsidR="005C3744" w:rsidRPr="005C3744" w:rsidRDefault="005C3744" w:rsidP="00E3792E">
            <w:pPr>
              <w:jc w:val="right"/>
              <w:rPr>
                <w:sz w:val="18"/>
                <w:szCs w:val="18"/>
              </w:rPr>
            </w:pPr>
            <w:r w:rsidRPr="005C3744">
              <w:rPr>
                <w:sz w:val="18"/>
                <w:szCs w:val="18"/>
              </w:rPr>
              <w:t xml:space="preserve"> 40.462,7 </w:t>
            </w:r>
          </w:p>
        </w:tc>
      </w:tr>
      <w:tr w:rsidR="005C3744" w:rsidRPr="005C3744" w:rsidTr="00573753">
        <w:trPr>
          <w:trHeight w:val="648"/>
        </w:trPr>
        <w:tc>
          <w:tcPr>
            <w:tcW w:w="2122" w:type="dxa"/>
            <w:hideMark/>
          </w:tcPr>
          <w:p w:rsidR="005C3744" w:rsidRPr="005C3744" w:rsidRDefault="005C3744" w:rsidP="005C3744">
            <w:pPr>
              <w:rPr>
                <w:sz w:val="18"/>
                <w:szCs w:val="18"/>
              </w:rPr>
            </w:pPr>
            <w:r w:rsidRPr="005C3744">
              <w:rPr>
                <w:sz w:val="18"/>
                <w:szCs w:val="18"/>
              </w:rPr>
              <w:t>CNEL SANTA ELENA</w:t>
            </w:r>
          </w:p>
        </w:tc>
        <w:tc>
          <w:tcPr>
            <w:tcW w:w="5670" w:type="dxa"/>
            <w:hideMark/>
          </w:tcPr>
          <w:p w:rsidR="005C3744" w:rsidRPr="005C3744" w:rsidRDefault="00480D45">
            <w:pPr>
              <w:rPr>
                <w:sz w:val="18"/>
                <w:szCs w:val="18"/>
              </w:rPr>
            </w:pPr>
            <w:r w:rsidRPr="005C3744">
              <w:rPr>
                <w:sz w:val="18"/>
                <w:szCs w:val="18"/>
              </w:rPr>
              <w:t>Electrificación</w:t>
            </w:r>
            <w:r w:rsidR="005C3744" w:rsidRPr="005C3744">
              <w:rPr>
                <w:sz w:val="18"/>
                <w:szCs w:val="18"/>
              </w:rPr>
              <w:t xml:space="preserve"> Camaronera MESANICA</w:t>
            </w:r>
          </w:p>
        </w:tc>
        <w:tc>
          <w:tcPr>
            <w:tcW w:w="1134" w:type="dxa"/>
            <w:hideMark/>
          </w:tcPr>
          <w:p w:rsidR="005C3744" w:rsidRPr="005C3744" w:rsidRDefault="005C3744" w:rsidP="00E3792E">
            <w:pPr>
              <w:jc w:val="right"/>
              <w:rPr>
                <w:sz w:val="18"/>
                <w:szCs w:val="18"/>
              </w:rPr>
            </w:pPr>
            <w:r w:rsidRPr="005C3744">
              <w:rPr>
                <w:sz w:val="18"/>
                <w:szCs w:val="18"/>
              </w:rPr>
              <w:t xml:space="preserve"> 9.456,1 </w:t>
            </w:r>
          </w:p>
        </w:tc>
      </w:tr>
      <w:tr w:rsidR="005C3744" w:rsidRPr="005C3744" w:rsidTr="00573753">
        <w:trPr>
          <w:trHeight w:val="411"/>
        </w:trPr>
        <w:tc>
          <w:tcPr>
            <w:tcW w:w="2122" w:type="dxa"/>
            <w:noWrap/>
            <w:hideMark/>
          </w:tcPr>
          <w:p w:rsidR="005C3744" w:rsidRPr="005C3744" w:rsidRDefault="005C3744" w:rsidP="005C3744">
            <w:pPr>
              <w:rPr>
                <w:sz w:val="18"/>
                <w:szCs w:val="18"/>
              </w:rPr>
            </w:pPr>
            <w:r w:rsidRPr="005C3744">
              <w:rPr>
                <w:sz w:val="18"/>
                <w:szCs w:val="18"/>
              </w:rPr>
              <w:t>CNEL SANTO DOMINGO</w:t>
            </w:r>
          </w:p>
        </w:tc>
        <w:tc>
          <w:tcPr>
            <w:tcW w:w="5670" w:type="dxa"/>
            <w:hideMark/>
          </w:tcPr>
          <w:p w:rsidR="005C3744" w:rsidRPr="005C3744" w:rsidRDefault="005C3744">
            <w:pPr>
              <w:rPr>
                <w:sz w:val="18"/>
                <w:szCs w:val="18"/>
              </w:rPr>
            </w:pPr>
            <w:r w:rsidRPr="005C3744">
              <w:rPr>
                <w:sz w:val="18"/>
                <w:szCs w:val="18"/>
              </w:rPr>
              <w:t>REFORZAMIENTO DEL ALIMENTADOR COAQUE</w:t>
            </w:r>
          </w:p>
        </w:tc>
        <w:tc>
          <w:tcPr>
            <w:tcW w:w="1134" w:type="dxa"/>
            <w:hideMark/>
          </w:tcPr>
          <w:p w:rsidR="005C3744" w:rsidRPr="005C3744" w:rsidRDefault="005C3744" w:rsidP="00E3792E">
            <w:pPr>
              <w:jc w:val="right"/>
              <w:rPr>
                <w:sz w:val="18"/>
                <w:szCs w:val="18"/>
              </w:rPr>
            </w:pPr>
            <w:r w:rsidRPr="005C3744">
              <w:rPr>
                <w:sz w:val="18"/>
                <w:szCs w:val="18"/>
              </w:rPr>
              <w:t xml:space="preserve"> 966.981,1 </w:t>
            </w:r>
          </w:p>
        </w:tc>
      </w:tr>
      <w:tr w:rsidR="005C3744" w:rsidRPr="005C3744" w:rsidTr="00573753">
        <w:trPr>
          <w:trHeight w:val="792"/>
        </w:trPr>
        <w:tc>
          <w:tcPr>
            <w:tcW w:w="2122" w:type="dxa"/>
            <w:noWrap/>
            <w:hideMark/>
          </w:tcPr>
          <w:p w:rsidR="005C3744" w:rsidRPr="005C3744" w:rsidRDefault="005C3744" w:rsidP="005C3744">
            <w:pPr>
              <w:rPr>
                <w:sz w:val="18"/>
                <w:szCs w:val="18"/>
              </w:rPr>
            </w:pPr>
            <w:r w:rsidRPr="005C3744">
              <w:rPr>
                <w:sz w:val="18"/>
                <w:szCs w:val="18"/>
              </w:rPr>
              <w:t>CNEL SANTO DOMINGO</w:t>
            </w:r>
          </w:p>
        </w:tc>
        <w:tc>
          <w:tcPr>
            <w:tcW w:w="5670" w:type="dxa"/>
            <w:hideMark/>
          </w:tcPr>
          <w:p w:rsidR="005C3744" w:rsidRPr="005C3744" w:rsidRDefault="005C3744">
            <w:pPr>
              <w:rPr>
                <w:sz w:val="18"/>
                <w:szCs w:val="18"/>
              </w:rPr>
            </w:pPr>
            <w:r w:rsidRPr="005C3744">
              <w:rPr>
                <w:sz w:val="18"/>
                <w:szCs w:val="18"/>
              </w:rPr>
              <w:t>REFORZAMIENTO Y CONSTRUCCIÓN DEL ALIMENTADOR COJIMIES VÍA ESMERALDAS</w:t>
            </w:r>
          </w:p>
        </w:tc>
        <w:tc>
          <w:tcPr>
            <w:tcW w:w="1134" w:type="dxa"/>
            <w:hideMark/>
          </w:tcPr>
          <w:p w:rsidR="005C3744" w:rsidRPr="005C3744" w:rsidRDefault="005C3744" w:rsidP="00E3792E">
            <w:pPr>
              <w:jc w:val="right"/>
              <w:rPr>
                <w:sz w:val="18"/>
                <w:szCs w:val="18"/>
              </w:rPr>
            </w:pPr>
            <w:r w:rsidRPr="005C3744">
              <w:rPr>
                <w:sz w:val="18"/>
                <w:szCs w:val="18"/>
              </w:rPr>
              <w:t xml:space="preserve"> 1.894.253,7 </w:t>
            </w:r>
          </w:p>
        </w:tc>
      </w:tr>
      <w:tr w:rsidR="005C3744" w:rsidRPr="005C3744" w:rsidTr="00573753">
        <w:trPr>
          <w:trHeight w:val="389"/>
        </w:trPr>
        <w:tc>
          <w:tcPr>
            <w:tcW w:w="2122" w:type="dxa"/>
            <w:noWrap/>
            <w:hideMark/>
          </w:tcPr>
          <w:p w:rsidR="005C3744" w:rsidRPr="005C3744" w:rsidRDefault="005C3744" w:rsidP="005C3744">
            <w:pPr>
              <w:rPr>
                <w:sz w:val="18"/>
                <w:szCs w:val="18"/>
              </w:rPr>
            </w:pPr>
            <w:r w:rsidRPr="005C3744">
              <w:rPr>
                <w:sz w:val="18"/>
                <w:szCs w:val="18"/>
              </w:rPr>
              <w:t>CNEL SANTO DOMINGO</w:t>
            </w:r>
          </w:p>
        </w:tc>
        <w:tc>
          <w:tcPr>
            <w:tcW w:w="5670" w:type="dxa"/>
            <w:hideMark/>
          </w:tcPr>
          <w:p w:rsidR="005C3744" w:rsidRPr="005C3744" w:rsidRDefault="005C3744">
            <w:pPr>
              <w:rPr>
                <w:sz w:val="18"/>
                <w:szCs w:val="18"/>
              </w:rPr>
            </w:pPr>
            <w:r w:rsidRPr="005C3744">
              <w:rPr>
                <w:sz w:val="18"/>
                <w:szCs w:val="18"/>
              </w:rPr>
              <w:t>ELECTRIFICACIÓN DE RED TRIFÁSICA DIVACI S.A. Y JAVIER DUEÑAS</w:t>
            </w:r>
          </w:p>
        </w:tc>
        <w:tc>
          <w:tcPr>
            <w:tcW w:w="1134" w:type="dxa"/>
            <w:hideMark/>
          </w:tcPr>
          <w:p w:rsidR="005C3744" w:rsidRPr="005C3744" w:rsidRDefault="005C3744" w:rsidP="00E3792E">
            <w:pPr>
              <w:jc w:val="right"/>
              <w:rPr>
                <w:sz w:val="18"/>
                <w:szCs w:val="18"/>
              </w:rPr>
            </w:pPr>
            <w:r w:rsidRPr="005C3744">
              <w:rPr>
                <w:sz w:val="18"/>
                <w:szCs w:val="18"/>
              </w:rPr>
              <w:t xml:space="preserve"> 52.323,3 </w:t>
            </w:r>
          </w:p>
        </w:tc>
      </w:tr>
      <w:tr w:rsidR="005C3744" w:rsidRPr="005C3744" w:rsidTr="00573753">
        <w:trPr>
          <w:trHeight w:val="434"/>
        </w:trPr>
        <w:tc>
          <w:tcPr>
            <w:tcW w:w="2122" w:type="dxa"/>
            <w:noWrap/>
            <w:hideMark/>
          </w:tcPr>
          <w:p w:rsidR="005C3744" w:rsidRPr="005C3744" w:rsidRDefault="005C3744" w:rsidP="005C3744">
            <w:pPr>
              <w:rPr>
                <w:sz w:val="18"/>
                <w:szCs w:val="18"/>
              </w:rPr>
            </w:pPr>
            <w:r w:rsidRPr="005C3744">
              <w:rPr>
                <w:sz w:val="18"/>
                <w:szCs w:val="18"/>
              </w:rPr>
              <w:t>CNEL SANTO DOMINGO</w:t>
            </w:r>
          </w:p>
        </w:tc>
        <w:tc>
          <w:tcPr>
            <w:tcW w:w="5670" w:type="dxa"/>
            <w:hideMark/>
          </w:tcPr>
          <w:p w:rsidR="005C3744" w:rsidRPr="005C3744" w:rsidRDefault="005C3744">
            <w:pPr>
              <w:rPr>
                <w:sz w:val="18"/>
                <w:szCs w:val="18"/>
              </w:rPr>
            </w:pPr>
            <w:r w:rsidRPr="005C3744">
              <w:rPr>
                <w:sz w:val="18"/>
                <w:szCs w:val="18"/>
              </w:rPr>
              <w:t>Electrificación de red trifasica Honorina, Katia, Luisa y PADOA S.A. Irene Cevallos Medina de Muentes</w:t>
            </w:r>
          </w:p>
        </w:tc>
        <w:tc>
          <w:tcPr>
            <w:tcW w:w="1134" w:type="dxa"/>
            <w:hideMark/>
          </w:tcPr>
          <w:p w:rsidR="005C3744" w:rsidRPr="005C3744" w:rsidRDefault="005C3744" w:rsidP="00E3792E">
            <w:pPr>
              <w:jc w:val="right"/>
              <w:rPr>
                <w:sz w:val="18"/>
                <w:szCs w:val="18"/>
              </w:rPr>
            </w:pPr>
            <w:r w:rsidRPr="005C3744">
              <w:rPr>
                <w:sz w:val="18"/>
                <w:szCs w:val="18"/>
              </w:rPr>
              <w:t xml:space="preserve"> 44.039,3 </w:t>
            </w:r>
          </w:p>
        </w:tc>
      </w:tr>
      <w:tr w:rsidR="005C3744" w:rsidRPr="005C3744" w:rsidTr="00573753">
        <w:trPr>
          <w:trHeight w:val="216"/>
        </w:trPr>
        <w:tc>
          <w:tcPr>
            <w:tcW w:w="2122" w:type="dxa"/>
            <w:noWrap/>
            <w:hideMark/>
          </w:tcPr>
          <w:p w:rsidR="005C3744" w:rsidRPr="005C3744" w:rsidRDefault="005C3744" w:rsidP="005C3744">
            <w:pPr>
              <w:rPr>
                <w:sz w:val="18"/>
                <w:szCs w:val="18"/>
              </w:rPr>
            </w:pPr>
            <w:r w:rsidRPr="005C3744">
              <w:rPr>
                <w:sz w:val="18"/>
                <w:szCs w:val="18"/>
              </w:rPr>
              <w:t>CNEL SANTO DOMINGO</w:t>
            </w:r>
          </w:p>
        </w:tc>
        <w:tc>
          <w:tcPr>
            <w:tcW w:w="5670" w:type="dxa"/>
            <w:hideMark/>
          </w:tcPr>
          <w:p w:rsidR="005C3744" w:rsidRPr="005C3744" w:rsidRDefault="005C3744">
            <w:pPr>
              <w:rPr>
                <w:sz w:val="18"/>
                <w:szCs w:val="18"/>
              </w:rPr>
            </w:pPr>
            <w:r w:rsidRPr="005C3744">
              <w:rPr>
                <w:sz w:val="18"/>
                <w:szCs w:val="18"/>
              </w:rPr>
              <w:t>Electrificación de red trifasica NESCUR. S.A.</w:t>
            </w:r>
          </w:p>
        </w:tc>
        <w:tc>
          <w:tcPr>
            <w:tcW w:w="1134" w:type="dxa"/>
            <w:hideMark/>
          </w:tcPr>
          <w:p w:rsidR="005C3744" w:rsidRPr="005C3744" w:rsidRDefault="005C3744" w:rsidP="00E3792E">
            <w:pPr>
              <w:jc w:val="right"/>
              <w:rPr>
                <w:sz w:val="18"/>
                <w:szCs w:val="18"/>
              </w:rPr>
            </w:pPr>
            <w:r w:rsidRPr="005C3744">
              <w:rPr>
                <w:sz w:val="18"/>
                <w:szCs w:val="18"/>
              </w:rPr>
              <w:t xml:space="preserve"> 10.098,7 </w:t>
            </w:r>
          </w:p>
        </w:tc>
      </w:tr>
    </w:tbl>
    <w:p w:rsidR="009867D8" w:rsidRDefault="009867D8">
      <w:pPr>
        <w:rPr>
          <w:lang w:val="es-CL"/>
        </w:rPr>
      </w:pPr>
      <w:r>
        <w:rPr>
          <w:lang w:val="es-CL"/>
        </w:rPr>
        <w:br w:type="page"/>
      </w:r>
    </w:p>
    <w:p w:rsidR="0061035B" w:rsidRDefault="009867D8" w:rsidP="009867D8">
      <w:pPr>
        <w:pStyle w:val="Heading1"/>
        <w:rPr>
          <w:lang w:val="es-CL"/>
        </w:rPr>
      </w:pPr>
      <w:bookmarkStart w:id="36" w:name="_Toc491617779"/>
      <w:r>
        <w:rPr>
          <w:lang w:val="es-CL"/>
        </w:rPr>
        <w:t xml:space="preserve">Anexo 2. Inversiones y Costos </w:t>
      </w:r>
      <w:r w:rsidR="00080750">
        <w:rPr>
          <w:lang w:val="es-CL"/>
        </w:rPr>
        <w:t>O&amp;M</w:t>
      </w:r>
      <w:r>
        <w:rPr>
          <w:lang w:val="es-CL"/>
        </w:rPr>
        <w:t xml:space="preserve"> desde el punto de vista económico.</w:t>
      </w:r>
      <w:bookmarkEnd w:id="36"/>
    </w:p>
    <w:p w:rsidR="009867D8" w:rsidRDefault="009867D8" w:rsidP="00F56913">
      <w:pPr>
        <w:jc w:val="both"/>
        <w:rPr>
          <w:lang w:val="es-CL"/>
        </w:rPr>
      </w:pPr>
    </w:p>
    <w:p w:rsidR="009867D8" w:rsidRDefault="00092045" w:rsidP="00F56913">
      <w:pPr>
        <w:jc w:val="both"/>
        <w:rPr>
          <w:lang w:val="es-CL"/>
        </w:rPr>
      </w:pPr>
      <w:r>
        <w:rPr>
          <w:lang w:val="es-CL"/>
        </w:rPr>
        <w:t>En general, según la experiencia del consultor</w:t>
      </w:r>
      <w:r w:rsidR="00A46AD6">
        <w:rPr>
          <w:lang w:val="es-CL"/>
        </w:rPr>
        <w:t xml:space="preserve"> y de forma preliminar</w:t>
      </w:r>
      <w:r>
        <w:rPr>
          <w:lang w:val="es-CL"/>
        </w:rPr>
        <w:t xml:space="preserve">, las inversiones en redes eléctricas </w:t>
      </w:r>
      <w:r w:rsidR="00A46AD6">
        <w:rPr>
          <w:lang w:val="es-CL"/>
        </w:rPr>
        <w:t>han sido</w:t>
      </w:r>
      <w:r>
        <w:rPr>
          <w:lang w:val="es-CL"/>
        </w:rPr>
        <w:t xml:space="preserve"> desglosadas según el siguiente esquema.</w:t>
      </w:r>
    </w:p>
    <w:p w:rsidR="00092045" w:rsidRDefault="00092045" w:rsidP="00F56913">
      <w:pPr>
        <w:jc w:val="both"/>
        <w:rPr>
          <w:lang w:val="es-CL"/>
        </w:rPr>
      </w:pPr>
    </w:p>
    <w:tbl>
      <w:tblPr>
        <w:tblStyle w:val="TableGrid"/>
        <w:tblW w:w="0" w:type="auto"/>
        <w:jc w:val="center"/>
        <w:tblLook w:val="04A0" w:firstRow="1" w:lastRow="0" w:firstColumn="1" w:lastColumn="0" w:noHBand="0" w:noVBand="1"/>
      </w:tblPr>
      <w:tblGrid>
        <w:gridCol w:w="1838"/>
        <w:gridCol w:w="2410"/>
        <w:gridCol w:w="992"/>
        <w:gridCol w:w="2022"/>
        <w:gridCol w:w="850"/>
      </w:tblGrid>
      <w:tr w:rsidR="00092045" w:rsidTr="00A46AD6">
        <w:trPr>
          <w:jc w:val="center"/>
        </w:trPr>
        <w:tc>
          <w:tcPr>
            <w:tcW w:w="1838" w:type="dxa"/>
            <w:vMerge w:val="restart"/>
            <w:vAlign w:val="center"/>
          </w:tcPr>
          <w:p w:rsidR="00092045" w:rsidRPr="00A46AD6" w:rsidRDefault="00092045" w:rsidP="00F56913">
            <w:pPr>
              <w:jc w:val="both"/>
              <w:rPr>
                <w:b/>
                <w:lang w:val="es-CL"/>
              </w:rPr>
            </w:pPr>
            <w:r w:rsidRPr="00A46AD6">
              <w:rPr>
                <w:b/>
                <w:lang w:val="es-CL"/>
              </w:rPr>
              <w:t>Proyectos Transmisión</w:t>
            </w:r>
          </w:p>
        </w:tc>
        <w:tc>
          <w:tcPr>
            <w:tcW w:w="2410" w:type="dxa"/>
            <w:vAlign w:val="center"/>
          </w:tcPr>
          <w:p w:rsidR="00092045" w:rsidRDefault="00092045" w:rsidP="00F56913">
            <w:pPr>
              <w:jc w:val="both"/>
              <w:rPr>
                <w:lang w:val="es-CL"/>
              </w:rPr>
            </w:pPr>
            <w:r>
              <w:rPr>
                <w:lang w:val="es-CL"/>
              </w:rPr>
              <w:t>Inversión (Sin IVA)</w:t>
            </w:r>
          </w:p>
        </w:tc>
        <w:tc>
          <w:tcPr>
            <w:tcW w:w="992" w:type="dxa"/>
            <w:vAlign w:val="center"/>
          </w:tcPr>
          <w:p w:rsidR="00092045" w:rsidRDefault="00092045" w:rsidP="00F56913">
            <w:pPr>
              <w:jc w:val="both"/>
              <w:rPr>
                <w:lang w:val="es-CL"/>
              </w:rPr>
            </w:pPr>
            <w:r>
              <w:rPr>
                <w:lang w:val="es-CL"/>
              </w:rPr>
              <w:t>100%</w:t>
            </w:r>
          </w:p>
        </w:tc>
        <w:tc>
          <w:tcPr>
            <w:tcW w:w="2872" w:type="dxa"/>
            <w:gridSpan w:val="2"/>
            <w:vMerge w:val="restart"/>
            <w:shd w:val="clear" w:color="auto" w:fill="D0CECE" w:themeFill="background2" w:themeFillShade="E6"/>
            <w:vAlign w:val="center"/>
          </w:tcPr>
          <w:p w:rsidR="00092045" w:rsidRDefault="00092045" w:rsidP="00F56913">
            <w:pPr>
              <w:jc w:val="both"/>
              <w:rPr>
                <w:lang w:val="es-CL"/>
              </w:rPr>
            </w:pPr>
          </w:p>
        </w:tc>
      </w:tr>
      <w:tr w:rsidR="00092045" w:rsidTr="00A46AD6">
        <w:trPr>
          <w:jc w:val="center"/>
        </w:trPr>
        <w:tc>
          <w:tcPr>
            <w:tcW w:w="1838" w:type="dxa"/>
            <w:vMerge/>
            <w:vAlign w:val="center"/>
          </w:tcPr>
          <w:p w:rsidR="00092045" w:rsidRPr="00A46AD6" w:rsidRDefault="00092045" w:rsidP="00F56913">
            <w:pPr>
              <w:jc w:val="both"/>
              <w:rPr>
                <w:b/>
                <w:lang w:val="es-CL"/>
              </w:rPr>
            </w:pPr>
          </w:p>
        </w:tc>
        <w:tc>
          <w:tcPr>
            <w:tcW w:w="2410" w:type="dxa"/>
            <w:vAlign w:val="center"/>
          </w:tcPr>
          <w:p w:rsidR="00092045" w:rsidRDefault="00092045" w:rsidP="00F56913">
            <w:pPr>
              <w:jc w:val="both"/>
              <w:rPr>
                <w:lang w:val="es-CL"/>
              </w:rPr>
            </w:pPr>
            <w:r>
              <w:rPr>
                <w:lang w:val="es-CL"/>
              </w:rPr>
              <w:t>Materiales y Equipos</w:t>
            </w:r>
          </w:p>
        </w:tc>
        <w:tc>
          <w:tcPr>
            <w:tcW w:w="992" w:type="dxa"/>
            <w:vAlign w:val="center"/>
          </w:tcPr>
          <w:p w:rsidR="00092045" w:rsidRDefault="00092045" w:rsidP="00F56913">
            <w:pPr>
              <w:jc w:val="both"/>
              <w:rPr>
                <w:lang w:val="es-CL"/>
              </w:rPr>
            </w:pPr>
            <w:r>
              <w:rPr>
                <w:lang w:val="es-CL"/>
              </w:rPr>
              <w:t>90%</w:t>
            </w:r>
          </w:p>
        </w:tc>
        <w:tc>
          <w:tcPr>
            <w:tcW w:w="2872" w:type="dxa"/>
            <w:gridSpan w:val="2"/>
            <w:vMerge/>
            <w:shd w:val="clear" w:color="auto" w:fill="D0CECE" w:themeFill="background2" w:themeFillShade="E6"/>
            <w:vAlign w:val="center"/>
          </w:tcPr>
          <w:p w:rsidR="00092045" w:rsidRDefault="00092045" w:rsidP="00F56913">
            <w:pPr>
              <w:jc w:val="both"/>
              <w:rPr>
                <w:lang w:val="es-CL"/>
              </w:rPr>
            </w:pPr>
          </w:p>
        </w:tc>
      </w:tr>
      <w:tr w:rsidR="00092045" w:rsidTr="00A46AD6">
        <w:trPr>
          <w:jc w:val="center"/>
        </w:trPr>
        <w:tc>
          <w:tcPr>
            <w:tcW w:w="1838" w:type="dxa"/>
            <w:vMerge/>
            <w:vAlign w:val="center"/>
          </w:tcPr>
          <w:p w:rsidR="00092045" w:rsidRPr="00A46AD6" w:rsidRDefault="00092045" w:rsidP="00092045">
            <w:pPr>
              <w:jc w:val="both"/>
              <w:rPr>
                <w:b/>
                <w:lang w:val="es-CL"/>
              </w:rPr>
            </w:pPr>
          </w:p>
        </w:tc>
        <w:tc>
          <w:tcPr>
            <w:tcW w:w="2410" w:type="dxa"/>
            <w:vMerge w:val="restart"/>
            <w:vAlign w:val="center"/>
          </w:tcPr>
          <w:p w:rsidR="00092045" w:rsidRDefault="00092045" w:rsidP="00092045">
            <w:pPr>
              <w:jc w:val="both"/>
              <w:rPr>
                <w:lang w:val="es-CL"/>
              </w:rPr>
            </w:pPr>
            <w:r>
              <w:rPr>
                <w:lang w:val="es-CL"/>
              </w:rPr>
              <w:t>Mano de Obra</w:t>
            </w:r>
          </w:p>
        </w:tc>
        <w:tc>
          <w:tcPr>
            <w:tcW w:w="992" w:type="dxa"/>
            <w:vMerge w:val="restart"/>
            <w:vAlign w:val="center"/>
          </w:tcPr>
          <w:p w:rsidR="00092045" w:rsidRDefault="00092045" w:rsidP="00092045">
            <w:pPr>
              <w:jc w:val="both"/>
              <w:rPr>
                <w:lang w:val="es-CL"/>
              </w:rPr>
            </w:pPr>
            <w:r>
              <w:rPr>
                <w:lang w:val="es-CL"/>
              </w:rPr>
              <w:t>10%</w:t>
            </w:r>
          </w:p>
        </w:tc>
        <w:tc>
          <w:tcPr>
            <w:tcW w:w="2022" w:type="dxa"/>
            <w:vAlign w:val="center"/>
          </w:tcPr>
          <w:p w:rsidR="00092045" w:rsidRDefault="00092045" w:rsidP="00092045">
            <w:pPr>
              <w:jc w:val="both"/>
              <w:rPr>
                <w:lang w:val="es-CL"/>
              </w:rPr>
            </w:pPr>
            <w:r>
              <w:rPr>
                <w:lang w:val="es-CL"/>
              </w:rPr>
              <w:t>Calificada</w:t>
            </w:r>
          </w:p>
        </w:tc>
        <w:tc>
          <w:tcPr>
            <w:tcW w:w="850" w:type="dxa"/>
            <w:vAlign w:val="center"/>
          </w:tcPr>
          <w:p w:rsidR="00092045" w:rsidRDefault="00D50E1E" w:rsidP="00092045">
            <w:pPr>
              <w:jc w:val="both"/>
              <w:rPr>
                <w:lang w:val="es-CL"/>
              </w:rPr>
            </w:pPr>
            <w:r>
              <w:rPr>
                <w:lang w:val="es-CL"/>
              </w:rPr>
              <w:t>8</w:t>
            </w:r>
            <w:r w:rsidR="00092045">
              <w:rPr>
                <w:lang w:val="es-CL"/>
              </w:rPr>
              <w:t>0%</w:t>
            </w:r>
          </w:p>
        </w:tc>
      </w:tr>
      <w:tr w:rsidR="00092045" w:rsidTr="00A46AD6">
        <w:trPr>
          <w:jc w:val="center"/>
        </w:trPr>
        <w:tc>
          <w:tcPr>
            <w:tcW w:w="1838" w:type="dxa"/>
            <w:vMerge/>
            <w:vAlign w:val="center"/>
          </w:tcPr>
          <w:p w:rsidR="00092045" w:rsidRPr="00A46AD6" w:rsidRDefault="00092045" w:rsidP="00092045">
            <w:pPr>
              <w:jc w:val="both"/>
              <w:rPr>
                <w:b/>
                <w:lang w:val="es-CL"/>
              </w:rPr>
            </w:pPr>
          </w:p>
        </w:tc>
        <w:tc>
          <w:tcPr>
            <w:tcW w:w="2410" w:type="dxa"/>
            <w:vMerge/>
            <w:vAlign w:val="center"/>
          </w:tcPr>
          <w:p w:rsidR="00092045" w:rsidRDefault="00092045" w:rsidP="00092045">
            <w:pPr>
              <w:jc w:val="both"/>
              <w:rPr>
                <w:lang w:val="es-CL"/>
              </w:rPr>
            </w:pPr>
          </w:p>
        </w:tc>
        <w:tc>
          <w:tcPr>
            <w:tcW w:w="992" w:type="dxa"/>
            <w:vMerge/>
            <w:vAlign w:val="center"/>
          </w:tcPr>
          <w:p w:rsidR="00092045" w:rsidRDefault="00092045" w:rsidP="00092045">
            <w:pPr>
              <w:jc w:val="both"/>
              <w:rPr>
                <w:lang w:val="es-CL"/>
              </w:rPr>
            </w:pPr>
          </w:p>
        </w:tc>
        <w:tc>
          <w:tcPr>
            <w:tcW w:w="2022" w:type="dxa"/>
            <w:vAlign w:val="center"/>
          </w:tcPr>
          <w:p w:rsidR="00092045" w:rsidRDefault="00092045" w:rsidP="00092045">
            <w:pPr>
              <w:jc w:val="both"/>
              <w:rPr>
                <w:lang w:val="es-CL"/>
              </w:rPr>
            </w:pPr>
            <w:r>
              <w:rPr>
                <w:lang w:val="es-CL"/>
              </w:rPr>
              <w:t>No Calificada</w:t>
            </w:r>
          </w:p>
        </w:tc>
        <w:tc>
          <w:tcPr>
            <w:tcW w:w="850" w:type="dxa"/>
            <w:vAlign w:val="center"/>
          </w:tcPr>
          <w:p w:rsidR="00092045" w:rsidRDefault="00D50E1E" w:rsidP="00092045">
            <w:pPr>
              <w:jc w:val="both"/>
              <w:rPr>
                <w:lang w:val="es-CL"/>
              </w:rPr>
            </w:pPr>
            <w:r>
              <w:rPr>
                <w:lang w:val="es-CL"/>
              </w:rPr>
              <w:t>2</w:t>
            </w:r>
            <w:r w:rsidR="00092045">
              <w:rPr>
                <w:lang w:val="es-CL"/>
              </w:rPr>
              <w:t>0%</w:t>
            </w:r>
          </w:p>
        </w:tc>
      </w:tr>
      <w:tr w:rsidR="00A46AD6" w:rsidTr="00A46AD6">
        <w:trPr>
          <w:jc w:val="center"/>
        </w:trPr>
        <w:tc>
          <w:tcPr>
            <w:tcW w:w="1838" w:type="dxa"/>
            <w:shd w:val="clear" w:color="auto" w:fill="767171" w:themeFill="background2" w:themeFillShade="80"/>
            <w:vAlign w:val="center"/>
          </w:tcPr>
          <w:p w:rsidR="00A46AD6" w:rsidRPr="00A46AD6" w:rsidRDefault="00A46AD6" w:rsidP="00A46AD6">
            <w:pPr>
              <w:jc w:val="both"/>
              <w:rPr>
                <w:b/>
                <w:lang w:val="es-CL"/>
              </w:rPr>
            </w:pPr>
          </w:p>
        </w:tc>
        <w:tc>
          <w:tcPr>
            <w:tcW w:w="2410" w:type="dxa"/>
            <w:shd w:val="clear" w:color="auto" w:fill="767171" w:themeFill="background2" w:themeFillShade="80"/>
            <w:vAlign w:val="center"/>
          </w:tcPr>
          <w:p w:rsidR="00A46AD6" w:rsidRDefault="00A46AD6" w:rsidP="00A46AD6">
            <w:pPr>
              <w:jc w:val="both"/>
              <w:rPr>
                <w:lang w:val="es-CL"/>
              </w:rPr>
            </w:pPr>
          </w:p>
        </w:tc>
        <w:tc>
          <w:tcPr>
            <w:tcW w:w="992" w:type="dxa"/>
            <w:shd w:val="clear" w:color="auto" w:fill="767171" w:themeFill="background2" w:themeFillShade="80"/>
            <w:vAlign w:val="center"/>
          </w:tcPr>
          <w:p w:rsidR="00A46AD6" w:rsidRDefault="00A46AD6" w:rsidP="00A46AD6">
            <w:pPr>
              <w:jc w:val="both"/>
              <w:rPr>
                <w:lang w:val="es-CL"/>
              </w:rPr>
            </w:pPr>
          </w:p>
        </w:tc>
        <w:tc>
          <w:tcPr>
            <w:tcW w:w="2872" w:type="dxa"/>
            <w:gridSpan w:val="2"/>
            <w:shd w:val="clear" w:color="auto" w:fill="767171" w:themeFill="background2" w:themeFillShade="80"/>
            <w:vAlign w:val="center"/>
          </w:tcPr>
          <w:p w:rsidR="00A46AD6" w:rsidRDefault="00A46AD6" w:rsidP="00A46AD6">
            <w:pPr>
              <w:jc w:val="both"/>
              <w:rPr>
                <w:lang w:val="es-CL"/>
              </w:rPr>
            </w:pPr>
          </w:p>
        </w:tc>
      </w:tr>
      <w:tr w:rsidR="00A46AD6" w:rsidTr="00A46AD6">
        <w:trPr>
          <w:jc w:val="center"/>
        </w:trPr>
        <w:tc>
          <w:tcPr>
            <w:tcW w:w="1838" w:type="dxa"/>
            <w:vMerge w:val="restart"/>
            <w:vAlign w:val="center"/>
          </w:tcPr>
          <w:p w:rsidR="00A46AD6" w:rsidRPr="00A46AD6" w:rsidRDefault="00A46AD6" w:rsidP="00A46AD6">
            <w:pPr>
              <w:jc w:val="both"/>
              <w:rPr>
                <w:b/>
                <w:lang w:val="es-CL"/>
              </w:rPr>
            </w:pPr>
            <w:r w:rsidRPr="00A46AD6">
              <w:rPr>
                <w:b/>
                <w:lang w:val="es-CL"/>
              </w:rPr>
              <w:t>Proyectos SubTransmisión y Distribución</w:t>
            </w:r>
          </w:p>
        </w:tc>
        <w:tc>
          <w:tcPr>
            <w:tcW w:w="2410" w:type="dxa"/>
            <w:vAlign w:val="center"/>
          </w:tcPr>
          <w:p w:rsidR="00A46AD6" w:rsidRDefault="00A46AD6" w:rsidP="00A46AD6">
            <w:pPr>
              <w:jc w:val="both"/>
              <w:rPr>
                <w:lang w:val="es-CL"/>
              </w:rPr>
            </w:pPr>
            <w:r>
              <w:rPr>
                <w:lang w:val="es-CL"/>
              </w:rPr>
              <w:t>Inversión (Sin IVA)</w:t>
            </w:r>
          </w:p>
        </w:tc>
        <w:tc>
          <w:tcPr>
            <w:tcW w:w="992" w:type="dxa"/>
            <w:vAlign w:val="center"/>
          </w:tcPr>
          <w:p w:rsidR="00A46AD6" w:rsidRDefault="00A46AD6" w:rsidP="00A46AD6">
            <w:pPr>
              <w:jc w:val="both"/>
              <w:rPr>
                <w:lang w:val="es-CL"/>
              </w:rPr>
            </w:pPr>
            <w:r>
              <w:rPr>
                <w:lang w:val="es-CL"/>
              </w:rPr>
              <w:t>100%</w:t>
            </w:r>
          </w:p>
        </w:tc>
        <w:tc>
          <w:tcPr>
            <w:tcW w:w="2872" w:type="dxa"/>
            <w:gridSpan w:val="2"/>
            <w:vMerge w:val="restart"/>
            <w:shd w:val="clear" w:color="auto" w:fill="D0CECE" w:themeFill="background2" w:themeFillShade="E6"/>
            <w:vAlign w:val="center"/>
          </w:tcPr>
          <w:p w:rsidR="00A46AD6" w:rsidRDefault="00A46AD6" w:rsidP="00A46AD6">
            <w:pPr>
              <w:jc w:val="both"/>
              <w:rPr>
                <w:lang w:val="es-CL"/>
              </w:rPr>
            </w:pPr>
          </w:p>
        </w:tc>
      </w:tr>
      <w:tr w:rsidR="00A46AD6" w:rsidTr="00A46AD6">
        <w:trPr>
          <w:jc w:val="center"/>
        </w:trPr>
        <w:tc>
          <w:tcPr>
            <w:tcW w:w="1838" w:type="dxa"/>
            <w:vMerge/>
            <w:vAlign w:val="center"/>
          </w:tcPr>
          <w:p w:rsidR="00A46AD6" w:rsidRPr="00A46AD6" w:rsidRDefault="00A46AD6" w:rsidP="00A46AD6">
            <w:pPr>
              <w:jc w:val="both"/>
              <w:rPr>
                <w:b/>
                <w:lang w:val="es-CL"/>
              </w:rPr>
            </w:pPr>
          </w:p>
        </w:tc>
        <w:tc>
          <w:tcPr>
            <w:tcW w:w="2410" w:type="dxa"/>
            <w:vAlign w:val="center"/>
          </w:tcPr>
          <w:p w:rsidR="00A46AD6" w:rsidRDefault="00A46AD6" w:rsidP="00A46AD6">
            <w:pPr>
              <w:jc w:val="both"/>
              <w:rPr>
                <w:lang w:val="es-CL"/>
              </w:rPr>
            </w:pPr>
            <w:r>
              <w:rPr>
                <w:lang w:val="es-CL"/>
              </w:rPr>
              <w:t>Materiales y Equipos</w:t>
            </w:r>
          </w:p>
        </w:tc>
        <w:tc>
          <w:tcPr>
            <w:tcW w:w="992" w:type="dxa"/>
            <w:vAlign w:val="center"/>
          </w:tcPr>
          <w:p w:rsidR="00A46AD6" w:rsidRDefault="00A46AD6" w:rsidP="00A46AD6">
            <w:pPr>
              <w:jc w:val="both"/>
              <w:rPr>
                <w:lang w:val="es-CL"/>
              </w:rPr>
            </w:pPr>
            <w:r>
              <w:rPr>
                <w:lang w:val="es-CL"/>
              </w:rPr>
              <w:t>70%</w:t>
            </w:r>
          </w:p>
        </w:tc>
        <w:tc>
          <w:tcPr>
            <w:tcW w:w="2872" w:type="dxa"/>
            <w:gridSpan w:val="2"/>
            <w:vMerge/>
            <w:shd w:val="clear" w:color="auto" w:fill="D0CECE" w:themeFill="background2" w:themeFillShade="E6"/>
            <w:vAlign w:val="center"/>
          </w:tcPr>
          <w:p w:rsidR="00A46AD6" w:rsidRDefault="00A46AD6" w:rsidP="00A46AD6">
            <w:pPr>
              <w:jc w:val="both"/>
              <w:rPr>
                <w:lang w:val="es-CL"/>
              </w:rPr>
            </w:pPr>
          </w:p>
        </w:tc>
      </w:tr>
      <w:tr w:rsidR="00A46AD6" w:rsidTr="00A46AD6">
        <w:trPr>
          <w:jc w:val="center"/>
        </w:trPr>
        <w:tc>
          <w:tcPr>
            <w:tcW w:w="1838" w:type="dxa"/>
            <w:vMerge/>
            <w:vAlign w:val="center"/>
          </w:tcPr>
          <w:p w:rsidR="00A46AD6" w:rsidRPr="00A46AD6" w:rsidRDefault="00A46AD6" w:rsidP="00A46AD6">
            <w:pPr>
              <w:jc w:val="both"/>
              <w:rPr>
                <w:b/>
                <w:lang w:val="es-CL"/>
              </w:rPr>
            </w:pPr>
          </w:p>
        </w:tc>
        <w:tc>
          <w:tcPr>
            <w:tcW w:w="2410" w:type="dxa"/>
            <w:vMerge w:val="restart"/>
            <w:vAlign w:val="center"/>
          </w:tcPr>
          <w:p w:rsidR="00A46AD6" w:rsidRDefault="00A46AD6" w:rsidP="00A46AD6">
            <w:pPr>
              <w:jc w:val="both"/>
              <w:rPr>
                <w:lang w:val="es-CL"/>
              </w:rPr>
            </w:pPr>
            <w:r>
              <w:rPr>
                <w:lang w:val="es-CL"/>
              </w:rPr>
              <w:t>Mano de Obra</w:t>
            </w:r>
          </w:p>
        </w:tc>
        <w:tc>
          <w:tcPr>
            <w:tcW w:w="992" w:type="dxa"/>
            <w:vMerge w:val="restart"/>
            <w:vAlign w:val="center"/>
          </w:tcPr>
          <w:p w:rsidR="00A46AD6" w:rsidRDefault="00A46AD6" w:rsidP="00A46AD6">
            <w:pPr>
              <w:jc w:val="both"/>
              <w:rPr>
                <w:lang w:val="es-CL"/>
              </w:rPr>
            </w:pPr>
            <w:r>
              <w:rPr>
                <w:lang w:val="es-CL"/>
              </w:rPr>
              <w:t>30%</w:t>
            </w:r>
          </w:p>
        </w:tc>
        <w:tc>
          <w:tcPr>
            <w:tcW w:w="2022" w:type="dxa"/>
            <w:vAlign w:val="center"/>
          </w:tcPr>
          <w:p w:rsidR="00A46AD6" w:rsidRDefault="00A46AD6" w:rsidP="00A46AD6">
            <w:pPr>
              <w:jc w:val="both"/>
              <w:rPr>
                <w:lang w:val="es-CL"/>
              </w:rPr>
            </w:pPr>
            <w:r>
              <w:rPr>
                <w:lang w:val="es-CL"/>
              </w:rPr>
              <w:t>Calificada</w:t>
            </w:r>
          </w:p>
        </w:tc>
        <w:tc>
          <w:tcPr>
            <w:tcW w:w="850" w:type="dxa"/>
            <w:vAlign w:val="center"/>
          </w:tcPr>
          <w:p w:rsidR="00A46AD6" w:rsidRDefault="00A46AD6" w:rsidP="00A46AD6">
            <w:pPr>
              <w:jc w:val="both"/>
              <w:rPr>
                <w:lang w:val="es-CL"/>
              </w:rPr>
            </w:pPr>
            <w:r>
              <w:rPr>
                <w:lang w:val="es-CL"/>
              </w:rPr>
              <w:t>80%</w:t>
            </w:r>
          </w:p>
        </w:tc>
      </w:tr>
      <w:tr w:rsidR="00A46AD6" w:rsidTr="00A46AD6">
        <w:trPr>
          <w:jc w:val="center"/>
        </w:trPr>
        <w:tc>
          <w:tcPr>
            <w:tcW w:w="1838" w:type="dxa"/>
            <w:vMerge/>
            <w:vAlign w:val="center"/>
          </w:tcPr>
          <w:p w:rsidR="00A46AD6" w:rsidRPr="00A46AD6" w:rsidRDefault="00A46AD6" w:rsidP="00A46AD6">
            <w:pPr>
              <w:jc w:val="both"/>
              <w:rPr>
                <w:b/>
                <w:lang w:val="es-CL"/>
              </w:rPr>
            </w:pPr>
          </w:p>
        </w:tc>
        <w:tc>
          <w:tcPr>
            <w:tcW w:w="2410" w:type="dxa"/>
            <w:vMerge/>
            <w:vAlign w:val="center"/>
          </w:tcPr>
          <w:p w:rsidR="00A46AD6" w:rsidRDefault="00A46AD6" w:rsidP="00A46AD6">
            <w:pPr>
              <w:jc w:val="both"/>
              <w:rPr>
                <w:lang w:val="es-CL"/>
              </w:rPr>
            </w:pPr>
          </w:p>
        </w:tc>
        <w:tc>
          <w:tcPr>
            <w:tcW w:w="992" w:type="dxa"/>
            <w:vMerge/>
            <w:vAlign w:val="center"/>
          </w:tcPr>
          <w:p w:rsidR="00A46AD6" w:rsidRDefault="00A46AD6" w:rsidP="00A46AD6">
            <w:pPr>
              <w:jc w:val="both"/>
              <w:rPr>
                <w:lang w:val="es-CL"/>
              </w:rPr>
            </w:pPr>
          </w:p>
        </w:tc>
        <w:tc>
          <w:tcPr>
            <w:tcW w:w="2022" w:type="dxa"/>
            <w:vAlign w:val="center"/>
          </w:tcPr>
          <w:p w:rsidR="00A46AD6" w:rsidRDefault="00A46AD6" w:rsidP="00A46AD6">
            <w:pPr>
              <w:jc w:val="both"/>
              <w:rPr>
                <w:lang w:val="es-CL"/>
              </w:rPr>
            </w:pPr>
            <w:r>
              <w:rPr>
                <w:lang w:val="es-CL"/>
              </w:rPr>
              <w:t>No Calificada</w:t>
            </w:r>
          </w:p>
        </w:tc>
        <w:tc>
          <w:tcPr>
            <w:tcW w:w="850" w:type="dxa"/>
            <w:vAlign w:val="center"/>
          </w:tcPr>
          <w:p w:rsidR="00A46AD6" w:rsidRDefault="00A46AD6" w:rsidP="00A46AD6">
            <w:pPr>
              <w:jc w:val="both"/>
              <w:rPr>
                <w:lang w:val="es-CL"/>
              </w:rPr>
            </w:pPr>
            <w:r>
              <w:rPr>
                <w:lang w:val="es-CL"/>
              </w:rPr>
              <w:t>20%</w:t>
            </w:r>
          </w:p>
        </w:tc>
      </w:tr>
      <w:tr w:rsidR="00A46AD6" w:rsidTr="00A46AD6">
        <w:trPr>
          <w:jc w:val="center"/>
        </w:trPr>
        <w:tc>
          <w:tcPr>
            <w:tcW w:w="1838" w:type="dxa"/>
            <w:shd w:val="clear" w:color="auto" w:fill="767171" w:themeFill="background2" w:themeFillShade="80"/>
            <w:vAlign w:val="center"/>
          </w:tcPr>
          <w:p w:rsidR="00A46AD6" w:rsidRPr="00A46AD6" w:rsidRDefault="00A46AD6" w:rsidP="00E11B7F">
            <w:pPr>
              <w:jc w:val="both"/>
              <w:rPr>
                <w:b/>
                <w:lang w:val="es-CL"/>
              </w:rPr>
            </w:pPr>
          </w:p>
        </w:tc>
        <w:tc>
          <w:tcPr>
            <w:tcW w:w="2410" w:type="dxa"/>
            <w:shd w:val="clear" w:color="auto" w:fill="767171" w:themeFill="background2" w:themeFillShade="80"/>
            <w:vAlign w:val="center"/>
          </w:tcPr>
          <w:p w:rsidR="00A46AD6" w:rsidRDefault="00A46AD6" w:rsidP="00E11B7F">
            <w:pPr>
              <w:jc w:val="both"/>
              <w:rPr>
                <w:lang w:val="es-CL"/>
              </w:rPr>
            </w:pPr>
          </w:p>
        </w:tc>
        <w:tc>
          <w:tcPr>
            <w:tcW w:w="992" w:type="dxa"/>
            <w:shd w:val="clear" w:color="auto" w:fill="767171" w:themeFill="background2" w:themeFillShade="80"/>
            <w:vAlign w:val="center"/>
          </w:tcPr>
          <w:p w:rsidR="00A46AD6" w:rsidRDefault="00A46AD6" w:rsidP="00E11B7F">
            <w:pPr>
              <w:jc w:val="both"/>
              <w:rPr>
                <w:lang w:val="es-CL"/>
              </w:rPr>
            </w:pPr>
          </w:p>
        </w:tc>
        <w:tc>
          <w:tcPr>
            <w:tcW w:w="2872" w:type="dxa"/>
            <w:gridSpan w:val="2"/>
            <w:shd w:val="clear" w:color="auto" w:fill="767171" w:themeFill="background2" w:themeFillShade="80"/>
            <w:vAlign w:val="center"/>
          </w:tcPr>
          <w:p w:rsidR="00A46AD6" w:rsidRDefault="00A46AD6" w:rsidP="00E11B7F">
            <w:pPr>
              <w:jc w:val="both"/>
              <w:rPr>
                <w:lang w:val="es-CL"/>
              </w:rPr>
            </w:pPr>
          </w:p>
        </w:tc>
      </w:tr>
      <w:tr w:rsidR="00A46AD6" w:rsidTr="00A46AD6">
        <w:trPr>
          <w:jc w:val="center"/>
        </w:trPr>
        <w:tc>
          <w:tcPr>
            <w:tcW w:w="1838" w:type="dxa"/>
            <w:vMerge w:val="restart"/>
            <w:vAlign w:val="center"/>
          </w:tcPr>
          <w:p w:rsidR="00A46AD6" w:rsidRPr="00A46AD6" w:rsidRDefault="00A46AD6" w:rsidP="00E11B7F">
            <w:pPr>
              <w:jc w:val="both"/>
              <w:rPr>
                <w:b/>
                <w:lang w:val="es-CL"/>
              </w:rPr>
            </w:pPr>
            <w:r w:rsidRPr="00A46AD6">
              <w:rPr>
                <w:b/>
                <w:lang w:val="es-CL"/>
              </w:rPr>
              <w:t>Proyectos Distribución para Agroindustria</w:t>
            </w:r>
          </w:p>
        </w:tc>
        <w:tc>
          <w:tcPr>
            <w:tcW w:w="2410" w:type="dxa"/>
            <w:vAlign w:val="center"/>
          </w:tcPr>
          <w:p w:rsidR="00A46AD6" w:rsidRDefault="00A46AD6" w:rsidP="00E11B7F">
            <w:pPr>
              <w:jc w:val="both"/>
              <w:rPr>
                <w:lang w:val="es-CL"/>
              </w:rPr>
            </w:pPr>
            <w:r>
              <w:rPr>
                <w:lang w:val="es-CL"/>
              </w:rPr>
              <w:t>Inversión (Sin IVA)</w:t>
            </w:r>
          </w:p>
        </w:tc>
        <w:tc>
          <w:tcPr>
            <w:tcW w:w="992" w:type="dxa"/>
            <w:vAlign w:val="center"/>
          </w:tcPr>
          <w:p w:rsidR="00A46AD6" w:rsidRDefault="00A46AD6" w:rsidP="00E11B7F">
            <w:pPr>
              <w:jc w:val="both"/>
              <w:rPr>
                <w:lang w:val="es-CL"/>
              </w:rPr>
            </w:pPr>
            <w:r>
              <w:rPr>
                <w:lang w:val="es-CL"/>
              </w:rPr>
              <w:t>100%</w:t>
            </w:r>
          </w:p>
        </w:tc>
        <w:tc>
          <w:tcPr>
            <w:tcW w:w="2872" w:type="dxa"/>
            <w:gridSpan w:val="2"/>
            <w:vMerge w:val="restart"/>
            <w:shd w:val="clear" w:color="auto" w:fill="D0CECE" w:themeFill="background2" w:themeFillShade="E6"/>
            <w:vAlign w:val="center"/>
          </w:tcPr>
          <w:p w:rsidR="00A46AD6" w:rsidRDefault="00A46AD6" w:rsidP="00E11B7F">
            <w:pPr>
              <w:jc w:val="both"/>
              <w:rPr>
                <w:lang w:val="es-CL"/>
              </w:rPr>
            </w:pPr>
          </w:p>
        </w:tc>
      </w:tr>
      <w:tr w:rsidR="00A46AD6" w:rsidTr="00A46AD6">
        <w:trPr>
          <w:jc w:val="center"/>
        </w:trPr>
        <w:tc>
          <w:tcPr>
            <w:tcW w:w="1838" w:type="dxa"/>
            <w:vMerge/>
            <w:vAlign w:val="center"/>
          </w:tcPr>
          <w:p w:rsidR="00A46AD6" w:rsidRDefault="00A46AD6" w:rsidP="00E11B7F">
            <w:pPr>
              <w:jc w:val="both"/>
              <w:rPr>
                <w:lang w:val="es-CL"/>
              </w:rPr>
            </w:pPr>
          </w:p>
        </w:tc>
        <w:tc>
          <w:tcPr>
            <w:tcW w:w="2410" w:type="dxa"/>
            <w:vAlign w:val="center"/>
          </w:tcPr>
          <w:p w:rsidR="00A46AD6" w:rsidRDefault="00A46AD6" w:rsidP="00E11B7F">
            <w:pPr>
              <w:jc w:val="both"/>
              <w:rPr>
                <w:lang w:val="es-CL"/>
              </w:rPr>
            </w:pPr>
            <w:r>
              <w:rPr>
                <w:lang w:val="es-CL"/>
              </w:rPr>
              <w:t>Materiales y Equipos</w:t>
            </w:r>
          </w:p>
        </w:tc>
        <w:tc>
          <w:tcPr>
            <w:tcW w:w="992" w:type="dxa"/>
            <w:vAlign w:val="center"/>
          </w:tcPr>
          <w:p w:rsidR="00A46AD6" w:rsidRDefault="00A46AD6" w:rsidP="00E11B7F">
            <w:pPr>
              <w:jc w:val="both"/>
              <w:rPr>
                <w:lang w:val="es-CL"/>
              </w:rPr>
            </w:pPr>
            <w:r>
              <w:rPr>
                <w:lang w:val="es-CL"/>
              </w:rPr>
              <w:t>90%</w:t>
            </w:r>
          </w:p>
        </w:tc>
        <w:tc>
          <w:tcPr>
            <w:tcW w:w="2872" w:type="dxa"/>
            <w:gridSpan w:val="2"/>
            <w:vMerge/>
            <w:shd w:val="clear" w:color="auto" w:fill="D0CECE" w:themeFill="background2" w:themeFillShade="E6"/>
            <w:vAlign w:val="center"/>
          </w:tcPr>
          <w:p w:rsidR="00A46AD6" w:rsidRDefault="00A46AD6" w:rsidP="00E11B7F">
            <w:pPr>
              <w:jc w:val="both"/>
              <w:rPr>
                <w:lang w:val="es-CL"/>
              </w:rPr>
            </w:pPr>
          </w:p>
        </w:tc>
      </w:tr>
      <w:tr w:rsidR="00A46AD6" w:rsidTr="00A46AD6">
        <w:trPr>
          <w:jc w:val="center"/>
        </w:trPr>
        <w:tc>
          <w:tcPr>
            <w:tcW w:w="1838" w:type="dxa"/>
            <w:vMerge/>
            <w:vAlign w:val="center"/>
          </w:tcPr>
          <w:p w:rsidR="00A46AD6" w:rsidRDefault="00A46AD6" w:rsidP="00E11B7F">
            <w:pPr>
              <w:jc w:val="both"/>
              <w:rPr>
                <w:lang w:val="es-CL"/>
              </w:rPr>
            </w:pPr>
          </w:p>
        </w:tc>
        <w:tc>
          <w:tcPr>
            <w:tcW w:w="2410" w:type="dxa"/>
            <w:vMerge w:val="restart"/>
            <w:vAlign w:val="center"/>
          </w:tcPr>
          <w:p w:rsidR="00A46AD6" w:rsidRDefault="00A46AD6" w:rsidP="00E11B7F">
            <w:pPr>
              <w:jc w:val="both"/>
              <w:rPr>
                <w:lang w:val="es-CL"/>
              </w:rPr>
            </w:pPr>
            <w:r>
              <w:rPr>
                <w:lang w:val="es-CL"/>
              </w:rPr>
              <w:t>Mano de Obra</w:t>
            </w:r>
          </w:p>
        </w:tc>
        <w:tc>
          <w:tcPr>
            <w:tcW w:w="992" w:type="dxa"/>
            <w:vMerge w:val="restart"/>
            <w:vAlign w:val="center"/>
          </w:tcPr>
          <w:p w:rsidR="00A46AD6" w:rsidRDefault="00A46AD6" w:rsidP="00E11B7F">
            <w:pPr>
              <w:jc w:val="both"/>
              <w:rPr>
                <w:lang w:val="es-CL"/>
              </w:rPr>
            </w:pPr>
            <w:r>
              <w:rPr>
                <w:lang w:val="es-CL"/>
              </w:rPr>
              <w:t>10%</w:t>
            </w:r>
          </w:p>
        </w:tc>
        <w:tc>
          <w:tcPr>
            <w:tcW w:w="2022" w:type="dxa"/>
            <w:vAlign w:val="center"/>
          </w:tcPr>
          <w:p w:rsidR="00A46AD6" w:rsidRDefault="00A46AD6" w:rsidP="00E11B7F">
            <w:pPr>
              <w:jc w:val="both"/>
              <w:rPr>
                <w:lang w:val="es-CL"/>
              </w:rPr>
            </w:pPr>
            <w:r>
              <w:rPr>
                <w:lang w:val="es-CL"/>
              </w:rPr>
              <w:t>Calificada</w:t>
            </w:r>
          </w:p>
        </w:tc>
        <w:tc>
          <w:tcPr>
            <w:tcW w:w="850" w:type="dxa"/>
            <w:vAlign w:val="center"/>
          </w:tcPr>
          <w:p w:rsidR="00A46AD6" w:rsidRDefault="00A46AD6" w:rsidP="00E11B7F">
            <w:pPr>
              <w:jc w:val="both"/>
              <w:rPr>
                <w:lang w:val="es-CL"/>
              </w:rPr>
            </w:pPr>
            <w:r>
              <w:rPr>
                <w:lang w:val="es-CL"/>
              </w:rPr>
              <w:t>80%</w:t>
            </w:r>
          </w:p>
        </w:tc>
      </w:tr>
      <w:tr w:rsidR="00A46AD6" w:rsidTr="00A46AD6">
        <w:trPr>
          <w:jc w:val="center"/>
        </w:trPr>
        <w:tc>
          <w:tcPr>
            <w:tcW w:w="1838" w:type="dxa"/>
            <w:vMerge/>
            <w:vAlign w:val="center"/>
          </w:tcPr>
          <w:p w:rsidR="00A46AD6" w:rsidRDefault="00A46AD6" w:rsidP="00E11B7F">
            <w:pPr>
              <w:jc w:val="both"/>
              <w:rPr>
                <w:lang w:val="es-CL"/>
              </w:rPr>
            </w:pPr>
          </w:p>
        </w:tc>
        <w:tc>
          <w:tcPr>
            <w:tcW w:w="2410" w:type="dxa"/>
            <w:vMerge/>
            <w:vAlign w:val="center"/>
          </w:tcPr>
          <w:p w:rsidR="00A46AD6" w:rsidRDefault="00A46AD6" w:rsidP="00E11B7F">
            <w:pPr>
              <w:jc w:val="both"/>
              <w:rPr>
                <w:lang w:val="es-CL"/>
              </w:rPr>
            </w:pPr>
          </w:p>
        </w:tc>
        <w:tc>
          <w:tcPr>
            <w:tcW w:w="992" w:type="dxa"/>
            <w:vMerge/>
            <w:vAlign w:val="center"/>
          </w:tcPr>
          <w:p w:rsidR="00A46AD6" w:rsidRDefault="00A46AD6" w:rsidP="00E11B7F">
            <w:pPr>
              <w:jc w:val="both"/>
              <w:rPr>
                <w:lang w:val="es-CL"/>
              </w:rPr>
            </w:pPr>
          </w:p>
        </w:tc>
        <w:tc>
          <w:tcPr>
            <w:tcW w:w="2022" w:type="dxa"/>
            <w:vAlign w:val="center"/>
          </w:tcPr>
          <w:p w:rsidR="00A46AD6" w:rsidRDefault="00A46AD6" w:rsidP="00E11B7F">
            <w:pPr>
              <w:jc w:val="both"/>
              <w:rPr>
                <w:lang w:val="es-CL"/>
              </w:rPr>
            </w:pPr>
            <w:r>
              <w:rPr>
                <w:lang w:val="es-CL"/>
              </w:rPr>
              <w:t>No Calificada</w:t>
            </w:r>
          </w:p>
        </w:tc>
        <w:tc>
          <w:tcPr>
            <w:tcW w:w="850" w:type="dxa"/>
            <w:vAlign w:val="center"/>
          </w:tcPr>
          <w:p w:rsidR="00A46AD6" w:rsidRDefault="00A46AD6" w:rsidP="00E11B7F">
            <w:pPr>
              <w:jc w:val="both"/>
              <w:rPr>
                <w:lang w:val="es-CL"/>
              </w:rPr>
            </w:pPr>
            <w:r>
              <w:rPr>
                <w:lang w:val="es-CL"/>
              </w:rPr>
              <w:t>20%</w:t>
            </w:r>
          </w:p>
        </w:tc>
      </w:tr>
    </w:tbl>
    <w:p w:rsidR="00092045" w:rsidRDefault="00092045" w:rsidP="00F56913">
      <w:pPr>
        <w:jc w:val="both"/>
        <w:rPr>
          <w:lang w:val="es-CL"/>
        </w:rPr>
      </w:pPr>
    </w:p>
    <w:p w:rsidR="007C0A8B" w:rsidRDefault="007C0A8B" w:rsidP="00F56913">
      <w:pPr>
        <w:jc w:val="both"/>
        <w:rPr>
          <w:lang w:val="es-CL"/>
        </w:rPr>
      </w:pPr>
    </w:p>
    <w:p w:rsidR="007C0A8B" w:rsidRDefault="00A46AD6" w:rsidP="00F56913">
      <w:pPr>
        <w:jc w:val="both"/>
        <w:rPr>
          <w:lang w:val="es-CL"/>
        </w:rPr>
      </w:pPr>
      <w:r>
        <w:rPr>
          <w:lang w:val="es-CL"/>
        </w:rPr>
        <w:t xml:space="preserve">En Particular, los </w:t>
      </w:r>
      <w:r w:rsidRPr="00F92A63">
        <w:rPr>
          <w:b/>
          <w:lang w:val="es-CL"/>
        </w:rPr>
        <w:t>proyectos FERUM</w:t>
      </w:r>
      <w:r>
        <w:rPr>
          <w:lang w:val="es-CL"/>
        </w:rPr>
        <w:t>, siguen el siguiente esquema de desglose de la inversión y los porcentajes han sido expresados para cada uno de los proyectos.</w:t>
      </w:r>
    </w:p>
    <w:p w:rsidR="00D50E1E" w:rsidRDefault="00D50E1E" w:rsidP="00F56913">
      <w:pPr>
        <w:jc w:val="both"/>
        <w:rPr>
          <w:lang w:val="es-CL"/>
        </w:rPr>
      </w:pPr>
    </w:p>
    <w:tbl>
      <w:tblPr>
        <w:tblStyle w:val="TableGrid"/>
        <w:tblW w:w="0" w:type="auto"/>
        <w:jc w:val="center"/>
        <w:tblLook w:val="04A0" w:firstRow="1" w:lastRow="0" w:firstColumn="1" w:lastColumn="0" w:noHBand="0" w:noVBand="1"/>
      </w:tblPr>
      <w:tblGrid>
        <w:gridCol w:w="1619"/>
        <w:gridCol w:w="3260"/>
      </w:tblGrid>
      <w:tr w:rsidR="00D50E1E" w:rsidTr="00D50E1E">
        <w:trPr>
          <w:jc w:val="center"/>
        </w:trPr>
        <w:tc>
          <w:tcPr>
            <w:tcW w:w="1619" w:type="dxa"/>
            <w:vMerge w:val="restart"/>
            <w:vAlign w:val="center"/>
          </w:tcPr>
          <w:p w:rsidR="00D50E1E" w:rsidRDefault="00D50E1E" w:rsidP="00F56913">
            <w:pPr>
              <w:jc w:val="both"/>
              <w:rPr>
                <w:lang w:val="es-CL"/>
              </w:rPr>
            </w:pPr>
            <w:r>
              <w:rPr>
                <w:lang w:val="es-CL"/>
              </w:rPr>
              <w:t>Materiales</w:t>
            </w:r>
          </w:p>
        </w:tc>
        <w:tc>
          <w:tcPr>
            <w:tcW w:w="3260" w:type="dxa"/>
          </w:tcPr>
          <w:p w:rsidR="00D50E1E" w:rsidRDefault="00D50E1E" w:rsidP="00F56913">
            <w:pPr>
              <w:jc w:val="both"/>
              <w:rPr>
                <w:lang w:val="es-CL"/>
              </w:rPr>
            </w:pPr>
            <w:r>
              <w:rPr>
                <w:lang w:val="es-CL"/>
              </w:rPr>
              <w:t>Red MT</w:t>
            </w:r>
          </w:p>
        </w:tc>
      </w:tr>
      <w:tr w:rsidR="00D50E1E" w:rsidTr="00D50E1E">
        <w:trPr>
          <w:jc w:val="center"/>
        </w:trPr>
        <w:tc>
          <w:tcPr>
            <w:tcW w:w="1619" w:type="dxa"/>
            <w:vMerge/>
          </w:tcPr>
          <w:p w:rsidR="00D50E1E" w:rsidRDefault="00D50E1E" w:rsidP="00F56913">
            <w:pPr>
              <w:jc w:val="both"/>
              <w:rPr>
                <w:lang w:val="es-CL"/>
              </w:rPr>
            </w:pPr>
          </w:p>
        </w:tc>
        <w:tc>
          <w:tcPr>
            <w:tcW w:w="3260" w:type="dxa"/>
          </w:tcPr>
          <w:p w:rsidR="00D50E1E" w:rsidRDefault="00D50E1E" w:rsidP="00F56913">
            <w:pPr>
              <w:jc w:val="both"/>
              <w:rPr>
                <w:lang w:val="es-CL"/>
              </w:rPr>
            </w:pPr>
            <w:r>
              <w:rPr>
                <w:lang w:val="es-CL"/>
              </w:rPr>
              <w:t>Red BT</w:t>
            </w:r>
          </w:p>
        </w:tc>
      </w:tr>
      <w:tr w:rsidR="00D50E1E" w:rsidTr="00D50E1E">
        <w:trPr>
          <w:jc w:val="center"/>
        </w:trPr>
        <w:tc>
          <w:tcPr>
            <w:tcW w:w="1619" w:type="dxa"/>
            <w:vMerge/>
          </w:tcPr>
          <w:p w:rsidR="00D50E1E" w:rsidRDefault="00D50E1E" w:rsidP="00F56913">
            <w:pPr>
              <w:jc w:val="both"/>
              <w:rPr>
                <w:lang w:val="es-CL"/>
              </w:rPr>
            </w:pPr>
          </w:p>
        </w:tc>
        <w:tc>
          <w:tcPr>
            <w:tcW w:w="3260" w:type="dxa"/>
          </w:tcPr>
          <w:p w:rsidR="00D50E1E" w:rsidRDefault="00D50E1E" w:rsidP="00F56913">
            <w:pPr>
              <w:jc w:val="both"/>
              <w:rPr>
                <w:lang w:val="es-CL"/>
              </w:rPr>
            </w:pPr>
            <w:r>
              <w:rPr>
                <w:lang w:val="es-CL"/>
              </w:rPr>
              <w:t>Transformadores</w:t>
            </w:r>
          </w:p>
        </w:tc>
      </w:tr>
      <w:tr w:rsidR="00D50E1E" w:rsidTr="00D50E1E">
        <w:trPr>
          <w:jc w:val="center"/>
        </w:trPr>
        <w:tc>
          <w:tcPr>
            <w:tcW w:w="1619" w:type="dxa"/>
            <w:vMerge/>
          </w:tcPr>
          <w:p w:rsidR="00D50E1E" w:rsidRDefault="00D50E1E" w:rsidP="00F56913">
            <w:pPr>
              <w:jc w:val="both"/>
              <w:rPr>
                <w:lang w:val="es-CL"/>
              </w:rPr>
            </w:pPr>
          </w:p>
        </w:tc>
        <w:tc>
          <w:tcPr>
            <w:tcW w:w="3260" w:type="dxa"/>
          </w:tcPr>
          <w:p w:rsidR="00D50E1E" w:rsidRDefault="00D50E1E" w:rsidP="00F56913">
            <w:pPr>
              <w:jc w:val="both"/>
              <w:rPr>
                <w:lang w:val="es-CL"/>
              </w:rPr>
            </w:pPr>
            <w:r>
              <w:rPr>
                <w:lang w:val="es-CL"/>
              </w:rPr>
              <w:t>Alumbrado Público</w:t>
            </w:r>
          </w:p>
        </w:tc>
      </w:tr>
      <w:tr w:rsidR="00D50E1E" w:rsidTr="00D50E1E">
        <w:trPr>
          <w:jc w:val="center"/>
        </w:trPr>
        <w:tc>
          <w:tcPr>
            <w:tcW w:w="1619" w:type="dxa"/>
            <w:vMerge/>
          </w:tcPr>
          <w:p w:rsidR="00D50E1E" w:rsidRDefault="00D50E1E" w:rsidP="00F56913">
            <w:pPr>
              <w:jc w:val="both"/>
              <w:rPr>
                <w:lang w:val="es-CL"/>
              </w:rPr>
            </w:pPr>
          </w:p>
        </w:tc>
        <w:tc>
          <w:tcPr>
            <w:tcW w:w="3260" w:type="dxa"/>
          </w:tcPr>
          <w:p w:rsidR="00D50E1E" w:rsidRDefault="00D50E1E" w:rsidP="00F56913">
            <w:pPr>
              <w:jc w:val="both"/>
              <w:rPr>
                <w:lang w:val="es-CL"/>
              </w:rPr>
            </w:pPr>
            <w:r>
              <w:rPr>
                <w:lang w:val="es-CL"/>
              </w:rPr>
              <w:t>Acometidas</w:t>
            </w:r>
          </w:p>
        </w:tc>
      </w:tr>
      <w:tr w:rsidR="00D50E1E" w:rsidTr="00D50E1E">
        <w:trPr>
          <w:jc w:val="center"/>
        </w:trPr>
        <w:tc>
          <w:tcPr>
            <w:tcW w:w="1619" w:type="dxa"/>
            <w:vMerge/>
          </w:tcPr>
          <w:p w:rsidR="00D50E1E" w:rsidRDefault="00D50E1E" w:rsidP="00F56913">
            <w:pPr>
              <w:jc w:val="both"/>
              <w:rPr>
                <w:lang w:val="es-CL"/>
              </w:rPr>
            </w:pPr>
          </w:p>
        </w:tc>
        <w:tc>
          <w:tcPr>
            <w:tcW w:w="3260" w:type="dxa"/>
          </w:tcPr>
          <w:p w:rsidR="00D50E1E" w:rsidRDefault="00D50E1E" w:rsidP="00F56913">
            <w:pPr>
              <w:jc w:val="both"/>
              <w:rPr>
                <w:lang w:val="es-CL"/>
              </w:rPr>
            </w:pPr>
            <w:r>
              <w:rPr>
                <w:lang w:val="es-CL"/>
              </w:rPr>
              <w:t>Medidores</w:t>
            </w:r>
          </w:p>
        </w:tc>
      </w:tr>
      <w:tr w:rsidR="00D50E1E" w:rsidTr="00D50E1E">
        <w:trPr>
          <w:jc w:val="center"/>
        </w:trPr>
        <w:tc>
          <w:tcPr>
            <w:tcW w:w="4879" w:type="dxa"/>
            <w:gridSpan w:val="2"/>
          </w:tcPr>
          <w:p w:rsidR="00D50E1E" w:rsidRDefault="00D50E1E" w:rsidP="00F56913">
            <w:pPr>
              <w:jc w:val="both"/>
              <w:rPr>
                <w:lang w:val="es-CL"/>
              </w:rPr>
            </w:pPr>
            <w:r>
              <w:rPr>
                <w:lang w:val="es-CL"/>
              </w:rPr>
              <w:t>Mano de Obra (más Fiscalización, Gastos Administrativos y Transporte)</w:t>
            </w:r>
          </w:p>
        </w:tc>
      </w:tr>
    </w:tbl>
    <w:p w:rsidR="00D50E1E" w:rsidRDefault="00D50E1E" w:rsidP="00F56913">
      <w:pPr>
        <w:jc w:val="both"/>
        <w:rPr>
          <w:lang w:val="es-CL"/>
        </w:rPr>
      </w:pPr>
    </w:p>
    <w:p w:rsidR="00A46AD6" w:rsidRDefault="00D50E1E" w:rsidP="00F56913">
      <w:pPr>
        <w:jc w:val="both"/>
        <w:rPr>
          <w:lang w:val="es-CL"/>
        </w:rPr>
      </w:pPr>
      <w:r>
        <w:rPr>
          <w:lang w:val="es-CL"/>
        </w:rPr>
        <w:t>Luego, para transformar los montos de inversión se aplican las Razones de Precio Cuenta de la tabla siguiente:</w:t>
      </w:r>
    </w:p>
    <w:p w:rsidR="000B71DD" w:rsidRDefault="000B71DD" w:rsidP="00F56913">
      <w:pPr>
        <w:jc w:val="both"/>
        <w:rPr>
          <w:lang w:val="es-CL"/>
        </w:rPr>
      </w:pPr>
    </w:p>
    <w:p w:rsidR="000B71DD" w:rsidRDefault="000B71DD" w:rsidP="00F56913">
      <w:pPr>
        <w:jc w:val="both"/>
        <w:rPr>
          <w:lang w:val="es-CL"/>
        </w:rPr>
      </w:pPr>
    </w:p>
    <w:p w:rsidR="000B71DD" w:rsidRPr="00F92A63" w:rsidRDefault="00F92A63" w:rsidP="00F92A63">
      <w:pPr>
        <w:jc w:val="center"/>
        <w:rPr>
          <w:b/>
          <w:lang w:val="es-CL"/>
        </w:rPr>
      </w:pPr>
      <w:r w:rsidRPr="00F92A63">
        <w:rPr>
          <w:b/>
          <w:lang w:val="es-CL"/>
        </w:rPr>
        <w:t>Razones de Precio Cuenta</w:t>
      </w:r>
      <w:r w:rsidRPr="00F92A63">
        <w:rPr>
          <w:rStyle w:val="FootnoteReference"/>
          <w:b/>
          <w:lang w:val="es-CL"/>
        </w:rPr>
        <w:footnoteReference w:id="34"/>
      </w:r>
      <w:r w:rsidRPr="00F92A63">
        <w:rPr>
          <w:b/>
          <w:lang w:val="es-CL"/>
        </w:rPr>
        <w:t xml:space="preserve"> para la Inversión</w:t>
      </w:r>
    </w:p>
    <w:tbl>
      <w:tblPr>
        <w:tblStyle w:val="TableGrid"/>
        <w:tblW w:w="0" w:type="auto"/>
        <w:jc w:val="center"/>
        <w:tblLook w:val="04A0" w:firstRow="1" w:lastRow="0" w:firstColumn="1" w:lastColumn="0" w:noHBand="0" w:noVBand="1"/>
      </w:tblPr>
      <w:tblGrid>
        <w:gridCol w:w="3397"/>
        <w:gridCol w:w="1276"/>
      </w:tblGrid>
      <w:tr w:rsidR="000B71DD" w:rsidTr="00F92A63">
        <w:trPr>
          <w:jc w:val="center"/>
        </w:trPr>
        <w:tc>
          <w:tcPr>
            <w:tcW w:w="3397" w:type="dxa"/>
            <w:shd w:val="clear" w:color="auto" w:fill="D9E2F3" w:themeFill="accent1" w:themeFillTint="33"/>
          </w:tcPr>
          <w:p w:rsidR="000B71DD" w:rsidRPr="00F92A63" w:rsidRDefault="000B71DD" w:rsidP="00F92A63">
            <w:pPr>
              <w:jc w:val="center"/>
              <w:rPr>
                <w:b/>
                <w:lang w:val="es-CL"/>
              </w:rPr>
            </w:pPr>
            <w:r w:rsidRPr="00F92A63">
              <w:rPr>
                <w:b/>
                <w:lang w:val="es-CL"/>
              </w:rPr>
              <w:t>Ítem</w:t>
            </w:r>
          </w:p>
        </w:tc>
        <w:tc>
          <w:tcPr>
            <w:tcW w:w="1276" w:type="dxa"/>
            <w:shd w:val="clear" w:color="auto" w:fill="D9E2F3" w:themeFill="accent1" w:themeFillTint="33"/>
          </w:tcPr>
          <w:p w:rsidR="000B71DD" w:rsidRPr="00F92A63" w:rsidRDefault="000B71DD" w:rsidP="00F92A63">
            <w:pPr>
              <w:jc w:val="center"/>
              <w:rPr>
                <w:b/>
                <w:lang w:val="es-CL"/>
              </w:rPr>
            </w:pPr>
            <w:r w:rsidRPr="00F92A63">
              <w:rPr>
                <w:b/>
                <w:lang w:val="es-CL"/>
              </w:rPr>
              <w:t>RPC</w:t>
            </w:r>
          </w:p>
        </w:tc>
      </w:tr>
      <w:tr w:rsidR="000B71DD" w:rsidTr="00F92A63">
        <w:trPr>
          <w:jc w:val="center"/>
        </w:trPr>
        <w:tc>
          <w:tcPr>
            <w:tcW w:w="3397" w:type="dxa"/>
          </w:tcPr>
          <w:p w:rsidR="000B71DD" w:rsidRDefault="000B71DD" w:rsidP="00F92A63">
            <w:pPr>
              <w:rPr>
                <w:lang w:val="es-CL"/>
              </w:rPr>
            </w:pPr>
            <w:r>
              <w:rPr>
                <w:lang w:val="es-CL"/>
              </w:rPr>
              <w:t>Obras AT</w:t>
            </w:r>
          </w:p>
        </w:tc>
        <w:tc>
          <w:tcPr>
            <w:tcW w:w="1276" w:type="dxa"/>
          </w:tcPr>
          <w:p w:rsidR="000B71DD" w:rsidRDefault="000B71DD" w:rsidP="00F92A63">
            <w:pPr>
              <w:jc w:val="center"/>
              <w:rPr>
                <w:lang w:val="es-CL"/>
              </w:rPr>
            </w:pPr>
            <w:r>
              <w:rPr>
                <w:lang w:val="es-CL"/>
              </w:rPr>
              <w:t>0,803</w:t>
            </w:r>
          </w:p>
        </w:tc>
      </w:tr>
      <w:tr w:rsidR="000B71DD" w:rsidTr="00F92A63">
        <w:trPr>
          <w:jc w:val="center"/>
        </w:trPr>
        <w:tc>
          <w:tcPr>
            <w:tcW w:w="3397" w:type="dxa"/>
          </w:tcPr>
          <w:p w:rsidR="000B71DD" w:rsidRDefault="00F92A63" w:rsidP="00F92A63">
            <w:pPr>
              <w:rPr>
                <w:lang w:val="es-CL"/>
              </w:rPr>
            </w:pPr>
            <w:r>
              <w:rPr>
                <w:lang w:val="es-CL"/>
              </w:rPr>
              <w:t>Obras de Subtransmisión</w:t>
            </w:r>
          </w:p>
        </w:tc>
        <w:tc>
          <w:tcPr>
            <w:tcW w:w="1276" w:type="dxa"/>
          </w:tcPr>
          <w:p w:rsidR="000B71DD" w:rsidRDefault="00F92A63" w:rsidP="00F92A63">
            <w:pPr>
              <w:jc w:val="center"/>
              <w:rPr>
                <w:lang w:val="es-CL"/>
              </w:rPr>
            </w:pPr>
            <w:r>
              <w:rPr>
                <w:lang w:val="es-CL"/>
              </w:rPr>
              <w:t>0,803</w:t>
            </w:r>
          </w:p>
        </w:tc>
      </w:tr>
      <w:tr w:rsidR="000B71DD" w:rsidTr="00F92A63">
        <w:trPr>
          <w:jc w:val="center"/>
        </w:trPr>
        <w:tc>
          <w:tcPr>
            <w:tcW w:w="3397" w:type="dxa"/>
          </w:tcPr>
          <w:p w:rsidR="000B71DD" w:rsidRDefault="00F92A63" w:rsidP="00F92A63">
            <w:pPr>
              <w:rPr>
                <w:lang w:val="es-CL"/>
              </w:rPr>
            </w:pPr>
            <w:r>
              <w:rPr>
                <w:lang w:val="es-CL"/>
              </w:rPr>
              <w:t>Obras de Distribución (MT+BT)</w:t>
            </w:r>
          </w:p>
        </w:tc>
        <w:tc>
          <w:tcPr>
            <w:tcW w:w="1276" w:type="dxa"/>
          </w:tcPr>
          <w:p w:rsidR="000B71DD" w:rsidRDefault="00F92A63" w:rsidP="00F92A63">
            <w:pPr>
              <w:jc w:val="center"/>
              <w:rPr>
                <w:lang w:val="es-CL"/>
              </w:rPr>
            </w:pPr>
            <w:r>
              <w:rPr>
                <w:lang w:val="es-CL"/>
              </w:rPr>
              <w:t>0,730</w:t>
            </w:r>
          </w:p>
        </w:tc>
      </w:tr>
      <w:tr w:rsidR="00F92A63" w:rsidTr="00F92A63">
        <w:trPr>
          <w:jc w:val="center"/>
        </w:trPr>
        <w:tc>
          <w:tcPr>
            <w:tcW w:w="3397" w:type="dxa"/>
          </w:tcPr>
          <w:p w:rsidR="00F92A63" w:rsidRPr="007F34D9" w:rsidRDefault="00F92A63" w:rsidP="00F92A63">
            <w:r>
              <w:t xml:space="preserve">Equipamiento </w:t>
            </w:r>
            <w:r w:rsidRPr="007F34D9">
              <w:t>Media tensión</w:t>
            </w:r>
          </w:p>
        </w:tc>
        <w:tc>
          <w:tcPr>
            <w:tcW w:w="1276" w:type="dxa"/>
          </w:tcPr>
          <w:p w:rsidR="00F92A63" w:rsidRPr="007F34D9" w:rsidRDefault="00F92A63" w:rsidP="00F92A63">
            <w:pPr>
              <w:jc w:val="center"/>
            </w:pPr>
            <w:r w:rsidRPr="007F34D9">
              <w:t>0,738</w:t>
            </w:r>
          </w:p>
        </w:tc>
      </w:tr>
      <w:tr w:rsidR="00F92A63" w:rsidTr="00F92A63">
        <w:trPr>
          <w:jc w:val="center"/>
        </w:trPr>
        <w:tc>
          <w:tcPr>
            <w:tcW w:w="3397" w:type="dxa"/>
          </w:tcPr>
          <w:p w:rsidR="00F92A63" w:rsidRPr="007F34D9" w:rsidRDefault="00F92A63" w:rsidP="00F92A63">
            <w:r>
              <w:t xml:space="preserve">Equipamiento </w:t>
            </w:r>
            <w:r w:rsidRPr="007F34D9">
              <w:t>Baja tensión</w:t>
            </w:r>
          </w:p>
        </w:tc>
        <w:tc>
          <w:tcPr>
            <w:tcW w:w="1276" w:type="dxa"/>
          </w:tcPr>
          <w:p w:rsidR="00F92A63" w:rsidRPr="007F34D9" w:rsidRDefault="00F92A63" w:rsidP="00F92A63">
            <w:pPr>
              <w:jc w:val="center"/>
            </w:pPr>
            <w:r w:rsidRPr="007F34D9">
              <w:t>0,726</w:t>
            </w:r>
          </w:p>
        </w:tc>
      </w:tr>
      <w:tr w:rsidR="00F92A63" w:rsidTr="00F92A63">
        <w:trPr>
          <w:jc w:val="center"/>
        </w:trPr>
        <w:tc>
          <w:tcPr>
            <w:tcW w:w="3397" w:type="dxa"/>
          </w:tcPr>
          <w:p w:rsidR="00F92A63" w:rsidRPr="007F34D9" w:rsidRDefault="00F92A63" w:rsidP="00F92A63">
            <w:r>
              <w:t xml:space="preserve">Equipamiento </w:t>
            </w:r>
            <w:r w:rsidRPr="007F34D9">
              <w:t>Transformación</w:t>
            </w:r>
          </w:p>
        </w:tc>
        <w:tc>
          <w:tcPr>
            <w:tcW w:w="1276" w:type="dxa"/>
          </w:tcPr>
          <w:p w:rsidR="00F92A63" w:rsidRPr="007F34D9" w:rsidRDefault="00F92A63" w:rsidP="00F92A63">
            <w:pPr>
              <w:jc w:val="center"/>
            </w:pPr>
            <w:r w:rsidRPr="007F34D9">
              <w:t>0,866</w:t>
            </w:r>
          </w:p>
        </w:tc>
      </w:tr>
      <w:tr w:rsidR="00F92A63" w:rsidTr="00F92A63">
        <w:trPr>
          <w:jc w:val="center"/>
        </w:trPr>
        <w:tc>
          <w:tcPr>
            <w:tcW w:w="3397" w:type="dxa"/>
          </w:tcPr>
          <w:p w:rsidR="00F92A63" w:rsidRPr="007F34D9" w:rsidRDefault="00F92A63" w:rsidP="00F92A63">
            <w:r>
              <w:t xml:space="preserve">Equipamiento </w:t>
            </w:r>
            <w:r w:rsidRPr="007F34D9">
              <w:t>Alumbrado Público</w:t>
            </w:r>
          </w:p>
        </w:tc>
        <w:tc>
          <w:tcPr>
            <w:tcW w:w="1276" w:type="dxa"/>
          </w:tcPr>
          <w:p w:rsidR="00F92A63" w:rsidRPr="007F34D9" w:rsidRDefault="00F92A63" w:rsidP="00F92A63">
            <w:pPr>
              <w:jc w:val="center"/>
            </w:pPr>
            <w:r w:rsidRPr="007F34D9">
              <w:t>0,751</w:t>
            </w:r>
          </w:p>
        </w:tc>
      </w:tr>
      <w:tr w:rsidR="00F92A63" w:rsidTr="00F92A63">
        <w:trPr>
          <w:jc w:val="center"/>
        </w:trPr>
        <w:tc>
          <w:tcPr>
            <w:tcW w:w="3397" w:type="dxa"/>
          </w:tcPr>
          <w:p w:rsidR="00F92A63" w:rsidRPr="007F34D9" w:rsidRDefault="00F92A63" w:rsidP="00F92A63">
            <w:r>
              <w:t xml:space="preserve">Equipamiento </w:t>
            </w:r>
            <w:r w:rsidRPr="007F34D9">
              <w:t>Acometidas</w:t>
            </w:r>
          </w:p>
        </w:tc>
        <w:tc>
          <w:tcPr>
            <w:tcW w:w="1276" w:type="dxa"/>
          </w:tcPr>
          <w:p w:rsidR="00F92A63" w:rsidRPr="007F34D9" w:rsidRDefault="00F92A63" w:rsidP="00F92A63">
            <w:pPr>
              <w:jc w:val="center"/>
            </w:pPr>
            <w:r w:rsidRPr="007F34D9">
              <w:t>0,751</w:t>
            </w:r>
          </w:p>
        </w:tc>
      </w:tr>
      <w:tr w:rsidR="00F92A63" w:rsidTr="00F92A63">
        <w:trPr>
          <w:jc w:val="center"/>
        </w:trPr>
        <w:tc>
          <w:tcPr>
            <w:tcW w:w="3397" w:type="dxa"/>
          </w:tcPr>
          <w:p w:rsidR="00F92A63" w:rsidRPr="007F34D9" w:rsidRDefault="00F92A63" w:rsidP="00F92A63">
            <w:r>
              <w:t xml:space="preserve">Equipamiento </w:t>
            </w:r>
            <w:r w:rsidRPr="007F34D9">
              <w:t>Medidores</w:t>
            </w:r>
          </w:p>
        </w:tc>
        <w:tc>
          <w:tcPr>
            <w:tcW w:w="1276" w:type="dxa"/>
          </w:tcPr>
          <w:p w:rsidR="00F92A63" w:rsidRDefault="00F92A63" w:rsidP="00F92A63">
            <w:pPr>
              <w:jc w:val="center"/>
            </w:pPr>
            <w:r w:rsidRPr="007F34D9">
              <w:t>0,870</w:t>
            </w:r>
          </w:p>
        </w:tc>
      </w:tr>
      <w:tr w:rsidR="000B71DD" w:rsidTr="00F92A63">
        <w:trPr>
          <w:jc w:val="center"/>
        </w:trPr>
        <w:tc>
          <w:tcPr>
            <w:tcW w:w="3397" w:type="dxa"/>
          </w:tcPr>
          <w:p w:rsidR="000B71DD" w:rsidRDefault="000B71DD" w:rsidP="00F92A63">
            <w:pPr>
              <w:rPr>
                <w:lang w:val="es-CL"/>
              </w:rPr>
            </w:pPr>
            <w:r>
              <w:rPr>
                <w:lang w:val="es-CL"/>
              </w:rPr>
              <w:t>Mano de Obra No Calificada</w:t>
            </w:r>
          </w:p>
        </w:tc>
        <w:tc>
          <w:tcPr>
            <w:tcW w:w="1276" w:type="dxa"/>
          </w:tcPr>
          <w:p w:rsidR="000B71DD" w:rsidRDefault="000B71DD" w:rsidP="00F92A63">
            <w:pPr>
              <w:jc w:val="center"/>
              <w:rPr>
                <w:lang w:val="es-CL"/>
              </w:rPr>
            </w:pPr>
            <w:r>
              <w:rPr>
                <w:lang w:val="es-CL"/>
              </w:rPr>
              <w:t>0,369</w:t>
            </w:r>
          </w:p>
        </w:tc>
      </w:tr>
      <w:tr w:rsidR="000B71DD" w:rsidTr="00F92A63">
        <w:trPr>
          <w:jc w:val="center"/>
        </w:trPr>
        <w:tc>
          <w:tcPr>
            <w:tcW w:w="3397" w:type="dxa"/>
          </w:tcPr>
          <w:p w:rsidR="000B71DD" w:rsidRDefault="000B71DD" w:rsidP="00F92A63">
            <w:pPr>
              <w:rPr>
                <w:lang w:val="es-CL"/>
              </w:rPr>
            </w:pPr>
            <w:r>
              <w:rPr>
                <w:lang w:val="es-CL"/>
              </w:rPr>
              <w:t>Mano de Obra Calificada</w:t>
            </w:r>
          </w:p>
        </w:tc>
        <w:tc>
          <w:tcPr>
            <w:tcW w:w="1276" w:type="dxa"/>
          </w:tcPr>
          <w:p w:rsidR="000B71DD" w:rsidRDefault="000B71DD" w:rsidP="00F92A63">
            <w:pPr>
              <w:jc w:val="center"/>
              <w:rPr>
                <w:lang w:val="es-CL"/>
              </w:rPr>
            </w:pPr>
            <w:r>
              <w:rPr>
                <w:lang w:val="es-CL"/>
              </w:rPr>
              <w:t>0,922</w:t>
            </w:r>
          </w:p>
        </w:tc>
      </w:tr>
      <w:tr w:rsidR="00A474B7" w:rsidTr="00F92A63">
        <w:trPr>
          <w:jc w:val="center"/>
        </w:trPr>
        <w:tc>
          <w:tcPr>
            <w:tcW w:w="3397" w:type="dxa"/>
          </w:tcPr>
          <w:p w:rsidR="00A474B7" w:rsidRDefault="00A474B7" w:rsidP="00F92A63">
            <w:pPr>
              <w:rPr>
                <w:lang w:val="es-CL"/>
              </w:rPr>
            </w:pPr>
            <w:r>
              <w:rPr>
                <w:lang w:val="es-CL"/>
              </w:rPr>
              <w:t>Costo de O&amp;M FERUM</w:t>
            </w:r>
          </w:p>
        </w:tc>
        <w:tc>
          <w:tcPr>
            <w:tcW w:w="1276" w:type="dxa"/>
          </w:tcPr>
          <w:p w:rsidR="00A474B7" w:rsidRDefault="00A474B7" w:rsidP="00F92A63">
            <w:pPr>
              <w:jc w:val="center"/>
              <w:rPr>
                <w:lang w:val="es-CL"/>
              </w:rPr>
            </w:pPr>
            <w:r>
              <w:rPr>
                <w:lang w:val="es-CL"/>
              </w:rPr>
              <w:t>0,849</w:t>
            </w:r>
          </w:p>
        </w:tc>
      </w:tr>
    </w:tbl>
    <w:p w:rsidR="00D50E1E" w:rsidRDefault="00D50E1E" w:rsidP="00F56913">
      <w:pPr>
        <w:jc w:val="both"/>
        <w:rPr>
          <w:lang w:val="es-CL"/>
        </w:rPr>
      </w:pPr>
    </w:p>
    <w:p w:rsidR="00A46AD6" w:rsidRDefault="00F92A63" w:rsidP="00F56913">
      <w:pPr>
        <w:jc w:val="both"/>
        <w:rPr>
          <w:lang w:val="es-CL"/>
        </w:rPr>
      </w:pPr>
      <w:r>
        <w:rPr>
          <w:lang w:val="es-CL"/>
        </w:rPr>
        <w:t>Por otra parte, los Costos de Operación y mantenimiento económicos son calculados como un porcentaje de los montos de inversión, a las mismas proporciones que las emplea</w:t>
      </w:r>
      <w:r w:rsidR="00A474B7">
        <w:rPr>
          <w:lang w:val="es-CL"/>
        </w:rPr>
        <w:t>das en la evaluación financiera, esto con excepción de los proyectos FERUM, donde se emplea directamente la RPC ya establecida para este tipo de proyectos.</w:t>
      </w:r>
    </w:p>
    <w:p w:rsidR="00F92A63" w:rsidRDefault="00F92A63" w:rsidP="00F56913">
      <w:pPr>
        <w:jc w:val="both"/>
        <w:rPr>
          <w:lang w:val="es-CL"/>
        </w:rPr>
      </w:pPr>
    </w:p>
    <w:p w:rsidR="009867D8" w:rsidRDefault="009867D8">
      <w:pPr>
        <w:rPr>
          <w:lang w:val="es-CL"/>
        </w:rPr>
      </w:pPr>
      <w:r>
        <w:rPr>
          <w:lang w:val="es-CL"/>
        </w:rPr>
        <w:br w:type="page"/>
      </w:r>
    </w:p>
    <w:p w:rsidR="009867D8" w:rsidRDefault="009867D8" w:rsidP="009867D8">
      <w:pPr>
        <w:pStyle w:val="Heading1"/>
        <w:rPr>
          <w:lang w:val="es-CL"/>
        </w:rPr>
      </w:pPr>
      <w:bookmarkStart w:id="37" w:name="_Toc491617780"/>
      <w:r>
        <w:rPr>
          <w:lang w:val="es-CL"/>
        </w:rPr>
        <w:t>Anexo 3. Planillas de Evaluación Financiera</w:t>
      </w:r>
      <w:bookmarkEnd w:id="37"/>
    </w:p>
    <w:p w:rsidR="009867D8" w:rsidRDefault="009867D8" w:rsidP="00F56913">
      <w:pPr>
        <w:jc w:val="both"/>
        <w:rPr>
          <w:lang w:val="es-CL"/>
        </w:rPr>
      </w:pPr>
    </w:p>
    <w:p w:rsidR="009867D8" w:rsidRPr="00870ACA" w:rsidRDefault="00B21E90" w:rsidP="00F56913">
      <w:pPr>
        <w:jc w:val="both"/>
        <w:rPr>
          <w:b/>
          <w:lang w:val="es-CL"/>
        </w:rPr>
      </w:pPr>
      <w:r w:rsidRPr="00870ACA">
        <w:rPr>
          <w:b/>
          <w:lang w:val="es-CL"/>
        </w:rPr>
        <w:t xml:space="preserve">Proyectos </w:t>
      </w:r>
      <w:r w:rsidR="00166906">
        <w:rPr>
          <w:b/>
          <w:lang w:val="es-CL"/>
        </w:rPr>
        <w:t xml:space="preserve">Expansión y Refuerzo </w:t>
      </w:r>
      <w:r w:rsidRPr="00870ACA">
        <w:rPr>
          <w:b/>
          <w:lang w:val="es-CL"/>
        </w:rPr>
        <w:t>SNT</w:t>
      </w:r>
    </w:p>
    <w:p w:rsidR="00B21E90" w:rsidRDefault="00B21E90" w:rsidP="00F56913">
      <w:pPr>
        <w:jc w:val="both"/>
        <w:rPr>
          <w:lang w:val="es-CL"/>
        </w:rPr>
      </w:pPr>
    </w:p>
    <w:p w:rsidR="00B21E90" w:rsidRDefault="00B21E90">
      <w:pPr>
        <w:rPr>
          <w:lang w:val="es-CL"/>
        </w:rPr>
      </w:pPr>
      <w:r w:rsidRPr="00B21E90">
        <w:rPr>
          <w:noProof/>
          <w:lang w:val="en-US"/>
        </w:rPr>
        <w:drawing>
          <wp:inline distT="0" distB="0" distL="0" distR="0">
            <wp:extent cx="5612130" cy="1959243"/>
            <wp:effectExtent l="0" t="0" r="7620"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1959243"/>
                    </a:xfrm>
                    <a:prstGeom prst="rect">
                      <a:avLst/>
                    </a:prstGeom>
                    <a:noFill/>
                    <a:ln>
                      <a:noFill/>
                    </a:ln>
                  </pic:spPr>
                </pic:pic>
              </a:graphicData>
            </a:graphic>
          </wp:inline>
        </w:drawing>
      </w:r>
    </w:p>
    <w:p w:rsidR="00B21E90" w:rsidRDefault="00B21E90">
      <w:pPr>
        <w:rPr>
          <w:lang w:val="es-CL"/>
        </w:rPr>
      </w:pPr>
    </w:p>
    <w:p w:rsidR="00870ACA" w:rsidRDefault="00870ACA">
      <w:pPr>
        <w:rPr>
          <w:lang w:val="es-CL"/>
        </w:rPr>
      </w:pPr>
      <w:r w:rsidRPr="00870ACA">
        <w:rPr>
          <w:noProof/>
          <w:lang w:val="en-US"/>
        </w:rPr>
        <w:drawing>
          <wp:inline distT="0" distB="0" distL="0" distR="0">
            <wp:extent cx="5612130" cy="1959243"/>
            <wp:effectExtent l="0" t="0" r="7620" b="317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1959243"/>
                    </a:xfrm>
                    <a:prstGeom prst="rect">
                      <a:avLst/>
                    </a:prstGeom>
                    <a:noFill/>
                    <a:ln>
                      <a:noFill/>
                    </a:ln>
                  </pic:spPr>
                </pic:pic>
              </a:graphicData>
            </a:graphic>
          </wp:inline>
        </w:drawing>
      </w:r>
    </w:p>
    <w:p w:rsidR="00870ACA" w:rsidRDefault="00870ACA">
      <w:pPr>
        <w:rPr>
          <w:lang w:val="es-CL"/>
        </w:rPr>
      </w:pPr>
    </w:p>
    <w:p w:rsidR="00870ACA" w:rsidRDefault="00870ACA">
      <w:pPr>
        <w:rPr>
          <w:lang w:val="es-CL"/>
        </w:rPr>
      </w:pPr>
      <w:r w:rsidRPr="00870ACA">
        <w:rPr>
          <w:noProof/>
          <w:lang w:val="en-US"/>
        </w:rPr>
        <w:drawing>
          <wp:inline distT="0" distB="0" distL="0" distR="0">
            <wp:extent cx="5612130" cy="2159324"/>
            <wp:effectExtent l="0" t="0" r="762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2159324"/>
                    </a:xfrm>
                    <a:prstGeom prst="rect">
                      <a:avLst/>
                    </a:prstGeom>
                    <a:noFill/>
                    <a:ln>
                      <a:noFill/>
                    </a:ln>
                  </pic:spPr>
                </pic:pic>
              </a:graphicData>
            </a:graphic>
          </wp:inline>
        </w:drawing>
      </w:r>
    </w:p>
    <w:p w:rsidR="00870ACA" w:rsidRDefault="00870ACA">
      <w:pPr>
        <w:rPr>
          <w:lang w:val="es-CL"/>
        </w:rPr>
      </w:pPr>
      <w:r w:rsidRPr="00870ACA">
        <w:rPr>
          <w:noProof/>
          <w:lang w:val="en-US"/>
        </w:rPr>
        <w:drawing>
          <wp:inline distT="0" distB="0" distL="0" distR="0">
            <wp:extent cx="5612130" cy="1924100"/>
            <wp:effectExtent l="0" t="0" r="762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2130" cy="1924100"/>
                    </a:xfrm>
                    <a:prstGeom prst="rect">
                      <a:avLst/>
                    </a:prstGeom>
                    <a:noFill/>
                    <a:ln>
                      <a:noFill/>
                    </a:ln>
                  </pic:spPr>
                </pic:pic>
              </a:graphicData>
            </a:graphic>
          </wp:inline>
        </w:drawing>
      </w:r>
    </w:p>
    <w:p w:rsidR="00870ACA" w:rsidRDefault="00870ACA">
      <w:pPr>
        <w:rPr>
          <w:lang w:val="es-CL"/>
        </w:rPr>
      </w:pPr>
    </w:p>
    <w:p w:rsidR="00166906" w:rsidRDefault="00166906">
      <w:pPr>
        <w:rPr>
          <w:lang w:val="es-CL"/>
        </w:rPr>
      </w:pPr>
      <w:r w:rsidRPr="00166906">
        <w:rPr>
          <w:noProof/>
          <w:lang w:val="en-US"/>
        </w:rPr>
        <w:drawing>
          <wp:inline distT="0" distB="0" distL="0" distR="0">
            <wp:extent cx="5612130" cy="1955369"/>
            <wp:effectExtent l="0" t="0" r="7620" b="698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1955369"/>
                    </a:xfrm>
                    <a:prstGeom prst="rect">
                      <a:avLst/>
                    </a:prstGeom>
                    <a:noFill/>
                    <a:ln>
                      <a:noFill/>
                    </a:ln>
                  </pic:spPr>
                </pic:pic>
              </a:graphicData>
            </a:graphic>
          </wp:inline>
        </w:drawing>
      </w:r>
    </w:p>
    <w:p w:rsidR="00166906" w:rsidRDefault="00166906">
      <w:pPr>
        <w:rPr>
          <w:lang w:val="es-CL"/>
        </w:rPr>
      </w:pPr>
    </w:p>
    <w:p w:rsidR="00166906" w:rsidRDefault="00166906">
      <w:pPr>
        <w:rPr>
          <w:b/>
          <w:lang w:val="es-CL"/>
        </w:rPr>
      </w:pPr>
    </w:p>
    <w:p w:rsidR="00166906" w:rsidRDefault="00166906">
      <w:pPr>
        <w:rPr>
          <w:b/>
          <w:lang w:val="es-CL"/>
        </w:rPr>
      </w:pPr>
      <w:r w:rsidRPr="00166906">
        <w:rPr>
          <w:b/>
          <w:lang w:val="es-CL"/>
        </w:rPr>
        <w:t>Proyectos Expansión y Modernización SND</w:t>
      </w:r>
    </w:p>
    <w:p w:rsidR="00166906" w:rsidRDefault="00166906">
      <w:pPr>
        <w:rPr>
          <w:b/>
          <w:lang w:val="es-CL"/>
        </w:rPr>
      </w:pPr>
    </w:p>
    <w:p w:rsidR="00166906" w:rsidRDefault="00166906">
      <w:pPr>
        <w:rPr>
          <w:b/>
          <w:lang w:val="es-CL"/>
        </w:rPr>
      </w:pPr>
      <w:r w:rsidRPr="00166906">
        <w:rPr>
          <w:noProof/>
          <w:lang w:val="en-US"/>
        </w:rPr>
        <w:drawing>
          <wp:inline distT="0" distB="0" distL="0" distR="0">
            <wp:extent cx="5612130" cy="1731619"/>
            <wp:effectExtent l="0" t="0" r="0" b="254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2130" cy="1731619"/>
                    </a:xfrm>
                    <a:prstGeom prst="rect">
                      <a:avLst/>
                    </a:prstGeom>
                    <a:noFill/>
                    <a:ln>
                      <a:noFill/>
                    </a:ln>
                  </pic:spPr>
                </pic:pic>
              </a:graphicData>
            </a:graphic>
          </wp:inline>
        </w:drawing>
      </w:r>
    </w:p>
    <w:p w:rsidR="00166906" w:rsidRDefault="00166906">
      <w:pPr>
        <w:rPr>
          <w:b/>
          <w:lang w:val="es-CL"/>
        </w:rPr>
      </w:pPr>
    </w:p>
    <w:p w:rsidR="00166906" w:rsidRDefault="00166906">
      <w:pPr>
        <w:rPr>
          <w:b/>
          <w:lang w:val="es-CL"/>
        </w:rPr>
      </w:pPr>
    </w:p>
    <w:p w:rsidR="00166906" w:rsidRDefault="00166906">
      <w:pPr>
        <w:rPr>
          <w:b/>
          <w:lang w:val="es-CL"/>
        </w:rPr>
      </w:pPr>
    </w:p>
    <w:p w:rsidR="00166906" w:rsidRDefault="00166906">
      <w:pPr>
        <w:rPr>
          <w:b/>
          <w:lang w:val="es-CL"/>
        </w:rPr>
      </w:pPr>
      <w:r>
        <w:rPr>
          <w:b/>
          <w:lang w:val="es-CL"/>
        </w:rPr>
        <w:t>Proyectos FERUM</w:t>
      </w:r>
    </w:p>
    <w:p w:rsidR="00166906" w:rsidRDefault="00166906">
      <w:pPr>
        <w:rPr>
          <w:b/>
          <w:lang w:val="es-CL"/>
        </w:rPr>
      </w:pPr>
      <w:r w:rsidRPr="00166906">
        <w:rPr>
          <w:noProof/>
          <w:lang w:val="en-US"/>
        </w:rPr>
        <w:drawing>
          <wp:inline distT="0" distB="0" distL="0" distR="0">
            <wp:extent cx="5865732" cy="2867891"/>
            <wp:effectExtent l="0" t="0" r="1905" b="889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76753" cy="2873279"/>
                    </a:xfrm>
                    <a:prstGeom prst="rect">
                      <a:avLst/>
                    </a:prstGeom>
                    <a:noFill/>
                    <a:ln>
                      <a:noFill/>
                    </a:ln>
                  </pic:spPr>
                </pic:pic>
              </a:graphicData>
            </a:graphic>
          </wp:inline>
        </w:drawing>
      </w:r>
    </w:p>
    <w:p w:rsidR="00166906" w:rsidRDefault="00166906">
      <w:pPr>
        <w:rPr>
          <w:b/>
          <w:lang w:val="es-CL"/>
        </w:rPr>
      </w:pPr>
    </w:p>
    <w:p w:rsidR="00166906" w:rsidRDefault="00166906">
      <w:pPr>
        <w:rPr>
          <w:b/>
          <w:lang w:val="es-CL"/>
        </w:rPr>
      </w:pPr>
    </w:p>
    <w:p w:rsidR="00166906" w:rsidRDefault="00166906">
      <w:pPr>
        <w:rPr>
          <w:b/>
          <w:lang w:val="es-CL"/>
        </w:rPr>
      </w:pPr>
      <w:r>
        <w:rPr>
          <w:b/>
          <w:lang w:val="es-CL"/>
        </w:rPr>
        <w:t>Proyectos Expansión de Redes para la Agroindustria</w:t>
      </w:r>
    </w:p>
    <w:p w:rsidR="00166906" w:rsidRDefault="00166906">
      <w:pPr>
        <w:rPr>
          <w:b/>
          <w:lang w:val="es-CL"/>
        </w:rPr>
      </w:pPr>
      <w:r w:rsidRPr="00166906">
        <w:rPr>
          <w:noProof/>
          <w:lang w:val="en-US"/>
        </w:rPr>
        <w:drawing>
          <wp:inline distT="0" distB="0" distL="0" distR="0">
            <wp:extent cx="6068934" cy="1537854"/>
            <wp:effectExtent l="0" t="0" r="0" b="571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193" cy="1544761"/>
                    </a:xfrm>
                    <a:prstGeom prst="rect">
                      <a:avLst/>
                    </a:prstGeom>
                    <a:noFill/>
                    <a:ln>
                      <a:noFill/>
                    </a:ln>
                  </pic:spPr>
                </pic:pic>
              </a:graphicData>
            </a:graphic>
          </wp:inline>
        </w:drawing>
      </w:r>
    </w:p>
    <w:p w:rsidR="00166906" w:rsidRDefault="00166906">
      <w:pPr>
        <w:rPr>
          <w:b/>
          <w:lang w:val="es-CL"/>
        </w:rPr>
      </w:pPr>
    </w:p>
    <w:p w:rsidR="00166906" w:rsidRPr="00166906" w:rsidRDefault="00166906">
      <w:pPr>
        <w:rPr>
          <w:b/>
          <w:lang w:val="es-CL"/>
        </w:rPr>
      </w:pPr>
    </w:p>
    <w:p w:rsidR="009867D8" w:rsidRDefault="009867D8">
      <w:pPr>
        <w:rPr>
          <w:lang w:val="es-CL"/>
        </w:rPr>
      </w:pPr>
      <w:r>
        <w:rPr>
          <w:lang w:val="es-CL"/>
        </w:rPr>
        <w:br w:type="page"/>
      </w:r>
    </w:p>
    <w:p w:rsidR="009867D8" w:rsidRDefault="009867D8" w:rsidP="009867D8">
      <w:pPr>
        <w:pStyle w:val="Heading1"/>
        <w:rPr>
          <w:lang w:val="es-CL"/>
        </w:rPr>
      </w:pPr>
      <w:bookmarkStart w:id="38" w:name="_Toc491617781"/>
      <w:r>
        <w:rPr>
          <w:lang w:val="es-CL"/>
        </w:rPr>
        <w:t>Anexo 4. Planillas de Evaluación Económica</w:t>
      </w:r>
      <w:bookmarkEnd w:id="38"/>
    </w:p>
    <w:p w:rsidR="009867D8" w:rsidRDefault="009867D8" w:rsidP="00F56913">
      <w:pPr>
        <w:jc w:val="both"/>
        <w:rPr>
          <w:lang w:val="es-CL"/>
        </w:rPr>
      </w:pPr>
    </w:p>
    <w:p w:rsidR="009867D8" w:rsidRPr="00480D45" w:rsidRDefault="00480D45" w:rsidP="00F56913">
      <w:pPr>
        <w:jc w:val="both"/>
        <w:rPr>
          <w:b/>
          <w:lang w:val="es-CL"/>
        </w:rPr>
      </w:pPr>
      <w:r w:rsidRPr="00480D45">
        <w:rPr>
          <w:b/>
          <w:lang w:val="es-CL"/>
        </w:rPr>
        <w:t>Proyectos Expansión y Refuerzo del SNT</w:t>
      </w:r>
    </w:p>
    <w:p w:rsidR="00480D45" w:rsidRDefault="00480D45" w:rsidP="00F56913">
      <w:pPr>
        <w:jc w:val="both"/>
        <w:rPr>
          <w:lang w:val="es-CL"/>
        </w:rPr>
      </w:pPr>
      <w:r w:rsidRPr="00480D45">
        <w:rPr>
          <w:noProof/>
          <w:lang w:val="en-US"/>
        </w:rPr>
        <w:drawing>
          <wp:inline distT="0" distB="0" distL="0" distR="0">
            <wp:extent cx="5612130" cy="2023014"/>
            <wp:effectExtent l="0" t="0" r="762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2023014"/>
                    </a:xfrm>
                    <a:prstGeom prst="rect">
                      <a:avLst/>
                    </a:prstGeom>
                    <a:noFill/>
                    <a:ln>
                      <a:noFill/>
                    </a:ln>
                  </pic:spPr>
                </pic:pic>
              </a:graphicData>
            </a:graphic>
          </wp:inline>
        </w:drawing>
      </w:r>
    </w:p>
    <w:p w:rsidR="00480D45" w:rsidRDefault="00480D45" w:rsidP="00F56913">
      <w:pPr>
        <w:jc w:val="both"/>
        <w:rPr>
          <w:lang w:val="es-CL"/>
        </w:rPr>
      </w:pPr>
    </w:p>
    <w:p w:rsidR="00480D45" w:rsidRDefault="00480D45" w:rsidP="00F56913">
      <w:pPr>
        <w:jc w:val="both"/>
        <w:rPr>
          <w:lang w:val="es-CL"/>
        </w:rPr>
      </w:pPr>
      <w:r w:rsidRPr="00480D45">
        <w:rPr>
          <w:noProof/>
          <w:lang w:val="en-US"/>
        </w:rPr>
        <w:drawing>
          <wp:inline distT="0" distB="0" distL="0" distR="0">
            <wp:extent cx="5612130" cy="1913328"/>
            <wp:effectExtent l="0" t="0" r="762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2130" cy="1913328"/>
                    </a:xfrm>
                    <a:prstGeom prst="rect">
                      <a:avLst/>
                    </a:prstGeom>
                    <a:noFill/>
                    <a:ln>
                      <a:noFill/>
                    </a:ln>
                  </pic:spPr>
                </pic:pic>
              </a:graphicData>
            </a:graphic>
          </wp:inline>
        </w:drawing>
      </w:r>
    </w:p>
    <w:p w:rsidR="00480D45" w:rsidRDefault="00480D45" w:rsidP="00F56913">
      <w:pPr>
        <w:jc w:val="both"/>
        <w:rPr>
          <w:lang w:val="es-CL"/>
        </w:rPr>
      </w:pPr>
    </w:p>
    <w:p w:rsidR="00480D45" w:rsidRDefault="00480D45" w:rsidP="00F56913">
      <w:pPr>
        <w:jc w:val="both"/>
        <w:rPr>
          <w:lang w:val="es-CL"/>
        </w:rPr>
      </w:pPr>
      <w:r w:rsidRPr="00480D45">
        <w:rPr>
          <w:noProof/>
          <w:lang w:val="en-US"/>
        </w:rPr>
        <w:drawing>
          <wp:inline distT="0" distB="0" distL="0" distR="0">
            <wp:extent cx="5612130" cy="2157278"/>
            <wp:effectExtent l="0" t="0" r="762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130" cy="2157278"/>
                    </a:xfrm>
                    <a:prstGeom prst="rect">
                      <a:avLst/>
                    </a:prstGeom>
                    <a:noFill/>
                    <a:ln>
                      <a:noFill/>
                    </a:ln>
                  </pic:spPr>
                </pic:pic>
              </a:graphicData>
            </a:graphic>
          </wp:inline>
        </w:drawing>
      </w:r>
    </w:p>
    <w:p w:rsidR="00480D45" w:rsidRDefault="00480D45" w:rsidP="00F56913">
      <w:pPr>
        <w:jc w:val="both"/>
        <w:rPr>
          <w:lang w:val="es-CL"/>
        </w:rPr>
      </w:pPr>
    </w:p>
    <w:p w:rsidR="00480D45" w:rsidRDefault="00480D45" w:rsidP="00F56913">
      <w:pPr>
        <w:jc w:val="both"/>
        <w:rPr>
          <w:lang w:val="es-CL"/>
        </w:rPr>
      </w:pPr>
      <w:r w:rsidRPr="00480D45">
        <w:rPr>
          <w:noProof/>
          <w:lang w:val="en-US"/>
        </w:rPr>
        <w:drawing>
          <wp:inline distT="0" distB="0" distL="0" distR="0">
            <wp:extent cx="5612130" cy="1911458"/>
            <wp:effectExtent l="0" t="0" r="762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2130" cy="1911458"/>
                    </a:xfrm>
                    <a:prstGeom prst="rect">
                      <a:avLst/>
                    </a:prstGeom>
                    <a:noFill/>
                    <a:ln>
                      <a:noFill/>
                    </a:ln>
                  </pic:spPr>
                </pic:pic>
              </a:graphicData>
            </a:graphic>
          </wp:inline>
        </w:drawing>
      </w:r>
    </w:p>
    <w:p w:rsidR="00480D45" w:rsidRDefault="00480D45" w:rsidP="00F56913">
      <w:pPr>
        <w:jc w:val="both"/>
        <w:rPr>
          <w:lang w:val="es-CL"/>
        </w:rPr>
      </w:pPr>
    </w:p>
    <w:p w:rsidR="00480D45" w:rsidRDefault="00480D45" w:rsidP="00F56913">
      <w:pPr>
        <w:jc w:val="both"/>
        <w:rPr>
          <w:lang w:val="es-CL"/>
        </w:rPr>
      </w:pPr>
      <w:r w:rsidRPr="00480D45">
        <w:rPr>
          <w:noProof/>
          <w:lang w:val="en-US"/>
        </w:rPr>
        <w:drawing>
          <wp:inline distT="0" distB="0" distL="0" distR="0">
            <wp:extent cx="5612130" cy="2083977"/>
            <wp:effectExtent l="0" t="0" r="762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2130" cy="2083977"/>
                    </a:xfrm>
                    <a:prstGeom prst="rect">
                      <a:avLst/>
                    </a:prstGeom>
                    <a:noFill/>
                    <a:ln>
                      <a:noFill/>
                    </a:ln>
                  </pic:spPr>
                </pic:pic>
              </a:graphicData>
            </a:graphic>
          </wp:inline>
        </w:drawing>
      </w:r>
    </w:p>
    <w:p w:rsidR="00480D45" w:rsidRDefault="00480D45" w:rsidP="00F56913">
      <w:pPr>
        <w:jc w:val="both"/>
        <w:rPr>
          <w:lang w:val="es-CL"/>
        </w:rPr>
      </w:pPr>
    </w:p>
    <w:p w:rsidR="00CF6CDC" w:rsidRDefault="00CF6CDC" w:rsidP="00F56913">
      <w:pPr>
        <w:jc w:val="both"/>
        <w:rPr>
          <w:lang w:val="es-CL"/>
        </w:rPr>
      </w:pPr>
    </w:p>
    <w:p w:rsidR="00480D45" w:rsidRDefault="00480D45" w:rsidP="00480D45">
      <w:pPr>
        <w:rPr>
          <w:b/>
          <w:lang w:val="es-CL"/>
        </w:rPr>
      </w:pPr>
      <w:r w:rsidRPr="00166906">
        <w:rPr>
          <w:b/>
          <w:lang w:val="es-CL"/>
        </w:rPr>
        <w:t>Proyectos Expansión y Modernización SND</w:t>
      </w:r>
    </w:p>
    <w:p w:rsidR="00480D45" w:rsidRDefault="00480D45" w:rsidP="00F56913">
      <w:pPr>
        <w:jc w:val="both"/>
        <w:rPr>
          <w:lang w:val="es-CL"/>
        </w:rPr>
      </w:pPr>
      <w:r w:rsidRPr="00480D45">
        <w:rPr>
          <w:noProof/>
          <w:lang w:val="en-US"/>
        </w:rPr>
        <w:drawing>
          <wp:inline distT="0" distB="0" distL="0" distR="0">
            <wp:extent cx="5612130" cy="1540235"/>
            <wp:effectExtent l="0" t="0" r="7620" b="317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2130" cy="1540235"/>
                    </a:xfrm>
                    <a:prstGeom prst="rect">
                      <a:avLst/>
                    </a:prstGeom>
                    <a:noFill/>
                    <a:ln>
                      <a:noFill/>
                    </a:ln>
                  </pic:spPr>
                </pic:pic>
              </a:graphicData>
            </a:graphic>
          </wp:inline>
        </w:drawing>
      </w:r>
    </w:p>
    <w:p w:rsidR="00480D45" w:rsidRDefault="00480D45" w:rsidP="00F56913">
      <w:pPr>
        <w:jc w:val="both"/>
        <w:rPr>
          <w:lang w:val="es-CL"/>
        </w:rPr>
      </w:pPr>
    </w:p>
    <w:p w:rsidR="00480D45" w:rsidRDefault="00480D45" w:rsidP="00480D45">
      <w:pPr>
        <w:rPr>
          <w:b/>
          <w:lang w:val="es-CL"/>
        </w:rPr>
      </w:pPr>
    </w:p>
    <w:p w:rsidR="00480D45" w:rsidRDefault="00480D45" w:rsidP="00480D45">
      <w:pPr>
        <w:rPr>
          <w:b/>
          <w:lang w:val="es-CL"/>
        </w:rPr>
      </w:pPr>
    </w:p>
    <w:p w:rsidR="00480D45" w:rsidRDefault="00480D45" w:rsidP="00480D45">
      <w:pPr>
        <w:rPr>
          <w:b/>
          <w:lang w:val="es-CL"/>
        </w:rPr>
      </w:pPr>
    </w:p>
    <w:p w:rsidR="00480D45" w:rsidRDefault="00480D45" w:rsidP="00480D45">
      <w:pPr>
        <w:rPr>
          <w:b/>
          <w:lang w:val="es-CL"/>
        </w:rPr>
      </w:pPr>
      <w:r>
        <w:rPr>
          <w:b/>
          <w:lang w:val="es-CL"/>
        </w:rPr>
        <w:t>Proyectos FERUM</w:t>
      </w:r>
    </w:p>
    <w:p w:rsidR="00480D45" w:rsidRDefault="00480D45" w:rsidP="00480D45">
      <w:pPr>
        <w:rPr>
          <w:b/>
          <w:lang w:val="es-CL"/>
        </w:rPr>
      </w:pPr>
      <w:r w:rsidRPr="00480D45">
        <w:rPr>
          <w:noProof/>
          <w:lang w:val="en-US"/>
        </w:rPr>
        <w:drawing>
          <wp:inline distT="0" distB="0" distL="0" distR="0">
            <wp:extent cx="5612130" cy="2289339"/>
            <wp:effectExtent l="0" t="0" r="762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2130" cy="2289339"/>
                    </a:xfrm>
                    <a:prstGeom prst="rect">
                      <a:avLst/>
                    </a:prstGeom>
                    <a:noFill/>
                    <a:ln>
                      <a:noFill/>
                    </a:ln>
                  </pic:spPr>
                </pic:pic>
              </a:graphicData>
            </a:graphic>
          </wp:inline>
        </w:drawing>
      </w:r>
    </w:p>
    <w:p w:rsidR="00480D45" w:rsidRDefault="00480D45" w:rsidP="00480D45">
      <w:pPr>
        <w:rPr>
          <w:b/>
          <w:lang w:val="es-CL"/>
        </w:rPr>
      </w:pPr>
    </w:p>
    <w:p w:rsidR="00480D45" w:rsidRDefault="00480D45" w:rsidP="00480D45">
      <w:pPr>
        <w:rPr>
          <w:b/>
          <w:lang w:val="es-CL"/>
        </w:rPr>
      </w:pPr>
    </w:p>
    <w:p w:rsidR="00480D45" w:rsidRDefault="00480D45" w:rsidP="00480D45">
      <w:pPr>
        <w:rPr>
          <w:b/>
          <w:lang w:val="es-CL"/>
        </w:rPr>
      </w:pPr>
      <w:r>
        <w:rPr>
          <w:b/>
          <w:lang w:val="es-CL"/>
        </w:rPr>
        <w:t>Proyectos Expansión de Redes para la Agroindustria</w:t>
      </w:r>
    </w:p>
    <w:p w:rsidR="00480D45" w:rsidRDefault="00480D45" w:rsidP="00480D45">
      <w:pPr>
        <w:rPr>
          <w:b/>
          <w:lang w:val="es-CL"/>
        </w:rPr>
      </w:pPr>
      <w:r w:rsidRPr="00480D45">
        <w:rPr>
          <w:noProof/>
          <w:lang w:val="en-US"/>
        </w:rPr>
        <w:drawing>
          <wp:inline distT="0" distB="0" distL="0" distR="0">
            <wp:extent cx="5612130" cy="1770817"/>
            <wp:effectExtent l="0" t="0" r="7620" b="127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2130" cy="1770817"/>
                    </a:xfrm>
                    <a:prstGeom prst="rect">
                      <a:avLst/>
                    </a:prstGeom>
                    <a:noFill/>
                    <a:ln>
                      <a:noFill/>
                    </a:ln>
                  </pic:spPr>
                </pic:pic>
              </a:graphicData>
            </a:graphic>
          </wp:inline>
        </w:drawing>
      </w:r>
    </w:p>
    <w:p w:rsidR="00480D45" w:rsidRDefault="00480D45" w:rsidP="00480D45">
      <w:pPr>
        <w:rPr>
          <w:b/>
          <w:lang w:val="es-CL"/>
        </w:rPr>
      </w:pPr>
    </w:p>
    <w:p w:rsidR="00480D45" w:rsidRDefault="00480D45" w:rsidP="00480D45">
      <w:pPr>
        <w:rPr>
          <w:b/>
          <w:lang w:val="es-CL"/>
        </w:rPr>
      </w:pPr>
      <w:r>
        <w:rPr>
          <w:b/>
          <w:lang w:val="es-CL"/>
        </w:rPr>
        <w:t>Proyecto Eficiencia Energética para la Agroindustria</w:t>
      </w:r>
    </w:p>
    <w:p w:rsidR="00480D45" w:rsidRDefault="00480D45" w:rsidP="00480D45">
      <w:pPr>
        <w:rPr>
          <w:b/>
          <w:lang w:val="es-CL"/>
        </w:rPr>
      </w:pPr>
      <w:r w:rsidRPr="00480D45">
        <w:rPr>
          <w:noProof/>
          <w:lang w:val="en-US"/>
        </w:rPr>
        <w:drawing>
          <wp:inline distT="0" distB="0" distL="0" distR="0">
            <wp:extent cx="5612130" cy="1361153"/>
            <wp:effectExtent l="0" t="0" r="762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2130" cy="1361153"/>
                    </a:xfrm>
                    <a:prstGeom prst="rect">
                      <a:avLst/>
                    </a:prstGeom>
                    <a:noFill/>
                    <a:ln>
                      <a:noFill/>
                    </a:ln>
                  </pic:spPr>
                </pic:pic>
              </a:graphicData>
            </a:graphic>
          </wp:inline>
        </w:drawing>
      </w:r>
    </w:p>
    <w:p w:rsidR="00480D45" w:rsidRDefault="00480D45" w:rsidP="00480D45">
      <w:pPr>
        <w:rPr>
          <w:b/>
          <w:lang w:val="es-CL"/>
        </w:rPr>
      </w:pPr>
    </w:p>
    <w:p w:rsidR="00480D45" w:rsidRPr="00166906" w:rsidRDefault="00480D45" w:rsidP="00480D45">
      <w:pPr>
        <w:rPr>
          <w:b/>
          <w:lang w:val="es-CL"/>
        </w:rPr>
      </w:pPr>
    </w:p>
    <w:p w:rsidR="009867D8" w:rsidRDefault="009867D8">
      <w:pPr>
        <w:rPr>
          <w:lang w:val="es-CL"/>
        </w:rPr>
      </w:pPr>
    </w:p>
    <w:p w:rsidR="00FB03D2" w:rsidRDefault="00080750" w:rsidP="00080750">
      <w:pPr>
        <w:pStyle w:val="Heading1"/>
        <w:rPr>
          <w:lang w:val="es-CL"/>
        </w:rPr>
      </w:pPr>
      <w:bookmarkStart w:id="39" w:name="_Toc491617782"/>
      <w:r>
        <w:rPr>
          <w:lang w:val="es-CL"/>
        </w:rPr>
        <w:t>Anexo 5. Probabilidad de erupción Volcán Cotopaxi y Capacidad disponible en S/E Mulaló</w:t>
      </w:r>
      <w:bookmarkEnd w:id="39"/>
    </w:p>
    <w:p w:rsidR="00080750" w:rsidRDefault="00080750" w:rsidP="00F56913">
      <w:pPr>
        <w:jc w:val="both"/>
        <w:rPr>
          <w:lang w:val="es-CL"/>
        </w:rPr>
      </w:pPr>
    </w:p>
    <w:p w:rsidR="00191172" w:rsidRDefault="00191172" w:rsidP="00F56913">
      <w:pPr>
        <w:jc w:val="both"/>
        <w:rPr>
          <w:lang w:val="es-CL"/>
        </w:rPr>
      </w:pPr>
    </w:p>
    <w:p w:rsidR="00C1090A" w:rsidRDefault="00C1090A">
      <w:pPr>
        <w:rPr>
          <w:lang w:val="es-CL"/>
        </w:rPr>
      </w:pPr>
      <w:r>
        <w:rPr>
          <w:noProof/>
          <w:lang w:val="en-US"/>
        </w:rPr>
        <w:drawing>
          <wp:inline distT="0" distB="0" distL="0" distR="0" wp14:anchorId="664CB18A">
            <wp:extent cx="5335193" cy="251500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59236" cy="2526339"/>
                    </a:xfrm>
                    <a:prstGeom prst="rect">
                      <a:avLst/>
                    </a:prstGeom>
                    <a:noFill/>
                  </pic:spPr>
                </pic:pic>
              </a:graphicData>
            </a:graphic>
          </wp:inline>
        </w:drawing>
      </w:r>
    </w:p>
    <w:p w:rsidR="00C1090A" w:rsidRDefault="00C1090A">
      <w:pPr>
        <w:rPr>
          <w:lang w:val="es-CL"/>
        </w:rPr>
      </w:pPr>
      <w:r w:rsidRPr="00C1090A">
        <w:rPr>
          <w:b/>
          <w:lang w:val="es-CL"/>
        </w:rPr>
        <w:t>Figura 34</w:t>
      </w:r>
      <w:r>
        <w:rPr>
          <w:lang w:val="es-CL"/>
        </w:rPr>
        <w:t>. Localidades de Mulaló y Tanicuchí, respecto a zonas de riesgo del Volcán Cotopaxi. (fragmento de Mapa Regional de Amenazas Volcánicas Potenciales del Volcán Cotopaxi, Zona Sur. Instituto Geográfico Militar. Junio 2016)</w:t>
      </w:r>
    </w:p>
    <w:p w:rsidR="00C1090A" w:rsidRDefault="00C1090A">
      <w:pPr>
        <w:rPr>
          <w:lang w:val="es-CL"/>
        </w:rPr>
      </w:pPr>
    </w:p>
    <w:p w:rsidR="00EC4134" w:rsidRDefault="00EC4134">
      <w:pPr>
        <w:rPr>
          <w:lang w:val="es-CL"/>
        </w:rPr>
      </w:pPr>
      <w:r>
        <w:rPr>
          <w:lang w:val="es-CL"/>
        </w:rPr>
        <w:t>El proyecto de la nueva S/E Tanicuchí tiene como uno de sus objetivos</w:t>
      </w:r>
      <w:r w:rsidR="00FF6D99">
        <w:rPr>
          <w:lang w:val="es-CL"/>
        </w:rPr>
        <w:t xml:space="preserve"> tomar la carga de la actual subestación Mulaló, que será desmantelada antes del 2022, debido a su localización en zona de riesgo ante la inminente erupción del Volcán Cotopaxi.</w:t>
      </w:r>
    </w:p>
    <w:p w:rsidR="00FF6D99" w:rsidRDefault="00FF6D99">
      <w:pPr>
        <w:rPr>
          <w:lang w:val="es-CL"/>
        </w:rPr>
      </w:pPr>
    </w:p>
    <w:p w:rsidR="00FF6D99" w:rsidRDefault="00FF6D99">
      <w:pPr>
        <w:rPr>
          <w:lang w:val="es-CL"/>
        </w:rPr>
      </w:pPr>
      <w:r>
        <w:rPr>
          <w:lang w:val="es-CL"/>
        </w:rPr>
        <w:t>En la condición Sin Proyecto, es relevante considerar la capacidad disponible con o sin la anunciada erupción. De esta forma, mientras no ocurra una erupción, están disponibles los 66,7 MVA de S/E Mulaló. Pero, en caso de que ocurra la erupción, se recurrirá a una S/E Móvil de 60 MVA disponible que, al quedar instalada de forma permanente en reemplazo de la malograda subestación, demandará necesariamente la compra de una nueva S/E Móvil para conservar la confiabilidad del SNT.</w:t>
      </w:r>
    </w:p>
    <w:tbl>
      <w:tblPr>
        <w:tblStyle w:val="TableGrid"/>
        <w:tblW w:w="0" w:type="auto"/>
        <w:tblLook w:val="04A0" w:firstRow="1" w:lastRow="0" w:firstColumn="1" w:lastColumn="0" w:noHBand="0" w:noVBand="1"/>
      </w:tblPr>
      <w:tblGrid>
        <w:gridCol w:w="1838"/>
        <w:gridCol w:w="1843"/>
        <w:gridCol w:w="4961"/>
      </w:tblGrid>
      <w:tr w:rsidR="00FF6D99" w:rsidTr="004749EC">
        <w:trPr>
          <w:trHeight w:val="428"/>
        </w:trPr>
        <w:tc>
          <w:tcPr>
            <w:tcW w:w="1838" w:type="dxa"/>
            <w:shd w:val="clear" w:color="auto" w:fill="D9E2F3" w:themeFill="accent1" w:themeFillTint="33"/>
            <w:vAlign w:val="center"/>
          </w:tcPr>
          <w:p w:rsidR="00FF6D99" w:rsidRPr="00FF6D99" w:rsidRDefault="00FF6D99" w:rsidP="004749EC">
            <w:pPr>
              <w:jc w:val="center"/>
              <w:rPr>
                <w:b/>
                <w:lang w:val="es-CL"/>
              </w:rPr>
            </w:pPr>
            <w:r w:rsidRPr="00FF6D99">
              <w:rPr>
                <w:b/>
                <w:lang w:val="es-CL"/>
              </w:rPr>
              <w:t>Subestación</w:t>
            </w:r>
          </w:p>
        </w:tc>
        <w:tc>
          <w:tcPr>
            <w:tcW w:w="1843" w:type="dxa"/>
            <w:shd w:val="clear" w:color="auto" w:fill="D9E2F3" w:themeFill="accent1" w:themeFillTint="33"/>
            <w:vAlign w:val="center"/>
          </w:tcPr>
          <w:p w:rsidR="00FF6D99" w:rsidRPr="00FF6D99" w:rsidRDefault="00FF6D99" w:rsidP="004749EC">
            <w:pPr>
              <w:jc w:val="center"/>
              <w:rPr>
                <w:b/>
                <w:lang w:val="es-CL"/>
              </w:rPr>
            </w:pPr>
            <w:r w:rsidRPr="00FF6D99">
              <w:rPr>
                <w:b/>
                <w:lang w:val="es-CL"/>
              </w:rPr>
              <w:t>Capacidad</w:t>
            </w:r>
          </w:p>
        </w:tc>
        <w:tc>
          <w:tcPr>
            <w:tcW w:w="4961" w:type="dxa"/>
            <w:shd w:val="clear" w:color="auto" w:fill="D9E2F3" w:themeFill="accent1" w:themeFillTint="33"/>
            <w:vAlign w:val="center"/>
          </w:tcPr>
          <w:p w:rsidR="00FF6D99" w:rsidRPr="00FF6D99" w:rsidRDefault="00FF6D99" w:rsidP="004749EC">
            <w:pPr>
              <w:jc w:val="center"/>
              <w:rPr>
                <w:b/>
                <w:lang w:val="es-CL"/>
              </w:rPr>
            </w:pPr>
            <w:r w:rsidRPr="00FF6D99">
              <w:rPr>
                <w:b/>
                <w:lang w:val="es-CL"/>
              </w:rPr>
              <w:t>Condición</w:t>
            </w:r>
          </w:p>
        </w:tc>
      </w:tr>
      <w:tr w:rsidR="00FF6D99" w:rsidTr="004749EC">
        <w:trPr>
          <w:trHeight w:val="573"/>
        </w:trPr>
        <w:tc>
          <w:tcPr>
            <w:tcW w:w="1838" w:type="dxa"/>
            <w:vAlign w:val="center"/>
          </w:tcPr>
          <w:p w:rsidR="00FF6D99" w:rsidRDefault="00FF6D99">
            <w:pPr>
              <w:rPr>
                <w:lang w:val="es-CL"/>
              </w:rPr>
            </w:pPr>
            <w:r>
              <w:rPr>
                <w:lang w:val="es-CL"/>
              </w:rPr>
              <w:t>S/E Mulaló</w:t>
            </w:r>
          </w:p>
        </w:tc>
        <w:tc>
          <w:tcPr>
            <w:tcW w:w="1843" w:type="dxa"/>
            <w:vAlign w:val="center"/>
          </w:tcPr>
          <w:p w:rsidR="00FF6D99" w:rsidRDefault="00FF6D99" w:rsidP="004749EC">
            <w:pPr>
              <w:jc w:val="center"/>
              <w:rPr>
                <w:lang w:val="es-CL"/>
              </w:rPr>
            </w:pPr>
            <w:r>
              <w:rPr>
                <w:lang w:val="es-CL"/>
              </w:rPr>
              <w:t>66,7 MVA</w:t>
            </w:r>
          </w:p>
        </w:tc>
        <w:tc>
          <w:tcPr>
            <w:tcW w:w="4961" w:type="dxa"/>
            <w:vAlign w:val="center"/>
          </w:tcPr>
          <w:p w:rsidR="00FF6D99" w:rsidRDefault="00FF6D99">
            <w:pPr>
              <w:rPr>
                <w:lang w:val="es-CL"/>
              </w:rPr>
            </w:pPr>
            <w:r>
              <w:rPr>
                <w:lang w:val="es-CL"/>
              </w:rPr>
              <w:t>Capacidad sin erupción</w:t>
            </w:r>
          </w:p>
        </w:tc>
      </w:tr>
      <w:tr w:rsidR="00FF6D99" w:rsidTr="004749EC">
        <w:tc>
          <w:tcPr>
            <w:tcW w:w="1838" w:type="dxa"/>
            <w:vAlign w:val="center"/>
          </w:tcPr>
          <w:p w:rsidR="00FF6D99" w:rsidRDefault="00FF6D99">
            <w:pPr>
              <w:rPr>
                <w:lang w:val="es-CL"/>
              </w:rPr>
            </w:pPr>
            <w:r>
              <w:rPr>
                <w:lang w:val="es-CL"/>
              </w:rPr>
              <w:t>S/E Móvil</w:t>
            </w:r>
          </w:p>
        </w:tc>
        <w:tc>
          <w:tcPr>
            <w:tcW w:w="1843" w:type="dxa"/>
            <w:vAlign w:val="center"/>
          </w:tcPr>
          <w:p w:rsidR="00FF6D99" w:rsidRDefault="00FF6D99" w:rsidP="004749EC">
            <w:pPr>
              <w:jc w:val="center"/>
              <w:rPr>
                <w:lang w:val="es-CL"/>
              </w:rPr>
            </w:pPr>
            <w:r>
              <w:rPr>
                <w:lang w:val="es-CL"/>
              </w:rPr>
              <w:t>60 MVA</w:t>
            </w:r>
          </w:p>
        </w:tc>
        <w:tc>
          <w:tcPr>
            <w:tcW w:w="4961" w:type="dxa"/>
            <w:vAlign w:val="center"/>
          </w:tcPr>
          <w:p w:rsidR="00FF6D99" w:rsidRDefault="00FF6D99">
            <w:pPr>
              <w:rPr>
                <w:lang w:val="es-CL"/>
              </w:rPr>
            </w:pPr>
            <w:r>
              <w:rPr>
                <w:lang w:val="es-CL"/>
              </w:rPr>
              <w:t>Capacidad con erupción, pero demanda la compra de una nueva S/E Móvil de 138/69 kV 60 MVA.</w:t>
            </w:r>
          </w:p>
        </w:tc>
      </w:tr>
    </w:tbl>
    <w:p w:rsidR="004749EC" w:rsidRDefault="004749EC">
      <w:pPr>
        <w:rPr>
          <w:lang w:val="es-CL"/>
        </w:rPr>
      </w:pPr>
    </w:p>
    <w:p w:rsidR="00FF6D99" w:rsidRDefault="00FF6D99">
      <w:pPr>
        <w:rPr>
          <w:lang w:val="es-CL"/>
        </w:rPr>
      </w:pPr>
      <w:r>
        <w:rPr>
          <w:lang w:val="es-CL"/>
        </w:rPr>
        <w:t xml:space="preserve">Por otra parten estos escenarios sin proyecto (Con y Sin erupción) deben valorarse en función de la probabilidad de ocurrencia del evento que los diferencia: </w:t>
      </w:r>
      <w:r w:rsidR="004749EC">
        <w:rPr>
          <w:lang w:val="es-CL"/>
        </w:rPr>
        <w:t>P(erupción).</w:t>
      </w:r>
    </w:p>
    <w:p w:rsidR="004749EC" w:rsidRDefault="004749EC">
      <w:pPr>
        <w:rPr>
          <w:lang w:val="es-CL"/>
        </w:rPr>
      </w:pPr>
      <w:r>
        <w:rPr>
          <w:lang w:val="es-CL"/>
        </w:rPr>
        <w:t>Según la literatura especializada</w:t>
      </w:r>
      <w:r w:rsidR="00243CBD">
        <w:rPr>
          <w:rStyle w:val="FootnoteReference"/>
          <w:lang w:val="es-CL"/>
        </w:rPr>
        <w:footnoteReference w:id="35"/>
      </w:r>
      <w:r>
        <w:rPr>
          <w:lang w:val="es-CL"/>
        </w:rPr>
        <w:t>, es muy posible que los volcanes sigan un patrón de erupciones con una Distribución Poisson, tal que:</w:t>
      </w:r>
    </w:p>
    <w:p w:rsidR="004749EC" w:rsidRDefault="004749EC" w:rsidP="0043788B">
      <w:pPr>
        <w:jc w:val="center"/>
        <w:rPr>
          <w:lang w:val="es-CL"/>
        </w:rPr>
      </w:pPr>
      <w:r>
        <w:rPr>
          <w:noProof/>
          <w:lang w:val="en-US"/>
        </w:rPr>
        <mc:AlternateContent>
          <mc:Choice Requires="wps">
            <w:drawing>
              <wp:inline distT="0" distB="0" distL="0" distR="0">
                <wp:extent cx="1680693" cy="573110"/>
                <wp:effectExtent l="0" t="0" r="0" b="0"/>
                <wp:docPr id="138" name="CuadroTexto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680693" cy="573110"/>
                        </a:xfrm>
                        <a:prstGeom prst="rect">
                          <a:avLst/>
                        </a:prstGeom>
                        <a:solidFill>
                          <a:schemeClr val="accent4">
                            <a:lumMod val="20000"/>
                            <a:lumOff val="80000"/>
                          </a:schemeClr>
                        </a:solidFill>
                      </wps:spPr>
                      <wps:style>
                        <a:lnRef idx="0">
                          <a:scrgbClr r="0" g="0" b="0"/>
                        </a:lnRef>
                        <a:fillRef idx="0">
                          <a:scrgbClr r="0" g="0" b="0"/>
                        </a:fillRef>
                        <a:effectRef idx="0">
                          <a:scrgbClr r="0" g="0" b="0"/>
                        </a:effectRef>
                        <a:fontRef idx="minor">
                          <a:schemeClr val="tx1"/>
                        </a:fontRef>
                      </wps:style>
                      <wps:txbx>
                        <w:txbxContent>
                          <w:p w:rsidR="00173FC2" w:rsidRPr="0043788B" w:rsidRDefault="00173FC2" w:rsidP="0043788B">
                            <w:pPr>
                              <w:pStyle w:val="NormalWeb"/>
                              <w:spacing w:before="0" w:beforeAutospacing="0" w:after="0" w:afterAutospacing="0"/>
                              <w:jc w:val="center"/>
                              <w:rPr>
                                <w:sz w:val="12"/>
                              </w:rPr>
                            </w:pPr>
                            <m:oMathPara>
                              <m:oMathParaPr>
                                <m:jc m:val="centerGroup"/>
                              </m:oMathParaPr>
                              <m:oMath>
                                <m:r>
                                  <w:rPr>
                                    <w:rFonts w:ascii="Cambria Math" w:hAnsi="Cambria Math" w:cstheme="minorBidi"/>
                                    <w:color w:val="000000" w:themeColor="text1"/>
                                    <w:sz w:val="32"/>
                                    <w:szCs w:val="56"/>
                                    <w:lang w:val="es-CL"/>
                                  </w:rPr>
                                  <m:t>f</m:t>
                                </m:r>
                                <m:d>
                                  <m:dPr>
                                    <m:ctrlPr>
                                      <w:rPr>
                                        <w:rFonts w:ascii="Cambria Math" w:hAnsi="Cambria Math" w:cstheme="minorBidi"/>
                                        <w:i/>
                                        <w:iCs/>
                                        <w:color w:val="000000" w:themeColor="text1"/>
                                        <w:sz w:val="32"/>
                                        <w:szCs w:val="56"/>
                                        <w:lang w:val="es-CL"/>
                                      </w:rPr>
                                    </m:ctrlPr>
                                  </m:dPr>
                                  <m:e>
                                    <m:r>
                                      <w:rPr>
                                        <w:rFonts w:ascii="Cambria Math" w:hAnsi="Cambria Math" w:cstheme="minorBidi"/>
                                        <w:color w:val="000000" w:themeColor="text1"/>
                                        <w:sz w:val="32"/>
                                        <w:szCs w:val="56"/>
                                        <w:lang w:val="es-CL"/>
                                      </w:rPr>
                                      <m:t>k,</m:t>
                                    </m:r>
                                    <m:r>
                                      <w:rPr>
                                        <w:rFonts w:ascii="Cambria Math" w:eastAsia="Cambria Math" w:hAnsi="Cambria Math" w:cstheme="minorBidi"/>
                                        <w:color w:val="000000" w:themeColor="text1"/>
                                        <w:sz w:val="32"/>
                                        <w:szCs w:val="56"/>
                                        <w:lang w:val="es-CL"/>
                                      </w:rPr>
                                      <m:t>λ</m:t>
                                    </m:r>
                                  </m:e>
                                </m:d>
                                <m:r>
                                  <w:rPr>
                                    <w:rFonts w:ascii="Cambria Math" w:eastAsia="Cambria Math" w:hAnsi="Cambria Math" w:cstheme="minorBidi"/>
                                    <w:color w:val="000000" w:themeColor="text1"/>
                                    <w:sz w:val="32"/>
                                    <w:szCs w:val="56"/>
                                    <w:lang w:val="es-CL"/>
                                  </w:rPr>
                                  <m:t>=</m:t>
                                </m:r>
                                <m:f>
                                  <m:fPr>
                                    <m:ctrlPr>
                                      <w:rPr>
                                        <w:rFonts w:ascii="Cambria Math" w:eastAsia="Cambria Math" w:hAnsi="Cambria Math" w:cstheme="minorBidi"/>
                                        <w:i/>
                                        <w:iCs/>
                                        <w:color w:val="000000" w:themeColor="text1"/>
                                        <w:sz w:val="32"/>
                                        <w:szCs w:val="56"/>
                                        <w:lang w:val="es-CL"/>
                                      </w:rPr>
                                    </m:ctrlPr>
                                  </m:fPr>
                                  <m:num>
                                    <m:sSup>
                                      <m:sSupPr>
                                        <m:ctrlPr>
                                          <w:rPr>
                                            <w:rFonts w:ascii="Cambria Math" w:eastAsia="Cambria Math" w:hAnsi="Cambria Math" w:cstheme="minorBidi"/>
                                            <w:i/>
                                            <w:iCs/>
                                            <w:color w:val="000000" w:themeColor="text1"/>
                                            <w:sz w:val="32"/>
                                            <w:szCs w:val="56"/>
                                            <w:lang w:val="es-CL"/>
                                          </w:rPr>
                                        </m:ctrlPr>
                                      </m:sSupPr>
                                      <m:e>
                                        <m:r>
                                          <w:rPr>
                                            <w:rFonts w:ascii="Cambria Math" w:eastAsia="Cambria Math" w:hAnsi="Cambria Math" w:cstheme="minorBidi"/>
                                            <w:color w:val="000000" w:themeColor="text1"/>
                                            <w:sz w:val="32"/>
                                            <w:szCs w:val="56"/>
                                            <w:lang w:val="es-CL"/>
                                          </w:rPr>
                                          <m:t>e</m:t>
                                        </m:r>
                                      </m:e>
                                      <m:sup>
                                        <m:r>
                                          <w:rPr>
                                            <w:rFonts w:ascii="Cambria Math" w:eastAsia="Cambria Math" w:hAnsi="Cambria Math" w:cstheme="minorBidi"/>
                                            <w:color w:val="000000" w:themeColor="text1"/>
                                            <w:sz w:val="32"/>
                                            <w:szCs w:val="56"/>
                                            <w:lang w:val="es-CL"/>
                                          </w:rPr>
                                          <m:t>-λ</m:t>
                                        </m:r>
                                      </m:sup>
                                    </m:sSup>
                                    <m:sSup>
                                      <m:sSupPr>
                                        <m:ctrlPr>
                                          <w:rPr>
                                            <w:rFonts w:ascii="Cambria Math" w:eastAsia="Cambria Math" w:hAnsi="Cambria Math" w:cstheme="minorBidi"/>
                                            <w:i/>
                                            <w:iCs/>
                                            <w:color w:val="000000" w:themeColor="text1"/>
                                            <w:sz w:val="32"/>
                                            <w:szCs w:val="56"/>
                                            <w:lang w:val="es-CL"/>
                                          </w:rPr>
                                        </m:ctrlPr>
                                      </m:sSupPr>
                                      <m:e>
                                        <m:r>
                                          <w:rPr>
                                            <w:rFonts w:ascii="Cambria Math" w:eastAsia="Cambria Math" w:hAnsi="Cambria Math" w:cstheme="minorBidi"/>
                                            <w:color w:val="000000" w:themeColor="text1"/>
                                            <w:sz w:val="32"/>
                                            <w:szCs w:val="56"/>
                                            <w:lang w:val="es-CL"/>
                                          </w:rPr>
                                          <m:t>λ</m:t>
                                        </m:r>
                                      </m:e>
                                      <m:sup>
                                        <m:r>
                                          <w:rPr>
                                            <w:rFonts w:ascii="Cambria Math" w:eastAsia="Cambria Math" w:hAnsi="Cambria Math" w:cstheme="minorBidi"/>
                                            <w:color w:val="000000" w:themeColor="text1"/>
                                            <w:sz w:val="32"/>
                                            <w:szCs w:val="56"/>
                                            <w:lang w:val="es-CL"/>
                                          </w:rPr>
                                          <m:t>k</m:t>
                                        </m:r>
                                      </m:sup>
                                    </m:sSup>
                                  </m:num>
                                  <m:den>
                                    <m:r>
                                      <w:rPr>
                                        <w:rFonts w:ascii="Cambria Math" w:eastAsia="Cambria Math" w:hAnsi="Cambria Math" w:cstheme="minorBidi"/>
                                        <w:color w:val="000000" w:themeColor="text1"/>
                                        <w:sz w:val="32"/>
                                        <w:szCs w:val="56"/>
                                        <w:lang w:val="es-CL"/>
                                      </w:rPr>
                                      <m:t>k!</m:t>
                                    </m:r>
                                  </m:den>
                                </m:f>
                              </m:oMath>
                            </m:oMathPara>
                          </w:p>
                        </w:txbxContent>
                      </wps:txbx>
                      <wps:bodyPr vertOverflow="clip" horzOverflow="clip" wrap="square" lIns="0" tIns="0" rIns="0" bIns="0" rtlCol="0" anchor="t">
                        <a:noAutofit/>
                      </wps:bodyPr>
                    </wps:wsp>
                  </a:graphicData>
                </a:graphic>
              </wp:inline>
            </w:drawing>
          </mc:Choice>
          <mc:Fallback xmlns:w16cid="http://schemas.microsoft.com/office/word/2016/wordml/cid" xmlns:am3d="http://schemas.microsoft.com/office/drawing/2017/model3d" xmlns:aink="http://schemas.microsoft.com/office/drawing/2016/ink">
            <w:pict>
              <v:shapetype id="_x0000_t202" coordsize="21600,21600" o:spt="202" path="m,l,21600r21600,l21600,xe">
                <v:stroke joinstyle="miter"/>
                <v:path gradientshapeok="t" o:connecttype="rect"/>
              </v:shapetype>
              <v:shape id="CuadroTexto 1" o:spid="_x0000_s1026" type="#_x0000_t202" style="width:132.3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iPRQIAAPMEAAAOAAAAZHJzL2Uyb0RvYy54bWysVFFv0zAQfkfiP1h+p0lXGCVqOkGnISTY&#10;EBs/wHXsxpLtC7bbpPx6znaSwXga4sW5nH2f7777zpurwWhyEs4rsDVdLkpKhOXQKHuo6feHm1dr&#10;SnxgtmEarKjpWXh6tX35YtN3lbiAFnQjHEEQ66u+q2kbQlcVheetMMwvoBMWNyU4wwL+ukPRONYj&#10;utHFRVleFj24pnPAhffovc6bdJvwpRQ83EnpRSC6pphbSKtL6z6uxXbDqoNjXav4mAb7hywMUxYv&#10;naGuWWDk6NRfUEZxBx5kWHAwBUipuEg1YDXL8kk19y3rRKoFyfHdTJP/f7D89vTVEdVg71bYKssM&#10;Nml3ZI2DBzEEIMtUFpqffUCyir7zVQqKFCfzvkOEMHyAAUEiodHv0Rn5GKQz8YuVEtzHFpxn2hGU&#10;8Bh0uS4v360o4bj35u1quUx9KR6jO+fDRwGGRKOmDtua0mKnMStWTUfiZR60am6U1uknSknstCMn&#10;hiJgnAsbXqdwfTRfoMl+FFM5ygHdKJrsXk9uzCaJMiIhDX9ckkjJFafaw1mLeLW234REclPhORd3&#10;2MdUsgJxRJCQSYeImQLiQYnJPzN2DInRIgn/mfFzULofbJjjjbLgEmEzA5mcMKR+Y+Iynx/14TMB&#10;kYsw7IdREntozqgUfCzCHS5SQ19TrlVHSQvu51Nfj0NZU//jyJygRH+yqPo4wZPhJmM/GS7oHeQ5&#10;Z5YjZk2zTCy8PwaQahZwTmXMFicrNXR8BeLo/v6fTj2+VdtfAAAA//8DAFBLAwQUAAYACAAAACEA&#10;rOMW8dsAAAAEAQAADwAAAGRycy9kb3ducmV2LnhtbEyPwU7DMBBE70j9B2uRuCDqtKCWhDgVRe0V&#10;0YA4u/GSRI3Xlr1tw9/jcoHLSqMZzbwtV6MdxAlD7B0pmE0zEEiNMz21Cj7et3ePICJrMnpwhAq+&#10;McKqmlyVujDuTDs81dyKVEKx0Ao6Zl9IGZsOrY5T55GS9+WC1ZxkaKUJ+pzK7SDnWbaQVveUFjrt&#10;8aXD5lAfrQJff/ZmvanD7eGVlz7Pd+u3zajUzfX4/ASCceS/MFzwEzpUiWnvjmSiGBSkR/j3Jm++&#10;eFiC2CvIs3uQVSn/w1c/AAAA//8DAFBLAQItABQABgAIAAAAIQC2gziS/gAAAOEBAAATAAAAAAAA&#10;AAAAAAAAAAAAAABbQ29udGVudF9UeXBlc10ueG1sUEsBAi0AFAAGAAgAAAAhADj9If/WAAAAlAEA&#10;AAsAAAAAAAAAAAAAAAAALwEAAF9yZWxzLy5yZWxzUEsBAi0AFAAGAAgAAAAhAJjeOI9FAgAA8wQA&#10;AA4AAAAAAAAAAAAAAAAALgIAAGRycy9lMm9Eb2MueG1sUEsBAi0AFAAGAAgAAAAhAKzjFvHbAAAA&#10;BAEAAA8AAAAAAAAAAAAAAAAAnwQAAGRycy9kb3ducmV2LnhtbFBLBQYAAAAABAAEAPMAAACnBQAA&#10;AAA=&#10;" fillcolor="#fff2cc [663]" stroked="f">
                <v:textbox inset="0,0,0,0">
                  <w:txbxContent>
                    <w:p w:rsidR="00173FC2" w:rsidRPr="0043788B" w:rsidRDefault="00173FC2" w:rsidP="0043788B">
                      <w:pPr>
                        <w:pStyle w:val="NormalWeb"/>
                        <w:spacing w:before="0" w:beforeAutospacing="0" w:after="0" w:afterAutospacing="0"/>
                        <w:jc w:val="center"/>
                        <w:rPr>
                          <w:sz w:val="12"/>
                        </w:rPr>
                      </w:pPr>
                      <m:oMathPara>
                        <m:oMathParaPr>
                          <m:jc m:val="centerGroup"/>
                        </m:oMathParaPr>
                        <m:oMath>
                          <m:r>
                            <w:rPr>
                              <w:rFonts w:ascii="Cambria Math" w:hAnsi="Cambria Math" w:cstheme="minorBidi"/>
                              <w:color w:val="000000" w:themeColor="text1"/>
                              <w:sz w:val="32"/>
                              <w:szCs w:val="56"/>
                              <w:lang w:val="es-CL"/>
                            </w:rPr>
                            <m:t>f</m:t>
                          </m:r>
                          <m:d>
                            <m:dPr>
                              <m:ctrlPr>
                                <w:rPr>
                                  <w:rFonts w:ascii="Cambria Math" w:hAnsi="Cambria Math" w:cstheme="minorBidi"/>
                                  <w:i/>
                                  <w:iCs/>
                                  <w:color w:val="000000" w:themeColor="text1"/>
                                  <w:sz w:val="32"/>
                                  <w:szCs w:val="56"/>
                                  <w:lang w:val="es-CL"/>
                                </w:rPr>
                              </m:ctrlPr>
                            </m:dPr>
                            <m:e>
                              <m:r>
                                <w:rPr>
                                  <w:rFonts w:ascii="Cambria Math" w:hAnsi="Cambria Math" w:cstheme="minorBidi"/>
                                  <w:color w:val="000000" w:themeColor="text1"/>
                                  <w:sz w:val="32"/>
                                  <w:szCs w:val="56"/>
                                  <w:lang w:val="es-CL"/>
                                </w:rPr>
                                <m:t>k,</m:t>
                              </m:r>
                              <m:r>
                                <w:rPr>
                                  <w:rFonts w:ascii="Cambria Math" w:eastAsia="Cambria Math" w:hAnsi="Cambria Math" w:cstheme="minorBidi"/>
                                  <w:color w:val="000000" w:themeColor="text1"/>
                                  <w:sz w:val="32"/>
                                  <w:szCs w:val="56"/>
                                  <w:lang w:val="es-CL"/>
                                </w:rPr>
                                <m:t>λ</m:t>
                              </m:r>
                            </m:e>
                          </m:d>
                          <m:r>
                            <w:rPr>
                              <w:rFonts w:ascii="Cambria Math" w:eastAsia="Cambria Math" w:hAnsi="Cambria Math" w:cstheme="minorBidi"/>
                              <w:color w:val="000000" w:themeColor="text1"/>
                              <w:sz w:val="32"/>
                              <w:szCs w:val="56"/>
                              <w:lang w:val="es-CL"/>
                            </w:rPr>
                            <m:t>=</m:t>
                          </m:r>
                          <m:f>
                            <m:fPr>
                              <m:ctrlPr>
                                <w:rPr>
                                  <w:rFonts w:ascii="Cambria Math" w:eastAsia="Cambria Math" w:hAnsi="Cambria Math" w:cstheme="minorBidi"/>
                                  <w:i/>
                                  <w:iCs/>
                                  <w:color w:val="000000" w:themeColor="text1"/>
                                  <w:sz w:val="32"/>
                                  <w:szCs w:val="56"/>
                                  <w:lang w:val="es-CL"/>
                                </w:rPr>
                              </m:ctrlPr>
                            </m:fPr>
                            <m:num>
                              <m:sSup>
                                <m:sSupPr>
                                  <m:ctrlPr>
                                    <w:rPr>
                                      <w:rFonts w:ascii="Cambria Math" w:eastAsia="Cambria Math" w:hAnsi="Cambria Math" w:cstheme="minorBidi"/>
                                      <w:i/>
                                      <w:iCs/>
                                      <w:color w:val="000000" w:themeColor="text1"/>
                                      <w:sz w:val="32"/>
                                      <w:szCs w:val="56"/>
                                      <w:lang w:val="es-CL"/>
                                    </w:rPr>
                                  </m:ctrlPr>
                                </m:sSupPr>
                                <m:e>
                                  <m:r>
                                    <w:rPr>
                                      <w:rFonts w:ascii="Cambria Math" w:eastAsia="Cambria Math" w:hAnsi="Cambria Math" w:cstheme="minorBidi"/>
                                      <w:color w:val="000000" w:themeColor="text1"/>
                                      <w:sz w:val="32"/>
                                      <w:szCs w:val="56"/>
                                      <w:lang w:val="es-CL"/>
                                    </w:rPr>
                                    <m:t>e</m:t>
                                  </m:r>
                                </m:e>
                                <m:sup>
                                  <m:r>
                                    <w:rPr>
                                      <w:rFonts w:ascii="Cambria Math" w:eastAsia="Cambria Math" w:hAnsi="Cambria Math" w:cstheme="minorBidi"/>
                                      <w:color w:val="000000" w:themeColor="text1"/>
                                      <w:sz w:val="32"/>
                                      <w:szCs w:val="56"/>
                                      <w:lang w:val="es-CL"/>
                                    </w:rPr>
                                    <m:t>-λ</m:t>
                                  </m:r>
                                </m:sup>
                              </m:sSup>
                              <m:sSup>
                                <m:sSupPr>
                                  <m:ctrlPr>
                                    <w:rPr>
                                      <w:rFonts w:ascii="Cambria Math" w:eastAsia="Cambria Math" w:hAnsi="Cambria Math" w:cstheme="minorBidi"/>
                                      <w:i/>
                                      <w:iCs/>
                                      <w:color w:val="000000" w:themeColor="text1"/>
                                      <w:sz w:val="32"/>
                                      <w:szCs w:val="56"/>
                                      <w:lang w:val="es-CL"/>
                                    </w:rPr>
                                  </m:ctrlPr>
                                </m:sSupPr>
                                <m:e>
                                  <m:r>
                                    <w:rPr>
                                      <w:rFonts w:ascii="Cambria Math" w:eastAsia="Cambria Math" w:hAnsi="Cambria Math" w:cstheme="minorBidi"/>
                                      <w:color w:val="000000" w:themeColor="text1"/>
                                      <w:sz w:val="32"/>
                                      <w:szCs w:val="56"/>
                                      <w:lang w:val="es-CL"/>
                                    </w:rPr>
                                    <m:t>λ</m:t>
                                  </m:r>
                                </m:e>
                                <m:sup>
                                  <m:r>
                                    <w:rPr>
                                      <w:rFonts w:ascii="Cambria Math" w:eastAsia="Cambria Math" w:hAnsi="Cambria Math" w:cstheme="minorBidi"/>
                                      <w:color w:val="000000" w:themeColor="text1"/>
                                      <w:sz w:val="32"/>
                                      <w:szCs w:val="56"/>
                                      <w:lang w:val="es-CL"/>
                                    </w:rPr>
                                    <m:t>k</m:t>
                                  </m:r>
                                </m:sup>
                              </m:sSup>
                            </m:num>
                            <m:den>
                              <m:r>
                                <w:rPr>
                                  <w:rFonts w:ascii="Cambria Math" w:eastAsia="Cambria Math" w:hAnsi="Cambria Math" w:cstheme="minorBidi"/>
                                  <w:color w:val="000000" w:themeColor="text1"/>
                                  <w:sz w:val="32"/>
                                  <w:szCs w:val="56"/>
                                  <w:lang w:val="es-CL"/>
                                </w:rPr>
                                <m:t>k!</m:t>
                              </m:r>
                            </m:den>
                          </m:f>
                        </m:oMath>
                      </m:oMathPara>
                    </w:p>
                  </w:txbxContent>
                </v:textbox>
                <w10:anchorlock/>
              </v:shape>
            </w:pict>
          </mc:Fallback>
        </mc:AlternateContent>
      </w:r>
    </w:p>
    <w:p w:rsidR="0043788B" w:rsidRDefault="0043788B">
      <w:pPr>
        <w:rPr>
          <w:lang w:val="es-CL"/>
        </w:rPr>
      </w:pPr>
      <w:r>
        <w:rPr>
          <w:lang w:val="es-CL"/>
        </w:rPr>
        <w:t>Donde:</w:t>
      </w:r>
    </w:p>
    <w:p w:rsidR="0043788B" w:rsidRDefault="0043788B" w:rsidP="0043788B">
      <w:pPr>
        <w:ind w:left="708"/>
        <w:rPr>
          <w:lang w:val="es-CL"/>
        </w:rPr>
      </w:pPr>
      <w:r>
        <w:rPr>
          <w:lang w:val="es-CL"/>
        </w:rPr>
        <w:t>f(k,</w:t>
      </w:r>
      <w:r w:rsidRPr="0043788B">
        <w:rPr>
          <w:rFonts w:ascii="Symbol" w:hAnsi="Symbol"/>
          <w:lang w:val="es-CL"/>
        </w:rPr>
        <w:t></w:t>
      </w:r>
      <w:r>
        <w:rPr>
          <w:lang w:val="es-CL"/>
        </w:rPr>
        <w:t>): Probabilidad de que ocurran k erupciones en un determinado período de observación.</w:t>
      </w:r>
    </w:p>
    <w:p w:rsidR="0043788B" w:rsidRDefault="0043788B" w:rsidP="0043788B">
      <w:pPr>
        <w:ind w:left="708"/>
        <w:rPr>
          <w:lang w:val="es-CL"/>
        </w:rPr>
      </w:pPr>
      <w:r w:rsidRPr="0043788B">
        <w:rPr>
          <w:rFonts w:ascii="Symbol" w:hAnsi="Symbol"/>
          <w:lang w:val="es-CL"/>
        </w:rPr>
        <w:t></w:t>
      </w:r>
      <w:r>
        <w:rPr>
          <w:lang w:val="es-CL"/>
        </w:rPr>
        <w:t xml:space="preserve"> : Número de eventos esperados en el período</w:t>
      </w:r>
    </w:p>
    <w:p w:rsidR="0043788B" w:rsidRDefault="0043788B" w:rsidP="0043788B">
      <w:pPr>
        <w:ind w:left="708"/>
        <w:rPr>
          <w:lang w:val="es-CL"/>
        </w:rPr>
      </w:pPr>
      <w:r>
        <w:rPr>
          <w:lang w:val="es-CL"/>
        </w:rPr>
        <w:t>k: Número de eventos.</w:t>
      </w:r>
    </w:p>
    <w:p w:rsidR="00071E43" w:rsidRDefault="00071E43">
      <w:pPr>
        <w:rPr>
          <w:lang w:val="es-CL"/>
        </w:rPr>
      </w:pPr>
      <w:r>
        <w:rPr>
          <w:lang w:val="es-CL"/>
        </w:rPr>
        <w:t>Con esto, el período entre erupciones presentará una Distribución Exponencial cuya probabilidad acumulada está dada por la siguiente expresión:</w:t>
      </w:r>
    </w:p>
    <w:p w:rsidR="00071E43" w:rsidRDefault="00DC47D1">
      <w:pPr>
        <w:rPr>
          <w:lang w:val="es-CL"/>
        </w:rPr>
      </w:pPr>
      <m:oMathPara>
        <m:oMath>
          <m:func>
            <m:funcPr>
              <m:ctrlPr>
                <w:rPr>
                  <w:rFonts w:ascii="Cambria Math" w:hAnsi="Cambria Math"/>
                  <w:sz w:val="32"/>
                  <w:lang w:val="es-CL"/>
                </w:rPr>
              </m:ctrlPr>
            </m:funcPr>
            <m:fName>
              <m:r>
                <m:rPr>
                  <m:sty m:val="p"/>
                </m:rPr>
                <w:rPr>
                  <w:rFonts w:ascii="Cambria Math" w:hAnsi="Cambria Math"/>
                  <w:sz w:val="32"/>
                  <w:lang w:val="es-CL"/>
                </w:rPr>
                <m:t>Pr</m:t>
              </m:r>
            </m:fName>
            <m:e>
              <m:d>
                <m:dPr>
                  <m:ctrlPr>
                    <w:rPr>
                      <w:rFonts w:ascii="Cambria Math" w:hAnsi="Cambria Math"/>
                      <w:i/>
                      <w:sz w:val="32"/>
                      <w:lang w:val="es-CL"/>
                    </w:rPr>
                  </m:ctrlPr>
                </m:dPr>
                <m:e>
                  <m:r>
                    <w:rPr>
                      <w:rFonts w:ascii="Cambria Math" w:hAnsi="Cambria Math"/>
                      <w:sz w:val="32"/>
                      <w:lang w:val="es-CL"/>
                    </w:rPr>
                    <m:t>t≤x</m:t>
                  </m:r>
                </m:e>
              </m:d>
            </m:e>
          </m:func>
          <m:r>
            <w:rPr>
              <w:rFonts w:ascii="Cambria Math" w:hAnsi="Cambria Math"/>
              <w:sz w:val="32"/>
              <w:lang w:val="es-CL"/>
            </w:rPr>
            <m:t>=1-</m:t>
          </m:r>
          <m:sSup>
            <m:sSupPr>
              <m:ctrlPr>
                <w:rPr>
                  <w:rFonts w:ascii="Cambria Math" w:hAnsi="Cambria Math"/>
                  <w:i/>
                  <w:sz w:val="32"/>
                  <w:lang w:val="es-CL"/>
                </w:rPr>
              </m:ctrlPr>
            </m:sSupPr>
            <m:e>
              <m:r>
                <w:rPr>
                  <w:rFonts w:ascii="Cambria Math" w:hAnsi="Cambria Math"/>
                  <w:sz w:val="32"/>
                  <w:lang w:val="es-CL"/>
                </w:rPr>
                <m:t>e</m:t>
              </m:r>
            </m:e>
            <m:sup>
              <m:r>
                <w:rPr>
                  <w:rFonts w:ascii="Cambria Math" w:hAnsi="Cambria Math"/>
                  <w:sz w:val="32"/>
                  <w:lang w:val="es-CL"/>
                </w:rPr>
                <m:t>-(</m:t>
              </m:r>
              <m:f>
                <m:fPr>
                  <m:ctrlPr>
                    <w:rPr>
                      <w:rFonts w:ascii="Cambria Math" w:hAnsi="Cambria Math"/>
                      <w:i/>
                      <w:sz w:val="32"/>
                      <w:lang w:val="es-CL"/>
                    </w:rPr>
                  </m:ctrlPr>
                </m:fPr>
                <m:num>
                  <m:r>
                    <w:rPr>
                      <w:rFonts w:ascii="Cambria Math" w:hAnsi="Cambria Math"/>
                      <w:sz w:val="32"/>
                      <w:lang w:val="es-CL"/>
                    </w:rPr>
                    <m:t>x</m:t>
                  </m:r>
                </m:num>
                <m:den>
                  <m:r>
                    <m:rPr>
                      <m:sty m:val="p"/>
                    </m:rPr>
                    <w:rPr>
                      <w:rFonts w:ascii="Cambria Math" w:hAnsi="Cambria Math"/>
                      <w:sz w:val="32"/>
                      <w:lang w:val="es-CL"/>
                    </w:rPr>
                    <m:t>Τ</m:t>
                  </m:r>
                </m:den>
              </m:f>
              <m:r>
                <w:rPr>
                  <w:rFonts w:ascii="Cambria Math" w:hAnsi="Cambria Math"/>
                  <w:sz w:val="32"/>
                  <w:lang w:val="es-CL"/>
                </w:rPr>
                <m:t>)</m:t>
              </m:r>
            </m:sup>
          </m:sSup>
        </m:oMath>
      </m:oMathPara>
    </w:p>
    <w:p w:rsidR="0043788B" w:rsidRDefault="00071E43">
      <w:pPr>
        <w:rPr>
          <w:lang w:val="es-CL"/>
        </w:rPr>
      </w:pPr>
      <w:r>
        <w:rPr>
          <w:lang w:val="es-CL"/>
        </w:rPr>
        <w:t>Donde:</w:t>
      </w:r>
    </w:p>
    <w:p w:rsidR="00071E43" w:rsidRDefault="00071E43" w:rsidP="00071E43">
      <w:pPr>
        <w:ind w:left="708"/>
        <w:rPr>
          <w:lang w:val="es-CL"/>
        </w:rPr>
      </w:pPr>
      <w:r w:rsidRPr="00071E43">
        <w:rPr>
          <w:b/>
          <w:lang w:val="es-CL"/>
        </w:rPr>
        <w:t>t:</w:t>
      </w:r>
      <w:r>
        <w:rPr>
          <w:lang w:val="es-CL"/>
        </w:rPr>
        <w:t xml:space="preserve"> Tiempo entre eventos</w:t>
      </w:r>
    </w:p>
    <w:p w:rsidR="00071E43" w:rsidRDefault="00071E43" w:rsidP="00071E43">
      <w:pPr>
        <w:ind w:left="708"/>
        <w:rPr>
          <w:lang w:val="es-CL"/>
        </w:rPr>
      </w:pPr>
      <w:r w:rsidRPr="00071E43">
        <w:rPr>
          <w:b/>
          <w:lang w:val="es-CL"/>
        </w:rPr>
        <w:t>x:</w:t>
      </w:r>
      <w:r>
        <w:rPr>
          <w:lang w:val="es-CL"/>
        </w:rPr>
        <w:t xml:space="preserve"> Tiempo máximo de referencia entre 2 eventos</w:t>
      </w:r>
    </w:p>
    <w:p w:rsidR="00071E43" w:rsidRDefault="00071E43" w:rsidP="00071E43">
      <w:pPr>
        <w:ind w:left="708"/>
        <w:rPr>
          <w:lang w:val="es-CL"/>
        </w:rPr>
      </w:pPr>
      <w:r w:rsidRPr="00071E43">
        <w:rPr>
          <w:b/>
          <w:lang w:val="es-CL"/>
        </w:rPr>
        <w:t>T:</w:t>
      </w:r>
      <w:r>
        <w:rPr>
          <w:lang w:val="es-CL"/>
        </w:rPr>
        <w:t xml:space="preserve"> Tiempo esperado entre 2 eventos</w:t>
      </w:r>
    </w:p>
    <w:p w:rsidR="00071E43" w:rsidRDefault="00071E43">
      <w:pPr>
        <w:rPr>
          <w:lang w:val="es-CL"/>
        </w:rPr>
      </w:pPr>
      <w:r>
        <w:rPr>
          <w:lang w:val="es-CL"/>
        </w:rPr>
        <w:t>Con esto, se puede obtener la probabilidad de ocurrencia de la erupción del Volcán Cotopaxi dentro del horizonte de evaluación (201</w:t>
      </w:r>
      <w:r w:rsidR="006A2A80">
        <w:rPr>
          <w:lang w:val="es-CL"/>
        </w:rPr>
        <w:t>9</w:t>
      </w:r>
      <w:r>
        <w:rPr>
          <w:lang w:val="es-CL"/>
        </w:rPr>
        <w:t>-2048)</w:t>
      </w:r>
      <w:r w:rsidR="006A2A80">
        <w:rPr>
          <w:lang w:val="es-CL"/>
        </w:rPr>
        <w:t>, sobre la base de los datos históricos de estos eventos.</w:t>
      </w:r>
    </w:p>
    <w:p w:rsidR="006A2A80" w:rsidRDefault="006A2A80">
      <w:pPr>
        <w:rPr>
          <w:lang w:val="es-CL"/>
        </w:rPr>
      </w:pPr>
    </w:p>
    <w:p w:rsidR="006A2A80" w:rsidRDefault="006A2A80">
      <w:pPr>
        <w:rPr>
          <w:lang w:val="es-CL"/>
        </w:rPr>
      </w:pPr>
    </w:p>
    <w:p w:rsidR="006A2A80" w:rsidRPr="006A2A80" w:rsidRDefault="00DB63F9" w:rsidP="006A2A80">
      <w:pPr>
        <w:jc w:val="center"/>
        <w:rPr>
          <w:b/>
          <w:lang w:val="es-CL"/>
        </w:rPr>
      </w:pPr>
      <w:r>
        <w:rPr>
          <w:noProof/>
          <w:lang w:val="en-US"/>
        </w:rPr>
        <w:drawing>
          <wp:anchor distT="0" distB="0" distL="114300" distR="114300" simplePos="0" relativeHeight="251663360" behindDoc="0" locked="0" layoutInCell="1" allowOverlap="1">
            <wp:simplePos x="0" y="0"/>
            <wp:positionH relativeFrom="column">
              <wp:posOffset>2770505</wp:posOffset>
            </wp:positionH>
            <wp:positionV relativeFrom="paragraph">
              <wp:posOffset>275590</wp:posOffset>
            </wp:positionV>
            <wp:extent cx="2388870" cy="1751330"/>
            <wp:effectExtent l="0" t="0" r="0" b="127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887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A80" w:rsidRPr="006A2A80">
        <w:rPr>
          <w:b/>
          <w:lang w:val="es-CL"/>
        </w:rPr>
        <w:t>Registro de períodos eruptivos Volcán Cotopaxi</w:t>
      </w:r>
    </w:p>
    <w:tbl>
      <w:tblPr>
        <w:tblW w:w="3964" w:type="dxa"/>
        <w:tblCellMar>
          <w:top w:w="15" w:type="dxa"/>
          <w:left w:w="70" w:type="dxa"/>
          <w:bottom w:w="15" w:type="dxa"/>
          <w:right w:w="70" w:type="dxa"/>
        </w:tblCellMar>
        <w:tblLook w:val="04A0" w:firstRow="1" w:lastRow="0" w:firstColumn="1" w:lastColumn="0" w:noHBand="0" w:noVBand="1"/>
      </w:tblPr>
      <w:tblGrid>
        <w:gridCol w:w="846"/>
        <w:gridCol w:w="992"/>
        <w:gridCol w:w="1134"/>
        <w:gridCol w:w="992"/>
      </w:tblGrid>
      <w:tr w:rsidR="006A2A80" w:rsidRPr="006A2A80" w:rsidTr="00DB63F9">
        <w:trPr>
          <w:trHeight w:val="360"/>
        </w:trPr>
        <w:tc>
          <w:tcPr>
            <w:tcW w:w="846"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6A2A80" w:rsidRPr="00DB63F9" w:rsidRDefault="006A2A80" w:rsidP="006A2A80">
            <w:pPr>
              <w:spacing w:after="0" w:line="240" w:lineRule="auto"/>
              <w:jc w:val="center"/>
              <w:rPr>
                <w:rFonts w:ascii="Calibri" w:eastAsia="Times New Roman" w:hAnsi="Calibri" w:cs="Calibri"/>
                <w:b/>
                <w:bCs/>
                <w:color w:val="000000"/>
                <w:sz w:val="18"/>
                <w:szCs w:val="28"/>
                <w:lang w:eastAsia="es-CR"/>
              </w:rPr>
            </w:pPr>
            <w:r w:rsidRPr="00DB63F9">
              <w:rPr>
                <w:rFonts w:ascii="Calibri" w:eastAsia="Times New Roman" w:hAnsi="Calibri" w:cs="Calibri"/>
                <w:b/>
                <w:bCs/>
                <w:color w:val="000000"/>
                <w:sz w:val="18"/>
                <w:szCs w:val="28"/>
                <w:lang w:eastAsia="es-CR"/>
              </w:rPr>
              <w:t>Inicio</w:t>
            </w:r>
          </w:p>
        </w:tc>
        <w:tc>
          <w:tcPr>
            <w:tcW w:w="992"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6A2A80" w:rsidRPr="00DB63F9" w:rsidRDefault="006A2A80" w:rsidP="006A2A80">
            <w:pPr>
              <w:spacing w:after="0" w:line="240" w:lineRule="auto"/>
              <w:jc w:val="center"/>
              <w:rPr>
                <w:rFonts w:ascii="Calibri" w:eastAsia="Times New Roman" w:hAnsi="Calibri" w:cs="Calibri"/>
                <w:b/>
                <w:bCs/>
                <w:color w:val="000000"/>
                <w:sz w:val="18"/>
                <w:szCs w:val="28"/>
                <w:lang w:eastAsia="es-CR"/>
              </w:rPr>
            </w:pPr>
            <w:r w:rsidRPr="00DB63F9">
              <w:rPr>
                <w:rFonts w:ascii="Calibri" w:eastAsia="Times New Roman" w:hAnsi="Calibri" w:cs="Calibri"/>
                <w:b/>
                <w:bCs/>
                <w:color w:val="000000"/>
                <w:sz w:val="18"/>
                <w:szCs w:val="28"/>
                <w:lang w:eastAsia="es-CR"/>
              </w:rPr>
              <w:t>Fin</w:t>
            </w:r>
          </w:p>
        </w:tc>
        <w:tc>
          <w:tcPr>
            <w:tcW w:w="1134"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6A2A80" w:rsidRPr="00DB63F9" w:rsidRDefault="006A2A80" w:rsidP="006A2A80">
            <w:pPr>
              <w:spacing w:after="0" w:line="240" w:lineRule="auto"/>
              <w:jc w:val="center"/>
              <w:rPr>
                <w:rFonts w:ascii="Calibri" w:eastAsia="Times New Roman" w:hAnsi="Calibri" w:cs="Calibri"/>
                <w:b/>
                <w:bCs/>
                <w:color w:val="000000"/>
                <w:sz w:val="18"/>
                <w:szCs w:val="28"/>
                <w:lang w:eastAsia="es-CR"/>
              </w:rPr>
            </w:pPr>
            <w:r w:rsidRPr="00DB63F9">
              <w:rPr>
                <w:rFonts w:ascii="Calibri" w:eastAsia="Times New Roman" w:hAnsi="Calibri" w:cs="Calibri"/>
                <w:b/>
                <w:bCs/>
                <w:color w:val="000000"/>
                <w:sz w:val="18"/>
                <w:szCs w:val="28"/>
                <w:lang w:eastAsia="es-CR"/>
              </w:rPr>
              <w:t>Duración</w:t>
            </w:r>
          </w:p>
          <w:p w:rsidR="006A2A80" w:rsidRPr="00DB63F9" w:rsidRDefault="006A2A80" w:rsidP="006A2A80">
            <w:pPr>
              <w:spacing w:after="0" w:line="240" w:lineRule="auto"/>
              <w:jc w:val="center"/>
              <w:rPr>
                <w:rFonts w:ascii="Calibri" w:eastAsia="Times New Roman" w:hAnsi="Calibri" w:cs="Calibri"/>
                <w:b/>
                <w:bCs/>
                <w:color w:val="000000"/>
                <w:sz w:val="18"/>
                <w:szCs w:val="28"/>
                <w:lang w:eastAsia="es-CR"/>
              </w:rPr>
            </w:pPr>
            <w:r w:rsidRPr="00DB63F9">
              <w:rPr>
                <w:rFonts w:ascii="Calibri" w:eastAsia="Times New Roman" w:hAnsi="Calibri" w:cs="Calibri"/>
                <w:b/>
                <w:bCs/>
                <w:color w:val="000000"/>
                <w:sz w:val="18"/>
                <w:szCs w:val="28"/>
                <w:lang w:eastAsia="es-CR"/>
              </w:rPr>
              <w:t>(años)</w:t>
            </w:r>
          </w:p>
        </w:tc>
        <w:tc>
          <w:tcPr>
            <w:tcW w:w="992"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6A2A80" w:rsidRPr="00DB63F9" w:rsidRDefault="006A2A80" w:rsidP="006A2A80">
            <w:pPr>
              <w:spacing w:after="0" w:line="240" w:lineRule="auto"/>
              <w:jc w:val="center"/>
              <w:rPr>
                <w:rFonts w:ascii="Calibri" w:eastAsia="Times New Roman" w:hAnsi="Calibri" w:cs="Calibri"/>
                <w:b/>
                <w:bCs/>
                <w:color w:val="000000"/>
                <w:sz w:val="18"/>
                <w:szCs w:val="28"/>
                <w:lang w:eastAsia="es-CR"/>
              </w:rPr>
            </w:pPr>
            <w:r w:rsidRPr="00DB63F9">
              <w:rPr>
                <w:rFonts w:ascii="Calibri" w:eastAsia="Times New Roman" w:hAnsi="Calibri" w:cs="Calibri"/>
                <w:b/>
                <w:bCs/>
                <w:color w:val="000000"/>
                <w:sz w:val="18"/>
                <w:szCs w:val="28"/>
                <w:lang w:eastAsia="es-CR"/>
              </w:rPr>
              <w:t>Período (años)</w:t>
            </w:r>
          </w:p>
        </w:tc>
      </w:tr>
      <w:tr w:rsidR="006A2A80" w:rsidRPr="006A2A80" w:rsidTr="00DB63F9">
        <w:trPr>
          <w:trHeight w:val="285"/>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1532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1534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p>
        </w:tc>
      </w:tr>
      <w:tr w:rsidR="006A2A80" w:rsidRPr="006A2A80" w:rsidTr="00DB63F9">
        <w:trPr>
          <w:trHeight w:val="285"/>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1742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1744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210</w:t>
            </w:r>
          </w:p>
        </w:tc>
      </w:tr>
      <w:tr w:rsidR="006A2A80" w:rsidRPr="006A2A80" w:rsidTr="00DB63F9">
        <w:trPr>
          <w:trHeight w:val="285"/>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1766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1768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24</w:t>
            </w:r>
          </w:p>
        </w:tc>
      </w:tr>
      <w:tr w:rsidR="006A2A80" w:rsidRPr="006A2A80" w:rsidTr="00DB63F9">
        <w:trPr>
          <w:trHeight w:val="285"/>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1853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1854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87</w:t>
            </w:r>
          </w:p>
        </w:tc>
      </w:tr>
      <w:tr w:rsidR="006A2A80" w:rsidRPr="006A2A80" w:rsidTr="00DB63F9">
        <w:trPr>
          <w:trHeight w:val="285"/>
        </w:trPr>
        <w:tc>
          <w:tcPr>
            <w:tcW w:w="846"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1877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1880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r w:rsidRPr="00DB63F9">
              <w:rPr>
                <w:rFonts w:ascii="Calibri" w:eastAsia="Times New Roman" w:hAnsi="Calibri" w:cs="Calibri"/>
                <w:color w:val="000000"/>
                <w:sz w:val="18"/>
                <w:lang w:eastAsia="es-CR"/>
              </w:rPr>
              <w:t>24</w:t>
            </w:r>
          </w:p>
        </w:tc>
      </w:tr>
      <w:tr w:rsidR="006A2A80" w:rsidRPr="006A2A80" w:rsidTr="00DB63F9">
        <w:trPr>
          <w:trHeight w:val="285"/>
        </w:trPr>
        <w:tc>
          <w:tcPr>
            <w:tcW w:w="846" w:type="dxa"/>
            <w:tcBorders>
              <w:top w:val="nil"/>
              <w:left w:val="nil"/>
              <w:bottom w:val="nil"/>
              <w:right w:val="nil"/>
            </w:tcBorders>
            <w:noWrap/>
            <w:vAlign w:val="bottom"/>
            <w:hideMark/>
          </w:tcPr>
          <w:p w:rsidR="006A2A80" w:rsidRPr="00DB63F9" w:rsidRDefault="006A2A80" w:rsidP="006A2A80">
            <w:pPr>
              <w:spacing w:after="0" w:line="240" w:lineRule="auto"/>
              <w:jc w:val="center"/>
              <w:rPr>
                <w:rFonts w:ascii="Calibri" w:eastAsia="Times New Roman" w:hAnsi="Calibri" w:cs="Calibri"/>
                <w:color w:val="000000"/>
                <w:sz w:val="18"/>
                <w:lang w:eastAsia="es-CR"/>
              </w:rPr>
            </w:pPr>
          </w:p>
        </w:tc>
        <w:tc>
          <w:tcPr>
            <w:tcW w:w="992" w:type="dxa"/>
            <w:tcBorders>
              <w:top w:val="nil"/>
              <w:left w:val="nil"/>
              <w:bottom w:val="nil"/>
              <w:right w:val="nil"/>
            </w:tcBorders>
            <w:noWrap/>
            <w:vAlign w:val="bottom"/>
            <w:hideMark/>
          </w:tcPr>
          <w:p w:rsidR="006A2A80" w:rsidRPr="00DB63F9" w:rsidRDefault="006A2A80" w:rsidP="006A2A80">
            <w:pPr>
              <w:spacing w:after="0" w:line="240" w:lineRule="auto"/>
              <w:jc w:val="center"/>
              <w:rPr>
                <w:rFonts w:ascii="Times New Roman" w:eastAsia="Times New Roman" w:hAnsi="Times New Roman" w:cs="Times New Roman"/>
                <w:sz w:val="18"/>
                <w:szCs w:val="20"/>
                <w:lang w:eastAsia="es-CR"/>
              </w:rPr>
            </w:pPr>
          </w:p>
        </w:tc>
        <w:tc>
          <w:tcPr>
            <w:tcW w:w="1134" w:type="dxa"/>
            <w:tcBorders>
              <w:top w:val="nil"/>
              <w:left w:val="nil"/>
              <w:bottom w:val="nil"/>
              <w:right w:val="nil"/>
            </w:tcBorders>
            <w:noWrap/>
            <w:vAlign w:val="bottom"/>
            <w:hideMark/>
          </w:tcPr>
          <w:p w:rsidR="006A2A80" w:rsidRPr="00DB63F9" w:rsidRDefault="006A2A80" w:rsidP="006A2A80">
            <w:pPr>
              <w:spacing w:after="0" w:line="240" w:lineRule="auto"/>
              <w:jc w:val="center"/>
              <w:rPr>
                <w:rFonts w:ascii="Times New Roman" w:eastAsia="Times New Roman" w:hAnsi="Times New Roman" w:cs="Times New Roman"/>
                <w:sz w:val="18"/>
                <w:szCs w:val="20"/>
                <w:lang w:eastAsia="es-CR"/>
              </w:rPr>
            </w:pPr>
          </w:p>
        </w:tc>
        <w:tc>
          <w:tcPr>
            <w:tcW w:w="992" w:type="dxa"/>
            <w:tcBorders>
              <w:top w:val="nil"/>
              <w:left w:val="nil"/>
              <w:bottom w:val="nil"/>
              <w:right w:val="nil"/>
            </w:tcBorders>
            <w:noWrap/>
            <w:vAlign w:val="bottom"/>
            <w:hideMark/>
          </w:tcPr>
          <w:p w:rsidR="006A2A80" w:rsidRPr="00DB63F9" w:rsidRDefault="006A2A80" w:rsidP="006A2A80">
            <w:pPr>
              <w:spacing w:after="0" w:line="240" w:lineRule="auto"/>
              <w:jc w:val="center"/>
              <w:rPr>
                <w:rFonts w:ascii="Times New Roman" w:eastAsia="Times New Roman" w:hAnsi="Times New Roman" w:cs="Times New Roman"/>
                <w:sz w:val="18"/>
                <w:szCs w:val="20"/>
                <w:lang w:eastAsia="es-CR"/>
              </w:rPr>
            </w:pPr>
          </w:p>
        </w:tc>
      </w:tr>
      <w:tr w:rsidR="006A2A80" w:rsidRPr="006A2A80" w:rsidTr="00DB63F9">
        <w:trPr>
          <w:trHeight w:val="285"/>
        </w:trPr>
        <w:tc>
          <w:tcPr>
            <w:tcW w:w="846" w:type="dxa"/>
            <w:tcBorders>
              <w:top w:val="nil"/>
              <w:left w:val="nil"/>
              <w:bottom w:val="nil"/>
              <w:right w:val="nil"/>
            </w:tcBorders>
            <w:noWrap/>
            <w:vAlign w:val="bottom"/>
            <w:hideMark/>
          </w:tcPr>
          <w:p w:rsidR="006A2A80" w:rsidRPr="00DB63F9" w:rsidRDefault="006A2A80" w:rsidP="006A2A80">
            <w:pPr>
              <w:spacing w:after="0" w:line="240" w:lineRule="auto"/>
              <w:jc w:val="center"/>
              <w:rPr>
                <w:rFonts w:ascii="Times New Roman" w:eastAsia="Times New Roman" w:hAnsi="Times New Roman" w:cs="Times New Roman"/>
                <w:sz w:val="18"/>
                <w:szCs w:val="20"/>
                <w:lang w:eastAsia="es-CR"/>
              </w:rPr>
            </w:pP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A2A80" w:rsidRPr="00DB63F9" w:rsidRDefault="006A2A80" w:rsidP="006A2A80">
            <w:pPr>
              <w:spacing w:after="0" w:line="240" w:lineRule="auto"/>
              <w:jc w:val="center"/>
              <w:rPr>
                <w:rFonts w:ascii="Calibri" w:eastAsia="Times New Roman" w:hAnsi="Calibri" w:cs="Calibri"/>
                <w:b/>
                <w:bCs/>
                <w:color w:val="000000"/>
                <w:sz w:val="18"/>
                <w:lang w:eastAsia="es-CR"/>
              </w:rPr>
            </w:pPr>
            <w:r w:rsidRPr="00DB63F9">
              <w:rPr>
                <w:rFonts w:ascii="Calibri" w:eastAsia="Times New Roman" w:hAnsi="Calibri" w:cs="Calibri"/>
                <w:b/>
                <w:bCs/>
                <w:color w:val="000000"/>
                <w:sz w:val="18"/>
                <w:lang w:eastAsia="es-CR"/>
              </w:rPr>
              <w:t>Media</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A2A80" w:rsidRPr="00DB63F9" w:rsidRDefault="006A2A80" w:rsidP="006A2A80">
            <w:pPr>
              <w:spacing w:after="0" w:line="240" w:lineRule="auto"/>
              <w:jc w:val="center"/>
              <w:rPr>
                <w:rFonts w:ascii="Calibri" w:eastAsia="Times New Roman" w:hAnsi="Calibri" w:cs="Calibri"/>
                <w:b/>
                <w:bCs/>
                <w:color w:val="000000"/>
                <w:sz w:val="18"/>
                <w:lang w:eastAsia="es-CR"/>
              </w:rPr>
            </w:pPr>
            <w:r w:rsidRPr="00DB63F9">
              <w:rPr>
                <w:rFonts w:ascii="Calibri" w:eastAsia="Times New Roman" w:hAnsi="Calibri" w:cs="Calibri"/>
                <w:b/>
                <w:bCs/>
                <w:color w:val="000000"/>
                <w:sz w:val="18"/>
                <w:lang w:eastAsia="es-CR"/>
              </w:rPr>
              <w:t>2</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A2A80" w:rsidRPr="00DB63F9" w:rsidRDefault="006A2A80" w:rsidP="006A2A80">
            <w:pPr>
              <w:spacing w:after="0" w:line="240" w:lineRule="auto"/>
              <w:jc w:val="center"/>
              <w:rPr>
                <w:rFonts w:ascii="Calibri" w:eastAsia="Times New Roman" w:hAnsi="Calibri" w:cs="Calibri"/>
                <w:b/>
                <w:bCs/>
                <w:color w:val="000000"/>
                <w:sz w:val="18"/>
                <w:lang w:eastAsia="es-CR"/>
              </w:rPr>
            </w:pPr>
            <w:r w:rsidRPr="00DB63F9">
              <w:rPr>
                <w:rFonts w:ascii="Calibri" w:eastAsia="Times New Roman" w:hAnsi="Calibri" w:cs="Calibri"/>
                <w:b/>
                <w:bCs/>
                <w:color w:val="000000"/>
                <w:sz w:val="18"/>
                <w:lang w:eastAsia="es-CR"/>
              </w:rPr>
              <w:t>86,25</w:t>
            </w:r>
          </w:p>
        </w:tc>
      </w:tr>
    </w:tbl>
    <w:p w:rsidR="006A2A80" w:rsidRDefault="006A2A80">
      <w:pPr>
        <w:rPr>
          <w:lang w:val="es-CL"/>
        </w:rPr>
      </w:pPr>
    </w:p>
    <w:p w:rsidR="00071E43" w:rsidRDefault="006A2A80">
      <w:pPr>
        <w:rPr>
          <w:lang w:val="es-CL"/>
        </w:rPr>
      </w:pPr>
      <w:r>
        <w:rPr>
          <w:lang w:val="es-CL"/>
        </w:rPr>
        <w:t xml:space="preserve">Con esto el período esperado entre erupciones es de 86,25 años. De esta forma, la probabilidad de </w:t>
      </w:r>
      <w:r w:rsidR="00DB63F9">
        <w:rPr>
          <w:lang w:val="es-CL"/>
        </w:rPr>
        <w:t>erupcionar</w:t>
      </w:r>
      <w:r>
        <w:rPr>
          <w:lang w:val="es-CL"/>
        </w:rPr>
        <w:t xml:space="preserve"> se incrementa con el tiempo desde su última ocurrencia en </w:t>
      </w:r>
      <w:r w:rsidRPr="00DB63F9">
        <w:rPr>
          <w:b/>
          <w:lang w:val="es-CL"/>
        </w:rPr>
        <w:t>1877</w:t>
      </w:r>
      <w:r w:rsidR="00DB63F9">
        <w:rPr>
          <w:b/>
          <w:lang w:val="es-CL"/>
        </w:rPr>
        <w:t xml:space="preserve"> </w:t>
      </w:r>
      <w:r w:rsidR="00DB63F9" w:rsidRPr="00DB63F9">
        <w:rPr>
          <w:lang w:val="es-CL"/>
        </w:rPr>
        <w:t>(imagen)</w:t>
      </w:r>
      <w:r>
        <w:rPr>
          <w:lang w:val="es-CL"/>
        </w:rPr>
        <w:t>, según se muestra en la gráfica siguiente.</w:t>
      </w:r>
    </w:p>
    <w:p w:rsidR="0043788B" w:rsidRDefault="006A2A80">
      <w:pPr>
        <w:rPr>
          <w:lang w:val="es-CL"/>
        </w:rPr>
      </w:pPr>
      <w:r>
        <w:rPr>
          <w:noProof/>
          <w:lang w:val="en-US"/>
        </w:rPr>
        <w:drawing>
          <wp:inline distT="0" distB="0" distL="0" distR="0" wp14:anchorId="071B2EBA">
            <wp:extent cx="5368455" cy="2244132"/>
            <wp:effectExtent l="0" t="0" r="3810" b="381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87607" cy="2252138"/>
                    </a:xfrm>
                    <a:prstGeom prst="rect">
                      <a:avLst/>
                    </a:prstGeom>
                    <a:noFill/>
                  </pic:spPr>
                </pic:pic>
              </a:graphicData>
            </a:graphic>
          </wp:inline>
        </w:drawing>
      </w:r>
    </w:p>
    <w:p w:rsidR="006A2A80" w:rsidRDefault="006A2A80">
      <w:pPr>
        <w:rPr>
          <w:lang w:val="es-CL"/>
        </w:rPr>
      </w:pPr>
      <w:r w:rsidRPr="006A2A80">
        <w:rPr>
          <w:b/>
          <w:lang w:val="es-CL"/>
        </w:rPr>
        <w:t>Figura 35</w:t>
      </w:r>
      <w:r>
        <w:rPr>
          <w:lang w:val="es-CL"/>
        </w:rPr>
        <w:t>. Incremento de la probabilidad acumulada de Erupción.</w:t>
      </w:r>
    </w:p>
    <w:p w:rsidR="006A2A80" w:rsidRDefault="006A2A80">
      <w:pPr>
        <w:rPr>
          <w:lang w:val="es-CL"/>
        </w:rPr>
      </w:pPr>
    </w:p>
    <w:p w:rsidR="00DB63F9" w:rsidRDefault="00DB63F9">
      <w:pPr>
        <w:rPr>
          <w:lang w:val="es-CL"/>
        </w:rPr>
      </w:pPr>
      <w:r>
        <w:rPr>
          <w:lang w:val="es-CL"/>
        </w:rPr>
        <w:t>Con esto, la probabilidad de erupción entre 2019 y 2048, es :</w:t>
      </w:r>
    </w:p>
    <w:p w:rsidR="006A2A80" w:rsidRPr="00864702" w:rsidRDefault="00DB63F9" w:rsidP="00DB63F9">
      <w:pPr>
        <w:jc w:val="center"/>
        <w:rPr>
          <w:b/>
        </w:rPr>
      </w:pPr>
      <w:r w:rsidRPr="00864702">
        <w:t xml:space="preserve">Pr(t&lt;= 2048-1877) – Pr(t &lt;= 2018-1877) = </w:t>
      </w:r>
      <w:r w:rsidRPr="00864702">
        <w:rPr>
          <w:b/>
        </w:rPr>
        <w:t>84,54%</w:t>
      </w:r>
    </w:p>
    <w:p w:rsidR="004749EC" w:rsidRDefault="00DB63F9">
      <w:r w:rsidRPr="00DB63F9">
        <w:t xml:space="preserve">También se tiene que, la probabilidad </w:t>
      </w:r>
      <w:r>
        <w:t xml:space="preserve">que el evento ocurra fuera del horizonte de evaluación es de un </w:t>
      </w:r>
      <w:r w:rsidRPr="00DB63F9">
        <w:rPr>
          <w:b/>
        </w:rPr>
        <w:t>15,46%.</w:t>
      </w:r>
    </w:p>
    <w:p w:rsidR="00DB63F9" w:rsidRDefault="00DB63F9">
      <w:r>
        <w:t>Con estos antecedentes se evalúa la capacidad esperada para el caso que ocurra la erupción en cada uno de los años del horizonte.</w:t>
      </w:r>
    </w:p>
    <w:p w:rsidR="00DB63F9" w:rsidRPr="00DB63F9" w:rsidRDefault="00DB63F9">
      <w:r w:rsidRPr="00DB63F9">
        <w:rPr>
          <w:noProof/>
          <w:lang w:val="en-US"/>
        </w:rPr>
        <w:drawing>
          <wp:inline distT="0" distB="0" distL="0" distR="0">
            <wp:extent cx="5612130" cy="1919963"/>
            <wp:effectExtent l="0" t="0" r="7620" b="444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2130" cy="1919963"/>
                    </a:xfrm>
                    <a:prstGeom prst="rect">
                      <a:avLst/>
                    </a:prstGeom>
                    <a:noFill/>
                    <a:ln>
                      <a:noFill/>
                    </a:ln>
                  </pic:spPr>
                </pic:pic>
              </a:graphicData>
            </a:graphic>
          </wp:inline>
        </w:drawing>
      </w:r>
    </w:p>
    <w:p w:rsidR="00DB63F9" w:rsidRDefault="00DB63F9"/>
    <w:p w:rsidR="00DB63F9" w:rsidRDefault="002D02C3">
      <w:r w:rsidRPr="002D02C3">
        <w:rPr>
          <w:b/>
        </w:rPr>
        <w:t>Figura 36</w:t>
      </w:r>
      <w:r>
        <w:t xml:space="preserve">. </w:t>
      </w:r>
      <w:r w:rsidR="00DB63F9">
        <w:t>Capacidad esperada sin proyecto, para la SE Mulaló.</w:t>
      </w:r>
    </w:p>
    <w:p w:rsidR="00DB63F9" w:rsidRPr="00DB63F9" w:rsidRDefault="00DB63F9">
      <w:r>
        <w:rPr>
          <w:noProof/>
          <w:lang w:val="en-US"/>
        </w:rPr>
        <w:drawing>
          <wp:inline distT="0" distB="0" distL="0" distR="0" wp14:anchorId="6FC67959">
            <wp:extent cx="5576926" cy="1558344"/>
            <wp:effectExtent l="0" t="0" r="5080" b="381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43013" cy="1576811"/>
                    </a:xfrm>
                    <a:prstGeom prst="rect">
                      <a:avLst/>
                    </a:prstGeom>
                    <a:noFill/>
                  </pic:spPr>
                </pic:pic>
              </a:graphicData>
            </a:graphic>
          </wp:inline>
        </w:drawing>
      </w:r>
    </w:p>
    <w:p w:rsidR="00FF6D99" w:rsidRPr="00DB63F9" w:rsidRDefault="00FF6D99"/>
    <w:p w:rsidR="00FF6D99" w:rsidRPr="00DB63F9" w:rsidRDefault="00FF6D99"/>
    <w:p w:rsidR="00FF6D99" w:rsidRPr="00DB63F9" w:rsidRDefault="00FF6D99"/>
    <w:p w:rsidR="00FF6D99" w:rsidRPr="00DB63F9" w:rsidRDefault="00FF6D99"/>
    <w:p w:rsidR="00C1090A" w:rsidRPr="00DB63F9" w:rsidRDefault="00C1090A"/>
    <w:p w:rsidR="00080750" w:rsidRPr="00DB63F9" w:rsidRDefault="00080750">
      <w:r w:rsidRPr="00DB63F9">
        <w:br w:type="page"/>
      </w:r>
    </w:p>
    <w:p w:rsidR="00080750" w:rsidRDefault="00080750" w:rsidP="00080750">
      <w:pPr>
        <w:pStyle w:val="Heading1"/>
        <w:rPr>
          <w:lang w:val="es-CL"/>
        </w:rPr>
      </w:pPr>
      <w:bookmarkStart w:id="40" w:name="_Toc491617783"/>
      <w:r>
        <w:rPr>
          <w:lang w:val="es-CL"/>
        </w:rPr>
        <w:t>Anexo 6. Proyección capacidad esperada en S/E Machala</w:t>
      </w:r>
      <w:bookmarkEnd w:id="40"/>
    </w:p>
    <w:p w:rsidR="00080750" w:rsidRDefault="00080750" w:rsidP="00F56913">
      <w:pPr>
        <w:jc w:val="both"/>
        <w:rPr>
          <w:lang w:val="es-CL"/>
        </w:rPr>
      </w:pPr>
    </w:p>
    <w:p w:rsidR="00080750" w:rsidRDefault="002D02C3" w:rsidP="00F56913">
      <w:pPr>
        <w:jc w:val="both"/>
        <w:rPr>
          <w:lang w:val="es-CL"/>
        </w:rPr>
      </w:pPr>
      <w:r>
        <w:rPr>
          <w:lang w:val="es-CL"/>
        </w:rPr>
        <w:t>La Subestación Machala de TRanselectric 230/69 kV 167MVA y 138/69 kV 200 MVA, abastece parte de la carga de CNEL El Oro, por medio de un par de alimentadores encapsulados (SF6), conectados en la barra de 69 kV.</w:t>
      </w:r>
    </w:p>
    <w:p w:rsidR="002D02C3" w:rsidRDefault="002D02C3" w:rsidP="002D02C3">
      <w:pPr>
        <w:jc w:val="center"/>
        <w:rPr>
          <w:lang w:val="es-CL"/>
        </w:rPr>
      </w:pPr>
      <w:r>
        <w:rPr>
          <w:noProof/>
          <w:lang w:val="en-US"/>
        </w:rPr>
        <w:drawing>
          <wp:inline distT="0" distB="0" distL="0" distR="0" wp14:anchorId="388F4AB7" wp14:editId="4CC3C409">
            <wp:extent cx="4344721" cy="1777609"/>
            <wp:effectExtent l="19050" t="19050" r="17780" b="13335"/>
            <wp:docPr id="143" name="Imagen 1">
              <a:extLst xmlns:a="http://schemas.openxmlformats.org/drawingml/2006/main">
                <a:ext uri="{FF2B5EF4-FFF2-40B4-BE49-F238E27FC236}">
                  <a16:creationId xmlns:a16="http://schemas.microsoft.com/office/drawing/2014/main" id="{C182B2A4-D275-44B8-BCE3-C09562728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182B2A4-D275-44B8-BCE3-C0956272851D}"/>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61986" cy="1784673"/>
                    </a:xfrm>
                    <a:prstGeom prst="rect">
                      <a:avLst/>
                    </a:prstGeom>
                    <a:noFill/>
                    <a:ln>
                      <a:solidFill>
                        <a:schemeClr val="bg2">
                          <a:lumMod val="90000"/>
                        </a:schemeClr>
                      </a:solidFill>
                    </a:ln>
                    <a:extLst/>
                  </pic:spPr>
                </pic:pic>
              </a:graphicData>
            </a:graphic>
          </wp:inline>
        </w:drawing>
      </w:r>
    </w:p>
    <w:p w:rsidR="002D02C3" w:rsidRDefault="002D02C3" w:rsidP="002D02C3">
      <w:pPr>
        <w:jc w:val="center"/>
        <w:rPr>
          <w:lang w:val="es-CL"/>
        </w:rPr>
      </w:pPr>
      <w:r w:rsidRPr="002D02C3">
        <w:rPr>
          <w:b/>
          <w:lang w:val="es-CL"/>
        </w:rPr>
        <w:t>Figura 37</w:t>
      </w:r>
      <w:r>
        <w:rPr>
          <w:lang w:val="es-CL"/>
        </w:rPr>
        <w:t>. Diagrama unifilar alimentadores Emeloro 1 y Emeloro 2, 69 kV, en S/E Machala</w:t>
      </w:r>
    </w:p>
    <w:p w:rsidR="002D02C3" w:rsidRDefault="002D02C3" w:rsidP="00F56913">
      <w:pPr>
        <w:jc w:val="both"/>
        <w:rPr>
          <w:lang w:val="es-CL"/>
        </w:rPr>
      </w:pPr>
    </w:p>
    <w:p w:rsidR="002D02C3" w:rsidRDefault="002D02C3" w:rsidP="00F56913">
      <w:pPr>
        <w:jc w:val="both"/>
        <w:rPr>
          <w:lang w:val="es-CL"/>
        </w:rPr>
      </w:pPr>
      <w:r>
        <w:rPr>
          <w:lang w:val="es-CL"/>
        </w:rPr>
        <w:t>Estos alimentadores no pueden ampliarse, ni se puede agregar una nueva posición a esta barra de 69 kV, debido a la pérdida de continuidad de atención por parte del fabricante y a la discontinuidad de los repuestos de estas longevas instalaciones.</w:t>
      </w:r>
    </w:p>
    <w:p w:rsidR="002D02C3" w:rsidRDefault="002D02C3" w:rsidP="00F56913">
      <w:pPr>
        <w:jc w:val="both"/>
        <w:rPr>
          <w:lang w:val="es-CL"/>
        </w:rPr>
      </w:pPr>
      <w:r>
        <w:rPr>
          <w:lang w:val="es-CL"/>
        </w:rPr>
        <w:t>La configuración de operación busca mantener estos alimentadores como un mutuo respaldo en caso de falla en su homónimo.</w:t>
      </w:r>
    </w:p>
    <w:p w:rsidR="002D02C3" w:rsidRDefault="002D02C3" w:rsidP="00F56913">
      <w:pPr>
        <w:jc w:val="both"/>
        <w:rPr>
          <w:lang w:val="es-CL"/>
        </w:rPr>
      </w:pPr>
      <w:r>
        <w:rPr>
          <w:lang w:val="es-CL"/>
        </w:rPr>
        <w:t>Según las especificaciones de cada alimentador las capacidades de operación a 75°C son las que se resumen en la tabla siguiente.</w:t>
      </w:r>
    </w:p>
    <w:p w:rsidR="002D02C3" w:rsidRDefault="002D02C3" w:rsidP="00F56913">
      <w:pPr>
        <w:jc w:val="both"/>
        <w:rPr>
          <w:lang w:val="es-CL"/>
        </w:rPr>
      </w:pPr>
    </w:p>
    <w:tbl>
      <w:tblPr>
        <w:tblW w:w="7088" w:type="dxa"/>
        <w:jc w:val="center"/>
        <w:tblCellMar>
          <w:top w:w="15" w:type="dxa"/>
          <w:left w:w="70" w:type="dxa"/>
          <w:bottom w:w="15" w:type="dxa"/>
          <w:right w:w="70" w:type="dxa"/>
        </w:tblCellMar>
        <w:tblLook w:val="04A0" w:firstRow="1" w:lastRow="0" w:firstColumn="1" w:lastColumn="0" w:noHBand="0" w:noVBand="1"/>
      </w:tblPr>
      <w:tblGrid>
        <w:gridCol w:w="1276"/>
        <w:gridCol w:w="1276"/>
        <w:gridCol w:w="850"/>
        <w:gridCol w:w="1134"/>
        <w:gridCol w:w="1418"/>
        <w:gridCol w:w="1134"/>
      </w:tblGrid>
      <w:tr w:rsidR="002D02C3" w:rsidRPr="002D02C3" w:rsidTr="002D02C3">
        <w:trPr>
          <w:trHeight w:val="285"/>
          <w:jc w:val="center"/>
        </w:trPr>
        <w:tc>
          <w:tcPr>
            <w:tcW w:w="5954" w:type="dxa"/>
            <w:gridSpan w:val="5"/>
            <w:tcBorders>
              <w:top w:val="nil"/>
              <w:left w:val="nil"/>
              <w:bottom w:val="nil"/>
              <w:right w:val="nil"/>
            </w:tcBorders>
            <w:noWrap/>
            <w:vAlign w:val="bottom"/>
            <w:hideMark/>
          </w:tcPr>
          <w:p w:rsidR="002D02C3" w:rsidRPr="002D02C3" w:rsidRDefault="002D02C3" w:rsidP="002D02C3">
            <w:pPr>
              <w:spacing w:after="0" w:line="240" w:lineRule="auto"/>
              <w:rPr>
                <w:rFonts w:ascii="Calibri" w:eastAsia="Times New Roman" w:hAnsi="Calibri" w:cs="Calibri"/>
                <w:b/>
                <w:bCs/>
                <w:color w:val="000000"/>
                <w:lang w:eastAsia="es-CR"/>
              </w:rPr>
            </w:pPr>
            <w:r w:rsidRPr="002D02C3">
              <w:rPr>
                <w:rFonts w:ascii="Calibri" w:eastAsia="Times New Roman" w:hAnsi="Calibri" w:cs="Calibri"/>
                <w:b/>
                <w:bCs/>
                <w:color w:val="000000"/>
                <w:lang w:eastAsia="es-CR"/>
              </w:rPr>
              <w:t>Capacidad Alimentadores 69 kV de SE Machala (operan en paralelo)</w:t>
            </w:r>
          </w:p>
        </w:tc>
        <w:tc>
          <w:tcPr>
            <w:tcW w:w="1134" w:type="dxa"/>
            <w:tcBorders>
              <w:top w:val="nil"/>
              <w:left w:val="nil"/>
              <w:bottom w:val="nil"/>
              <w:right w:val="nil"/>
            </w:tcBorders>
            <w:noWrap/>
            <w:vAlign w:val="bottom"/>
            <w:hideMark/>
          </w:tcPr>
          <w:p w:rsidR="002D02C3" w:rsidRPr="002D02C3" w:rsidRDefault="002D02C3" w:rsidP="002D02C3">
            <w:pPr>
              <w:spacing w:after="0" w:line="240" w:lineRule="auto"/>
              <w:rPr>
                <w:rFonts w:ascii="Calibri" w:eastAsia="Times New Roman" w:hAnsi="Calibri" w:cs="Calibri"/>
                <w:b/>
                <w:bCs/>
                <w:color w:val="000000"/>
                <w:lang w:eastAsia="es-CR"/>
              </w:rPr>
            </w:pPr>
          </w:p>
        </w:tc>
      </w:tr>
      <w:tr w:rsidR="002D02C3" w:rsidRPr="002D02C3" w:rsidTr="002D02C3">
        <w:trPr>
          <w:trHeight w:val="285"/>
          <w:jc w:val="center"/>
        </w:trPr>
        <w:tc>
          <w:tcPr>
            <w:tcW w:w="1276"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276"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850"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134"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418"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134"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r>
      <w:tr w:rsidR="002D02C3" w:rsidRPr="002D02C3" w:rsidTr="002D02C3">
        <w:trPr>
          <w:trHeight w:val="285"/>
          <w:jc w:val="center"/>
        </w:trPr>
        <w:tc>
          <w:tcPr>
            <w:tcW w:w="1276"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b/>
                <w:bCs/>
                <w:color w:val="000000"/>
                <w:lang w:eastAsia="es-CR"/>
              </w:rPr>
            </w:pPr>
            <w:r w:rsidRPr="002D02C3">
              <w:rPr>
                <w:rFonts w:ascii="Calibri" w:eastAsia="Times New Roman" w:hAnsi="Calibri" w:cs="Calibri"/>
                <w:b/>
                <w:bCs/>
                <w:color w:val="000000"/>
                <w:lang w:eastAsia="es-CR"/>
              </w:rPr>
              <w:t>Código</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b/>
                <w:bCs/>
                <w:color w:val="000000"/>
                <w:lang w:eastAsia="es-CR"/>
              </w:rPr>
            </w:pPr>
            <w:r w:rsidRPr="002D02C3">
              <w:rPr>
                <w:rFonts w:ascii="Calibri" w:eastAsia="Times New Roman" w:hAnsi="Calibri" w:cs="Calibri"/>
                <w:b/>
                <w:bCs/>
                <w:color w:val="000000"/>
                <w:lang w:eastAsia="es-CR"/>
              </w:rPr>
              <w:t>Tipo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b/>
                <w:bCs/>
                <w:color w:val="000000"/>
                <w:lang w:eastAsia="es-CR"/>
              </w:rPr>
            </w:pPr>
            <w:r w:rsidRPr="002D02C3">
              <w:rPr>
                <w:rFonts w:ascii="Calibri" w:eastAsia="Times New Roman" w:hAnsi="Calibri" w:cs="Calibri"/>
                <w:b/>
                <w:bCs/>
                <w:color w:val="000000"/>
                <w:lang w:eastAsia="es-CR"/>
              </w:rPr>
              <w:t>MCM</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b/>
                <w:bCs/>
                <w:color w:val="000000"/>
                <w:lang w:eastAsia="es-CR"/>
              </w:rPr>
            </w:pPr>
            <w:r w:rsidRPr="002D02C3">
              <w:rPr>
                <w:rFonts w:ascii="Calibri" w:eastAsia="Times New Roman" w:hAnsi="Calibri" w:cs="Calibri"/>
                <w:b/>
                <w:bCs/>
                <w:color w:val="000000"/>
                <w:lang w:eastAsia="es-CR"/>
              </w:rPr>
              <w:t>Cap (AMP)</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b/>
                <w:bCs/>
                <w:color w:val="000000"/>
                <w:lang w:eastAsia="es-CR"/>
              </w:rPr>
            </w:pPr>
            <w:r w:rsidRPr="002D02C3">
              <w:rPr>
                <w:rFonts w:ascii="Calibri" w:eastAsia="Times New Roman" w:hAnsi="Calibri" w:cs="Calibri"/>
                <w:b/>
                <w:bCs/>
                <w:color w:val="000000"/>
                <w:lang w:eastAsia="es-CR"/>
              </w:rPr>
              <w:t>MVA</w:t>
            </w:r>
          </w:p>
        </w:tc>
      </w:tr>
      <w:tr w:rsidR="002D02C3" w:rsidRPr="002D02C3" w:rsidTr="002D02C3">
        <w:trPr>
          <w:trHeight w:val="285"/>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color w:val="000000"/>
                <w:lang w:eastAsia="es-CR"/>
              </w:rPr>
            </w:pPr>
            <w:r w:rsidRPr="002D02C3">
              <w:rPr>
                <w:rFonts w:ascii="Calibri" w:eastAsia="Times New Roman" w:hAnsi="Calibri" w:cs="Calibri"/>
                <w:color w:val="000000"/>
                <w:lang w:eastAsia="es-CR"/>
              </w:rPr>
              <w:t>Emeloro 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color w:val="000000"/>
                <w:lang w:eastAsia="es-CR"/>
              </w:rPr>
            </w:pPr>
            <w:r w:rsidRPr="002D02C3">
              <w:rPr>
                <w:rFonts w:ascii="Calibri" w:eastAsia="Times New Roman" w:hAnsi="Calibri" w:cs="Calibri"/>
                <w:color w:val="000000"/>
                <w:lang w:eastAsia="es-CR"/>
              </w:rPr>
              <w:t>Flag</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color w:val="000000"/>
                <w:lang w:eastAsia="es-CR"/>
              </w:rPr>
            </w:pPr>
            <w:r w:rsidRPr="002D02C3">
              <w:rPr>
                <w:rFonts w:ascii="Calibri" w:eastAsia="Times New Roman" w:hAnsi="Calibri" w:cs="Calibri"/>
                <w:color w:val="000000"/>
                <w:lang w:eastAsia="es-CR"/>
              </w:rPr>
              <w:t>AAC</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color w:val="000000"/>
                <w:lang w:eastAsia="es-CR"/>
              </w:rPr>
            </w:pPr>
            <w:r w:rsidRPr="002D02C3">
              <w:rPr>
                <w:rFonts w:ascii="Calibri" w:eastAsia="Times New Roman" w:hAnsi="Calibri" w:cs="Calibri"/>
                <w:color w:val="000000"/>
                <w:lang w:eastAsia="es-CR"/>
              </w:rPr>
              <w:t>700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color w:val="000000"/>
                <w:lang w:eastAsia="es-CR"/>
              </w:rPr>
            </w:pPr>
            <w:r w:rsidRPr="002D02C3">
              <w:rPr>
                <w:rFonts w:ascii="Calibri" w:eastAsia="Times New Roman" w:hAnsi="Calibri" w:cs="Calibri"/>
                <w:color w:val="000000"/>
                <w:lang w:eastAsia="es-CR"/>
              </w:rPr>
              <w:t>870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color w:val="000000"/>
                <w:lang w:eastAsia="es-CR"/>
              </w:rPr>
            </w:pPr>
            <w:r w:rsidRPr="002D02C3">
              <w:rPr>
                <w:rFonts w:ascii="Calibri" w:eastAsia="Times New Roman" w:hAnsi="Calibri" w:cs="Calibri"/>
                <w:color w:val="000000"/>
                <w:lang w:eastAsia="es-CR"/>
              </w:rPr>
              <w:t>103,98</w:t>
            </w:r>
          </w:p>
        </w:tc>
      </w:tr>
      <w:tr w:rsidR="002D02C3" w:rsidRPr="002D02C3" w:rsidTr="002D02C3">
        <w:trPr>
          <w:trHeight w:val="285"/>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color w:val="000000"/>
                <w:lang w:eastAsia="es-CR"/>
              </w:rPr>
            </w:pPr>
            <w:r w:rsidRPr="002D02C3">
              <w:rPr>
                <w:rFonts w:ascii="Calibri" w:eastAsia="Times New Roman" w:hAnsi="Calibri" w:cs="Calibri"/>
                <w:color w:val="000000"/>
                <w:lang w:eastAsia="es-CR"/>
              </w:rPr>
              <w:t>Emeloro 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color w:val="000000"/>
                <w:lang w:eastAsia="es-CR"/>
              </w:rPr>
            </w:pPr>
            <w:r w:rsidRPr="002D02C3">
              <w:rPr>
                <w:rFonts w:ascii="Calibri" w:eastAsia="Times New Roman" w:hAnsi="Calibri" w:cs="Calibri"/>
                <w:color w:val="000000"/>
                <w:lang w:eastAsia="es-CR"/>
              </w:rPr>
              <w:t>Hawthorn</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rPr>
                <w:rFonts w:ascii="Calibri" w:eastAsia="Times New Roman" w:hAnsi="Calibri" w:cs="Calibri"/>
                <w:color w:val="000000"/>
                <w:lang w:eastAsia="es-CR"/>
              </w:rPr>
            </w:pPr>
            <w:r w:rsidRPr="002D02C3">
              <w:rPr>
                <w:rFonts w:ascii="Calibri" w:eastAsia="Times New Roman" w:hAnsi="Calibri" w:cs="Calibri"/>
                <w:color w:val="000000"/>
                <w:lang w:eastAsia="es-CR"/>
              </w:rPr>
              <w:t>AAC</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color w:val="000000"/>
                <w:lang w:eastAsia="es-CR"/>
              </w:rPr>
            </w:pPr>
            <w:r w:rsidRPr="002D02C3">
              <w:rPr>
                <w:rFonts w:ascii="Calibri" w:eastAsia="Times New Roman" w:hAnsi="Calibri" w:cs="Calibri"/>
                <w:color w:val="000000"/>
                <w:lang w:eastAsia="es-CR"/>
              </w:rPr>
              <w:t>1192,5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color w:val="000000"/>
                <w:lang w:eastAsia="es-CR"/>
              </w:rPr>
            </w:pPr>
            <w:r w:rsidRPr="002D02C3">
              <w:rPr>
                <w:rFonts w:ascii="Calibri" w:eastAsia="Times New Roman" w:hAnsi="Calibri" w:cs="Calibri"/>
                <w:color w:val="000000"/>
                <w:lang w:eastAsia="es-CR"/>
              </w:rPr>
              <w:t>1220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D02C3" w:rsidRPr="002D02C3" w:rsidRDefault="002D02C3" w:rsidP="002D02C3">
            <w:pPr>
              <w:spacing w:after="0" w:line="240" w:lineRule="auto"/>
              <w:jc w:val="center"/>
              <w:rPr>
                <w:rFonts w:ascii="Calibri" w:eastAsia="Times New Roman" w:hAnsi="Calibri" w:cs="Calibri"/>
                <w:color w:val="000000"/>
                <w:lang w:eastAsia="es-CR"/>
              </w:rPr>
            </w:pPr>
            <w:r w:rsidRPr="002D02C3">
              <w:rPr>
                <w:rFonts w:ascii="Calibri" w:eastAsia="Times New Roman" w:hAnsi="Calibri" w:cs="Calibri"/>
                <w:color w:val="000000"/>
                <w:lang w:eastAsia="es-CR"/>
              </w:rPr>
              <w:t>145,80</w:t>
            </w:r>
          </w:p>
        </w:tc>
      </w:tr>
      <w:tr w:rsidR="002D02C3" w:rsidRPr="002D02C3" w:rsidTr="002D02C3">
        <w:trPr>
          <w:trHeight w:val="285"/>
          <w:jc w:val="center"/>
        </w:trPr>
        <w:tc>
          <w:tcPr>
            <w:tcW w:w="1276" w:type="dxa"/>
            <w:tcBorders>
              <w:top w:val="nil"/>
              <w:left w:val="nil"/>
              <w:bottom w:val="nil"/>
              <w:right w:val="nil"/>
            </w:tcBorders>
            <w:noWrap/>
            <w:vAlign w:val="bottom"/>
            <w:hideMark/>
          </w:tcPr>
          <w:p w:rsidR="002D02C3" w:rsidRPr="002D02C3" w:rsidRDefault="002D02C3" w:rsidP="002D02C3">
            <w:pPr>
              <w:spacing w:after="0" w:line="240" w:lineRule="auto"/>
              <w:jc w:val="center"/>
              <w:rPr>
                <w:rFonts w:ascii="Calibri" w:eastAsia="Times New Roman" w:hAnsi="Calibri" w:cs="Calibri"/>
                <w:color w:val="000000"/>
                <w:lang w:eastAsia="es-CR"/>
              </w:rPr>
            </w:pPr>
          </w:p>
        </w:tc>
        <w:tc>
          <w:tcPr>
            <w:tcW w:w="1276"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850"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134"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418"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134"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r>
      <w:tr w:rsidR="002D02C3" w:rsidRPr="002D02C3" w:rsidTr="002D02C3">
        <w:trPr>
          <w:trHeight w:val="285"/>
          <w:jc w:val="center"/>
        </w:trPr>
        <w:tc>
          <w:tcPr>
            <w:tcW w:w="1276"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276"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850"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134" w:type="dxa"/>
            <w:tcBorders>
              <w:top w:val="nil"/>
              <w:left w:val="nil"/>
              <w:bottom w:val="nil"/>
              <w:right w:val="nil"/>
            </w:tcBorders>
            <w:noWrap/>
            <w:vAlign w:val="bottom"/>
            <w:hideMark/>
          </w:tcPr>
          <w:p w:rsidR="002D02C3" w:rsidRPr="002D02C3" w:rsidRDefault="002D02C3" w:rsidP="002D02C3">
            <w:pPr>
              <w:spacing w:after="0" w:line="240" w:lineRule="auto"/>
              <w:rPr>
                <w:rFonts w:ascii="Times New Roman" w:eastAsia="Times New Roman" w:hAnsi="Times New Roman" w:cs="Times New Roman"/>
                <w:sz w:val="20"/>
                <w:szCs w:val="20"/>
                <w:lang w:eastAsia="es-CR"/>
              </w:rPr>
            </w:pPr>
          </w:p>
        </w:tc>
        <w:tc>
          <w:tcPr>
            <w:tcW w:w="1418" w:type="dxa"/>
            <w:tcBorders>
              <w:top w:val="nil"/>
              <w:left w:val="nil"/>
              <w:bottom w:val="nil"/>
              <w:right w:val="nil"/>
            </w:tcBorders>
            <w:shd w:val="clear" w:color="000000" w:fill="FFFF00"/>
            <w:noWrap/>
            <w:vAlign w:val="bottom"/>
            <w:hideMark/>
          </w:tcPr>
          <w:p w:rsidR="002D02C3" w:rsidRPr="002D02C3" w:rsidRDefault="002D02C3" w:rsidP="002D02C3">
            <w:pPr>
              <w:spacing w:after="0" w:line="240" w:lineRule="auto"/>
              <w:rPr>
                <w:rFonts w:ascii="Calibri" w:eastAsia="Times New Roman" w:hAnsi="Calibri" w:cs="Calibri"/>
                <w:color w:val="000000"/>
                <w:lang w:eastAsia="es-CR"/>
              </w:rPr>
            </w:pPr>
            <w:r w:rsidRPr="002D02C3">
              <w:rPr>
                <w:rFonts w:ascii="Calibri" w:eastAsia="Times New Roman" w:hAnsi="Calibri" w:cs="Calibri"/>
                <w:color w:val="000000"/>
                <w:lang w:eastAsia="es-CR"/>
              </w:rPr>
              <w:t>Total</w:t>
            </w:r>
          </w:p>
        </w:tc>
        <w:tc>
          <w:tcPr>
            <w:tcW w:w="1134" w:type="dxa"/>
            <w:tcBorders>
              <w:top w:val="nil"/>
              <w:left w:val="nil"/>
              <w:bottom w:val="nil"/>
              <w:right w:val="nil"/>
            </w:tcBorders>
            <w:shd w:val="clear" w:color="000000" w:fill="FFFF00"/>
            <w:noWrap/>
            <w:vAlign w:val="bottom"/>
            <w:hideMark/>
          </w:tcPr>
          <w:p w:rsidR="002D02C3" w:rsidRPr="002D02C3" w:rsidRDefault="002D02C3" w:rsidP="002D02C3">
            <w:pPr>
              <w:spacing w:after="0" w:line="240" w:lineRule="auto"/>
              <w:jc w:val="right"/>
              <w:rPr>
                <w:rFonts w:ascii="Calibri" w:eastAsia="Times New Roman" w:hAnsi="Calibri" w:cs="Calibri"/>
                <w:color w:val="000000"/>
                <w:lang w:eastAsia="es-CR"/>
              </w:rPr>
            </w:pPr>
            <w:r w:rsidRPr="002D02C3">
              <w:rPr>
                <w:rFonts w:ascii="Calibri" w:eastAsia="Times New Roman" w:hAnsi="Calibri" w:cs="Calibri"/>
                <w:color w:val="000000"/>
                <w:lang w:eastAsia="es-CR"/>
              </w:rPr>
              <w:t>249,78</w:t>
            </w:r>
          </w:p>
        </w:tc>
      </w:tr>
    </w:tbl>
    <w:p w:rsidR="002D02C3" w:rsidRDefault="002D02C3" w:rsidP="00F56913">
      <w:pPr>
        <w:jc w:val="both"/>
        <w:rPr>
          <w:lang w:val="es-CL"/>
        </w:rPr>
      </w:pPr>
    </w:p>
    <w:p w:rsidR="002D02C3" w:rsidRDefault="002D02C3" w:rsidP="00F56913">
      <w:pPr>
        <w:jc w:val="both"/>
        <w:rPr>
          <w:lang w:val="es-CL"/>
        </w:rPr>
      </w:pPr>
      <w:r w:rsidRPr="002D02C3">
        <w:rPr>
          <w:b/>
          <w:lang w:val="es-CL"/>
        </w:rPr>
        <w:t>Capacidad n-1:</w:t>
      </w:r>
      <w:r>
        <w:rPr>
          <w:lang w:val="es-CL"/>
        </w:rPr>
        <w:t xml:space="preserve"> Entendida como la menor capacidad disponible en caso de alguno de los 2 componentes, en este caso es de 103,98 MVA.</w:t>
      </w:r>
    </w:p>
    <w:p w:rsidR="002D02C3" w:rsidRDefault="002D02C3" w:rsidP="00F56913">
      <w:pPr>
        <w:jc w:val="both"/>
        <w:rPr>
          <w:lang w:val="es-CL"/>
        </w:rPr>
      </w:pPr>
    </w:p>
    <w:p w:rsidR="002D02C3" w:rsidRDefault="00BA0C84" w:rsidP="00F56913">
      <w:pPr>
        <w:jc w:val="both"/>
        <w:rPr>
          <w:lang w:val="es-CL"/>
        </w:rPr>
      </w:pPr>
      <w:r>
        <w:rPr>
          <w:lang w:val="es-CL"/>
        </w:rPr>
        <w:t>Por otra parte, a falta de registro histórico de fallas, se asumen probabilidades típicas de falla de este tipo de instalaciones, según experiencia del consultor: Esto es 1/50 fallas por año.</w:t>
      </w:r>
    </w:p>
    <w:p w:rsidR="00BA0C84" w:rsidRDefault="00BA0C84" w:rsidP="00F56913">
      <w:pPr>
        <w:jc w:val="both"/>
        <w:rPr>
          <w:lang w:val="es-CL"/>
        </w:rPr>
      </w:pPr>
    </w:p>
    <w:p w:rsidR="00BA0C84" w:rsidRDefault="00BA0C84" w:rsidP="00F56913">
      <w:pPr>
        <w:jc w:val="both"/>
        <w:rPr>
          <w:lang w:val="es-CL"/>
        </w:rPr>
      </w:pPr>
      <w:r>
        <w:rPr>
          <w:lang w:val="es-CL"/>
        </w:rPr>
        <w:t>Así, para cada año del horizonte se tendrá una probabilidad de falla de 0,02.</w:t>
      </w:r>
    </w:p>
    <w:p w:rsidR="00BA0C84" w:rsidRDefault="00BA0C84" w:rsidP="00F56913">
      <w:pPr>
        <w:jc w:val="both"/>
        <w:rPr>
          <w:lang w:val="es-CL"/>
        </w:rPr>
      </w:pPr>
      <w:r>
        <w:rPr>
          <w:lang w:val="es-CL"/>
        </w:rPr>
        <w:t>También, con la probabilidad dada, existe una probabilidad de que no ocurra ninguna falla en el horizonte de evaluación de 30 años igual a: 0,38.</w:t>
      </w:r>
    </w:p>
    <w:p w:rsidR="00BA0C84" w:rsidRDefault="00BA0C84" w:rsidP="00F56913">
      <w:pPr>
        <w:jc w:val="both"/>
        <w:rPr>
          <w:lang w:val="es-CL"/>
        </w:rPr>
      </w:pPr>
    </w:p>
    <w:p w:rsidR="00BA0C84" w:rsidRDefault="00BA0C84" w:rsidP="00F56913">
      <w:pPr>
        <w:jc w:val="both"/>
        <w:rPr>
          <w:lang w:val="es-CL"/>
        </w:rPr>
      </w:pPr>
      <w:r>
        <w:rPr>
          <w:lang w:val="es-CL"/>
        </w:rPr>
        <w:t>De esta forma, se estima el escenario de no falla, así como la posible falla de cada alimentador el período de evaluación y cuantificando en cada caso si se dispone de la capacidad total, o tan solo la capacidad de alguno de los dos alimentadores.</w:t>
      </w:r>
    </w:p>
    <w:p w:rsidR="00BA0C84" w:rsidRDefault="00BA0C84" w:rsidP="00F56913">
      <w:pPr>
        <w:jc w:val="both"/>
        <w:rPr>
          <w:lang w:val="es-CL"/>
        </w:rPr>
      </w:pPr>
    </w:p>
    <w:p w:rsidR="00BA0C84" w:rsidRDefault="00BA0C84" w:rsidP="00F56913">
      <w:pPr>
        <w:jc w:val="both"/>
        <w:rPr>
          <w:lang w:val="es-CL"/>
        </w:rPr>
      </w:pPr>
      <w:r>
        <w:rPr>
          <w:lang w:val="es-CL"/>
        </w:rPr>
        <w:t>Con este ejercicio, se obtiene la siguiente capacidad esperada para S/E Machala para cada año del horizonte.</w:t>
      </w:r>
    </w:p>
    <w:p w:rsidR="00BA0C84" w:rsidRDefault="00BA0C84" w:rsidP="00F56913">
      <w:pPr>
        <w:jc w:val="both"/>
        <w:rPr>
          <w:lang w:val="es-CL"/>
        </w:rPr>
      </w:pPr>
    </w:p>
    <w:p w:rsidR="00BA0C84" w:rsidRDefault="00BA0C84" w:rsidP="00F56913">
      <w:pPr>
        <w:jc w:val="both"/>
        <w:rPr>
          <w:lang w:val="es-CL"/>
        </w:rPr>
      </w:pPr>
      <w:r>
        <w:rPr>
          <w:noProof/>
          <w:lang w:val="en-US"/>
        </w:rPr>
        <w:drawing>
          <wp:inline distT="0" distB="0" distL="0" distR="0" wp14:anchorId="3D3B32A9">
            <wp:extent cx="5595622" cy="1812944"/>
            <wp:effectExtent l="0" t="0" r="508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25009" cy="1822465"/>
                    </a:xfrm>
                    <a:prstGeom prst="rect">
                      <a:avLst/>
                    </a:prstGeom>
                    <a:noFill/>
                  </pic:spPr>
                </pic:pic>
              </a:graphicData>
            </a:graphic>
          </wp:inline>
        </w:drawing>
      </w:r>
    </w:p>
    <w:p w:rsidR="00BA0C84" w:rsidRDefault="00BA0C84" w:rsidP="00F56913">
      <w:pPr>
        <w:jc w:val="both"/>
        <w:rPr>
          <w:lang w:val="es-CL"/>
        </w:rPr>
      </w:pPr>
      <w:r w:rsidRPr="00BA0C84">
        <w:rPr>
          <w:noProof/>
          <w:lang w:val="en-US"/>
        </w:rPr>
        <w:drawing>
          <wp:inline distT="0" distB="0" distL="0" distR="0">
            <wp:extent cx="4985137" cy="7706331"/>
            <wp:effectExtent l="0" t="0" r="6350"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94331" cy="7720544"/>
                    </a:xfrm>
                    <a:prstGeom prst="rect">
                      <a:avLst/>
                    </a:prstGeom>
                    <a:noFill/>
                    <a:ln>
                      <a:noFill/>
                    </a:ln>
                  </pic:spPr>
                </pic:pic>
              </a:graphicData>
            </a:graphic>
          </wp:inline>
        </w:drawing>
      </w:r>
    </w:p>
    <w:sectPr w:rsidR="00BA0C84" w:rsidSect="009710BA">
      <w:footerReference w:type="default" r:id="rId8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7D1" w:rsidRDefault="00DC47D1" w:rsidP="00AE477A">
      <w:pPr>
        <w:spacing w:after="0" w:line="240" w:lineRule="auto"/>
      </w:pPr>
      <w:r>
        <w:separator/>
      </w:r>
    </w:p>
  </w:endnote>
  <w:endnote w:type="continuationSeparator" w:id="0">
    <w:p w:rsidR="00DC47D1" w:rsidRDefault="00DC47D1" w:rsidP="00AE4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912412"/>
      <w:docPartObj>
        <w:docPartGallery w:val="Page Numbers (Bottom of Page)"/>
        <w:docPartUnique/>
      </w:docPartObj>
    </w:sdtPr>
    <w:sdtEndPr/>
    <w:sdtContent>
      <w:p w:rsidR="00173FC2" w:rsidRDefault="00173FC2">
        <w:pPr>
          <w:pStyle w:val="Footer"/>
          <w:jc w:val="right"/>
        </w:pPr>
        <w:r>
          <w:fldChar w:fldCharType="begin"/>
        </w:r>
        <w:r>
          <w:instrText>PAGE   \* MERGEFORMAT</w:instrText>
        </w:r>
        <w:r>
          <w:fldChar w:fldCharType="separate"/>
        </w:r>
        <w:r w:rsidR="001768EC" w:rsidRPr="001768EC">
          <w:rPr>
            <w:noProof/>
            <w:lang w:val="es-ES"/>
          </w:rPr>
          <w:t>2</w:t>
        </w:r>
        <w:r>
          <w:fldChar w:fldCharType="end"/>
        </w:r>
      </w:p>
    </w:sdtContent>
  </w:sdt>
  <w:p w:rsidR="00173FC2" w:rsidRDefault="00173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7D1" w:rsidRDefault="00DC47D1" w:rsidP="00AE477A">
      <w:pPr>
        <w:spacing w:after="0" w:line="240" w:lineRule="auto"/>
      </w:pPr>
      <w:r>
        <w:separator/>
      </w:r>
    </w:p>
  </w:footnote>
  <w:footnote w:type="continuationSeparator" w:id="0">
    <w:p w:rsidR="00DC47D1" w:rsidRDefault="00DC47D1" w:rsidP="00AE477A">
      <w:pPr>
        <w:spacing w:after="0" w:line="240" w:lineRule="auto"/>
      </w:pPr>
      <w:r>
        <w:continuationSeparator/>
      </w:r>
    </w:p>
  </w:footnote>
  <w:footnote w:id="1">
    <w:p w:rsidR="00173FC2" w:rsidRPr="00820D69" w:rsidRDefault="00173FC2">
      <w:pPr>
        <w:pStyle w:val="FootnoteText"/>
      </w:pPr>
      <w:r>
        <w:rPr>
          <w:rStyle w:val="FootnoteReference"/>
        </w:rPr>
        <w:footnoteRef/>
      </w:r>
      <w:r>
        <w:t xml:space="preserve"> Incluye inversión en sistema de Subtransmisión La Avanzada.</w:t>
      </w:r>
    </w:p>
  </w:footnote>
  <w:footnote w:id="2">
    <w:p w:rsidR="00173FC2" w:rsidRPr="009867D8" w:rsidRDefault="00173FC2" w:rsidP="009867D8">
      <w:pPr>
        <w:pStyle w:val="FootnoteText"/>
      </w:pPr>
      <w:r>
        <w:rPr>
          <w:rStyle w:val="FootnoteReference"/>
        </w:rPr>
        <w:footnoteRef/>
      </w:r>
      <w:r>
        <w:t xml:space="preserve"> Para efecto de evaluación, incluye obras de sub transmisión en sistema La Avanzada.</w:t>
      </w:r>
    </w:p>
  </w:footnote>
  <w:footnote w:id="3">
    <w:p w:rsidR="00173FC2" w:rsidRPr="002C5E50" w:rsidRDefault="00173FC2">
      <w:pPr>
        <w:pStyle w:val="FootnoteText"/>
        <w:rPr>
          <w:lang w:val="es-CL"/>
        </w:rPr>
      </w:pPr>
      <w:r>
        <w:rPr>
          <w:rStyle w:val="FootnoteReference"/>
        </w:rPr>
        <w:footnoteRef/>
      </w:r>
      <w:r>
        <w:t xml:space="preserve"> </w:t>
      </w:r>
      <w:r>
        <w:rPr>
          <w:lang w:val="es-CL"/>
        </w:rPr>
        <w:t>Datos facilitados por el Departamento de Planeamiento de Expansión de la Transmisión. CELEC EP TRANSELECTRIC.</w:t>
      </w:r>
    </w:p>
  </w:footnote>
  <w:footnote w:id="4">
    <w:p w:rsidR="00173FC2" w:rsidRPr="00821305" w:rsidRDefault="00173FC2">
      <w:pPr>
        <w:pStyle w:val="FootnoteText"/>
        <w:rPr>
          <w:lang w:val="es-CL"/>
        </w:rPr>
      </w:pPr>
      <w:r>
        <w:rPr>
          <w:rStyle w:val="FootnoteReference"/>
        </w:rPr>
        <w:footnoteRef/>
      </w:r>
      <w:r>
        <w:t xml:space="preserve"> </w:t>
      </w:r>
      <w:r w:rsidRPr="00821305">
        <w:rPr>
          <w:lang w:val="es-CL"/>
        </w:rPr>
        <w:t>Ver Anexo N°5: Probabilidad de Erupción del Volcán Cotopaxi y su efecto en la Capacidad disponible de Subestación Mulaló.</w:t>
      </w:r>
    </w:p>
  </w:footnote>
  <w:footnote w:id="5">
    <w:p w:rsidR="00173FC2" w:rsidRPr="005C0032" w:rsidRDefault="00173FC2">
      <w:pPr>
        <w:pStyle w:val="FootnoteText"/>
        <w:rPr>
          <w:lang w:val="es-CL"/>
        </w:rPr>
      </w:pPr>
      <w:r w:rsidRPr="00821305">
        <w:rPr>
          <w:rStyle w:val="FootnoteReference"/>
        </w:rPr>
        <w:footnoteRef/>
      </w:r>
      <w:r w:rsidRPr="00821305">
        <w:t xml:space="preserve"> </w:t>
      </w:r>
      <w:r w:rsidRPr="00821305">
        <w:rPr>
          <w:lang w:val="es-CL"/>
        </w:rPr>
        <w:t>Ver Anexo N°6: Proyección de Capacidad Esperada en SE Machala</w:t>
      </w:r>
    </w:p>
  </w:footnote>
  <w:footnote w:id="6">
    <w:p w:rsidR="00173FC2" w:rsidRPr="00223BC5" w:rsidRDefault="00173FC2">
      <w:pPr>
        <w:pStyle w:val="FootnoteText"/>
      </w:pPr>
      <w:r>
        <w:rPr>
          <w:rStyle w:val="FootnoteReference"/>
        </w:rPr>
        <w:footnoteRef/>
      </w:r>
      <w:r>
        <w:t xml:space="preserve"> </w:t>
      </w:r>
      <w:r w:rsidRPr="00223BC5">
        <w:t>Plan de inversiones en apoyo al cambio de la matriz energética de ecuador / EC-L1160. Evaluación Integral del Programa, J. García, 2016</w:t>
      </w:r>
      <w:r>
        <w:t xml:space="preserve">. Ver Tabla de Razones de </w:t>
      </w:r>
      <w:r w:rsidRPr="00B83B58">
        <w:t>Precio Cuenta en Anexo N°2</w:t>
      </w:r>
    </w:p>
  </w:footnote>
  <w:footnote w:id="7">
    <w:p w:rsidR="00173FC2" w:rsidRPr="0026406B" w:rsidRDefault="00173FC2">
      <w:pPr>
        <w:pStyle w:val="FootnoteText"/>
      </w:pPr>
      <w:r>
        <w:rPr>
          <w:rStyle w:val="FootnoteReference"/>
        </w:rPr>
        <w:footnoteRef/>
      </w:r>
      <w:r>
        <w:t xml:space="preserve"> A falta de mayores antecedentes al momento de esta evaluación se ha asignado una valor típico promedio al porcentaje de la inversión, aportado por el consultor, de 10% que correspondería en general a mano de obra de este tipo de proyectos.</w:t>
      </w:r>
    </w:p>
  </w:footnote>
  <w:footnote w:id="8">
    <w:p w:rsidR="00173FC2" w:rsidRPr="00223BC5" w:rsidRDefault="00173FC2">
      <w:pPr>
        <w:pStyle w:val="FootnoteText"/>
      </w:pPr>
      <w:r>
        <w:rPr>
          <w:rStyle w:val="FootnoteReference"/>
        </w:rPr>
        <w:footnoteRef/>
      </w:r>
      <w:r>
        <w:t xml:space="preserve"> Se asume, en general, que la mano de obra se compone de un 70% de MO Calificada, con una RPC de 0.922 y un 30de MO No Calificada, con una RPC de 0.369.</w:t>
      </w:r>
    </w:p>
  </w:footnote>
  <w:footnote w:id="9">
    <w:p w:rsidR="00173FC2" w:rsidRPr="007C09DB" w:rsidRDefault="00173FC2" w:rsidP="00647D2A">
      <w:pPr>
        <w:pStyle w:val="FootnoteText"/>
      </w:pPr>
      <w:r>
        <w:rPr>
          <w:rStyle w:val="FootnoteReference"/>
        </w:rPr>
        <w:footnoteRef/>
      </w:r>
      <w:r>
        <w:t xml:space="preserve"> </w:t>
      </w:r>
      <w:r>
        <w:rPr>
          <w:rFonts w:ascii="Arial" w:hAnsi="Arial" w:cs="Arial"/>
          <w:lang w:val="es-DO"/>
        </w:rPr>
        <w:t>E</w:t>
      </w:r>
      <w:r w:rsidRPr="00B31920">
        <w:rPr>
          <w:rFonts w:ascii="Arial" w:hAnsi="Arial" w:cs="Arial"/>
          <w:lang w:val="es-DO"/>
        </w:rPr>
        <w:t xml:space="preserve">lasticidad precio de la demanda por energía eléctrica de corto plazo revelada por diversos estudios </w:t>
      </w:r>
      <w:r>
        <w:rPr>
          <w:rFonts w:ascii="Arial" w:hAnsi="Arial" w:cs="Arial"/>
          <w:lang w:val="es-DO"/>
        </w:rPr>
        <w:t xml:space="preserve">como </w:t>
      </w:r>
      <w:r w:rsidRPr="00B31920">
        <w:rPr>
          <w:rFonts w:ascii="Arial" w:hAnsi="Arial" w:cs="Arial"/>
          <w:lang w:val="es-DO"/>
        </w:rPr>
        <w:t>IEA 2003, The power to choose</w:t>
      </w:r>
      <w:r>
        <w:rPr>
          <w:rFonts w:ascii="Arial" w:hAnsi="Arial" w:cs="Arial"/>
          <w:lang w:val="es-DO"/>
        </w:rPr>
        <w:t>.</w:t>
      </w:r>
    </w:p>
  </w:footnote>
  <w:footnote w:id="10">
    <w:p w:rsidR="00173FC2" w:rsidRPr="00DF5EF3" w:rsidRDefault="00173FC2">
      <w:pPr>
        <w:pStyle w:val="FootnoteText"/>
      </w:pPr>
      <w:r>
        <w:rPr>
          <w:rStyle w:val="FootnoteReference"/>
        </w:rPr>
        <w:footnoteRef/>
      </w:r>
      <w:r>
        <w:t xml:space="preserve"> Estadísticas del Sector Eléctrico 2016. ARCONEL.</w:t>
      </w:r>
    </w:p>
  </w:footnote>
  <w:footnote w:id="11">
    <w:p w:rsidR="00173FC2" w:rsidRPr="00770FC0" w:rsidRDefault="00173FC2">
      <w:pPr>
        <w:pStyle w:val="FootnoteText"/>
      </w:pPr>
      <w:r>
        <w:rPr>
          <w:rStyle w:val="FootnoteReference"/>
        </w:rPr>
        <w:footnoteRef/>
      </w:r>
      <w:r>
        <w:t xml:space="preserve"> Supuestos basados en la actual capacidad de S/E Mulaló y las limitaciones de la interconexión con Perú debidas a problemas latentes de inestabilidad. Actualmente en estudio por TRANSELCTRIC.</w:t>
      </w:r>
    </w:p>
  </w:footnote>
  <w:footnote w:id="12">
    <w:p w:rsidR="00173FC2" w:rsidRDefault="00173FC2" w:rsidP="00012A22">
      <w:pPr>
        <w:pStyle w:val="FootnoteText"/>
      </w:pPr>
      <w:r>
        <w:rPr>
          <w:rStyle w:val="FootnoteReference"/>
        </w:rPr>
        <w:footnoteRef/>
      </w:r>
      <w:r>
        <w:t xml:space="preserve"> </w:t>
      </w:r>
      <w:r w:rsidRPr="00443D2D">
        <w:t>Index Mundi (Diésel de ultra bajo azufre, ultra-low sulfur, N°2 precio spot FOB, puerto de New York</w:t>
      </w:r>
      <w:r>
        <w:t>. Junio 2017.</w:t>
      </w:r>
    </w:p>
    <w:p w:rsidR="00173FC2" w:rsidRPr="00443D2D" w:rsidRDefault="00173FC2" w:rsidP="00012A22">
      <w:pPr>
        <w:pStyle w:val="FootnoteText"/>
        <w:rPr>
          <w:lang w:val="es-CL"/>
        </w:rPr>
      </w:pPr>
    </w:p>
  </w:footnote>
  <w:footnote w:id="13">
    <w:p w:rsidR="00173FC2" w:rsidRPr="004261AA" w:rsidRDefault="00173FC2" w:rsidP="00012A22">
      <w:pPr>
        <w:pStyle w:val="FootnoteText"/>
        <w:rPr>
          <w:lang w:val="es-CL"/>
        </w:rPr>
      </w:pPr>
      <w:r>
        <w:rPr>
          <w:rStyle w:val="FootnoteReference"/>
        </w:rPr>
        <w:footnoteRef/>
      </w:r>
      <w:r>
        <w:t xml:space="preserve"> </w:t>
      </w:r>
      <w:r w:rsidRPr="004261AA">
        <w:t>EP PetroEcuador</w:t>
      </w:r>
      <w:r>
        <w:t>.</w:t>
      </w:r>
      <w:r w:rsidRPr="004261AA">
        <w:t xml:space="preserve"> F</w:t>
      </w:r>
      <w:r>
        <w:t>ebrero</w:t>
      </w:r>
      <w:r w:rsidRPr="004261AA">
        <w:t xml:space="preserve"> 2017</w:t>
      </w:r>
    </w:p>
  </w:footnote>
  <w:footnote w:id="14">
    <w:p w:rsidR="00173FC2" w:rsidRPr="005C5541" w:rsidRDefault="00173FC2">
      <w:pPr>
        <w:pStyle w:val="FootnoteText"/>
        <w:rPr>
          <w:lang w:val="es-CL"/>
        </w:rPr>
      </w:pPr>
      <w:r>
        <w:rPr>
          <w:rStyle w:val="FootnoteReference"/>
        </w:rPr>
        <w:footnoteRef/>
      </w:r>
      <w:r>
        <w:t xml:space="preserve"> </w:t>
      </w:r>
      <w:r>
        <w:rPr>
          <w:lang w:val="es-CL"/>
        </w:rPr>
        <w:t>El precio medio de venta del año i, se obtiene multiplicando el precio 2016 por el Factor de Proyección.</w:t>
      </w:r>
    </w:p>
  </w:footnote>
  <w:footnote w:id="15">
    <w:p w:rsidR="00173FC2" w:rsidRPr="00857454" w:rsidRDefault="00173FC2" w:rsidP="005C5541">
      <w:pPr>
        <w:pStyle w:val="FootnoteText"/>
        <w:jc w:val="both"/>
        <w:rPr>
          <w:lang w:val="es-ES_tradnl"/>
        </w:rPr>
      </w:pPr>
      <w:r>
        <w:rPr>
          <w:rStyle w:val="FootnoteReference"/>
        </w:rPr>
        <w:footnoteRef/>
      </w:r>
      <w:r w:rsidRPr="008F3413">
        <w:rPr>
          <w:lang w:val="en-US"/>
        </w:rPr>
        <w:t xml:space="preserve"> Methodolgy for Estimating the Cost of Energy not Supplied – Ecuadorian Case-. </w:t>
      </w:r>
      <w:r w:rsidRPr="00857454">
        <w:rPr>
          <w:lang w:val="es-ES_tradnl"/>
        </w:rPr>
        <w:t>Paul Vasquez y Ángel Vaca.</w:t>
      </w:r>
    </w:p>
  </w:footnote>
  <w:footnote w:id="16">
    <w:p w:rsidR="00173FC2" w:rsidRPr="005C5541" w:rsidRDefault="00173FC2" w:rsidP="00226377">
      <w:pPr>
        <w:pStyle w:val="FootnoteText"/>
        <w:rPr>
          <w:lang w:val="es-CL"/>
        </w:rPr>
      </w:pPr>
      <w:r>
        <w:rPr>
          <w:rStyle w:val="FootnoteReference"/>
        </w:rPr>
        <w:footnoteRef/>
      </w:r>
      <w:r>
        <w:t xml:space="preserve"> </w:t>
      </w:r>
      <w:r>
        <w:rPr>
          <w:lang w:val="es-CL"/>
        </w:rPr>
        <w:t>El precio medio de compra del año i, se obtiene multiplicando el precio 2016 por el Factor de Proyección.</w:t>
      </w:r>
    </w:p>
  </w:footnote>
  <w:footnote w:id="17">
    <w:p w:rsidR="00173FC2" w:rsidRPr="00223BC5" w:rsidRDefault="00173FC2" w:rsidP="005C42C2">
      <w:pPr>
        <w:pStyle w:val="FootnoteText"/>
      </w:pPr>
      <w:r>
        <w:rPr>
          <w:rStyle w:val="FootnoteReference"/>
        </w:rPr>
        <w:footnoteRef/>
      </w:r>
      <w:r>
        <w:t xml:space="preserve"> </w:t>
      </w:r>
      <w:r w:rsidRPr="00223BC5">
        <w:t>Plan de inversiones en apoyo al cambio de la matriz energética de ecuador / EC-L1160. Evaluación Integral del Programa, J. García, 2016</w:t>
      </w:r>
      <w:r>
        <w:t xml:space="preserve">. Ver Tabla de Razones de </w:t>
      </w:r>
      <w:r w:rsidRPr="00B83B58">
        <w:t>Precio Cuenta en Anexo N°2</w:t>
      </w:r>
    </w:p>
  </w:footnote>
  <w:footnote w:id="18">
    <w:p w:rsidR="00173FC2" w:rsidRPr="0026406B" w:rsidRDefault="00173FC2" w:rsidP="005C42C2">
      <w:pPr>
        <w:pStyle w:val="FootnoteText"/>
      </w:pPr>
      <w:r>
        <w:rPr>
          <w:rStyle w:val="FootnoteReference"/>
        </w:rPr>
        <w:footnoteRef/>
      </w:r>
      <w:r>
        <w:t xml:space="preserve"> A falta de mayores antecedentes al momento de esta evaluación se ha asignado una valor típico promedio al porcentaje de la inversión, aportado por el consultor, de 30% que correspondería en general a mano de obra de este tipo de proyectos.</w:t>
      </w:r>
    </w:p>
  </w:footnote>
  <w:footnote w:id="19">
    <w:p w:rsidR="00173FC2" w:rsidRPr="00223BC5" w:rsidRDefault="00173FC2" w:rsidP="005C42C2">
      <w:pPr>
        <w:pStyle w:val="FootnoteText"/>
      </w:pPr>
      <w:r>
        <w:rPr>
          <w:rStyle w:val="FootnoteReference"/>
        </w:rPr>
        <w:footnoteRef/>
      </w:r>
      <w:r>
        <w:t xml:space="preserve"> Se asume, en general, que la mano de obra se compone de un 80% de MO Calificada, con una RPC de 0.922 y un 20de MO No Calificada, con una RPC de 0.369.</w:t>
      </w:r>
    </w:p>
  </w:footnote>
  <w:footnote w:id="20">
    <w:p w:rsidR="00173FC2" w:rsidRPr="00CE4BA2" w:rsidRDefault="00173FC2">
      <w:pPr>
        <w:pStyle w:val="FootnoteText"/>
      </w:pPr>
      <w:r>
        <w:rPr>
          <w:rStyle w:val="FootnoteReference"/>
        </w:rPr>
        <w:footnoteRef/>
      </w:r>
      <w:r>
        <w:t xml:space="preserve"> Fuente: Evaluación económica y financiera del programa BID EC-L1160. J. García (2016)</w:t>
      </w:r>
    </w:p>
  </w:footnote>
  <w:footnote w:id="21">
    <w:p w:rsidR="00173FC2" w:rsidRPr="00B92B10" w:rsidRDefault="00173FC2">
      <w:pPr>
        <w:pStyle w:val="FootnoteText"/>
        <w:rPr>
          <w:lang w:val="es-CL"/>
        </w:rPr>
      </w:pPr>
      <w:r>
        <w:rPr>
          <w:rStyle w:val="FootnoteReference"/>
        </w:rPr>
        <w:footnoteRef/>
      </w:r>
      <w:r>
        <w:t xml:space="preserve"> </w:t>
      </w:r>
      <w:r>
        <w:rPr>
          <w:lang w:val="es-CL"/>
        </w:rPr>
        <w:t>Datos compartidos por la Gerencia del Programa FERUM del MEER.</w:t>
      </w:r>
    </w:p>
  </w:footnote>
  <w:footnote w:id="22">
    <w:p w:rsidR="00173FC2" w:rsidRPr="00223BC5" w:rsidRDefault="00173FC2" w:rsidP="00B81027">
      <w:pPr>
        <w:pStyle w:val="FootnoteText"/>
      </w:pPr>
      <w:r>
        <w:rPr>
          <w:rStyle w:val="FootnoteReference"/>
        </w:rPr>
        <w:footnoteRef/>
      </w:r>
      <w:r>
        <w:t xml:space="preserve"> </w:t>
      </w:r>
      <w:r w:rsidRPr="00223BC5">
        <w:t>Plan de inversiones en apoyo al cambio de la matriz energética de ecuador / EC-L1160. Evaluación Integral del Programa, J. García, 2016</w:t>
      </w:r>
      <w:r>
        <w:t xml:space="preserve">. Ver Tabla de Razones de </w:t>
      </w:r>
      <w:r w:rsidRPr="00B83B58">
        <w:t>Precio Cuenta en Anexo N°2</w:t>
      </w:r>
    </w:p>
  </w:footnote>
  <w:footnote w:id="23">
    <w:p w:rsidR="00173FC2" w:rsidRPr="003147EB" w:rsidRDefault="00173FC2">
      <w:pPr>
        <w:pStyle w:val="FootnoteText"/>
        <w:rPr>
          <w:lang w:val="es-CL"/>
        </w:rPr>
      </w:pPr>
      <w:r>
        <w:rPr>
          <w:rStyle w:val="FootnoteReference"/>
        </w:rPr>
        <w:footnoteRef/>
      </w:r>
      <w:r>
        <w:t xml:space="preserve"> </w:t>
      </w:r>
      <w:r>
        <w:rPr>
          <w:lang w:val="es-CL"/>
        </w:rPr>
        <w:t>Datos provenientes de la Evaluación Económica y Financiera del Programa BID EC-L1160. J. García (2016)</w:t>
      </w:r>
    </w:p>
  </w:footnote>
  <w:footnote w:id="24">
    <w:p w:rsidR="00173FC2" w:rsidRPr="00223BC5" w:rsidRDefault="00173FC2" w:rsidP="00986300">
      <w:pPr>
        <w:pStyle w:val="FootnoteText"/>
      </w:pPr>
      <w:r>
        <w:rPr>
          <w:rStyle w:val="FootnoteReference"/>
        </w:rPr>
        <w:footnoteRef/>
      </w:r>
      <w:r>
        <w:t xml:space="preserve"> </w:t>
      </w:r>
      <w:r w:rsidRPr="00223BC5">
        <w:t>Plan de inversiones en apoyo al cambio de la matriz energética de ecuador / EC-L1160. Evaluación Integral del Programa, J. García, 2016</w:t>
      </w:r>
      <w:r>
        <w:t xml:space="preserve">. Ver Tabla de Razones de </w:t>
      </w:r>
      <w:r w:rsidRPr="00B83B58">
        <w:t>Precio Cuenta en Anexo N°2</w:t>
      </w:r>
    </w:p>
  </w:footnote>
  <w:footnote w:id="25">
    <w:p w:rsidR="00173FC2" w:rsidRPr="00223BC5" w:rsidRDefault="00173FC2" w:rsidP="00986300">
      <w:pPr>
        <w:pStyle w:val="FootnoteText"/>
      </w:pPr>
      <w:r>
        <w:rPr>
          <w:rStyle w:val="FootnoteReference"/>
        </w:rPr>
        <w:footnoteRef/>
      </w:r>
      <w:r>
        <w:t xml:space="preserve"> Se asume, en general, que la mano de obra se compone de un 80% de MO Calificada, con una RPC de 0.922 y un 20de MO No Calificada, con una RPC de 0.369.</w:t>
      </w:r>
    </w:p>
  </w:footnote>
  <w:footnote w:id="26">
    <w:p w:rsidR="00173FC2" w:rsidRPr="00B027E0" w:rsidRDefault="00173FC2" w:rsidP="00DB5A36">
      <w:pPr>
        <w:pStyle w:val="FootnoteText"/>
        <w:rPr>
          <w:lang w:val="es-CL"/>
        </w:rPr>
      </w:pPr>
      <w:r>
        <w:rPr>
          <w:rStyle w:val="FootnoteReference"/>
        </w:rPr>
        <w:footnoteRef/>
      </w:r>
      <w:r>
        <w:t xml:space="preserve"> P</w:t>
      </w:r>
      <w:r w:rsidRPr="00B027E0">
        <w:t>refactibilidad para conectar camaroneras del litoral ecuatoriano a las redes eléctricas de distribución</w:t>
      </w:r>
      <w:r>
        <w:t xml:space="preserve">. </w:t>
      </w:r>
      <w:r w:rsidRPr="00B027E0">
        <w:t xml:space="preserve">Ministerio de </w:t>
      </w:r>
      <w:r>
        <w:t>A</w:t>
      </w:r>
      <w:r w:rsidRPr="00B027E0">
        <w:t xml:space="preserve">gricultura, </w:t>
      </w:r>
      <w:r>
        <w:t>G</w:t>
      </w:r>
      <w:r w:rsidRPr="00B027E0">
        <w:t xml:space="preserve">anadería, </w:t>
      </w:r>
      <w:r>
        <w:t>A</w:t>
      </w:r>
      <w:r w:rsidRPr="00B027E0">
        <w:t xml:space="preserve">cuacultura y </w:t>
      </w:r>
      <w:r>
        <w:t>P</w:t>
      </w:r>
      <w:r w:rsidRPr="00B027E0">
        <w:t>esca, MAGAP</w:t>
      </w:r>
      <w:r>
        <w:t>, octubre 2015.</w:t>
      </w:r>
    </w:p>
    <w:p w:rsidR="00173FC2" w:rsidRPr="00DB5A36" w:rsidRDefault="00173FC2">
      <w:pPr>
        <w:pStyle w:val="FootnoteText"/>
      </w:pPr>
    </w:p>
  </w:footnote>
  <w:footnote w:id="27">
    <w:p w:rsidR="00173FC2" w:rsidRPr="00B027E0" w:rsidRDefault="00173FC2">
      <w:pPr>
        <w:pStyle w:val="FootnoteText"/>
        <w:rPr>
          <w:lang w:val="es-CL"/>
        </w:rPr>
      </w:pPr>
      <w:r>
        <w:rPr>
          <w:rStyle w:val="FootnoteReference"/>
        </w:rPr>
        <w:footnoteRef/>
      </w:r>
      <w:r>
        <w:t xml:space="preserve"> P</w:t>
      </w:r>
      <w:r w:rsidRPr="00B027E0">
        <w:t>refactibilidad para conectar camaroneras del litoral ecuatoriano a las redes eléctricas de distribución</w:t>
      </w:r>
      <w:r>
        <w:t xml:space="preserve">. </w:t>
      </w:r>
      <w:r w:rsidRPr="00B027E0">
        <w:t xml:space="preserve">Ministerio de </w:t>
      </w:r>
      <w:r>
        <w:t>A</w:t>
      </w:r>
      <w:r w:rsidRPr="00B027E0">
        <w:t xml:space="preserve">gricultura, </w:t>
      </w:r>
      <w:r>
        <w:t>G</w:t>
      </w:r>
      <w:r w:rsidRPr="00B027E0">
        <w:t xml:space="preserve">anadería, </w:t>
      </w:r>
      <w:r>
        <w:t>A</w:t>
      </w:r>
      <w:r w:rsidRPr="00B027E0">
        <w:t xml:space="preserve">cuacultura y </w:t>
      </w:r>
      <w:r>
        <w:t>P</w:t>
      </w:r>
      <w:r w:rsidRPr="00B027E0">
        <w:t>esca, MAGAP</w:t>
      </w:r>
      <w:r>
        <w:t>, octubre 2015.</w:t>
      </w:r>
    </w:p>
  </w:footnote>
  <w:footnote w:id="28">
    <w:p w:rsidR="00173FC2" w:rsidRPr="00BB638C" w:rsidRDefault="00173FC2">
      <w:pPr>
        <w:pStyle w:val="FootnoteText"/>
        <w:rPr>
          <w:lang w:val="es-CL"/>
        </w:rPr>
      </w:pPr>
      <w:r>
        <w:rPr>
          <w:rStyle w:val="FootnoteReference"/>
        </w:rPr>
        <w:footnoteRef/>
      </w:r>
      <w:r>
        <w:t xml:space="preserve"> </w:t>
      </w:r>
      <w:r>
        <w:rPr>
          <w:lang w:val="es-CL"/>
        </w:rPr>
        <w:t>Estos niveles de utilidad para la industria camaronera consideran de forma conservadora un 10% de éxito para la predicción original de incremento de Lb/Hectárea y tamaño final del camarón para la condición con proyecto. Este parámetro de éxito constituye una incertidumbre del proceso de evaluación y su eventual modificación será objeto de sensibilidad.</w:t>
      </w:r>
    </w:p>
  </w:footnote>
  <w:footnote w:id="29">
    <w:p w:rsidR="00173FC2" w:rsidRPr="0026427E" w:rsidRDefault="00173FC2">
      <w:pPr>
        <w:pStyle w:val="FootnoteText"/>
      </w:pPr>
      <w:r>
        <w:rPr>
          <w:rStyle w:val="FootnoteReference"/>
        </w:rPr>
        <w:footnoteRef/>
      </w:r>
      <w:r>
        <w:t xml:space="preserve"> Se asume que las inversiones incrementales del Sector Camaronero tendrán los incentivos tributarios del Código Orgánico de la Producción, Comercio e Inversiones, y la Resolución N°82 del Comité de Comercio Exterior (08/2012), respecto de </w:t>
      </w:r>
      <w:r w:rsidRPr="0026427E">
        <w:rPr>
          <w:b/>
          <w:i/>
        </w:rPr>
        <w:t>Contratos de Inversión</w:t>
      </w:r>
      <w:r>
        <w:t>.</w:t>
      </w:r>
    </w:p>
  </w:footnote>
  <w:footnote w:id="30">
    <w:p w:rsidR="00173FC2" w:rsidRPr="00864702" w:rsidRDefault="00173FC2">
      <w:pPr>
        <w:pStyle w:val="FootnoteText"/>
        <w:rPr>
          <w:lang w:val="en-US"/>
        </w:rPr>
      </w:pPr>
      <w:r>
        <w:rPr>
          <w:rStyle w:val="FootnoteReference"/>
        </w:rPr>
        <w:footnoteRef/>
      </w:r>
      <w:r>
        <w:t xml:space="preserve"> </w:t>
      </w:r>
      <w:r w:rsidRPr="00443D2D">
        <w:t>Index Mundi (Diésel de ultra bajo azufre, ultra-low sulfur, N°2 precio spot FOB, puerto de New York</w:t>
      </w:r>
      <w:r>
        <w:t xml:space="preserve">. </w:t>
      </w:r>
      <w:r w:rsidRPr="00864702">
        <w:rPr>
          <w:lang w:val="en-US"/>
        </w:rPr>
        <w:t>Junio 2017.</w:t>
      </w:r>
    </w:p>
  </w:footnote>
  <w:footnote w:id="31">
    <w:p w:rsidR="00173FC2" w:rsidRPr="00864702" w:rsidRDefault="00173FC2">
      <w:pPr>
        <w:pStyle w:val="FootnoteText"/>
        <w:rPr>
          <w:lang w:val="en-US"/>
        </w:rPr>
      </w:pPr>
      <w:r>
        <w:rPr>
          <w:rStyle w:val="FootnoteReference"/>
        </w:rPr>
        <w:footnoteRef/>
      </w:r>
      <w:r w:rsidRPr="00864702">
        <w:rPr>
          <w:lang w:val="en-US"/>
        </w:rPr>
        <w:t xml:space="preserve"> EP PetroEcuador. Febrero 2017</w:t>
      </w:r>
    </w:p>
  </w:footnote>
  <w:footnote w:id="32">
    <w:p w:rsidR="00173FC2" w:rsidRDefault="00173FC2" w:rsidP="00A43874">
      <w:pPr>
        <w:pStyle w:val="FootnoteText"/>
        <w:rPr>
          <w:lang w:val="en-US"/>
        </w:rPr>
      </w:pPr>
      <w:r>
        <w:rPr>
          <w:rStyle w:val="FootnoteReference"/>
        </w:rPr>
        <w:footnoteRef/>
      </w:r>
      <w:r w:rsidRPr="00A43874">
        <w:rPr>
          <w:lang w:val="en-US"/>
        </w:rPr>
        <w:t xml:space="preserve"> Véase por ejemplo:</w:t>
      </w:r>
    </w:p>
    <w:p w:rsidR="00173FC2" w:rsidRPr="00864702" w:rsidRDefault="00173FC2" w:rsidP="00872DE1">
      <w:pPr>
        <w:pStyle w:val="FootnoteText"/>
        <w:ind w:left="708"/>
      </w:pPr>
      <w:r w:rsidRPr="00A43874">
        <w:rPr>
          <w:lang w:val="en-US"/>
        </w:rPr>
        <w:t xml:space="preserve"> “Assessing the Costs and Benefits of</w:t>
      </w:r>
      <w:r>
        <w:rPr>
          <w:lang w:val="en-US"/>
        </w:rPr>
        <w:t xml:space="preserve"> </w:t>
      </w:r>
      <w:r w:rsidRPr="00A43874">
        <w:rPr>
          <w:lang w:val="en-US"/>
        </w:rPr>
        <w:t>the Superior Energy Performance</w:t>
      </w:r>
      <w:r>
        <w:rPr>
          <w:lang w:val="en-US"/>
        </w:rPr>
        <w:t xml:space="preserve"> </w:t>
      </w:r>
      <w:r w:rsidRPr="00A43874">
        <w:rPr>
          <w:lang w:val="en-US"/>
        </w:rPr>
        <w:t>Program</w:t>
      </w:r>
      <w:r>
        <w:rPr>
          <w:lang w:val="en-US"/>
        </w:rPr>
        <w:t xml:space="preserve">”. </w:t>
      </w:r>
      <w:r w:rsidRPr="00864702">
        <w:t>Lawrence 2013. Berkeley Lab.</w:t>
      </w:r>
    </w:p>
    <w:p w:rsidR="00173FC2" w:rsidRPr="00872DE1" w:rsidRDefault="00173FC2" w:rsidP="00872DE1">
      <w:pPr>
        <w:pStyle w:val="FootnoteText"/>
        <w:ind w:left="708"/>
      </w:pPr>
      <w:r w:rsidRPr="00872DE1">
        <w:t>“La norma ISO 50001 genera a las empresas un ahorro de energía de hasta el 30%</w:t>
      </w:r>
      <w:r>
        <w:t>” Nota de Prensa AENOR (</w:t>
      </w:r>
      <w:r w:rsidRPr="00872DE1">
        <w:t>Asociación Española de Normalización, UNE</w:t>
      </w:r>
      <w:r>
        <w:t>). Marzo 2017</w:t>
      </w:r>
    </w:p>
  </w:footnote>
  <w:footnote w:id="33">
    <w:p w:rsidR="00173FC2" w:rsidRPr="009867D8" w:rsidRDefault="00173FC2" w:rsidP="009867D8">
      <w:pPr>
        <w:pStyle w:val="FootnoteText"/>
      </w:pPr>
      <w:r>
        <w:rPr>
          <w:rStyle w:val="FootnoteReference"/>
        </w:rPr>
        <w:footnoteRef/>
      </w:r>
      <w:r>
        <w:t xml:space="preserve"> Para efecto de evaluación, incluye obras de sub transmisión en sistema La Avanzada.</w:t>
      </w:r>
    </w:p>
  </w:footnote>
  <w:footnote w:id="34">
    <w:p w:rsidR="00173FC2" w:rsidRPr="00F92A63" w:rsidRDefault="00173FC2">
      <w:pPr>
        <w:pStyle w:val="FootnoteText"/>
        <w:rPr>
          <w:lang w:val="es-CL"/>
        </w:rPr>
      </w:pPr>
      <w:r>
        <w:rPr>
          <w:rStyle w:val="FootnoteReference"/>
        </w:rPr>
        <w:footnoteRef/>
      </w:r>
      <w:r>
        <w:t xml:space="preserve"> </w:t>
      </w:r>
      <w:r>
        <w:rPr>
          <w:lang w:val="es-CL"/>
        </w:rPr>
        <w:t>Fuente. Evaluación Financiera y Económica del Programa EC-L1160. J. García (2016)</w:t>
      </w:r>
    </w:p>
  </w:footnote>
  <w:footnote w:id="35">
    <w:p w:rsidR="00173FC2" w:rsidRPr="00243CBD" w:rsidRDefault="00173FC2">
      <w:pPr>
        <w:pStyle w:val="FootnoteText"/>
        <w:rPr>
          <w:lang w:val="es-CL"/>
        </w:rPr>
      </w:pPr>
      <w:r>
        <w:rPr>
          <w:rStyle w:val="FootnoteReference"/>
        </w:rPr>
        <w:footnoteRef/>
      </w:r>
      <w:r>
        <w:t xml:space="preserve"> </w:t>
      </w:r>
      <w:r>
        <w:rPr>
          <w:lang w:val="es-CL"/>
        </w:rPr>
        <w:t>Véase, por ejemplo: Análisis estadístico de erupciones del volcán Villarrica, Andes del Sur, Chile. Polanco y Clavero. Universidad de Concepción. 2003.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226A5"/>
    <w:multiLevelType w:val="hybridMultilevel"/>
    <w:tmpl w:val="9878C6AC"/>
    <w:lvl w:ilvl="0" w:tplc="5D8E715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DBC7DBF"/>
    <w:multiLevelType w:val="hybridMultilevel"/>
    <w:tmpl w:val="BD2E15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0C71F50"/>
    <w:multiLevelType w:val="hybridMultilevel"/>
    <w:tmpl w:val="F410B46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689052E"/>
    <w:multiLevelType w:val="hybridMultilevel"/>
    <w:tmpl w:val="C924101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7522809"/>
    <w:multiLevelType w:val="hybridMultilevel"/>
    <w:tmpl w:val="4C0AAB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7EC402E"/>
    <w:multiLevelType w:val="hybridMultilevel"/>
    <w:tmpl w:val="4E26840C"/>
    <w:lvl w:ilvl="0" w:tplc="B38CB35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80B71B5"/>
    <w:multiLevelType w:val="hybridMultilevel"/>
    <w:tmpl w:val="F404FA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AF70F89"/>
    <w:multiLevelType w:val="hybridMultilevel"/>
    <w:tmpl w:val="6EEA9FC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DDB786E"/>
    <w:multiLevelType w:val="hybridMultilevel"/>
    <w:tmpl w:val="B97EB7C8"/>
    <w:lvl w:ilvl="0" w:tplc="F3B2BA0A">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71A31B0"/>
    <w:multiLevelType w:val="hybridMultilevel"/>
    <w:tmpl w:val="BC4096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F653C6B"/>
    <w:multiLevelType w:val="hybridMultilevel"/>
    <w:tmpl w:val="13DA0C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1477754"/>
    <w:multiLevelType w:val="hybridMultilevel"/>
    <w:tmpl w:val="476663D8"/>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361323B"/>
    <w:multiLevelType w:val="hybridMultilevel"/>
    <w:tmpl w:val="678277C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59479F2"/>
    <w:multiLevelType w:val="hybridMultilevel"/>
    <w:tmpl w:val="CB506884"/>
    <w:lvl w:ilvl="0" w:tplc="2CEA584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5E06FA9"/>
    <w:multiLevelType w:val="hybridMultilevel"/>
    <w:tmpl w:val="C79A0C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9A46916"/>
    <w:multiLevelType w:val="hybridMultilevel"/>
    <w:tmpl w:val="625835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B9F626D"/>
    <w:multiLevelType w:val="hybridMultilevel"/>
    <w:tmpl w:val="55B695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4562526"/>
    <w:multiLevelType w:val="hybridMultilevel"/>
    <w:tmpl w:val="C49E543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65F4D9B"/>
    <w:multiLevelType w:val="hybridMultilevel"/>
    <w:tmpl w:val="40F41C12"/>
    <w:lvl w:ilvl="0" w:tplc="003097A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6C6362D"/>
    <w:multiLevelType w:val="hybridMultilevel"/>
    <w:tmpl w:val="CAB04E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A50432D"/>
    <w:multiLevelType w:val="hybridMultilevel"/>
    <w:tmpl w:val="C66006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A7A0ADE"/>
    <w:multiLevelType w:val="hybridMultilevel"/>
    <w:tmpl w:val="4DECEB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DAB0598"/>
    <w:multiLevelType w:val="hybridMultilevel"/>
    <w:tmpl w:val="92D8CA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B070904"/>
    <w:multiLevelType w:val="hybridMultilevel"/>
    <w:tmpl w:val="10E2F1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D196CF0"/>
    <w:multiLevelType w:val="hybridMultilevel"/>
    <w:tmpl w:val="1AF20B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9"/>
  </w:num>
  <w:num w:numId="4">
    <w:abstractNumId w:val="0"/>
  </w:num>
  <w:num w:numId="5">
    <w:abstractNumId w:val="8"/>
  </w:num>
  <w:num w:numId="6">
    <w:abstractNumId w:val="16"/>
  </w:num>
  <w:num w:numId="7">
    <w:abstractNumId w:val="15"/>
  </w:num>
  <w:num w:numId="8">
    <w:abstractNumId w:val="2"/>
  </w:num>
  <w:num w:numId="9">
    <w:abstractNumId w:val="20"/>
  </w:num>
  <w:num w:numId="10">
    <w:abstractNumId w:val="4"/>
  </w:num>
  <w:num w:numId="11">
    <w:abstractNumId w:val="17"/>
  </w:num>
  <w:num w:numId="12">
    <w:abstractNumId w:val="1"/>
  </w:num>
  <w:num w:numId="13">
    <w:abstractNumId w:val="21"/>
  </w:num>
  <w:num w:numId="14">
    <w:abstractNumId w:val="22"/>
  </w:num>
  <w:num w:numId="15">
    <w:abstractNumId w:val="10"/>
  </w:num>
  <w:num w:numId="16">
    <w:abstractNumId w:val="7"/>
  </w:num>
  <w:num w:numId="17">
    <w:abstractNumId w:val="6"/>
  </w:num>
  <w:num w:numId="18">
    <w:abstractNumId w:val="23"/>
  </w:num>
  <w:num w:numId="19">
    <w:abstractNumId w:val="3"/>
  </w:num>
  <w:num w:numId="20">
    <w:abstractNumId w:val="11"/>
  </w:num>
  <w:num w:numId="21">
    <w:abstractNumId w:val="9"/>
  </w:num>
  <w:num w:numId="22">
    <w:abstractNumId w:val="14"/>
  </w:num>
  <w:num w:numId="23">
    <w:abstractNumId w:val="24"/>
  </w:num>
  <w:num w:numId="24">
    <w:abstractNumId w:val="1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3D2"/>
    <w:rsid w:val="00000D0F"/>
    <w:rsid w:val="00003CC0"/>
    <w:rsid w:val="0000449C"/>
    <w:rsid w:val="00007032"/>
    <w:rsid w:val="00012A22"/>
    <w:rsid w:val="00012A3B"/>
    <w:rsid w:val="00020E04"/>
    <w:rsid w:val="000268A5"/>
    <w:rsid w:val="000334B2"/>
    <w:rsid w:val="00033EC8"/>
    <w:rsid w:val="00035BC2"/>
    <w:rsid w:val="000373B9"/>
    <w:rsid w:val="0005691F"/>
    <w:rsid w:val="00063953"/>
    <w:rsid w:val="00071E43"/>
    <w:rsid w:val="000722A4"/>
    <w:rsid w:val="00072F88"/>
    <w:rsid w:val="000753E7"/>
    <w:rsid w:val="00077DB8"/>
    <w:rsid w:val="00080141"/>
    <w:rsid w:val="00080750"/>
    <w:rsid w:val="00092045"/>
    <w:rsid w:val="00093F74"/>
    <w:rsid w:val="000A0DCB"/>
    <w:rsid w:val="000A1197"/>
    <w:rsid w:val="000A40D3"/>
    <w:rsid w:val="000B16FC"/>
    <w:rsid w:val="000B2EA2"/>
    <w:rsid w:val="000B71DD"/>
    <w:rsid w:val="000B7DDE"/>
    <w:rsid w:val="000C18EC"/>
    <w:rsid w:val="000C1D25"/>
    <w:rsid w:val="000C4A4A"/>
    <w:rsid w:val="000D2A04"/>
    <w:rsid w:val="000D6F8C"/>
    <w:rsid w:val="000E1701"/>
    <w:rsid w:val="000E2D52"/>
    <w:rsid w:val="000F4010"/>
    <w:rsid w:val="00102F17"/>
    <w:rsid w:val="001045C1"/>
    <w:rsid w:val="001065FC"/>
    <w:rsid w:val="00116053"/>
    <w:rsid w:val="00125DC1"/>
    <w:rsid w:val="0014510F"/>
    <w:rsid w:val="00151DFC"/>
    <w:rsid w:val="00166906"/>
    <w:rsid w:val="00173FC2"/>
    <w:rsid w:val="001768EC"/>
    <w:rsid w:val="001813A6"/>
    <w:rsid w:val="00191172"/>
    <w:rsid w:val="00192366"/>
    <w:rsid w:val="001923F4"/>
    <w:rsid w:val="0019435C"/>
    <w:rsid w:val="001A0730"/>
    <w:rsid w:val="001A4AC9"/>
    <w:rsid w:val="001B3BAD"/>
    <w:rsid w:val="001B6BC2"/>
    <w:rsid w:val="001B743A"/>
    <w:rsid w:val="001C19FE"/>
    <w:rsid w:val="001C1D06"/>
    <w:rsid w:val="001D08CB"/>
    <w:rsid w:val="001D2273"/>
    <w:rsid w:val="001D50AB"/>
    <w:rsid w:val="001D6D32"/>
    <w:rsid w:val="001E7B75"/>
    <w:rsid w:val="001F2A1D"/>
    <w:rsid w:val="001F7F6C"/>
    <w:rsid w:val="002071B0"/>
    <w:rsid w:val="00213901"/>
    <w:rsid w:val="002162D4"/>
    <w:rsid w:val="00216FE9"/>
    <w:rsid w:val="0021708E"/>
    <w:rsid w:val="0021771F"/>
    <w:rsid w:val="00223A94"/>
    <w:rsid w:val="00223BC5"/>
    <w:rsid w:val="002258C5"/>
    <w:rsid w:val="00226377"/>
    <w:rsid w:val="00227396"/>
    <w:rsid w:val="00235563"/>
    <w:rsid w:val="00236F36"/>
    <w:rsid w:val="002432C0"/>
    <w:rsid w:val="00243CBD"/>
    <w:rsid w:val="00244B12"/>
    <w:rsid w:val="00250927"/>
    <w:rsid w:val="002625B2"/>
    <w:rsid w:val="0026406B"/>
    <w:rsid w:val="0026427E"/>
    <w:rsid w:val="00265AEE"/>
    <w:rsid w:val="00285395"/>
    <w:rsid w:val="002875E1"/>
    <w:rsid w:val="00287848"/>
    <w:rsid w:val="00290216"/>
    <w:rsid w:val="00290752"/>
    <w:rsid w:val="00292463"/>
    <w:rsid w:val="0029588C"/>
    <w:rsid w:val="002A0161"/>
    <w:rsid w:val="002A0F6E"/>
    <w:rsid w:val="002A3FEF"/>
    <w:rsid w:val="002C38C4"/>
    <w:rsid w:val="002C5E50"/>
    <w:rsid w:val="002D02C3"/>
    <w:rsid w:val="002D1DAB"/>
    <w:rsid w:val="002D5903"/>
    <w:rsid w:val="002E31C1"/>
    <w:rsid w:val="002E4752"/>
    <w:rsid w:val="002F6B9D"/>
    <w:rsid w:val="00303241"/>
    <w:rsid w:val="003065DD"/>
    <w:rsid w:val="003147EB"/>
    <w:rsid w:val="003230D4"/>
    <w:rsid w:val="00323AC0"/>
    <w:rsid w:val="00325B93"/>
    <w:rsid w:val="00327A26"/>
    <w:rsid w:val="00333DFC"/>
    <w:rsid w:val="003472E0"/>
    <w:rsid w:val="0035207B"/>
    <w:rsid w:val="003556D4"/>
    <w:rsid w:val="00356E5C"/>
    <w:rsid w:val="003645DD"/>
    <w:rsid w:val="00372FE0"/>
    <w:rsid w:val="003767DB"/>
    <w:rsid w:val="00376E5A"/>
    <w:rsid w:val="00381E4F"/>
    <w:rsid w:val="003826EC"/>
    <w:rsid w:val="003847C6"/>
    <w:rsid w:val="003903AA"/>
    <w:rsid w:val="00391408"/>
    <w:rsid w:val="003B23C2"/>
    <w:rsid w:val="003B547C"/>
    <w:rsid w:val="003B75E4"/>
    <w:rsid w:val="003B7CF7"/>
    <w:rsid w:val="003C1C85"/>
    <w:rsid w:val="003C75B0"/>
    <w:rsid w:val="003C7D0D"/>
    <w:rsid w:val="003D02D9"/>
    <w:rsid w:val="003D24CD"/>
    <w:rsid w:val="003E5BAD"/>
    <w:rsid w:val="003E722B"/>
    <w:rsid w:val="003F21A0"/>
    <w:rsid w:val="003F43F4"/>
    <w:rsid w:val="003F4BB0"/>
    <w:rsid w:val="00401428"/>
    <w:rsid w:val="00406B2A"/>
    <w:rsid w:val="0041058A"/>
    <w:rsid w:val="0041786A"/>
    <w:rsid w:val="00425EB1"/>
    <w:rsid w:val="004261AA"/>
    <w:rsid w:val="0043180A"/>
    <w:rsid w:val="0043788B"/>
    <w:rsid w:val="00443D2D"/>
    <w:rsid w:val="00450D60"/>
    <w:rsid w:val="00451BB9"/>
    <w:rsid w:val="004641B5"/>
    <w:rsid w:val="004662DE"/>
    <w:rsid w:val="004732EB"/>
    <w:rsid w:val="00473D0F"/>
    <w:rsid w:val="004749EC"/>
    <w:rsid w:val="0048090A"/>
    <w:rsid w:val="00480D45"/>
    <w:rsid w:val="004825E6"/>
    <w:rsid w:val="0049138F"/>
    <w:rsid w:val="00496C40"/>
    <w:rsid w:val="004A6C30"/>
    <w:rsid w:val="004C2CEC"/>
    <w:rsid w:val="004C733C"/>
    <w:rsid w:val="004D06CD"/>
    <w:rsid w:val="004D0F94"/>
    <w:rsid w:val="004D1E53"/>
    <w:rsid w:val="004E4264"/>
    <w:rsid w:val="00501A5C"/>
    <w:rsid w:val="00504271"/>
    <w:rsid w:val="005054B0"/>
    <w:rsid w:val="00514FB0"/>
    <w:rsid w:val="0052351D"/>
    <w:rsid w:val="00527FFD"/>
    <w:rsid w:val="005326C2"/>
    <w:rsid w:val="0054077B"/>
    <w:rsid w:val="00542016"/>
    <w:rsid w:val="00544D52"/>
    <w:rsid w:val="00545540"/>
    <w:rsid w:val="00546E5B"/>
    <w:rsid w:val="0055715E"/>
    <w:rsid w:val="00560C38"/>
    <w:rsid w:val="005622BB"/>
    <w:rsid w:val="00573753"/>
    <w:rsid w:val="00573D66"/>
    <w:rsid w:val="0057499B"/>
    <w:rsid w:val="005A4253"/>
    <w:rsid w:val="005C0032"/>
    <w:rsid w:val="005C3744"/>
    <w:rsid w:val="005C42C2"/>
    <w:rsid w:val="005C527E"/>
    <w:rsid w:val="005C5541"/>
    <w:rsid w:val="005C6146"/>
    <w:rsid w:val="005C6D62"/>
    <w:rsid w:val="005C7F8A"/>
    <w:rsid w:val="005D0089"/>
    <w:rsid w:val="005D7C4D"/>
    <w:rsid w:val="005E5400"/>
    <w:rsid w:val="005F1265"/>
    <w:rsid w:val="005F1FEB"/>
    <w:rsid w:val="00600D33"/>
    <w:rsid w:val="006041FE"/>
    <w:rsid w:val="00604C67"/>
    <w:rsid w:val="00605217"/>
    <w:rsid w:val="00606C02"/>
    <w:rsid w:val="0061035B"/>
    <w:rsid w:val="006147E4"/>
    <w:rsid w:val="00615867"/>
    <w:rsid w:val="006162CD"/>
    <w:rsid w:val="00616D34"/>
    <w:rsid w:val="00617B13"/>
    <w:rsid w:val="0062222A"/>
    <w:rsid w:val="00622376"/>
    <w:rsid w:val="006248FB"/>
    <w:rsid w:val="00633397"/>
    <w:rsid w:val="00640CB4"/>
    <w:rsid w:val="00647D2A"/>
    <w:rsid w:val="00660229"/>
    <w:rsid w:val="006605AA"/>
    <w:rsid w:val="00670099"/>
    <w:rsid w:val="006703E9"/>
    <w:rsid w:val="00670A3E"/>
    <w:rsid w:val="00673EC2"/>
    <w:rsid w:val="00680F6F"/>
    <w:rsid w:val="00686802"/>
    <w:rsid w:val="00693D58"/>
    <w:rsid w:val="00694A0B"/>
    <w:rsid w:val="006A0CB3"/>
    <w:rsid w:val="006A2A80"/>
    <w:rsid w:val="006A2CA5"/>
    <w:rsid w:val="006A4589"/>
    <w:rsid w:val="006A4AC3"/>
    <w:rsid w:val="006A57CB"/>
    <w:rsid w:val="006A6EBE"/>
    <w:rsid w:val="006B112E"/>
    <w:rsid w:val="006B226A"/>
    <w:rsid w:val="006B6863"/>
    <w:rsid w:val="006D0639"/>
    <w:rsid w:val="006D327A"/>
    <w:rsid w:val="006D5B19"/>
    <w:rsid w:val="006E20DC"/>
    <w:rsid w:val="006E25DF"/>
    <w:rsid w:val="006F03A5"/>
    <w:rsid w:val="006F0FCD"/>
    <w:rsid w:val="006F353C"/>
    <w:rsid w:val="006F6416"/>
    <w:rsid w:val="00700D3C"/>
    <w:rsid w:val="00707FB2"/>
    <w:rsid w:val="00712118"/>
    <w:rsid w:val="00714CBD"/>
    <w:rsid w:val="00714D75"/>
    <w:rsid w:val="007153ED"/>
    <w:rsid w:val="00724A13"/>
    <w:rsid w:val="007333F2"/>
    <w:rsid w:val="00744B12"/>
    <w:rsid w:val="00745CED"/>
    <w:rsid w:val="007508CA"/>
    <w:rsid w:val="00750B5F"/>
    <w:rsid w:val="00752762"/>
    <w:rsid w:val="00755334"/>
    <w:rsid w:val="00756D99"/>
    <w:rsid w:val="007574B2"/>
    <w:rsid w:val="00764982"/>
    <w:rsid w:val="00770FC0"/>
    <w:rsid w:val="00774098"/>
    <w:rsid w:val="00782B9C"/>
    <w:rsid w:val="00782E27"/>
    <w:rsid w:val="00792792"/>
    <w:rsid w:val="007A628D"/>
    <w:rsid w:val="007A756C"/>
    <w:rsid w:val="007B52DA"/>
    <w:rsid w:val="007C0A8B"/>
    <w:rsid w:val="007C2512"/>
    <w:rsid w:val="007D19F7"/>
    <w:rsid w:val="007F186F"/>
    <w:rsid w:val="007F7A87"/>
    <w:rsid w:val="008065E5"/>
    <w:rsid w:val="00807381"/>
    <w:rsid w:val="008079B6"/>
    <w:rsid w:val="00810BA0"/>
    <w:rsid w:val="00811961"/>
    <w:rsid w:val="00811B1E"/>
    <w:rsid w:val="00814E69"/>
    <w:rsid w:val="00820D42"/>
    <w:rsid w:val="00820D69"/>
    <w:rsid w:val="00821305"/>
    <w:rsid w:val="00822C04"/>
    <w:rsid w:val="00826075"/>
    <w:rsid w:val="0082763D"/>
    <w:rsid w:val="008276BC"/>
    <w:rsid w:val="00831281"/>
    <w:rsid w:val="00832AAA"/>
    <w:rsid w:val="00833E9E"/>
    <w:rsid w:val="00835A5B"/>
    <w:rsid w:val="008450AB"/>
    <w:rsid w:val="00853F18"/>
    <w:rsid w:val="00855FE6"/>
    <w:rsid w:val="00862047"/>
    <w:rsid w:val="00864702"/>
    <w:rsid w:val="00865449"/>
    <w:rsid w:val="0086570A"/>
    <w:rsid w:val="00870471"/>
    <w:rsid w:val="00870ACA"/>
    <w:rsid w:val="00872DE1"/>
    <w:rsid w:val="00875A9D"/>
    <w:rsid w:val="00876273"/>
    <w:rsid w:val="008773A5"/>
    <w:rsid w:val="00880F9D"/>
    <w:rsid w:val="008838AE"/>
    <w:rsid w:val="008839D8"/>
    <w:rsid w:val="00885BE6"/>
    <w:rsid w:val="00890090"/>
    <w:rsid w:val="008902BB"/>
    <w:rsid w:val="00891A72"/>
    <w:rsid w:val="00893D23"/>
    <w:rsid w:val="00893E1A"/>
    <w:rsid w:val="008A1000"/>
    <w:rsid w:val="008A1DFB"/>
    <w:rsid w:val="008A2787"/>
    <w:rsid w:val="008B1BE3"/>
    <w:rsid w:val="008B2618"/>
    <w:rsid w:val="008C2F06"/>
    <w:rsid w:val="008C3773"/>
    <w:rsid w:val="008C4496"/>
    <w:rsid w:val="008D142A"/>
    <w:rsid w:val="008D4342"/>
    <w:rsid w:val="008D578B"/>
    <w:rsid w:val="008D66AF"/>
    <w:rsid w:val="008E1802"/>
    <w:rsid w:val="008E2E46"/>
    <w:rsid w:val="008E65D8"/>
    <w:rsid w:val="008F0E81"/>
    <w:rsid w:val="008F62A4"/>
    <w:rsid w:val="008F6340"/>
    <w:rsid w:val="0090188F"/>
    <w:rsid w:val="00903756"/>
    <w:rsid w:val="00903790"/>
    <w:rsid w:val="00903EC4"/>
    <w:rsid w:val="00907205"/>
    <w:rsid w:val="00912829"/>
    <w:rsid w:val="009131F4"/>
    <w:rsid w:val="00925CB6"/>
    <w:rsid w:val="009346ED"/>
    <w:rsid w:val="009365FA"/>
    <w:rsid w:val="00952067"/>
    <w:rsid w:val="00954455"/>
    <w:rsid w:val="0095537C"/>
    <w:rsid w:val="009607E7"/>
    <w:rsid w:val="00961F70"/>
    <w:rsid w:val="00962CD6"/>
    <w:rsid w:val="00963AAB"/>
    <w:rsid w:val="009667AA"/>
    <w:rsid w:val="009710BA"/>
    <w:rsid w:val="009749C3"/>
    <w:rsid w:val="009803B9"/>
    <w:rsid w:val="009809DA"/>
    <w:rsid w:val="00986300"/>
    <w:rsid w:val="009867D8"/>
    <w:rsid w:val="0099322C"/>
    <w:rsid w:val="009A2F16"/>
    <w:rsid w:val="009A6099"/>
    <w:rsid w:val="009A6184"/>
    <w:rsid w:val="009A61B8"/>
    <w:rsid w:val="009B1CC0"/>
    <w:rsid w:val="009B5144"/>
    <w:rsid w:val="009D15D2"/>
    <w:rsid w:val="009D3D78"/>
    <w:rsid w:val="009D3ECA"/>
    <w:rsid w:val="009D4BF0"/>
    <w:rsid w:val="009D5956"/>
    <w:rsid w:val="009E13E8"/>
    <w:rsid w:val="009E2D20"/>
    <w:rsid w:val="009E6EEF"/>
    <w:rsid w:val="009E7B2B"/>
    <w:rsid w:val="009F168F"/>
    <w:rsid w:val="009F1FBD"/>
    <w:rsid w:val="009F725C"/>
    <w:rsid w:val="00A00CB9"/>
    <w:rsid w:val="00A04817"/>
    <w:rsid w:val="00A135CC"/>
    <w:rsid w:val="00A21476"/>
    <w:rsid w:val="00A21AC2"/>
    <w:rsid w:val="00A33C63"/>
    <w:rsid w:val="00A41315"/>
    <w:rsid w:val="00A43874"/>
    <w:rsid w:val="00A46AD6"/>
    <w:rsid w:val="00A474B7"/>
    <w:rsid w:val="00A5149C"/>
    <w:rsid w:val="00A5258B"/>
    <w:rsid w:val="00A55551"/>
    <w:rsid w:val="00A56012"/>
    <w:rsid w:val="00A67F73"/>
    <w:rsid w:val="00A72645"/>
    <w:rsid w:val="00A741A1"/>
    <w:rsid w:val="00A762F3"/>
    <w:rsid w:val="00A80D9A"/>
    <w:rsid w:val="00A811CD"/>
    <w:rsid w:val="00A831B9"/>
    <w:rsid w:val="00A94E02"/>
    <w:rsid w:val="00A971A1"/>
    <w:rsid w:val="00AA3BF7"/>
    <w:rsid w:val="00AB5400"/>
    <w:rsid w:val="00AB6B6F"/>
    <w:rsid w:val="00AC1476"/>
    <w:rsid w:val="00AC223B"/>
    <w:rsid w:val="00AC30D4"/>
    <w:rsid w:val="00AC5AD7"/>
    <w:rsid w:val="00AC6630"/>
    <w:rsid w:val="00AD6FC7"/>
    <w:rsid w:val="00AD73C5"/>
    <w:rsid w:val="00AE3BA7"/>
    <w:rsid w:val="00AE453D"/>
    <w:rsid w:val="00AE477A"/>
    <w:rsid w:val="00AE55F6"/>
    <w:rsid w:val="00AE5F74"/>
    <w:rsid w:val="00AF065F"/>
    <w:rsid w:val="00AF3F4B"/>
    <w:rsid w:val="00B002BC"/>
    <w:rsid w:val="00B027E0"/>
    <w:rsid w:val="00B21D60"/>
    <w:rsid w:val="00B21E90"/>
    <w:rsid w:val="00B232BD"/>
    <w:rsid w:val="00B25922"/>
    <w:rsid w:val="00B262EB"/>
    <w:rsid w:val="00B35D3C"/>
    <w:rsid w:val="00B360FB"/>
    <w:rsid w:val="00B4197C"/>
    <w:rsid w:val="00B42393"/>
    <w:rsid w:val="00B47200"/>
    <w:rsid w:val="00B6361C"/>
    <w:rsid w:val="00B644EB"/>
    <w:rsid w:val="00B6673C"/>
    <w:rsid w:val="00B7009A"/>
    <w:rsid w:val="00B81027"/>
    <w:rsid w:val="00B82B4B"/>
    <w:rsid w:val="00B82CDF"/>
    <w:rsid w:val="00B83B58"/>
    <w:rsid w:val="00B862B2"/>
    <w:rsid w:val="00B90A8C"/>
    <w:rsid w:val="00B920EB"/>
    <w:rsid w:val="00B92B10"/>
    <w:rsid w:val="00B97023"/>
    <w:rsid w:val="00BA0C84"/>
    <w:rsid w:val="00BA29B8"/>
    <w:rsid w:val="00BA5EB1"/>
    <w:rsid w:val="00BA7074"/>
    <w:rsid w:val="00BB5B0A"/>
    <w:rsid w:val="00BB638C"/>
    <w:rsid w:val="00BC0DCB"/>
    <w:rsid w:val="00BC1077"/>
    <w:rsid w:val="00BC5480"/>
    <w:rsid w:val="00BC619C"/>
    <w:rsid w:val="00BD26B4"/>
    <w:rsid w:val="00BD55F4"/>
    <w:rsid w:val="00BD75A2"/>
    <w:rsid w:val="00BE02F0"/>
    <w:rsid w:val="00BE05C2"/>
    <w:rsid w:val="00BE2B97"/>
    <w:rsid w:val="00BE465F"/>
    <w:rsid w:val="00BE7ADD"/>
    <w:rsid w:val="00BF3C6B"/>
    <w:rsid w:val="00C02A86"/>
    <w:rsid w:val="00C10786"/>
    <w:rsid w:val="00C1090A"/>
    <w:rsid w:val="00C11F66"/>
    <w:rsid w:val="00C129DE"/>
    <w:rsid w:val="00C229F7"/>
    <w:rsid w:val="00C22CDE"/>
    <w:rsid w:val="00C23719"/>
    <w:rsid w:val="00C2728C"/>
    <w:rsid w:val="00C41F85"/>
    <w:rsid w:val="00C50218"/>
    <w:rsid w:val="00C51189"/>
    <w:rsid w:val="00C528E3"/>
    <w:rsid w:val="00C65C55"/>
    <w:rsid w:val="00C72326"/>
    <w:rsid w:val="00C80893"/>
    <w:rsid w:val="00C80E22"/>
    <w:rsid w:val="00C91999"/>
    <w:rsid w:val="00C939C3"/>
    <w:rsid w:val="00C94615"/>
    <w:rsid w:val="00CA120E"/>
    <w:rsid w:val="00CB02FD"/>
    <w:rsid w:val="00CB39A9"/>
    <w:rsid w:val="00CD652B"/>
    <w:rsid w:val="00CD6998"/>
    <w:rsid w:val="00CE0AF1"/>
    <w:rsid w:val="00CE0B44"/>
    <w:rsid w:val="00CE45EC"/>
    <w:rsid w:val="00CE4BA2"/>
    <w:rsid w:val="00CE6C82"/>
    <w:rsid w:val="00CF6CDC"/>
    <w:rsid w:val="00D02C30"/>
    <w:rsid w:val="00D0363C"/>
    <w:rsid w:val="00D104A7"/>
    <w:rsid w:val="00D1259A"/>
    <w:rsid w:val="00D12ECB"/>
    <w:rsid w:val="00D26AE6"/>
    <w:rsid w:val="00D27DA4"/>
    <w:rsid w:val="00D31E31"/>
    <w:rsid w:val="00D37F48"/>
    <w:rsid w:val="00D414C4"/>
    <w:rsid w:val="00D41A9C"/>
    <w:rsid w:val="00D45E56"/>
    <w:rsid w:val="00D47ADC"/>
    <w:rsid w:val="00D50E1E"/>
    <w:rsid w:val="00D53BA7"/>
    <w:rsid w:val="00D6187C"/>
    <w:rsid w:val="00D76FFF"/>
    <w:rsid w:val="00D81185"/>
    <w:rsid w:val="00D82E2A"/>
    <w:rsid w:val="00D8359C"/>
    <w:rsid w:val="00D851CA"/>
    <w:rsid w:val="00D8699C"/>
    <w:rsid w:val="00D8797E"/>
    <w:rsid w:val="00D93CDA"/>
    <w:rsid w:val="00D978FB"/>
    <w:rsid w:val="00DA5971"/>
    <w:rsid w:val="00DB4E83"/>
    <w:rsid w:val="00DB5A36"/>
    <w:rsid w:val="00DB63F9"/>
    <w:rsid w:val="00DC07C4"/>
    <w:rsid w:val="00DC265B"/>
    <w:rsid w:val="00DC47D1"/>
    <w:rsid w:val="00DC6FA1"/>
    <w:rsid w:val="00DD220D"/>
    <w:rsid w:val="00DD2D9F"/>
    <w:rsid w:val="00DD3DB6"/>
    <w:rsid w:val="00DD4D74"/>
    <w:rsid w:val="00DE4CAE"/>
    <w:rsid w:val="00DE5270"/>
    <w:rsid w:val="00DF008E"/>
    <w:rsid w:val="00DF3255"/>
    <w:rsid w:val="00DF408F"/>
    <w:rsid w:val="00DF5EF3"/>
    <w:rsid w:val="00DF60A3"/>
    <w:rsid w:val="00E044A2"/>
    <w:rsid w:val="00E062D1"/>
    <w:rsid w:val="00E113C4"/>
    <w:rsid w:val="00E11B7F"/>
    <w:rsid w:val="00E13EE2"/>
    <w:rsid w:val="00E17C88"/>
    <w:rsid w:val="00E21BAF"/>
    <w:rsid w:val="00E258C5"/>
    <w:rsid w:val="00E3212D"/>
    <w:rsid w:val="00E3792E"/>
    <w:rsid w:val="00E51BB5"/>
    <w:rsid w:val="00E54332"/>
    <w:rsid w:val="00E57220"/>
    <w:rsid w:val="00E6319B"/>
    <w:rsid w:val="00E633D1"/>
    <w:rsid w:val="00E87B5D"/>
    <w:rsid w:val="00E951DB"/>
    <w:rsid w:val="00E966BE"/>
    <w:rsid w:val="00EA17DE"/>
    <w:rsid w:val="00EA229A"/>
    <w:rsid w:val="00EA5D23"/>
    <w:rsid w:val="00EB0954"/>
    <w:rsid w:val="00EB1B7A"/>
    <w:rsid w:val="00EC4134"/>
    <w:rsid w:val="00EC6B51"/>
    <w:rsid w:val="00ED476C"/>
    <w:rsid w:val="00ED53F6"/>
    <w:rsid w:val="00EE1F7F"/>
    <w:rsid w:val="00EF2870"/>
    <w:rsid w:val="00EF62E4"/>
    <w:rsid w:val="00F00696"/>
    <w:rsid w:val="00F10A5F"/>
    <w:rsid w:val="00F140CA"/>
    <w:rsid w:val="00F16824"/>
    <w:rsid w:val="00F25745"/>
    <w:rsid w:val="00F352FB"/>
    <w:rsid w:val="00F4574F"/>
    <w:rsid w:val="00F4735C"/>
    <w:rsid w:val="00F478E8"/>
    <w:rsid w:val="00F50C16"/>
    <w:rsid w:val="00F51FDB"/>
    <w:rsid w:val="00F555AA"/>
    <w:rsid w:val="00F56913"/>
    <w:rsid w:val="00F6353C"/>
    <w:rsid w:val="00F651A4"/>
    <w:rsid w:val="00F71A11"/>
    <w:rsid w:val="00F80010"/>
    <w:rsid w:val="00F82EF5"/>
    <w:rsid w:val="00F9059A"/>
    <w:rsid w:val="00F91089"/>
    <w:rsid w:val="00F91AB1"/>
    <w:rsid w:val="00F92A63"/>
    <w:rsid w:val="00F97356"/>
    <w:rsid w:val="00F979C8"/>
    <w:rsid w:val="00FA5131"/>
    <w:rsid w:val="00FA767E"/>
    <w:rsid w:val="00FB03D2"/>
    <w:rsid w:val="00FB2DCF"/>
    <w:rsid w:val="00FC554E"/>
    <w:rsid w:val="00FC5C39"/>
    <w:rsid w:val="00FC6EA1"/>
    <w:rsid w:val="00FD0E48"/>
    <w:rsid w:val="00FD4C91"/>
    <w:rsid w:val="00FE50A1"/>
    <w:rsid w:val="00FF0DBB"/>
    <w:rsid w:val="00FF1273"/>
    <w:rsid w:val="00FF6D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97B19F-6904-4EFA-AD89-2702715BE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D52"/>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1771F"/>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21771F"/>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0334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D52"/>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21771F"/>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21771F"/>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rsid w:val="000334B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466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BA7"/>
    <w:pPr>
      <w:ind w:left="720"/>
      <w:contextualSpacing/>
    </w:pPr>
  </w:style>
  <w:style w:type="paragraph" w:styleId="TOCHeading">
    <w:name w:val="TOC Heading"/>
    <w:basedOn w:val="Heading1"/>
    <w:next w:val="Normal"/>
    <w:uiPriority w:val="39"/>
    <w:unhideWhenUsed/>
    <w:qFormat/>
    <w:rsid w:val="00AE477A"/>
    <w:pPr>
      <w:outlineLvl w:val="9"/>
    </w:pPr>
    <w:rPr>
      <w:b w:val="0"/>
      <w:lang w:eastAsia="es-CR"/>
    </w:rPr>
  </w:style>
  <w:style w:type="paragraph" w:styleId="TOC1">
    <w:name w:val="toc 1"/>
    <w:basedOn w:val="Normal"/>
    <w:next w:val="Normal"/>
    <w:autoRedefine/>
    <w:uiPriority w:val="39"/>
    <w:unhideWhenUsed/>
    <w:rsid w:val="00AE477A"/>
    <w:pPr>
      <w:spacing w:after="100"/>
    </w:pPr>
  </w:style>
  <w:style w:type="character" w:styleId="Hyperlink">
    <w:name w:val="Hyperlink"/>
    <w:basedOn w:val="DefaultParagraphFont"/>
    <w:uiPriority w:val="99"/>
    <w:unhideWhenUsed/>
    <w:rsid w:val="00AE477A"/>
    <w:rPr>
      <w:color w:val="0563C1" w:themeColor="hyperlink"/>
      <w:u w:val="single"/>
    </w:rPr>
  </w:style>
  <w:style w:type="paragraph" w:styleId="Header">
    <w:name w:val="header"/>
    <w:basedOn w:val="Normal"/>
    <w:link w:val="HeaderChar"/>
    <w:uiPriority w:val="99"/>
    <w:unhideWhenUsed/>
    <w:rsid w:val="00AE477A"/>
    <w:pPr>
      <w:tabs>
        <w:tab w:val="center" w:pos="4419"/>
        <w:tab w:val="right" w:pos="8838"/>
      </w:tabs>
      <w:spacing w:after="0" w:line="240" w:lineRule="auto"/>
    </w:pPr>
  </w:style>
  <w:style w:type="character" w:customStyle="1" w:styleId="HeaderChar">
    <w:name w:val="Header Char"/>
    <w:basedOn w:val="DefaultParagraphFont"/>
    <w:link w:val="Header"/>
    <w:uiPriority w:val="99"/>
    <w:rsid w:val="00AE477A"/>
  </w:style>
  <w:style w:type="paragraph" w:styleId="Footer">
    <w:name w:val="footer"/>
    <w:basedOn w:val="Normal"/>
    <w:link w:val="FooterChar"/>
    <w:uiPriority w:val="99"/>
    <w:unhideWhenUsed/>
    <w:rsid w:val="00AE477A"/>
    <w:pPr>
      <w:tabs>
        <w:tab w:val="center" w:pos="4419"/>
        <w:tab w:val="right" w:pos="8838"/>
      </w:tabs>
      <w:spacing w:after="0" w:line="240" w:lineRule="auto"/>
    </w:pPr>
  </w:style>
  <w:style w:type="character" w:customStyle="1" w:styleId="FooterChar">
    <w:name w:val="Footer Char"/>
    <w:basedOn w:val="DefaultParagraphFont"/>
    <w:link w:val="Footer"/>
    <w:uiPriority w:val="99"/>
    <w:rsid w:val="00AE477A"/>
  </w:style>
  <w:style w:type="paragraph" w:styleId="FootnoteText">
    <w:name w:val="footnote text"/>
    <w:aliases w:val="fn,Texto de rodapé,nota_rodapé,nota de rodapé,Geneva 9,Font: Geneva 9,Boston 10,f,footnote,single space,FOOTNOTES,footnote text,Footnote Text Char Char,foottextfr,foottextf,Footnote Text arial11,Footnote Text Char,Footnote Text Char1 Char"/>
    <w:basedOn w:val="Normal"/>
    <w:link w:val="FootnoteTextChar1"/>
    <w:uiPriority w:val="99"/>
    <w:unhideWhenUsed/>
    <w:rsid w:val="002C5E50"/>
    <w:pPr>
      <w:spacing w:after="0" w:line="240" w:lineRule="auto"/>
    </w:pPr>
    <w:rPr>
      <w:sz w:val="20"/>
      <w:szCs w:val="20"/>
    </w:rPr>
  </w:style>
  <w:style w:type="character" w:customStyle="1" w:styleId="FootnoteTextChar1">
    <w:name w:val="Footnote Text Char1"/>
    <w:aliases w:val="fn Char,Texto de rodapé Char,nota_rodapé Char,nota de rodapé Char,Geneva 9 Char,Font: Geneva 9 Char,Boston 10 Char,f Char,footnote Char,single space Char,FOOTNOTES Char,footnote text Char,Footnote Text Char Char Char,foottextfr Char"/>
    <w:basedOn w:val="DefaultParagraphFont"/>
    <w:link w:val="FootnoteText"/>
    <w:uiPriority w:val="99"/>
    <w:rsid w:val="002C5E50"/>
    <w:rPr>
      <w:sz w:val="20"/>
      <w:szCs w:val="20"/>
    </w:rPr>
  </w:style>
  <w:style w:type="character" w:styleId="FootnoteReference">
    <w:name w:val="footnote reference"/>
    <w:aliases w:val="FC,16 Point,Superscript 6 Point,Footnote Referencefr,Footnote Referencef,Style 24,F1,Footnote Referencefra,de nota al pie,(Ref. de nota al pie),referencia nota al pie,Ref. de nota al pi,Ref,o,ftref,Fußnotenzeichen DISS,BVI fnr"/>
    <w:basedOn w:val="DefaultParagraphFont"/>
    <w:uiPriority w:val="99"/>
    <w:unhideWhenUsed/>
    <w:rsid w:val="002C5E50"/>
    <w:rPr>
      <w:vertAlign w:val="superscript"/>
    </w:rPr>
  </w:style>
  <w:style w:type="paragraph" w:styleId="TOC2">
    <w:name w:val="toc 2"/>
    <w:basedOn w:val="Normal"/>
    <w:next w:val="Normal"/>
    <w:autoRedefine/>
    <w:uiPriority w:val="39"/>
    <w:unhideWhenUsed/>
    <w:rsid w:val="00E966BE"/>
    <w:pPr>
      <w:spacing w:after="100"/>
      <w:ind w:left="220"/>
    </w:pPr>
  </w:style>
  <w:style w:type="paragraph" w:styleId="TOC3">
    <w:name w:val="toc 3"/>
    <w:basedOn w:val="Normal"/>
    <w:next w:val="Normal"/>
    <w:autoRedefine/>
    <w:uiPriority w:val="39"/>
    <w:unhideWhenUsed/>
    <w:rsid w:val="00E966BE"/>
    <w:pPr>
      <w:spacing w:after="100"/>
      <w:ind w:left="440"/>
    </w:pPr>
  </w:style>
  <w:style w:type="character" w:styleId="PlaceholderText">
    <w:name w:val="Placeholder Text"/>
    <w:basedOn w:val="DefaultParagraphFont"/>
    <w:uiPriority w:val="99"/>
    <w:semiHidden/>
    <w:rsid w:val="00C02A86"/>
    <w:rPr>
      <w:color w:val="808080"/>
    </w:rPr>
  </w:style>
  <w:style w:type="character" w:customStyle="1" w:styleId="UnresolvedMention">
    <w:name w:val="Unresolved Mention"/>
    <w:basedOn w:val="DefaultParagraphFont"/>
    <w:uiPriority w:val="99"/>
    <w:semiHidden/>
    <w:unhideWhenUsed/>
    <w:rsid w:val="005C3744"/>
    <w:rPr>
      <w:color w:val="808080"/>
      <w:shd w:val="clear" w:color="auto" w:fill="E6E6E6"/>
    </w:rPr>
  </w:style>
  <w:style w:type="paragraph" w:styleId="NormalWeb">
    <w:name w:val="Normal (Web)"/>
    <w:basedOn w:val="Normal"/>
    <w:uiPriority w:val="99"/>
    <w:semiHidden/>
    <w:unhideWhenUsed/>
    <w:rsid w:val="004749EC"/>
    <w:pPr>
      <w:spacing w:before="100" w:beforeAutospacing="1" w:after="100" w:afterAutospacing="1" w:line="240" w:lineRule="auto"/>
    </w:pPr>
    <w:rPr>
      <w:rFonts w:ascii="Times New Roman" w:eastAsiaTheme="minorEastAsia" w:hAnsi="Times New Roman" w:cs="Times New Roman"/>
      <w:sz w:val="24"/>
      <w:szCs w:val="24"/>
      <w:lang w:eastAsia="es-CR"/>
    </w:rPr>
  </w:style>
  <w:style w:type="character" w:styleId="FollowedHyperlink">
    <w:name w:val="FollowedHyperlink"/>
    <w:basedOn w:val="DefaultParagraphFont"/>
    <w:uiPriority w:val="99"/>
    <w:semiHidden/>
    <w:unhideWhenUsed/>
    <w:rsid w:val="00756D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93872">
      <w:bodyDiv w:val="1"/>
      <w:marLeft w:val="0"/>
      <w:marRight w:val="0"/>
      <w:marTop w:val="0"/>
      <w:marBottom w:val="0"/>
      <w:divBdr>
        <w:top w:val="none" w:sz="0" w:space="0" w:color="auto"/>
        <w:left w:val="none" w:sz="0" w:space="0" w:color="auto"/>
        <w:bottom w:val="none" w:sz="0" w:space="0" w:color="auto"/>
        <w:right w:val="none" w:sz="0" w:space="0" w:color="auto"/>
      </w:divBdr>
    </w:div>
    <w:div w:id="432433947">
      <w:bodyDiv w:val="1"/>
      <w:marLeft w:val="0"/>
      <w:marRight w:val="0"/>
      <w:marTop w:val="0"/>
      <w:marBottom w:val="0"/>
      <w:divBdr>
        <w:top w:val="none" w:sz="0" w:space="0" w:color="auto"/>
        <w:left w:val="none" w:sz="0" w:space="0" w:color="auto"/>
        <w:bottom w:val="none" w:sz="0" w:space="0" w:color="auto"/>
        <w:right w:val="none" w:sz="0" w:space="0" w:color="auto"/>
      </w:divBdr>
    </w:div>
    <w:div w:id="530536718">
      <w:bodyDiv w:val="1"/>
      <w:marLeft w:val="0"/>
      <w:marRight w:val="0"/>
      <w:marTop w:val="0"/>
      <w:marBottom w:val="0"/>
      <w:divBdr>
        <w:top w:val="none" w:sz="0" w:space="0" w:color="auto"/>
        <w:left w:val="none" w:sz="0" w:space="0" w:color="auto"/>
        <w:bottom w:val="none" w:sz="0" w:space="0" w:color="auto"/>
        <w:right w:val="none" w:sz="0" w:space="0" w:color="auto"/>
      </w:divBdr>
    </w:div>
    <w:div w:id="533084601">
      <w:bodyDiv w:val="1"/>
      <w:marLeft w:val="0"/>
      <w:marRight w:val="0"/>
      <w:marTop w:val="0"/>
      <w:marBottom w:val="0"/>
      <w:divBdr>
        <w:top w:val="none" w:sz="0" w:space="0" w:color="auto"/>
        <w:left w:val="none" w:sz="0" w:space="0" w:color="auto"/>
        <w:bottom w:val="none" w:sz="0" w:space="0" w:color="auto"/>
        <w:right w:val="none" w:sz="0" w:space="0" w:color="auto"/>
      </w:divBdr>
    </w:div>
    <w:div w:id="995380802">
      <w:bodyDiv w:val="1"/>
      <w:marLeft w:val="0"/>
      <w:marRight w:val="0"/>
      <w:marTop w:val="0"/>
      <w:marBottom w:val="0"/>
      <w:divBdr>
        <w:top w:val="none" w:sz="0" w:space="0" w:color="auto"/>
        <w:left w:val="none" w:sz="0" w:space="0" w:color="auto"/>
        <w:bottom w:val="none" w:sz="0" w:space="0" w:color="auto"/>
        <w:right w:val="none" w:sz="0" w:space="0" w:color="auto"/>
      </w:divBdr>
    </w:div>
    <w:div w:id="1234123081">
      <w:bodyDiv w:val="1"/>
      <w:marLeft w:val="0"/>
      <w:marRight w:val="0"/>
      <w:marTop w:val="0"/>
      <w:marBottom w:val="0"/>
      <w:divBdr>
        <w:top w:val="none" w:sz="0" w:space="0" w:color="auto"/>
        <w:left w:val="none" w:sz="0" w:space="0" w:color="auto"/>
        <w:bottom w:val="none" w:sz="0" w:space="0" w:color="auto"/>
        <w:right w:val="none" w:sz="0" w:space="0" w:color="auto"/>
      </w:divBdr>
    </w:div>
    <w:div w:id="1303460665">
      <w:bodyDiv w:val="1"/>
      <w:marLeft w:val="0"/>
      <w:marRight w:val="0"/>
      <w:marTop w:val="0"/>
      <w:marBottom w:val="0"/>
      <w:divBdr>
        <w:top w:val="none" w:sz="0" w:space="0" w:color="auto"/>
        <w:left w:val="none" w:sz="0" w:space="0" w:color="auto"/>
        <w:bottom w:val="none" w:sz="0" w:space="0" w:color="auto"/>
        <w:right w:val="none" w:sz="0" w:space="0" w:color="auto"/>
      </w:divBdr>
    </w:div>
    <w:div w:id="1382826383">
      <w:bodyDiv w:val="1"/>
      <w:marLeft w:val="0"/>
      <w:marRight w:val="0"/>
      <w:marTop w:val="0"/>
      <w:marBottom w:val="0"/>
      <w:divBdr>
        <w:top w:val="none" w:sz="0" w:space="0" w:color="auto"/>
        <w:left w:val="none" w:sz="0" w:space="0" w:color="auto"/>
        <w:bottom w:val="none" w:sz="0" w:space="0" w:color="auto"/>
        <w:right w:val="none" w:sz="0" w:space="0" w:color="auto"/>
      </w:divBdr>
    </w:div>
    <w:div w:id="1733459495">
      <w:bodyDiv w:val="1"/>
      <w:marLeft w:val="0"/>
      <w:marRight w:val="0"/>
      <w:marTop w:val="0"/>
      <w:marBottom w:val="0"/>
      <w:divBdr>
        <w:top w:val="none" w:sz="0" w:space="0" w:color="auto"/>
        <w:left w:val="none" w:sz="0" w:space="0" w:color="auto"/>
        <w:bottom w:val="none" w:sz="0" w:space="0" w:color="auto"/>
        <w:right w:val="none" w:sz="0" w:space="0" w:color="auto"/>
      </w:divBdr>
    </w:div>
    <w:div w:id="1859268204">
      <w:bodyDiv w:val="1"/>
      <w:marLeft w:val="0"/>
      <w:marRight w:val="0"/>
      <w:marTop w:val="0"/>
      <w:marBottom w:val="0"/>
      <w:divBdr>
        <w:top w:val="none" w:sz="0" w:space="0" w:color="auto"/>
        <w:left w:val="none" w:sz="0" w:space="0" w:color="auto"/>
        <w:bottom w:val="none" w:sz="0" w:space="0" w:color="auto"/>
        <w:right w:val="none" w:sz="0" w:space="0" w:color="auto"/>
      </w:divBdr>
    </w:div>
    <w:div w:id="1895970511">
      <w:bodyDiv w:val="1"/>
      <w:marLeft w:val="0"/>
      <w:marRight w:val="0"/>
      <w:marTop w:val="0"/>
      <w:marBottom w:val="0"/>
      <w:divBdr>
        <w:top w:val="none" w:sz="0" w:space="0" w:color="auto"/>
        <w:left w:val="none" w:sz="0" w:space="0" w:color="auto"/>
        <w:bottom w:val="none" w:sz="0" w:space="0" w:color="auto"/>
        <w:right w:val="none" w:sz="0" w:space="0" w:color="auto"/>
      </w:divBdr>
    </w:div>
    <w:div w:id="1978607789">
      <w:bodyDiv w:val="1"/>
      <w:marLeft w:val="0"/>
      <w:marRight w:val="0"/>
      <w:marTop w:val="0"/>
      <w:marBottom w:val="0"/>
      <w:divBdr>
        <w:top w:val="none" w:sz="0" w:space="0" w:color="auto"/>
        <w:left w:val="none" w:sz="0" w:space="0" w:color="auto"/>
        <w:bottom w:val="none" w:sz="0" w:space="0" w:color="auto"/>
        <w:right w:val="none" w:sz="0" w:space="0" w:color="auto"/>
      </w:divBdr>
    </w:div>
    <w:div w:id="19956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svg"/><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png"/><Relationship Id="rId79"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png"/><Relationship Id="rId81"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hyperlink" Target="http://www.cna-ecuador.com/prensa/1658-25-05-2015-productores-ven-que-los-precios-del-camaron-ecuatoriano-continuan-recuperandos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AE0B5-DC30-4501-AAAC-A72D15C1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3350</TotalTime>
  <Pages>3</Pages>
  <Words>32532</Words>
  <Characters>185439</Characters>
  <Application>Microsoft Office Word</Application>
  <DocSecurity>0</DocSecurity>
  <Lines>1545</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GARCIA</dc:creator>
  <cp:keywords/>
  <dc:description/>
  <cp:lastModifiedBy>Suber, Stephanie Anne</cp:lastModifiedBy>
  <cp:revision>65</cp:revision>
  <cp:lastPrinted>2017-07-12T00:51:00Z</cp:lastPrinted>
  <dcterms:created xsi:type="dcterms:W3CDTF">2017-08-23T11:07:00Z</dcterms:created>
  <dcterms:modified xsi:type="dcterms:W3CDTF">2017-08-29T18:02:00Z</dcterms:modified>
</cp:coreProperties>
</file>