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88" w:rsidRPr="009A033B" w:rsidRDefault="009C4F88" w:rsidP="009C4F88">
      <w:pPr>
        <w:jc w:val="center"/>
        <w:rPr>
          <w:rFonts w:ascii="Arial Narrow" w:hAnsi="Arial Narrow"/>
          <w:b/>
        </w:rPr>
      </w:pPr>
      <w:r>
        <w:rPr>
          <w:rFonts w:ascii="Arial Narrow" w:hAnsi="Arial Narrow"/>
          <w:b/>
        </w:rPr>
        <w:t>FIGURA</w:t>
      </w:r>
      <w:r w:rsidR="00E944CA">
        <w:rPr>
          <w:rFonts w:ascii="Arial Narrow" w:hAnsi="Arial Narrow"/>
          <w:b/>
        </w:rPr>
        <w:t xml:space="preserve"> 1</w:t>
      </w:r>
      <w:r>
        <w:rPr>
          <w:rFonts w:ascii="Arial Narrow" w:hAnsi="Arial Narrow"/>
          <w:b/>
        </w:rPr>
        <w:t>: COMPATIBILIDAD DE METODOLOGÍAS</w:t>
      </w:r>
    </w:p>
    <w:p w:rsidR="009A033B" w:rsidRDefault="009A033B" w:rsidP="008B2983">
      <w:pPr>
        <w:jc w:val="center"/>
        <w:rPr>
          <w:rFonts w:ascii="Arial Narrow" w:hAnsi="Arial Narrow"/>
          <w:b/>
        </w:rPr>
      </w:pPr>
    </w:p>
    <w:p w:rsidR="009C4F88" w:rsidRDefault="009C4F88" w:rsidP="008B2983">
      <w:pPr>
        <w:jc w:val="center"/>
        <w:rPr>
          <w:rFonts w:ascii="Arial Narrow" w:hAnsi="Arial Narrow"/>
          <w:b/>
        </w:rPr>
      </w:pPr>
    </w:p>
    <w:p w:rsidR="009C4F88" w:rsidRDefault="00BB3869" w:rsidP="008B2983">
      <w:pPr>
        <w:jc w:val="center"/>
        <w:rPr>
          <w:rFonts w:ascii="Arial Narrow" w:hAnsi="Arial Narrow"/>
          <w:b/>
        </w:rPr>
      </w:pPr>
      <w:r>
        <w:rPr>
          <w:rFonts w:ascii="Arial Narrow" w:hAnsi="Arial Narrow"/>
          <w:b/>
          <w:noProof/>
          <w:lang w:val="en-US"/>
        </w:rPr>
        <w:drawing>
          <wp:inline distT="0" distB="0" distL="0" distR="0" wp14:anchorId="2122EDBD">
            <wp:extent cx="13016931" cy="56244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2050" cy="5639598"/>
                    </a:xfrm>
                    <a:prstGeom prst="rect">
                      <a:avLst/>
                    </a:prstGeom>
                    <a:noFill/>
                  </pic:spPr>
                </pic:pic>
              </a:graphicData>
            </a:graphic>
          </wp:inline>
        </w:drawing>
      </w:r>
    </w:p>
    <w:p w:rsidR="009A033B" w:rsidRDefault="009A033B" w:rsidP="008B2983">
      <w:pPr>
        <w:jc w:val="center"/>
        <w:rPr>
          <w:rFonts w:ascii="Arial Narrow" w:hAnsi="Arial Narrow"/>
          <w:b/>
        </w:rPr>
      </w:pPr>
    </w:p>
    <w:p w:rsidR="009A033B" w:rsidRDefault="009A033B" w:rsidP="008B2983">
      <w:pPr>
        <w:jc w:val="center"/>
        <w:rPr>
          <w:rFonts w:ascii="Arial Narrow" w:hAnsi="Arial Narrow"/>
          <w:b/>
        </w:rPr>
      </w:pPr>
    </w:p>
    <w:p w:rsidR="009A033B" w:rsidRDefault="009A033B" w:rsidP="008B2983">
      <w:pPr>
        <w:jc w:val="center"/>
        <w:rPr>
          <w:rFonts w:ascii="Arial Narrow" w:hAnsi="Arial Narrow"/>
          <w:b/>
        </w:rPr>
      </w:pPr>
    </w:p>
    <w:p w:rsidR="009A033B" w:rsidRDefault="009A033B" w:rsidP="008B2983">
      <w:pPr>
        <w:jc w:val="center"/>
        <w:rPr>
          <w:rFonts w:ascii="Arial Narrow" w:hAnsi="Arial Narrow"/>
          <w:b/>
        </w:rPr>
      </w:pPr>
    </w:p>
    <w:p w:rsidR="009A033B" w:rsidRDefault="009A033B" w:rsidP="008B2983">
      <w:pPr>
        <w:jc w:val="center"/>
        <w:rPr>
          <w:rFonts w:ascii="Arial Narrow" w:hAnsi="Arial Narrow"/>
          <w:b/>
        </w:rPr>
      </w:pPr>
    </w:p>
    <w:p w:rsidR="009A033B" w:rsidRDefault="009A033B" w:rsidP="008B2983">
      <w:pPr>
        <w:jc w:val="center"/>
        <w:rPr>
          <w:rFonts w:ascii="Arial Narrow" w:hAnsi="Arial Narrow"/>
          <w:b/>
        </w:rPr>
      </w:pPr>
    </w:p>
    <w:p w:rsidR="009A033B" w:rsidRDefault="009A033B" w:rsidP="008B2983">
      <w:pPr>
        <w:jc w:val="center"/>
        <w:rPr>
          <w:rFonts w:ascii="Arial Narrow" w:hAnsi="Arial Narrow"/>
          <w:b/>
        </w:rPr>
        <w:sectPr w:rsidR="009A033B" w:rsidSect="00A977FA">
          <w:pgSz w:w="23814" w:h="16839" w:orient="landscape" w:code="8"/>
          <w:pgMar w:top="1701" w:right="1417" w:bottom="1701" w:left="1417" w:header="708" w:footer="708" w:gutter="0"/>
          <w:cols w:space="708"/>
          <w:docGrid w:linePitch="360"/>
        </w:sectPr>
      </w:pPr>
    </w:p>
    <w:p w:rsidR="003702E9" w:rsidRPr="009A033B" w:rsidRDefault="009C4F88" w:rsidP="008B2983">
      <w:pPr>
        <w:jc w:val="center"/>
        <w:rPr>
          <w:rFonts w:ascii="Arial Narrow" w:hAnsi="Arial Narrow"/>
          <w:b/>
        </w:rPr>
      </w:pPr>
      <w:r>
        <w:rPr>
          <w:rFonts w:ascii="Arial Narrow" w:hAnsi="Arial Narrow"/>
          <w:b/>
        </w:rPr>
        <w:lastRenderedPageBreak/>
        <w:t xml:space="preserve">FIGURA 2: </w:t>
      </w:r>
      <w:r w:rsidR="00912713" w:rsidRPr="009A033B">
        <w:rPr>
          <w:rFonts w:ascii="Arial Narrow" w:hAnsi="Arial Narrow"/>
          <w:b/>
        </w:rPr>
        <w:t xml:space="preserve">COMPATIBILIDAD DE LA </w:t>
      </w:r>
      <w:r w:rsidR="003702E9" w:rsidRPr="009A033B">
        <w:rPr>
          <w:rFonts w:ascii="Arial Narrow" w:hAnsi="Arial Narrow"/>
          <w:b/>
        </w:rPr>
        <w:t xml:space="preserve">LOGICA VERTICAL </w:t>
      </w:r>
      <w:r w:rsidR="00912713" w:rsidRPr="009A033B">
        <w:rPr>
          <w:rFonts w:ascii="Arial Narrow" w:hAnsi="Arial Narrow"/>
          <w:b/>
        </w:rPr>
        <w:t>ENTRE DOCUMENTOS DEL GOBIERNO ARGENTINO Y EL BID</w:t>
      </w:r>
    </w:p>
    <w:tbl>
      <w:tblPr>
        <w:tblStyle w:val="TableGrid"/>
        <w:tblW w:w="19415" w:type="dxa"/>
        <w:tblLayout w:type="fixed"/>
        <w:tblLook w:val="04A0" w:firstRow="1" w:lastRow="0" w:firstColumn="1" w:lastColumn="0" w:noHBand="0" w:noVBand="1"/>
      </w:tblPr>
      <w:tblGrid>
        <w:gridCol w:w="2263"/>
        <w:gridCol w:w="1701"/>
        <w:gridCol w:w="1560"/>
        <w:gridCol w:w="7938"/>
        <w:gridCol w:w="1559"/>
        <w:gridCol w:w="4394"/>
      </w:tblGrid>
      <w:tr w:rsidR="00E57234" w:rsidRPr="009A033B" w:rsidTr="00C91EAB">
        <w:tc>
          <w:tcPr>
            <w:tcW w:w="3964" w:type="dxa"/>
            <w:gridSpan w:val="2"/>
            <w:shd w:val="clear" w:color="auto" w:fill="2E74B5" w:themeFill="accent1" w:themeFillShade="BF"/>
          </w:tcPr>
          <w:p w:rsidR="006D5C2D" w:rsidRPr="009A033B" w:rsidRDefault="006D5C2D" w:rsidP="00EA3865">
            <w:pPr>
              <w:jc w:val="center"/>
              <w:rPr>
                <w:rFonts w:ascii="Arial Narrow" w:hAnsi="Arial Narrow" w:cs="Times New Roman"/>
                <w:b/>
                <w:color w:val="FFFFFF" w:themeColor="background1"/>
                <w:sz w:val="18"/>
                <w:szCs w:val="18"/>
              </w:rPr>
            </w:pPr>
            <w:r w:rsidRPr="009A033B">
              <w:rPr>
                <w:rFonts w:ascii="Arial Narrow" w:hAnsi="Arial Narrow" w:cs="Times New Roman"/>
                <w:b/>
                <w:color w:val="FFFFFF" w:themeColor="background1"/>
                <w:sz w:val="18"/>
                <w:szCs w:val="18"/>
              </w:rPr>
              <w:t>MML (Perfil INDEC en el marco del SNIP)</w:t>
            </w:r>
          </w:p>
        </w:tc>
        <w:tc>
          <w:tcPr>
            <w:tcW w:w="9498" w:type="dxa"/>
            <w:gridSpan w:val="2"/>
            <w:shd w:val="clear" w:color="auto" w:fill="2E74B5" w:themeFill="accent1" w:themeFillShade="BF"/>
          </w:tcPr>
          <w:p w:rsidR="006D5C2D" w:rsidRPr="009A033B" w:rsidRDefault="006D5C2D" w:rsidP="00A1478B">
            <w:pPr>
              <w:jc w:val="center"/>
              <w:rPr>
                <w:rFonts w:ascii="Arial Narrow" w:hAnsi="Arial Narrow" w:cs="Times New Roman"/>
                <w:b/>
                <w:color w:val="FFFFFF" w:themeColor="background1"/>
                <w:sz w:val="18"/>
                <w:szCs w:val="18"/>
              </w:rPr>
            </w:pPr>
            <w:r w:rsidRPr="009A033B">
              <w:rPr>
                <w:rFonts w:ascii="Arial Narrow" w:hAnsi="Arial Narrow" w:cs="Times New Roman"/>
                <w:b/>
                <w:color w:val="FFFFFF" w:themeColor="background1"/>
                <w:sz w:val="18"/>
                <w:szCs w:val="18"/>
              </w:rPr>
              <w:t xml:space="preserve">Árbol de problemas (Sobre la base </w:t>
            </w:r>
            <w:r w:rsidR="00A1478B">
              <w:rPr>
                <w:rFonts w:ascii="Arial Narrow" w:hAnsi="Arial Narrow" w:cs="Times New Roman"/>
                <w:b/>
                <w:color w:val="FFFFFF" w:themeColor="background1"/>
                <w:sz w:val="18"/>
                <w:szCs w:val="18"/>
              </w:rPr>
              <w:t>del POD</w:t>
            </w:r>
            <w:r w:rsidRPr="009A033B">
              <w:rPr>
                <w:rFonts w:ascii="Arial Narrow" w:hAnsi="Arial Narrow" w:cs="Times New Roman"/>
                <w:b/>
                <w:color w:val="FFFFFF" w:themeColor="background1"/>
                <w:sz w:val="18"/>
                <w:szCs w:val="18"/>
              </w:rPr>
              <w:t>)</w:t>
            </w:r>
          </w:p>
        </w:tc>
        <w:tc>
          <w:tcPr>
            <w:tcW w:w="1559" w:type="dxa"/>
            <w:shd w:val="clear" w:color="auto" w:fill="2E74B5" w:themeFill="accent1" w:themeFillShade="BF"/>
          </w:tcPr>
          <w:p w:rsidR="009A033B" w:rsidRDefault="006D5C2D" w:rsidP="006D5C2D">
            <w:pPr>
              <w:rPr>
                <w:rFonts w:ascii="Arial Narrow" w:hAnsi="Arial Narrow" w:cs="Times New Roman"/>
                <w:b/>
                <w:color w:val="FFFFFF" w:themeColor="background1"/>
                <w:sz w:val="18"/>
                <w:szCs w:val="18"/>
              </w:rPr>
            </w:pPr>
            <w:r w:rsidRPr="009A033B">
              <w:rPr>
                <w:rFonts w:ascii="Arial Narrow" w:hAnsi="Arial Narrow" w:cs="Times New Roman"/>
                <w:b/>
                <w:color w:val="FFFFFF" w:themeColor="background1"/>
                <w:sz w:val="18"/>
                <w:szCs w:val="18"/>
              </w:rPr>
              <w:t>Árbol de objetivos</w:t>
            </w:r>
          </w:p>
          <w:p w:rsidR="006D5C2D" w:rsidRPr="009A033B" w:rsidRDefault="006D5C2D" w:rsidP="00A1478B">
            <w:pPr>
              <w:rPr>
                <w:rFonts w:ascii="Arial Narrow" w:hAnsi="Arial Narrow" w:cs="Times New Roman"/>
                <w:b/>
                <w:color w:val="FFFFFF" w:themeColor="background1"/>
                <w:sz w:val="18"/>
                <w:szCs w:val="18"/>
              </w:rPr>
            </w:pPr>
            <w:r w:rsidRPr="009A033B">
              <w:rPr>
                <w:rFonts w:ascii="Arial Narrow" w:hAnsi="Arial Narrow" w:cs="Times New Roman"/>
                <w:b/>
                <w:color w:val="FFFFFF" w:themeColor="background1"/>
                <w:sz w:val="18"/>
                <w:szCs w:val="18"/>
              </w:rPr>
              <w:t>(So</w:t>
            </w:r>
            <w:r w:rsidR="00A26B61" w:rsidRPr="009A033B">
              <w:rPr>
                <w:rFonts w:ascii="Arial Narrow" w:hAnsi="Arial Narrow" w:cs="Times New Roman"/>
                <w:b/>
                <w:color w:val="FFFFFF" w:themeColor="background1"/>
                <w:sz w:val="18"/>
                <w:szCs w:val="18"/>
              </w:rPr>
              <w:t xml:space="preserve">bre la base </w:t>
            </w:r>
            <w:r w:rsidR="00A1478B">
              <w:rPr>
                <w:rFonts w:ascii="Arial Narrow" w:hAnsi="Arial Narrow" w:cs="Times New Roman"/>
                <w:b/>
                <w:color w:val="FFFFFF" w:themeColor="background1"/>
                <w:sz w:val="18"/>
                <w:szCs w:val="18"/>
              </w:rPr>
              <w:t>del POD</w:t>
            </w:r>
            <w:r w:rsidRPr="009A033B">
              <w:rPr>
                <w:rFonts w:ascii="Arial Narrow" w:hAnsi="Arial Narrow" w:cs="Times New Roman"/>
                <w:b/>
                <w:color w:val="FFFFFF" w:themeColor="background1"/>
                <w:sz w:val="18"/>
                <w:szCs w:val="18"/>
              </w:rPr>
              <w:t>)</w:t>
            </w:r>
          </w:p>
        </w:tc>
        <w:tc>
          <w:tcPr>
            <w:tcW w:w="4394" w:type="dxa"/>
            <w:shd w:val="clear" w:color="auto" w:fill="2E74B5" w:themeFill="accent1" w:themeFillShade="BF"/>
          </w:tcPr>
          <w:p w:rsidR="006D5C2D" w:rsidRPr="009A033B" w:rsidRDefault="009A033B" w:rsidP="006D5C2D">
            <w:pPr>
              <w:rPr>
                <w:rFonts w:ascii="Arial Narrow" w:hAnsi="Arial Narrow" w:cs="Times New Roman"/>
                <w:b/>
                <w:color w:val="FFFFFF" w:themeColor="background1"/>
                <w:sz w:val="18"/>
                <w:szCs w:val="18"/>
              </w:rPr>
            </w:pPr>
            <w:r>
              <w:rPr>
                <w:rFonts w:ascii="Arial Narrow" w:hAnsi="Arial Narrow" w:cs="Times New Roman"/>
                <w:b/>
                <w:color w:val="FFFFFF" w:themeColor="background1"/>
                <w:sz w:val="18"/>
                <w:szCs w:val="18"/>
              </w:rPr>
              <w:t xml:space="preserve">MATRIZ DE RESULTADOS </w:t>
            </w:r>
          </w:p>
        </w:tc>
      </w:tr>
      <w:tr w:rsidR="00C91EAB" w:rsidRPr="009A033B" w:rsidTr="00C91EAB">
        <w:tc>
          <w:tcPr>
            <w:tcW w:w="2263" w:type="dxa"/>
            <w:shd w:val="clear" w:color="auto" w:fill="9CC2E5" w:themeFill="accent1" w:themeFillTint="99"/>
          </w:tcPr>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Lógica Vertical</w:t>
            </w:r>
          </w:p>
        </w:tc>
        <w:tc>
          <w:tcPr>
            <w:tcW w:w="1701" w:type="dxa"/>
            <w:shd w:val="clear" w:color="auto" w:fill="9CC2E5" w:themeFill="accent1" w:themeFillTint="99"/>
          </w:tcPr>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Indicadores</w:t>
            </w:r>
          </w:p>
        </w:tc>
        <w:tc>
          <w:tcPr>
            <w:tcW w:w="1560" w:type="dxa"/>
            <w:shd w:val="clear" w:color="auto" w:fill="9CC2E5" w:themeFill="accent1" w:themeFillTint="99"/>
          </w:tcPr>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Lógica vertical</w:t>
            </w:r>
          </w:p>
        </w:tc>
        <w:tc>
          <w:tcPr>
            <w:tcW w:w="7938" w:type="dxa"/>
            <w:shd w:val="clear" w:color="auto" w:fill="9CC2E5" w:themeFill="accent1" w:themeFillTint="99"/>
          </w:tcPr>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Indicadores</w:t>
            </w:r>
          </w:p>
        </w:tc>
        <w:tc>
          <w:tcPr>
            <w:tcW w:w="1559" w:type="dxa"/>
            <w:shd w:val="clear" w:color="auto" w:fill="9CC2E5" w:themeFill="accent1" w:themeFillTint="99"/>
          </w:tcPr>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Lógica vertical</w:t>
            </w:r>
          </w:p>
        </w:tc>
        <w:tc>
          <w:tcPr>
            <w:tcW w:w="4394" w:type="dxa"/>
            <w:shd w:val="clear" w:color="auto" w:fill="9CC2E5" w:themeFill="accent1" w:themeFillTint="99"/>
          </w:tcPr>
          <w:p w:rsidR="00C91EAB" w:rsidRPr="009A033B" w:rsidRDefault="00C91EAB" w:rsidP="006D5C2D">
            <w:pPr>
              <w:rPr>
                <w:rFonts w:ascii="Arial Narrow" w:hAnsi="Arial Narrow" w:cs="Times New Roman"/>
                <w:sz w:val="18"/>
                <w:szCs w:val="18"/>
              </w:rPr>
            </w:pPr>
          </w:p>
        </w:tc>
      </w:tr>
      <w:tr w:rsidR="00C91EAB" w:rsidRPr="009A033B" w:rsidTr="00C91EAB">
        <w:tc>
          <w:tcPr>
            <w:tcW w:w="2263" w:type="dxa"/>
          </w:tcPr>
          <w:p w:rsidR="00C91EAB" w:rsidRPr="009A033B" w:rsidRDefault="00C91EAB" w:rsidP="006D5C2D">
            <w:pPr>
              <w:rPr>
                <w:rFonts w:ascii="Arial Narrow" w:hAnsi="Arial Narrow" w:cs="Times New Roman"/>
                <w:b/>
                <w:sz w:val="18"/>
                <w:szCs w:val="18"/>
              </w:rPr>
            </w:pPr>
            <w:r w:rsidRPr="009A033B">
              <w:rPr>
                <w:rFonts w:ascii="Arial Narrow" w:hAnsi="Arial Narrow" w:cs="Times New Roman"/>
                <w:b/>
                <w:sz w:val="18"/>
                <w:szCs w:val="18"/>
              </w:rPr>
              <w:t>Fin</w:t>
            </w:r>
          </w:p>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(Perfil INDEC enero-2017)</w:t>
            </w:r>
          </w:p>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Fomentar la utilización de los productos estadísticos tanto en ámbitos gubernamentales como en la ciudadanía en general</w:t>
            </w:r>
          </w:p>
        </w:tc>
        <w:tc>
          <w:tcPr>
            <w:tcW w:w="1701" w:type="dxa"/>
          </w:tcPr>
          <w:p w:rsidR="00C91EAB" w:rsidRPr="009A033B" w:rsidRDefault="00C91EAB" w:rsidP="00102E05">
            <w:pPr>
              <w:pStyle w:val="ListParagraph"/>
              <w:numPr>
                <w:ilvl w:val="0"/>
                <w:numId w:val="10"/>
              </w:numPr>
              <w:rPr>
                <w:rFonts w:ascii="Arial Narrow" w:hAnsi="Arial Narrow" w:cs="Times New Roman"/>
                <w:sz w:val="18"/>
                <w:szCs w:val="18"/>
              </w:rPr>
            </w:pPr>
            <w:r w:rsidRPr="009A033B">
              <w:rPr>
                <w:rFonts w:ascii="Arial Narrow" w:hAnsi="Arial Narrow" w:cs="Times New Roman"/>
                <w:sz w:val="18"/>
                <w:szCs w:val="18"/>
              </w:rPr>
              <w:t>XX cantidad de nuevas dependencias gubernamentales nacionales y provinciales que consultan los productos estadísticos del INDEC</w:t>
            </w:r>
          </w:p>
          <w:p w:rsidR="00C91EAB" w:rsidRPr="009A033B" w:rsidRDefault="00C91EAB" w:rsidP="00102E05">
            <w:pPr>
              <w:pStyle w:val="ListParagraph"/>
              <w:numPr>
                <w:ilvl w:val="0"/>
                <w:numId w:val="10"/>
              </w:numPr>
              <w:rPr>
                <w:rFonts w:ascii="Arial Narrow" w:hAnsi="Arial Narrow" w:cs="Times New Roman"/>
                <w:sz w:val="18"/>
                <w:szCs w:val="18"/>
              </w:rPr>
            </w:pPr>
            <w:r w:rsidRPr="009A033B">
              <w:rPr>
                <w:rFonts w:ascii="Arial Narrow" w:hAnsi="Arial Narrow" w:cs="Times New Roman"/>
                <w:sz w:val="18"/>
                <w:szCs w:val="18"/>
              </w:rPr>
              <w:t>XX% de incremento en los accesos a la información de los productos estadísticos en la página web del organismo</w:t>
            </w:r>
          </w:p>
        </w:tc>
        <w:tc>
          <w:tcPr>
            <w:tcW w:w="1560" w:type="dxa"/>
          </w:tcPr>
          <w:p w:rsidR="00C91EAB" w:rsidRPr="009A033B" w:rsidRDefault="00C91EAB" w:rsidP="006D5C2D">
            <w:pPr>
              <w:rPr>
                <w:rFonts w:ascii="Arial Narrow" w:hAnsi="Arial Narrow" w:cs="Times New Roman"/>
                <w:b/>
                <w:sz w:val="18"/>
                <w:szCs w:val="18"/>
              </w:rPr>
            </w:pPr>
            <w:r w:rsidRPr="009A033B">
              <w:rPr>
                <w:rFonts w:ascii="Arial Narrow" w:hAnsi="Arial Narrow" w:cs="Times New Roman"/>
                <w:b/>
                <w:sz w:val="18"/>
                <w:szCs w:val="18"/>
              </w:rPr>
              <w:t xml:space="preserve">Efecto Indirecto (extraído del </w:t>
            </w:r>
            <w:r>
              <w:rPr>
                <w:rFonts w:ascii="Arial Narrow" w:hAnsi="Arial Narrow" w:cs="Times New Roman"/>
                <w:b/>
                <w:sz w:val="18"/>
                <w:szCs w:val="18"/>
              </w:rPr>
              <w:t>1.13</w:t>
            </w:r>
            <w:r w:rsidRPr="009A033B">
              <w:rPr>
                <w:rFonts w:ascii="Arial Narrow" w:hAnsi="Arial Narrow" w:cs="Times New Roman"/>
                <w:b/>
                <w:sz w:val="18"/>
                <w:szCs w:val="18"/>
              </w:rPr>
              <w:t>)</w:t>
            </w:r>
          </w:p>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Afectando la efectividad y eficiencia de las políticas públicas,</w:t>
            </w:r>
          </w:p>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La toma de decisiones privadas y el ejercicio pleno del derecho de acceso a la información pública por parte de la ciudadanía.</w:t>
            </w:r>
          </w:p>
        </w:tc>
        <w:tc>
          <w:tcPr>
            <w:tcW w:w="7938" w:type="dxa"/>
          </w:tcPr>
          <w:p w:rsidR="00C91EAB" w:rsidRPr="009A033B" w:rsidRDefault="00C91EAB" w:rsidP="006D5C2D">
            <w:pPr>
              <w:rPr>
                <w:rFonts w:ascii="Arial Narrow" w:hAnsi="Arial Narrow" w:cs="Times New Roman"/>
                <w:sz w:val="18"/>
                <w:szCs w:val="18"/>
              </w:rPr>
            </w:pPr>
          </w:p>
        </w:tc>
        <w:tc>
          <w:tcPr>
            <w:tcW w:w="1559" w:type="dxa"/>
          </w:tcPr>
          <w:p w:rsidR="00C91EAB" w:rsidRPr="009A033B" w:rsidRDefault="00C91EAB" w:rsidP="006D5C2D">
            <w:pPr>
              <w:rPr>
                <w:rFonts w:ascii="Arial Narrow" w:hAnsi="Arial Narrow" w:cs="Times New Roman"/>
                <w:b/>
                <w:sz w:val="18"/>
                <w:szCs w:val="18"/>
              </w:rPr>
            </w:pPr>
            <w:r w:rsidRPr="009A033B">
              <w:rPr>
                <w:rFonts w:ascii="Arial Narrow" w:hAnsi="Arial Narrow" w:cs="Times New Roman"/>
                <w:b/>
                <w:sz w:val="18"/>
                <w:szCs w:val="18"/>
              </w:rPr>
              <w:t>Fin indirecto</w:t>
            </w:r>
          </w:p>
          <w:p w:rsidR="00C91EAB" w:rsidRPr="009A033B" w:rsidRDefault="00C91EAB" w:rsidP="006D5C2D">
            <w:pPr>
              <w:rPr>
                <w:rFonts w:ascii="Arial Narrow" w:hAnsi="Arial Narrow" w:cs="Times New Roman"/>
                <w:b/>
                <w:sz w:val="18"/>
                <w:szCs w:val="18"/>
              </w:rPr>
            </w:pPr>
            <w:r w:rsidRPr="009A033B">
              <w:rPr>
                <w:rFonts w:ascii="Arial Narrow" w:hAnsi="Arial Narrow" w:cs="Times New Roman"/>
                <w:b/>
                <w:sz w:val="18"/>
                <w:szCs w:val="18"/>
              </w:rPr>
              <w:t xml:space="preserve">(extraído de </w:t>
            </w:r>
            <w:r w:rsidR="00C20CAA">
              <w:rPr>
                <w:rFonts w:ascii="Arial Narrow" w:hAnsi="Arial Narrow" w:cs="Times New Roman"/>
                <w:b/>
                <w:sz w:val="18"/>
                <w:szCs w:val="18"/>
              </w:rPr>
              <w:t>1.19</w:t>
            </w:r>
            <w:r w:rsidRPr="009A033B">
              <w:rPr>
                <w:rFonts w:ascii="Arial Narrow" w:hAnsi="Arial Narrow" w:cs="Times New Roman"/>
                <w:b/>
                <w:sz w:val="18"/>
                <w:szCs w:val="18"/>
              </w:rPr>
              <w:t>7)</w:t>
            </w:r>
          </w:p>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Para contribuir a la mejora de las políticas públicas, la toma de decisiones privadas y el ejercicio pleno del derecho a la información pública por parte de la ciudadanía</w:t>
            </w:r>
          </w:p>
        </w:tc>
        <w:tc>
          <w:tcPr>
            <w:tcW w:w="4394" w:type="dxa"/>
          </w:tcPr>
          <w:p w:rsidR="00C91EAB" w:rsidRPr="008F00A7" w:rsidRDefault="008F00A7" w:rsidP="006D5C2D">
            <w:pPr>
              <w:rPr>
                <w:rFonts w:ascii="Arial Narrow" w:hAnsi="Arial Narrow" w:cs="Times New Roman"/>
                <w:b/>
                <w:sz w:val="18"/>
                <w:szCs w:val="18"/>
              </w:rPr>
            </w:pPr>
            <w:r w:rsidRPr="008F00A7">
              <w:rPr>
                <w:rFonts w:ascii="Arial Narrow" w:hAnsi="Arial Narrow" w:cs="Times New Roman"/>
                <w:b/>
                <w:sz w:val="18"/>
                <w:szCs w:val="18"/>
              </w:rPr>
              <w:t>Objetivo General</w:t>
            </w:r>
          </w:p>
          <w:p w:rsidR="00C91EAB" w:rsidRDefault="008F00A7" w:rsidP="008F00A7">
            <w:pPr>
              <w:rPr>
                <w:rFonts w:ascii="Arial" w:hAnsi="Arial" w:cs="Arial"/>
                <w:sz w:val="18"/>
              </w:rPr>
            </w:pPr>
            <w:r>
              <w:rPr>
                <w:rFonts w:ascii="Arial" w:hAnsi="Arial" w:cs="Arial"/>
                <w:sz w:val="18"/>
              </w:rPr>
              <w:t>C</w:t>
            </w:r>
            <w:r w:rsidRPr="008F00A7">
              <w:rPr>
                <w:rFonts w:ascii="Arial" w:hAnsi="Arial" w:cs="Arial"/>
                <w:sz w:val="18"/>
              </w:rPr>
              <w:t>ontribuir a la mejora de las políticas públicas, toma de decisiones privadas y ejercicio pleno del derecho a la información pública por parte de la ciudadanía</w:t>
            </w:r>
          </w:p>
          <w:p w:rsidR="008F00A7" w:rsidRDefault="008F00A7" w:rsidP="008F00A7">
            <w:pPr>
              <w:rPr>
                <w:rFonts w:ascii="Arial" w:hAnsi="Arial" w:cs="Arial"/>
                <w:sz w:val="18"/>
              </w:rPr>
            </w:pPr>
          </w:p>
          <w:p w:rsidR="008F00A7" w:rsidRPr="008F00A7" w:rsidRDefault="008F00A7" w:rsidP="008F00A7">
            <w:pPr>
              <w:rPr>
                <w:rFonts w:ascii="Arial" w:hAnsi="Arial" w:cs="Arial"/>
                <w:sz w:val="18"/>
              </w:rPr>
            </w:pPr>
            <w:r w:rsidRPr="008F00A7">
              <w:rPr>
                <w:rFonts w:ascii="Arial" w:hAnsi="Arial" w:cs="Arial"/>
                <w:sz w:val="18"/>
              </w:rPr>
              <w:t>Indicador #1 Uso de las estadísticas INDEC por parte de la administración pública</w:t>
            </w:r>
          </w:p>
          <w:p w:rsidR="008F00A7" w:rsidRDefault="008F00A7" w:rsidP="008F00A7">
            <w:pPr>
              <w:rPr>
                <w:rFonts w:ascii="Arial" w:hAnsi="Arial" w:cs="Arial"/>
                <w:sz w:val="18"/>
              </w:rPr>
            </w:pPr>
          </w:p>
          <w:p w:rsidR="008F00A7" w:rsidRPr="008F00A7" w:rsidRDefault="008F00A7" w:rsidP="008F00A7">
            <w:pPr>
              <w:rPr>
                <w:rFonts w:ascii="Arial" w:hAnsi="Arial" w:cs="Arial"/>
                <w:sz w:val="18"/>
              </w:rPr>
            </w:pPr>
            <w:r w:rsidRPr="008F00A7">
              <w:rPr>
                <w:rFonts w:ascii="Arial" w:hAnsi="Arial" w:cs="Arial"/>
                <w:sz w:val="18"/>
              </w:rPr>
              <w:t xml:space="preserve">Indicador #2 Uso de las estadísticas INDEC por parte de las empresas </w:t>
            </w:r>
          </w:p>
          <w:p w:rsidR="008F00A7" w:rsidRDefault="008F00A7" w:rsidP="008F00A7">
            <w:pPr>
              <w:rPr>
                <w:rFonts w:ascii="Arial" w:hAnsi="Arial" w:cs="Arial"/>
                <w:sz w:val="18"/>
              </w:rPr>
            </w:pPr>
          </w:p>
          <w:p w:rsidR="008F00A7" w:rsidRDefault="008F00A7" w:rsidP="008F00A7">
            <w:pPr>
              <w:rPr>
                <w:rFonts w:ascii="Arial" w:hAnsi="Arial" w:cs="Arial"/>
                <w:sz w:val="18"/>
              </w:rPr>
            </w:pPr>
            <w:r w:rsidRPr="008F00A7">
              <w:rPr>
                <w:rFonts w:ascii="Arial" w:hAnsi="Arial" w:cs="Arial"/>
                <w:sz w:val="18"/>
              </w:rPr>
              <w:t>Indicador #3 Uso de las estadísticas INDEC por parte de la sociedad civil</w:t>
            </w:r>
          </w:p>
          <w:p w:rsidR="008F00A7" w:rsidRPr="008F00A7" w:rsidRDefault="008F00A7" w:rsidP="008F00A7">
            <w:pPr>
              <w:rPr>
                <w:rFonts w:ascii="Arial Narrow" w:hAnsi="Arial Narrow" w:cs="Times New Roman"/>
                <w:sz w:val="18"/>
                <w:szCs w:val="18"/>
              </w:rPr>
            </w:pPr>
          </w:p>
        </w:tc>
      </w:tr>
      <w:tr w:rsidR="00C91EAB" w:rsidRPr="009A033B" w:rsidTr="00C91EAB">
        <w:tc>
          <w:tcPr>
            <w:tcW w:w="2263" w:type="dxa"/>
          </w:tcPr>
          <w:p w:rsidR="00C91EAB" w:rsidRPr="009A033B" w:rsidRDefault="00C91EAB" w:rsidP="009810ED">
            <w:pPr>
              <w:rPr>
                <w:rFonts w:ascii="Arial Narrow" w:hAnsi="Arial Narrow" w:cs="Times New Roman"/>
                <w:b/>
                <w:sz w:val="18"/>
                <w:szCs w:val="18"/>
              </w:rPr>
            </w:pPr>
            <w:r>
              <w:rPr>
                <w:rFonts w:ascii="Arial Narrow" w:hAnsi="Arial Narrow" w:cs="Times New Roman"/>
                <w:b/>
                <w:sz w:val="18"/>
                <w:szCs w:val="18"/>
              </w:rPr>
              <w:t>Propósito</w:t>
            </w:r>
          </w:p>
          <w:p w:rsidR="00C91EAB" w:rsidRPr="009A033B" w:rsidRDefault="00C91EAB" w:rsidP="009810ED">
            <w:pPr>
              <w:rPr>
                <w:rFonts w:ascii="Arial Narrow" w:hAnsi="Arial Narrow" w:cs="Times New Roman"/>
                <w:sz w:val="18"/>
                <w:szCs w:val="18"/>
              </w:rPr>
            </w:pPr>
            <w:r w:rsidRPr="009A033B">
              <w:rPr>
                <w:rFonts w:ascii="Arial Narrow" w:hAnsi="Arial Narrow" w:cs="Times New Roman"/>
                <w:sz w:val="18"/>
                <w:szCs w:val="18"/>
              </w:rPr>
              <w:t>(Perfil INDEC enero-2017)</w:t>
            </w:r>
          </w:p>
          <w:p w:rsidR="00C91EAB" w:rsidRPr="009A033B" w:rsidRDefault="00C91EAB" w:rsidP="009810ED">
            <w:pPr>
              <w:rPr>
                <w:rFonts w:ascii="Arial Narrow" w:hAnsi="Arial Narrow" w:cs="Times New Roman"/>
                <w:sz w:val="18"/>
                <w:szCs w:val="18"/>
              </w:rPr>
            </w:pPr>
            <w:r w:rsidRPr="009A033B">
              <w:rPr>
                <w:rFonts w:ascii="Arial Narrow" w:hAnsi="Arial Narrow" w:cs="Times New Roman"/>
                <w:sz w:val="18"/>
                <w:szCs w:val="18"/>
              </w:rPr>
              <w:t>Generar una mejora en la confiabilidad, oportunidad y relevancia de las estadísticas producidas por el INDEC</w:t>
            </w:r>
          </w:p>
        </w:tc>
        <w:tc>
          <w:tcPr>
            <w:tcW w:w="1701" w:type="dxa"/>
          </w:tcPr>
          <w:p w:rsidR="00C91EAB" w:rsidRPr="009A033B" w:rsidRDefault="00C91EAB" w:rsidP="009810ED">
            <w:pPr>
              <w:pStyle w:val="ListParagraph"/>
              <w:numPr>
                <w:ilvl w:val="0"/>
                <w:numId w:val="10"/>
              </w:numPr>
              <w:rPr>
                <w:rFonts w:ascii="Arial Narrow" w:hAnsi="Arial Narrow" w:cs="Times New Roman"/>
                <w:sz w:val="18"/>
                <w:szCs w:val="18"/>
              </w:rPr>
            </w:pPr>
            <w:r w:rsidRPr="009A033B">
              <w:rPr>
                <w:rFonts w:ascii="Arial Narrow" w:hAnsi="Arial Narrow" w:cs="Times New Roman"/>
                <w:sz w:val="18"/>
                <w:szCs w:val="18"/>
              </w:rPr>
              <w:t>Disminución del porcentaje de no respuesta en operativos esenciales del Organismo</w:t>
            </w:r>
          </w:p>
          <w:p w:rsidR="00C91EAB" w:rsidRPr="009A033B" w:rsidRDefault="00C91EAB" w:rsidP="009810ED">
            <w:pPr>
              <w:pStyle w:val="ListParagraph"/>
              <w:numPr>
                <w:ilvl w:val="0"/>
                <w:numId w:val="10"/>
              </w:numPr>
              <w:rPr>
                <w:rFonts w:ascii="Arial Narrow" w:hAnsi="Arial Narrow" w:cs="Times New Roman"/>
                <w:sz w:val="18"/>
                <w:szCs w:val="18"/>
              </w:rPr>
            </w:pPr>
            <w:r w:rsidRPr="009A033B">
              <w:rPr>
                <w:rFonts w:ascii="Arial Narrow" w:hAnsi="Arial Narrow" w:cs="Times New Roman"/>
                <w:sz w:val="18"/>
                <w:szCs w:val="18"/>
              </w:rPr>
              <w:t>100% de cumplimiento de cronograma de publicaciones del INDEC</w:t>
            </w:r>
          </w:p>
          <w:p w:rsidR="00C91EAB" w:rsidRPr="009A033B" w:rsidRDefault="00C91EAB" w:rsidP="009810ED">
            <w:pPr>
              <w:pStyle w:val="ListParagraph"/>
              <w:numPr>
                <w:ilvl w:val="0"/>
                <w:numId w:val="10"/>
              </w:numPr>
              <w:rPr>
                <w:rFonts w:ascii="Arial Narrow" w:hAnsi="Arial Narrow" w:cs="Times New Roman"/>
                <w:sz w:val="18"/>
                <w:szCs w:val="18"/>
              </w:rPr>
            </w:pPr>
            <w:r w:rsidRPr="009A033B">
              <w:rPr>
                <w:rFonts w:ascii="Arial Narrow" w:hAnsi="Arial Narrow" w:cs="Times New Roman"/>
                <w:sz w:val="18"/>
                <w:szCs w:val="18"/>
              </w:rPr>
              <w:t>Nivel o porcentaje de satisfacción de los distintos grupos de usuarios con la información producida y publicada por el Instituto</w:t>
            </w:r>
          </w:p>
        </w:tc>
        <w:tc>
          <w:tcPr>
            <w:tcW w:w="1560" w:type="dxa"/>
          </w:tcPr>
          <w:p w:rsidR="00C91EAB" w:rsidRPr="009A033B" w:rsidRDefault="00C91EAB" w:rsidP="006D5C2D">
            <w:pPr>
              <w:rPr>
                <w:rFonts w:ascii="Arial Narrow" w:hAnsi="Arial Narrow" w:cs="Times New Roman"/>
                <w:b/>
                <w:sz w:val="18"/>
                <w:szCs w:val="18"/>
              </w:rPr>
            </w:pPr>
            <w:r w:rsidRPr="009A033B">
              <w:rPr>
                <w:rFonts w:ascii="Arial Narrow" w:hAnsi="Arial Narrow" w:cs="Times New Roman"/>
                <w:b/>
                <w:sz w:val="18"/>
                <w:szCs w:val="18"/>
              </w:rPr>
              <w:t>Problema Central</w:t>
            </w:r>
          </w:p>
          <w:p w:rsidR="00C91EAB" w:rsidRPr="009A033B" w:rsidRDefault="00C91EAB" w:rsidP="006D5C2D">
            <w:pPr>
              <w:rPr>
                <w:rFonts w:ascii="Arial Narrow" w:hAnsi="Arial Narrow" w:cs="Times New Roman"/>
                <w:b/>
                <w:sz w:val="18"/>
                <w:szCs w:val="18"/>
              </w:rPr>
            </w:pPr>
            <w:r w:rsidRPr="009A033B">
              <w:rPr>
                <w:rFonts w:ascii="Arial Narrow" w:hAnsi="Arial Narrow" w:cs="Times New Roman"/>
                <w:b/>
                <w:sz w:val="18"/>
                <w:szCs w:val="18"/>
              </w:rPr>
              <w:t xml:space="preserve">(Extraído de </w:t>
            </w:r>
            <w:r>
              <w:rPr>
                <w:rFonts w:ascii="Arial Narrow" w:hAnsi="Arial Narrow" w:cs="Times New Roman"/>
                <w:b/>
                <w:sz w:val="18"/>
                <w:szCs w:val="18"/>
              </w:rPr>
              <w:t>1,5 del POD</w:t>
            </w:r>
            <w:r w:rsidRPr="009A033B">
              <w:rPr>
                <w:rFonts w:ascii="Arial Narrow" w:hAnsi="Arial Narrow" w:cs="Times New Roman"/>
                <w:b/>
                <w:sz w:val="18"/>
                <w:szCs w:val="18"/>
              </w:rPr>
              <w:t>)</w:t>
            </w:r>
          </w:p>
          <w:p w:rsidR="00C91EAB" w:rsidRPr="009A033B" w:rsidRDefault="00C91EAB" w:rsidP="00675B34">
            <w:pPr>
              <w:rPr>
                <w:rFonts w:ascii="Arial Narrow" w:hAnsi="Arial Narrow" w:cs="Times New Roman"/>
                <w:sz w:val="18"/>
                <w:szCs w:val="18"/>
              </w:rPr>
            </w:pPr>
            <w:r w:rsidRPr="00F77F86">
              <w:rPr>
                <w:rFonts w:ascii="Arial Narrow" w:hAnsi="Arial Narrow" w:cs="Times New Roman"/>
                <w:sz w:val="18"/>
                <w:szCs w:val="18"/>
              </w:rPr>
              <w:t>Retraso incurrido en el uso de nuevas técnicas, metodologías, recursos humanos e infraestructura estadísticas, lo cual dificulta el proceso de producción estadística</w:t>
            </w:r>
          </w:p>
        </w:tc>
        <w:tc>
          <w:tcPr>
            <w:tcW w:w="7938" w:type="dxa"/>
          </w:tcPr>
          <w:p w:rsidR="00C91EAB" w:rsidRDefault="00C91EAB" w:rsidP="006D5C2D">
            <w:pPr>
              <w:rPr>
                <w:rFonts w:ascii="Arial Narrow" w:hAnsi="Arial Narrow" w:cs="Times New Roman"/>
                <w:sz w:val="18"/>
                <w:szCs w:val="18"/>
              </w:rPr>
            </w:pPr>
            <w:r w:rsidRPr="009A033B">
              <w:rPr>
                <w:rFonts w:ascii="Arial Narrow" w:hAnsi="Arial Narrow" w:cs="Times New Roman"/>
                <w:sz w:val="18"/>
                <w:szCs w:val="18"/>
              </w:rPr>
              <w:t xml:space="preserve">Los </w:t>
            </w:r>
            <w:r>
              <w:rPr>
                <w:rFonts w:ascii="Arial Narrow" w:hAnsi="Arial Narrow" w:cs="Times New Roman"/>
                <w:sz w:val="18"/>
                <w:szCs w:val="18"/>
              </w:rPr>
              <w:t>indicadores pueden ser vistos en el numeral 1.6 y son</w:t>
            </w:r>
            <w:r w:rsidRPr="009A033B">
              <w:rPr>
                <w:rFonts w:ascii="Arial Narrow" w:hAnsi="Arial Narrow" w:cs="Times New Roman"/>
                <w:sz w:val="18"/>
                <w:szCs w:val="18"/>
              </w:rPr>
              <w:t>:</w:t>
            </w:r>
          </w:p>
          <w:p w:rsidR="00C91EAB" w:rsidRDefault="00C91EAB" w:rsidP="006D5C2D">
            <w:pPr>
              <w:rPr>
                <w:rFonts w:ascii="Arial Narrow" w:hAnsi="Arial Narrow" w:cs="Times New Roman"/>
                <w:sz w:val="18"/>
                <w:szCs w:val="18"/>
              </w:rPr>
            </w:pPr>
          </w:p>
          <w:p w:rsidR="00C91EAB" w:rsidRDefault="00C91EAB" w:rsidP="00675B34">
            <w:pPr>
              <w:pStyle w:val="ListParagraph"/>
              <w:numPr>
                <w:ilvl w:val="0"/>
                <w:numId w:val="3"/>
              </w:numPr>
              <w:ind w:left="330" w:hanging="330"/>
              <w:rPr>
                <w:rFonts w:ascii="Arial Narrow" w:hAnsi="Arial Narrow" w:cs="Times New Roman"/>
                <w:sz w:val="18"/>
                <w:szCs w:val="18"/>
              </w:rPr>
            </w:pPr>
            <w:r w:rsidRPr="00550F5C">
              <w:rPr>
                <w:rFonts w:ascii="Arial Narrow" w:hAnsi="Arial Narrow" w:cs="Times New Roman"/>
                <w:sz w:val="18"/>
                <w:szCs w:val="18"/>
              </w:rPr>
              <w:t xml:space="preserve">Confiabilidad (precisión): Se refiere a los potenciales errores de muestreo y no-muestreo que impactan la medición de un indicador (por ejemplo, errores de cobertura, de no respuesta, de procesamiento, etc.). </w:t>
            </w:r>
          </w:p>
          <w:p w:rsidR="00C91EAB" w:rsidRDefault="00C91EAB" w:rsidP="00675B34">
            <w:pPr>
              <w:pStyle w:val="ListParagraph"/>
              <w:numPr>
                <w:ilvl w:val="0"/>
                <w:numId w:val="3"/>
              </w:numPr>
              <w:ind w:left="330" w:hanging="330"/>
              <w:rPr>
                <w:rFonts w:ascii="Arial Narrow" w:hAnsi="Arial Narrow" w:cs="Times New Roman"/>
                <w:sz w:val="18"/>
                <w:szCs w:val="18"/>
              </w:rPr>
            </w:pPr>
            <w:r w:rsidRPr="00550F5C">
              <w:rPr>
                <w:rFonts w:ascii="Arial Narrow" w:hAnsi="Arial Narrow" w:cs="Times New Roman"/>
                <w:sz w:val="18"/>
                <w:szCs w:val="18"/>
              </w:rPr>
              <w:t xml:space="preserve">Relevancia: Se refiere a que los indicadores respondan a las necesidades reales de información de los usuarios, pues es posible contar con indicadores estimados con precisión (confiabilidad) y publicados a tiempo (oportunidad) pero que no sean los requeridos por los usuarios. </w:t>
            </w:r>
          </w:p>
          <w:p w:rsidR="00C91EAB" w:rsidRDefault="00C91EAB" w:rsidP="00675B34">
            <w:pPr>
              <w:pStyle w:val="ListParagraph"/>
              <w:numPr>
                <w:ilvl w:val="0"/>
                <w:numId w:val="3"/>
              </w:numPr>
              <w:ind w:left="330" w:hanging="330"/>
              <w:rPr>
                <w:rFonts w:ascii="Arial Narrow" w:hAnsi="Arial Narrow" w:cs="Times New Roman"/>
                <w:sz w:val="18"/>
                <w:szCs w:val="18"/>
              </w:rPr>
            </w:pPr>
            <w:r w:rsidRPr="00550F5C">
              <w:rPr>
                <w:rFonts w:ascii="Arial Narrow" w:hAnsi="Arial Narrow" w:cs="Times New Roman"/>
                <w:sz w:val="18"/>
                <w:szCs w:val="18"/>
              </w:rPr>
              <w:t>Oportunidad: Se refiere a los tiempos de producción de un indicador, la frecuencia y la puntualidad con la que se publica.</w:t>
            </w:r>
          </w:p>
          <w:p w:rsidR="00C91EAB" w:rsidRPr="00550F5C" w:rsidRDefault="00C91EAB" w:rsidP="00550F5C">
            <w:pPr>
              <w:pStyle w:val="ListParagraph"/>
              <w:ind w:left="330"/>
              <w:rPr>
                <w:rFonts w:ascii="Arial Narrow" w:hAnsi="Arial Narrow" w:cs="Times New Roman"/>
                <w:sz w:val="18"/>
                <w:szCs w:val="18"/>
              </w:rPr>
            </w:pPr>
            <w:r w:rsidRPr="00550F5C">
              <w:rPr>
                <w:rFonts w:ascii="Arial Narrow" w:hAnsi="Arial Narrow" w:cs="Times New Roman"/>
                <w:sz w:val="18"/>
                <w:szCs w:val="18"/>
              </w:rPr>
              <w:t xml:space="preserve"> Ver: http://webarchive.nationalarchives.gov.uk/20160105160709/http://ons.gov.uk/ons/guide-method/method-quality/quality/guidelines-for-measuring-statistical-quality/guidelines-for-measuring-statistical-output-quality.pdf</w:t>
            </w:r>
          </w:p>
          <w:p w:rsidR="00C91EAB" w:rsidRDefault="00C91EAB" w:rsidP="006D5C2D">
            <w:pPr>
              <w:rPr>
                <w:rFonts w:ascii="Arial Narrow" w:hAnsi="Arial Narrow" w:cs="Times New Roman"/>
                <w:sz w:val="18"/>
                <w:szCs w:val="18"/>
              </w:rPr>
            </w:pPr>
          </w:p>
          <w:p w:rsidR="00C91EAB" w:rsidRPr="009A033B" w:rsidRDefault="00C91EAB" w:rsidP="006D5C2D">
            <w:pPr>
              <w:rPr>
                <w:rFonts w:ascii="Arial Narrow" w:hAnsi="Arial Narrow" w:cs="Times New Roman"/>
                <w:sz w:val="18"/>
                <w:szCs w:val="18"/>
              </w:rPr>
            </w:pPr>
            <w:r w:rsidRPr="00550F5C">
              <w:rPr>
                <w:rFonts w:ascii="Arial Narrow" w:hAnsi="Arial Narrow" w:cs="Times New Roman"/>
                <w:sz w:val="18"/>
                <w:szCs w:val="18"/>
              </w:rPr>
              <w:t xml:space="preserve">En el caso de la confiabilidad, el indicador relevante es la tasa de omisión del censo de población y vivienda que fue del 3% en el 2010, cuando el estándar internacional debe ser inferior al 2%. En cuanto a la relevancia, el indicador es la tasa general de no respuesta para la encuesta permanente de hogares, que fue en 2015 (cuarto trimestre) del 30.8%. Finalmente, en cuanto a la oportunidad, cabe destacar que el último censo económico se realizó hace 13 años (cuando los estándares internacionales establecen </w:t>
            </w:r>
            <w:bookmarkStart w:id="0" w:name="_GoBack"/>
            <w:bookmarkEnd w:id="0"/>
            <w:r w:rsidRPr="00550F5C">
              <w:rPr>
                <w:rFonts w:ascii="Arial Narrow" w:hAnsi="Arial Narrow" w:cs="Times New Roman"/>
                <w:sz w:val="18"/>
                <w:szCs w:val="18"/>
              </w:rPr>
              <w:t>que debe realizarse cada 10 años) y el tiempo transcurrido entre el inicio del trabajo de campo del censo de población y vivienda y la publicación de los resultados definitivos nacionales y provinciales en micro-datos fue de 36 meses en 2010.</w:t>
            </w:r>
          </w:p>
          <w:p w:rsidR="00C91EAB" w:rsidRPr="009A033B" w:rsidRDefault="00C91EAB" w:rsidP="009A033B">
            <w:pPr>
              <w:pStyle w:val="ListParagraph"/>
              <w:ind w:left="330"/>
              <w:rPr>
                <w:rFonts w:ascii="Arial Narrow" w:hAnsi="Arial Narrow" w:cs="Times New Roman"/>
                <w:sz w:val="18"/>
                <w:szCs w:val="18"/>
              </w:rPr>
            </w:pPr>
          </w:p>
        </w:tc>
        <w:tc>
          <w:tcPr>
            <w:tcW w:w="1559" w:type="dxa"/>
          </w:tcPr>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Objetivo Central</w:t>
            </w:r>
            <w:r w:rsidR="00C20CAA">
              <w:rPr>
                <w:rFonts w:ascii="Arial Narrow" w:hAnsi="Arial Narrow" w:cs="Times New Roman"/>
                <w:sz w:val="18"/>
                <w:szCs w:val="18"/>
              </w:rPr>
              <w:t xml:space="preserve"> (Ver 1.19 POD)</w:t>
            </w:r>
          </w:p>
          <w:p w:rsidR="00C91EAB" w:rsidRPr="009A033B" w:rsidRDefault="00393786" w:rsidP="006D5C2D">
            <w:pPr>
              <w:rPr>
                <w:rFonts w:ascii="Arial Narrow" w:hAnsi="Arial Narrow" w:cs="Times New Roman"/>
                <w:sz w:val="18"/>
                <w:szCs w:val="18"/>
              </w:rPr>
            </w:pPr>
            <w:r w:rsidRPr="00393786">
              <w:rPr>
                <w:rFonts w:ascii="Arial Narrow" w:hAnsi="Arial Narrow" w:cs="Times New Roman"/>
                <w:sz w:val="18"/>
                <w:szCs w:val="18"/>
              </w:rPr>
              <w:t>Mejorar la confiabilidad, oportunidad y relevancia de las estadísticas producidas por el INDEC</w:t>
            </w:r>
          </w:p>
        </w:tc>
        <w:tc>
          <w:tcPr>
            <w:tcW w:w="4394" w:type="dxa"/>
          </w:tcPr>
          <w:p w:rsidR="00C91EAB" w:rsidRPr="009A033B" w:rsidRDefault="00C91EAB" w:rsidP="006D5C2D">
            <w:pPr>
              <w:rPr>
                <w:rFonts w:ascii="Arial Narrow" w:hAnsi="Arial Narrow" w:cs="Times New Roman"/>
                <w:b/>
                <w:sz w:val="18"/>
                <w:szCs w:val="18"/>
              </w:rPr>
            </w:pPr>
            <w:r w:rsidRPr="009A033B">
              <w:rPr>
                <w:rFonts w:ascii="Arial Narrow" w:hAnsi="Arial Narrow" w:cs="Times New Roman"/>
                <w:b/>
                <w:sz w:val="18"/>
                <w:szCs w:val="18"/>
              </w:rPr>
              <w:t xml:space="preserve">Objetivo </w:t>
            </w:r>
            <w:r w:rsidR="008F00A7">
              <w:rPr>
                <w:rFonts w:ascii="Arial Narrow" w:hAnsi="Arial Narrow" w:cs="Times New Roman"/>
                <w:b/>
                <w:sz w:val="18"/>
                <w:szCs w:val="18"/>
              </w:rPr>
              <w:t>específico</w:t>
            </w:r>
            <w:r w:rsidRPr="009A033B">
              <w:rPr>
                <w:rFonts w:ascii="Arial Narrow" w:hAnsi="Arial Narrow" w:cs="Times New Roman"/>
                <w:b/>
                <w:sz w:val="18"/>
                <w:szCs w:val="18"/>
              </w:rPr>
              <w:t xml:space="preserve"> – Resultados</w:t>
            </w:r>
          </w:p>
          <w:p w:rsidR="00C91EAB" w:rsidRDefault="008F00A7" w:rsidP="006D5C2D">
            <w:pPr>
              <w:rPr>
                <w:rFonts w:ascii="Arial" w:hAnsi="Arial" w:cs="Arial"/>
                <w:sz w:val="18"/>
              </w:rPr>
            </w:pPr>
            <w:r>
              <w:rPr>
                <w:rFonts w:ascii="Arial" w:hAnsi="Arial" w:cs="Arial"/>
                <w:sz w:val="18"/>
              </w:rPr>
              <w:t>Generar una mejora en la confiabilidad, oportunidad y relevancia de las estadísticas producidas por el INDEC</w:t>
            </w:r>
          </w:p>
          <w:p w:rsidR="008F00A7" w:rsidRDefault="008F00A7" w:rsidP="006D5C2D">
            <w:pPr>
              <w:rPr>
                <w:rFonts w:ascii="Arial" w:hAnsi="Arial" w:cs="Arial"/>
                <w:sz w:val="18"/>
              </w:rPr>
            </w:pPr>
          </w:p>
          <w:p w:rsidR="008F00A7" w:rsidRPr="008F00A7" w:rsidRDefault="008F00A7" w:rsidP="008F00A7">
            <w:pPr>
              <w:rPr>
                <w:rFonts w:ascii="Arial Narrow" w:hAnsi="Arial Narrow" w:cs="Times New Roman"/>
                <w:sz w:val="18"/>
                <w:szCs w:val="18"/>
                <w:lang w:val="es-CR"/>
              </w:rPr>
            </w:pPr>
            <w:r w:rsidRPr="008F00A7">
              <w:rPr>
                <w:rFonts w:ascii="Arial Narrow" w:hAnsi="Arial Narrow" w:cs="Times New Roman"/>
                <w:sz w:val="18"/>
                <w:szCs w:val="18"/>
                <w:lang w:val="es-CR"/>
              </w:rPr>
              <w:t>Indicador #1 Tasa de omisión censo de población y vivienda</w:t>
            </w:r>
          </w:p>
          <w:p w:rsidR="008F00A7" w:rsidRPr="008F00A7" w:rsidRDefault="008F00A7" w:rsidP="008F00A7">
            <w:pPr>
              <w:rPr>
                <w:rFonts w:ascii="Arial Narrow" w:hAnsi="Arial Narrow" w:cs="Times New Roman"/>
                <w:sz w:val="18"/>
                <w:szCs w:val="18"/>
                <w:lang w:val="es-CR"/>
              </w:rPr>
            </w:pPr>
          </w:p>
          <w:p w:rsidR="008F00A7" w:rsidRPr="008F00A7" w:rsidRDefault="008F00A7" w:rsidP="008F00A7">
            <w:pPr>
              <w:rPr>
                <w:rFonts w:ascii="Arial Narrow" w:hAnsi="Arial Narrow" w:cs="Times New Roman"/>
                <w:sz w:val="18"/>
                <w:szCs w:val="18"/>
                <w:lang w:val="es-CR"/>
              </w:rPr>
            </w:pPr>
            <w:r w:rsidRPr="008F00A7">
              <w:rPr>
                <w:rFonts w:ascii="Arial Narrow" w:hAnsi="Arial Narrow" w:cs="Times New Roman"/>
                <w:sz w:val="18"/>
                <w:szCs w:val="18"/>
                <w:lang w:val="es-CR"/>
              </w:rPr>
              <w:t>Indicador #2 Tasa general de no respuesta para la Encuesta Permanente de Hogares (vinculado al marco muestral que se elabora para el censo)</w:t>
            </w:r>
          </w:p>
          <w:p w:rsidR="008F00A7" w:rsidRDefault="008F00A7" w:rsidP="008F00A7">
            <w:pPr>
              <w:rPr>
                <w:rFonts w:ascii="Arial Narrow" w:hAnsi="Arial Narrow" w:cs="Times New Roman"/>
                <w:sz w:val="18"/>
                <w:szCs w:val="18"/>
                <w:lang w:val="es-CR"/>
              </w:rPr>
            </w:pPr>
          </w:p>
          <w:p w:rsidR="008F00A7" w:rsidRPr="008F00A7" w:rsidRDefault="008F00A7" w:rsidP="008F00A7">
            <w:pPr>
              <w:rPr>
                <w:rFonts w:ascii="Arial Narrow" w:hAnsi="Arial Narrow" w:cs="Times New Roman"/>
                <w:sz w:val="18"/>
                <w:szCs w:val="18"/>
                <w:lang w:val="es-CR"/>
              </w:rPr>
            </w:pPr>
            <w:r w:rsidRPr="008F00A7">
              <w:rPr>
                <w:rFonts w:ascii="Arial Narrow" w:hAnsi="Arial Narrow" w:cs="Times New Roman"/>
                <w:sz w:val="18"/>
                <w:szCs w:val="18"/>
                <w:lang w:val="es-CR"/>
              </w:rPr>
              <w:t xml:space="preserve">Indicador #3 </w:t>
            </w:r>
          </w:p>
          <w:p w:rsidR="008F00A7" w:rsidRPr="008F00A7" w:rsidRDefault="008F00A7" w:rsidP="008F00A7">
            <w:pPr>
              <w:rPr>
                <w:rFonts w:ascii="Arial Narrow" w:hAnsi="Arial Narrow" w:cs="Times New Roman"/>
                <w:sz w:val="18"/>
                <w:szCs w:val="18"/>
                <w:lang w:val="es-CR"/>
              </w:rPr>
            </w:pPr>
            <w:r w:rsidRPr="008F00A7">
              <w:rPr>
                <w:rFonts w:ascii="Arial Narrow" w:hAnsi="Arial Narrow" w:cs="Times New Roman"/>
                <w:sz w:val="18"/>
                <w:szCs w:val="18"/>
                <w:lang w:val="es-CR"/>
              </w:rPr>
              <w:t>Cumplimiento de las recomendaciones de la OCDE.</w:t>
            </w:r>
          </w:p>
          <w:p w:rsidR="008F00A7" w:rsidRPr="008F00A7" w:rsidRDefault="008F00A7" w:rsidP="008F00A7">
            <w:pPr>
              <w:rPr>
                <w:rFonts w:ascii="Arial Narrow" w:hAnsi="Arial Narrow" w:cs="Times New Roman"/>
                <w:sz w:val="18"/>
                <w:szCs w:val="18"/>
                <w:lang w:val="es-CR"/>
              </w:rPr>
            </w:pPr>
          </w:p>
          <w:p w:rsidR="008F00A7" w:rsidRPr="008F00A7" w:rsidRDefault="008F00A7" w:rsidP="008F00A7">
            <w:pPr>
              <w:rPr>
                <w:rFonts w:ascii="Arial Narrow" w:hAnsi="Arial Narrow" w:cs="Times New Roman"/>
                <w:sz w:val="18"/>
                <w:szCs w:val="18"/>
                <w:lang w:val="es-CR"/>
              </w:rPr>
            </w:pPr>
            <w:r w:rsidRPr="008F00A7">
              <w:rPr>
                <w:rFonts w:ascii="Arial Narrow" w:hAnsi="Arial Narrow" w:cs="Times New Roman"/>
                <w:sz w:val="18"/>
                <w:szCs w:val="18"/>
                <w:lang w:val="es-CR"/>
              </w:rPr>
              <w:t xml:space="preserve">Indicador #4 </w:t>
            </w:r>
          </w:p>
          <w:p w:rsidR="008F00A7" w:rsidRPr="008F00A7" w:rsidRDefault="008F00A7" w:rsidP="008F00A7">
            <w:pPr>
              <w:rPr>
                <w:rFonts w:ascii="Arial Narrow" w:hAnsi="Arial Narrow" w:cs="Times New Roman"/>
                <w:sz w:val="18"/>
                <w:szCs w:val="18"/>
                <w:lang w:val="es-CR"/>
              </w:rPr>
            </w:pPr>
            <w:r w:rsidRPr="008F00A7">
              <w:rPr>
                <w:rFonts w:ascii="Arial Narrow" w:hAnsi="Arial Narrow" w:cs="Times New Roman"/>
                <w:sz w:val="18"/>
                <w:szCs w:val="18"/>
                <w:lang w:val="es-CR"/>
              </w:rPr>
              <w:t xml:space="preserve">Antigüedad del último censo económico programado </w:t>
            </w:r>
          </w:p>
          <w:p w:rsidR="008F00A7" w:rsidRDefault="008F00A7" w:rsidP="008F00A7">
            <w:pPr>
              <w:rPr>
                <w:rFonts w:ascii="Arial Narrow" w:hAnsi="Arial Narrow" w:cs="Times New Roman"/>
                <w:sz w:val="18"/>
                <w:szCs w:val="18"/>
                <w:lang w:val="es-CR"/>
              </w:rPr>
            </w:pPr>
          </w:p>
          <w:p w:rsidR="008F00A7" w:rsidRPr="008F00A7" w:rsidRDefault="008F00A7" w:rsidP="008F00A7">
            <w:pPr>
              <w:rPr>
                <w:rFonts w:ascii="Arial Narrow" w:hAnsi="Arial Narrow" w:cs="Times New Roman"/>
                <w:sz w:val="18"/>
                <w:szCs w:val="18"/>
                <w:lang w:val="es-CR"/>
              </w:rPr>
            </w:pPr>
            <w:r w:rsidRPr="008F00A7">
              <w:rPr>
                <w:rFonts w:ascii="Arial Narrow" w:hAnsi="Arial Narrow" w:cs="Times New Roman"/>
                <w:sz w:val="18"/>
                <w:szCs w:val="18"/>
                <w:lang w:val="es-CR"/>
              </w:rPr>
              <w:t>Indicador #5 Tiempo transcurrido desde el inicio del trabajo de campo del Censo Nacional de Poblaci</w:t>
            </w:r>
            <w:r w:rsidR="00F77F86">
              <w:rPr>
                <w:rFonts w:ascii="Arial Narrow" w:hAnsi="Arial Narrow" w:cs="Times New Roman"/>
                <w:sz w:val="18"/>
                <w:szCs w:val="18"/>
                <w:lang w:val="es-CR"/>
              </w:rPr>
              <w:t xml:space="preserve">ón, Hogares y Viviendas 2020 y </w:t>
            </w:r>
            <w:r w:rsidRPr="008F00A7">
              <w:rPr>
                <w:rFonts w:ascii="Arial Narrow" w:hAnsi="Arial Narrow" w:cs="Times New Roman"/>
                <w:sz w:val="18"/>
                <w:szCs w:val="18"/>
                <w:lang w:val="es-CR"/>
              </w:rPr>
              <w:t xml:space="preserve">fecha de publicación de los resultados definitivos nacionales y provinciales en microdatos. </w:t>
            </w:r>
          </w:p>
          <w:p w:rsidR="008F00A7" w:rsidRPr="009A033B" w:rsidRDefault="008F00A7" w:rsidP="006D5C2D">
            <w:pPr>
              <w:rPr>
                <w:rFonts w:ascii="Arial Narrow" w:hAnsi="Arial Narrow" w:cs="Times New Roman"/>
                <w:sz w:val="18"/>
                <w:szCs w:val="18"/>
                <w:lang w:val="es-CR"/>
              </w:rPr>
            </w:pPr>
          </w:p>
        </w:tc>
      </w:tr>
      <w:tr w:rsidR="00C91EAB" w:rsidRPr="009A033B" w:rsidTr="00C91EAB">
        <w:tc>
          <w:tcPr>
            <w:tcW w:w="2263" w:type="dxa"/>
          </w:tcPr>
          <w:p w:rsidR="00C91EAB" w:rsidRPr="00E9766C" w:rsidRDefault="00C91EAB" w:rsidP="006D5C2D">
            <w:pPr>
              <w:rPr>
                <w:rFonts w:ascii="Arial Narrow" w:hAnsi="Arial Narrow" w:cs="Times New Roman"/>
                <w:b/>
                <w:sz w:val="18"/>
                <w:szCs w:val="18"/>
              </w:rPr>
            </w:pPr>
            <w:r w:rsidRPr="00E9766C">
              <w:rPr>
                <w:rFonts w:ascii="Arial Narrow" w:hAnsi="Arial Narrow" w:cs="Times New Roman"/>
                <w:b/>
                <w:sz w:val="18"/>
                <w:szCs w:val="18"/>
              </w:rPr>
              <w:t>Componentes</w:t>
            </w:r>
            <w:r>
              <w:rPr>
                <w:rFonts w:ascii="Arial Narrow" w:hAnsi="Arial Narrow" w:cs="Times New Roman"/>
                <w:b/>
                <w:sz w:val="18"/>
                <w:szCs w:val="18"/>
              </w:rPr>
              <w:t xml:space="preserve"> /Acciones</w:t>
            </w:r>
          </w:p>
          <w:p w:rsidR="00C91EAB" w:rsidRPr="009A033B" w:rsidRDefault="00C91EAB" w:rsidP="006D5C2D">
            <w:pPr>
              <w:rPr>
                <w:rFonts w:ascii="Arial Narrow" w:hAnsi="Arial Narrow" w:cs="Times New Roman"/>
                <w:sz w:val="18"/>
                <w:szCs w:val="18"/>
              </w:rPr>
            </w:pPr>
            <w:r>
              <w:rPr>
                <w:rFonts w:ascii="Arial Narrow" w:hAnsi="Arial Narrow" w:cs="Times New Roman"/>
                <w:sz w:val="18"/>
                <w:szCs w:val="18"/>
              </w:rPr>
              <w:t>(Extraído información de Carmenza)</w:t>
            </w:r>
          </w:p>
          <w:p w:rsidR="00C91EAB" w:rsidRPr="009A033B" w:rsidRDefault="00C91EAB" w:rsidP="00EA3865">
            <w:pPr>
              <w:rPr>
                <w:rFonts w:ascii="Arial Narrow" w:hAnsi="Arial Narrow" w:cs="Times New Roman"/>
                <w:sz w:val="18"/>
                <w:szCs w:val="18"/>
              </w:rPr>
            </w:pPr>
            <w:r w:rsidRPr="009A033B">
              <w:rPr>
                <w:rFonts w:ascii="Arial Narrow" w:hAnsi="Arial Narrow" w:cs="Times New Roman"/>
                <w:sz w:val="18"/>
                <w:szCs w:val="18"/>
              </w:rPr>
              <w:t>C1: Innovaciones en el SEN para la producción y diseminación de estadísticas.</w:t>
            </w:r>
          </w:p>
          <w:p w:rsidR="00C91EAB" w:rsidRPr="009A033B" w:rsidRDefault="00C91EAB" w:rsidP="00EA3865">
            <w:pPr>
              <w:pStyle w:val="ListParagraph"/>
              <w:numPr>
                <w:ilvl w:val="0"/>
                <w:numId w:val="11"/>
              </w:numPr>
              <w:rPr>
                <w:rFonts w:ascii="Arial Narrow" w:hAnsi="Arial Narrow" w:cs="Times New Roman"/>
                <w:sz w:val="18"/>
                <w:szCs w:val="18"/>
              </w:rPr>
            </w:pPr>
            <w:r w:rsidRPr="009A033B">
              <w:rPr>
                <w:rFonts w:ascii="Arial Narrow" w:hAnsi="Arial Narrow" w:cs="Times New Roman"/>
                <w:sz w:val="18"/>
                <w:szCs w:val="18"/>
              </w:rPr>
              <w:t>1.1.  Promocion de la transparencia y la modernizacion en materia estadística</w:t>
            </w:r>
          </w:p>
          <w:p w:rsidR="00C91EAB" w:rsidRPr="009A033B" w:rsidRDefault="00C91EAB" w:rsidP="00EA3865">
            <w:pPr>
              <w:pStyle w:val="ListParagraph"/>
              <w:numPr>
                <w:ilvl w:val="0"/>
                <w:numId w:val="11"/>
              </w:numPr>
              <w:rPr>
                <w:rFonts w:ascii="Arial Narrow" w:hAnsi="Arial Narrow" w:cs="Times New Roman"/>
                <w:sz w:val="18"/>
                <w:szCs w:val="18"/>
              </w:rPr>
            </w:pPr>
            <w:r w:rsidRPr="009A033B">
              <w:rPr>
                <w:rFonts w:ascii="Arial Narrow" w:hAnsi="Arial Narrow" w:cs="Times New Roman"/>
                <w:sz w:val="18"/>
                <w:szCs w:val="18"/>
              </w:rPr>
              <w:t>1.2. Mejora de la Infraestructura edilicia e informática</w:t>
            </w:r>
          </w:p>
          <w:p w:rsidR="00C91EAB" w:rsidRPr="009A033B" w:rsidRDefault="00C91EAB" w:rsidP="00EA3865">
            <w:pPr>
              <w:pStyle w:val="ListParagraph"/>
              <w:numPr>
                <w:ilvl w:val="0"/>
                <w:numId w:val="11"/>
              </w:numPr>
              <w:rPr>
                <w:rFonts w:ascii="Arial Narrow" w:hAnsi="Arial Narrow" w:cs="Times New Roman"/>
                <w:sz w:val="18"/>
                <w:szCs w:val="18"/>
              </w:rPr>
            </w:pPr>
            <w:r w:rsidRPr="009A033B">
              <w:rPr>
                <w:rFonts w:ascii="Arial Narrow" w:hAnsi="Arial Narrow" w:cs="Times New Roman"/>
                <w:sz w:val="18"/>
                <w:szCs w:val="18"/>
              </w:rPr>
              <w:t>1.3.  Fortalecimiento de la Organización interna y los recursos humanos</w:t>
            </w:r>
          </w:p>
          <w:p w:rsidR="00C91EAB" w:rsidRPr="009A033B" w:rsidRDefault="00C91EAB" w:rsidP="00EA3865">
            <w:pPr>
              <w:pStyle w:val="ListParagraph"/>
              <w:numPr>
                <w:ilvl w:val="0"/>
                <w:numId w:val="11"/>
              </w:numPr>
              <w:rPr>
                <w:rFonts w:ascii="Arial Narrow" w:hAnsi="Arial Narrow" w:cs="Times New Roman"/>
                <w:sz w:val="18"/>
                <w:szCs w:val="18"/>
              </w:rPr>
            </w:pPr>
            <w:r w:rsidRPr="009A033B">
              <w:rPr>
                <w:rFonts w:ascii="Arial Narrow" w:hAnsi="Arial Narrow" w:cs="Times New Roman"/>
                <w:sz w:val="18"/>
                <w:szCs w:val="18"/>
              </w:rPr>
              <w:t xml:space="preserve">1.4.  Mejora de la Coordinación entre el </w:t>
            </w:r>
            <w:r w:rsidRPr="009A033B">
              <w:rPr>
                <w:rFonts w:ascii="Arial Narrow" w:hAnsi="Arial Narrow" w:cs="Times New Roman"/>
                <w:sz w:val="18"/>
                <w:szCs w:val="18"/>
              </w:rPr>
              <w:lastRenderedPageBreak/>
              <w:t>INDEC y otros organismos del SEN</w:t>
            </w:r>
          </w:p>
          <w:p w:rsidR="00C91EAB" w:rsidRPr="009A033B" w:rsidRDefault="00C91EAB" w:rsidP="00EA3865">
            <w:pPr>
              <w:rPr>
                <w:rFonts w:ascii="Arial Narrow" w:hAnsi="Arial Narrow" w:cs="Times New Roman"/>
                <w:sz w:val="18"/>
                <w:szCs w:val="18"/>
              </w:rPr>
            </w:pPr>
            <w:r w:rsidRPr="009A033B">
              <w:rPr>
                <w:rFonts w:ascii="Arial Narrow" w:hAnsi="Arial Narrow" w:cs="Times New Roman"/>
                <w:sz w:val="18"/>
                <w:szCs w:val="18"/>
              </w:rPr>
              <w:t>C1: 2. Innovación en Estadísticas Sociales.</w:t>
            </w:r>
          </w:p>
          <w:p w:rsidR="00C91EAB" w:rsidRPr="009A033B" w:rsidRDefault="00C91EAB" w:rsidP="00EA3865">
            <w:pPr>
              <w:pStyle w:val="ListParagraph"/>
              <w:numPr>
                <w:ilvl w:val="0"/>
                <w:numId w:val="11"/>
              </w:numPr>
              <w:rPr>
                <w:rFonts w:ascii="Arial Narrow" w:hAnsi="Arial Narrow" w:cs="Times New Roman"/>
                <w:sz w:val="18"/>
                <w:szCs w:val="18"/>
              </w:rPr>
            </w:pPr>
            <w:r w:rsidRPr="009A033B">
              <w:rPr>
                <w:rFonts w:ascii="Arial Narrow" w:hAnsi="Arial Narrow" w:cs="Times New Roman"/>
                <w:sz w:val="18"/>
                <w:szCs w:val="18"/>
              </w:rPr>
              <w:t>2.1. Pruebas Piloto, Encuestas de validaciòn, Prueba Piloto de la Encuesta Post Censal y Censo Experimental</w:t>
            </w:r>
          </w:p>
          <w:p w:rsidR="00C91EAB" w:rsidRPr="009A033B" w:rsidRDefault="00C91EAB" w:rsidP="00EA3865">
            <w:pPr>
              <w:pStyle w:val="ListParagraph"/>
              <w:numPr>
                <w:ilvl w:val="0"/>
                <w:numId w:val="11"/>
              </w:numPr>
              <w:rPr>
                <w:rFonts w:ascii="Arial Narrow" w:hAnsi="Arial Narrow" w:cs="Times New Roman"/>
                <w:sz w:val="18"/>
                <w:szCs w:val="18"/>
              </w:rPr>
            </w:pPr>
            <w:r w:rsidRPr="009A033B">
              <w:rPr>
                <w:rFonts w:ascii="Arial Narrow" w:hAnsi="Arial Narrow" w:cs="Times New Roman"/>
                <w:sz w:val="18"/>
                <w:szCs w:val="18"/>
              </w:rPr>
              <w:t>2.2. Archivo de domicilios de la Repùblica Argentina (ADRA) y otras tareas cartograficas conexas y relativas a segmentación</w:t>
            </w:r>
          </w:p>
          <w:p w:rsidR="00C91EAB" w:rsidRPr="009A033B" w:rsidRDefault="00C91EAB" w:rsidP="00EA3865">
            <w:pPr>
              <w:rPr>
                <w:rFonts w:ascii="Arial Narrow" w:hAnsi="Arial Narrow" w:cs="Times New Roman"/>
                <w:sz w:val="18"/>
                <w:szCs w:val="18"/>
              </w:rPr>
            </w:pPr>
            <w:r w:rsidRPr="009A033B">
              <w:rPr>
                <w:rFonts w:ascii="Arial Narrow" w:hAnsi="Arial Narrow" w:cs="Times New Roman"/>
                <w:sz w:val="18"/>
                <w:szCs w:val="18"/>
              </w:rPr>
              <w:t>C3: Estadísticas económicas, incluyendo agropecuarias y rurales</w:t>
            </w:r>
          </w:p>
          <w:p w:rsidR="00C91EAB" w:rsidRPr="009A033B" w:rsidRDefault="00C91EAB" w:rsidP="00EA3865">
            <w:pPr>
              <w:pStyle w:val="ListParagraph"/>
              <w:numPr>
                <w:ilvl w:val="0"/>
                <w:numId w:val="11"/>
              </w:numPr>
              <w:rPr>
                <w:rFonts w:ascii="Arial Narrow" w:hAnsi="Arial Narrow" w:cs="Times New Roman"/>
                <w:sz w:val="18"/>
                <w:szCs w:val="18"/>
              </w:rPr>
            </w:pPr>
            <w:r w:rsidRPr="009A033B">
              <w:rPr>
                <w:rFonts w:ascii="Arial Narrow" w:hAnsi="Arial Narrow" w:cs="Times New Roman"/>
                <w:sz w:val="18"/>
                <w:szCs w:val="18"/>
              </w:rPr>
              <w:t>3.1  Aprovechamiento estadístico de registros administrativos</w:t>
            </w:r>
          </w:p>
          <w:p w:rsidR="00C91EAB" w:rsidRPr="009A033B" w:rsidRDefault="00C91EAB" w:rsidP="00EA3865">
            <w:pPr>
              <w:pStyle w:val="ListParagraph"/>
              <w:numPr>
                <w:ilvl w:val="0"/>
                <w:numId w:val="11"/>
              </w:numPr>
              <w:rPr>
                <w:rFonts w:ascii="Arial Narrow" w:hAnsi="Arial Narrow" w:cs="Times New Roman"/>
                <w:sz w:val="18"/>
                <w:szCs w:val="18"/>
              </w:rPr>
            </w:pPr>
            <w:r w:rsidRPr="009A033B">
              <w:rPr>
                <w:rFonts w:ascii="Arial Narrow" w:hAnsi="Arial Narrow" w:cs="Times New Roman"/>
                <w:sz w:val="18"/>
                <w:szCs w:val="18"/>
              </w:rPr>
              <w:t>3.2  Actividades preparatorias del CNE</w:t>
            </w:r>
          </w:p>
          <w:p w:rsidR="00C91EAB" w:rsidRPr="009A033B" w:rsidRDefault="00C91EAB" w:rsidP="00EA3865">
            <w:pPr>
              <w:pStyle w:val="ListParagraph"/>
              <w:numPr>
                <w:ilvl w:val="0"/>
                <w:numId w:val="11"/>
              </w:numPr>
              <w:rPr>
                <w:rFonts w:ascii="Arial Narrow" w:hAnsi="Arial Narrow" w:cs="Times New Roman"/>
                <w:sz w:val="18"/>
                <w:szCs w:val="18"/>
              </w:rPr>
            </w:pPr>
            <w:r w:rsidRPr="009A033B">
              <w:rPr>
                <w:rFonts w:ascii="Arial Narrow" w:hAnsi="Arial Narrow" w:cs="Times New Roman"/>
                <w:sz w:val="18"/>
                <w:szCs w:val="18"/>
              </w:rPr>
              <w:t>3.3  Estadística e indicadores económicos</w:t>
            </w:r>
          </w:p>
          <w:p w:rsidR="00C91EAB" w:rsidRPr="009A033B" w:rsidRDefault="00C91EAB" w:rsidP="00EA3865">
            <w:pPr>
              <w:rPr>
                <w:rFonts w:ascii="Arial Narrow" w:hAnsi="Arial Narrow" w:cs="Times New Roman"/>
                <w:sz w:val="18"/>
                <w:szCs w:val="18"/>
              </w:rPr>
            </w:pPr>
          </w:p>
          <w:p w:rsidR="00C91EAB" w:rsidRPr="009A033B" w:rsidRDefault="00C91EAB" w:rsidP="00EA3865">
            <w:pPr>
              <w:rPr>
                <w:rFonts w:ascii="Arial Narrow" w:hAnsi="Arial Narrow" w:cs="Times New Roman"/>
                <w:sz w:val="18"/>
                <w:szCs w:val="18"/>
              </w:rPr>
            </w:pPr>
          </w:p>
        </w:tc>
        <w:tc>
          <w:tcPr>
            <w:tcW w:w="1701" w:type="dxa"/>
          </w:tcPr>
          <w:p w:rsidR="00C91EAB" w:rsidRPr="009A033B" w:rsidRDefault="00C91EAB" w:rsidP="006D5C2D">
            <w:pPr>
              <w:rPr>
                <w:rFonts w:ascii="Arial Narrow" w:hAnsi="Arial Narrow" w:cs="Times New Roman"/>
                <w:sz w:val="18"/>
                <w:szCs w:val="18"/>
              </w:rPr>
            </w:pPr>
          </w:p>
        </w:tc>
        <w:tc>
          <w:tcPr>
            <w:tcW w:w="1560" w:type="dxa"/>
          </w:tcPr>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t>Causas</w:t>
            </w:r>
            <w:r w:rsidR="008212F2">
              <w:rPr>
                <w:rFonts w:ascii="Arial Narrow" w:hAnsi="Arial Narrow" w:cs="Times New Roman"/>
                <w:sz w:val="18"/>
                <w:szCs w:val="18"/>
              </w:rPr>
              <w:t xml:space="preserve"> (extraído del numeral 1.7 del POD)</w:t>
            </w:r>
          </w:p>
          <w:p w:rsidR="00C91EAB" w:rsidRPr="009A033B" w:rsidRDefault="00C91EAB" w:rsidP="006D5C2D">
            <w:pPr>
              <w:rPr>
                <w:rFonts w:ascii="Arial Narrow" w:hAnsi="Arial Narrow" w:cs="Times New Roman"/>
                <w:sz w:val="18"/>
                <w:szCs w:val="18"/>
              </w:rPr>
            </w:pPr>
          </w:p>
          <w:p w:rsidR="00C91EAB" w:rsidRPr="008212F2" w:rsidRDefault="008212F2" w:rsidP="008212F2">
            <w:pPr>
              <w:rPr>
                <w:rFonts w:ascii="Arial Narrow" w:hAnsi="Arial Narrow" w:cs="Times New Roman"/>
                <w:sz w:val="18"/>
                <w:szCs w:val="18"/>
              </w:rPr>
            </w:pPr>
            <w:r w:rsidRPr="008212F2">
              <w:rPr>
                <w:rFonts w:ascii="Arial Narrow" w:hAnsi="Arial Narrow" w:cs="Times New Roman"/>
                <w:sz w:val="18"/>
                <w:szCs w:val="18"/>
              </w:rPr>
              <w:t xml:space="preserve">La capacidad institucional del sistema nacional de estadísticas argentino sufre de importantes deficiencias en: (i) infraestructura física y capacidad tecnológica; (ii) capacidad humana; (iii) coordinación inter-institucional y planificación </w:t>
            </w:r>
            <w:r w:rsidRPr="008212F2">
              <w:rPr>
                <w:rFonts w:ascii="Arial Narrow" w:hAnsi="Arial Narrow" w:cs="Times New Roman"/>
                <w:sz w:val="18"/>
                <w:szCs w:val="18"/>
              </w:rPr>
              <w:lastRenderedPageBreak/>
              <w:t>operativa, y (iv) difusión de datos</w:t>
            </w:r>
          </w:p>
        </w:tc>
        <w:tc>
          <w:tcPr>
            <w:tcW w:w="7938" w:type="dxa"/>
          </w:tcPr>
          <w:p w:rsidR="00C91EAB" w:rsidRDefault="008212F2" w:rsidP="006D5C2D">
            <w:pPr>
              <w:rPr>
                <w:rFonts w:ascii="Arial Narrow" w:hAnsi="Arial Narrow" w:cs="Times New Roman"/>
                <w:sz w:val="18"/>
                <w:szCs w:val="18"/>
              </w:rPr>
            </w:pPr>
            <w:r>
              <w:rPr>
                <w:rFonts w:ascii="Arial Narrow" w:hAnsi="Arial Narrow" w:cs="Times New Roman"/>
                <w:sz w:val="18"/>
                <w:szCs w:val="18"/>
              </w:rPr>
              <w:lastRenderedPageBreak/>
              <w:t>Extraído de los numerales 1.8 a 1.12 del POD</w:t>
            </w:r>
          </w:p>
          <w:p w:rsidR="008212F2" w:rsidRDefault="008212F2" w:rsidP="006D5C2D">
            <w:pPr>
              <w:rPr>
                <w:rFonts w:ascii="Arial Narrow" w:hAnsi="Arial Narrow" w:cs="Times New Roman"/>
                <w:sz w:val="18"/>
                <w:szCs w:val="18"/>
              </w:rPr>
            </w:pPr>
          </w:p>
          <w:p w:rsidR="008212F2" w:rsidRPr="008212F2" w:rsidRDefault="008212F2" w:rsidP="008212F2">
            <w:pPr>
              <w:rPr>
                <w:rFonts w:ascii="Arial Narrow" w:hAnsi="Arial Narrow" w:cs="Times New Roman"/>
                <w:sz w:val="18"/>
                <w:szCs w:val="18"/>
              </w:rPr>
            </w:pPr>
            <w:r>
              <w:rPr>
                <w:rFonts w:ascii="Arial Narrow" w:hAnsi="Arial Narrow" w:cs="Times New Roman"/>
                <w:sz w:val="18"/>
                <w:szCs w:val="18"/>
              </w:rPr>
              <w:t xml:space="preserve">- </w:t>
            </w:r>
            <w:r w:rsidRPr="008212F2">
              <w:rPr>
                <w:rFonts w:ascii="Arial Narrow" w:hAnsi="Arial Narrow" w:cs="Times New Roman"/>
                <w:sz w:val="18"/>
                <w:szCs w:val="18"/>
              </w:rPr>
              <w:t xml:space="preserve">En cuanto a la infraestructura física, el edificio que actualmente ocupa el INDEC es antigua, fue diseñada para otros fines con espacios de trabajo que se han adaptado al crecimiento de personal sin una planificación adecuada. Asimismo, las instalaciones donde se realiza el procesamiento de información crítica o sensible no se encuentran en un área protegida del edificio, no disponen de ventilación para el data center, ni de un grupo electrógeno que asegure la continuidad operativa de los servicios de tecnología ante interrupciones imprevistas de energía eléctrica. </w:t>
            </w:r>
          </w:p>
          <w:p w:rsidR="008212F2" w:rsidRDefault="008212F2" w:rsidP="008212F2">
            <w:pPr>
              <w:rPr>
                <w:rFonts w:ascii="Arial Narrow" w:hAnsi="Arial Narrow" w:cs="Times New Roman"/>
                <w:sz w:val="18"/>
                <w:szCs w:val="18"/>
              </w:rPr>
            </w:pPr>
          </w:p>
          <w:p w:rsidR="008212F2" w:rsidRPr="008212F2" w:rsidRDefault="008212F2" w:rsidP="008212F2">
            <w:pPr>
              <w:rPr>
                <w:rFonts w:ascii="Arial Narrow" w:hAnsi="Arial Narrow" w:cs="Times New Roman"/>
                <w:sz w:val="18"/>
                <w:szCs w:val="18"/>
              </w:rPr>
            </w:pPr>
            <w:r>
              <w:rPr>
                <w:rFonts w:ascii="Arial Narrow" w:hAnsi="Arial Narrow" w:cs="Times New Roman"/>
                <w:sz w:val="18"/>
                <w:szCs w:val="18"/>
              </w:rPr>
              <w:t xml:space="preserve">- </w:t>
            </w:r>
            <w:r w:rsidRPr="008212F2">
              <w:rPr>
                <w:rFonts w:ascii="Arial Narrow" w:hAnsi="Arial Narrow" w:cs="Times New Roman"/>
                <w:sz w:val="18"/>
                <w:szCs w:val="18"/>
              </w:rPr>
              <w:t>En cuanto a los factores tecnológicos, las instalaciones del INDEC y su equipamiento son obsoletos. El informe realizado el 26 de octubre 2016 por la Auditoría de la Nación en relación a la Evaluación de la Tecnología Informática del INDEC identifica los siguientes problemas: (i) heterogeneidad de plataforma que limita la integración de los procesos estadísticos; (ii) limitaciones en la seguridad lógica y física de la información, y (iii) falta de desagregación y separación de funciones en la estructura organización de la Dirección de Informática y posiciones relevantes sin cubrir. A esto, se suma una plataforma web que colapsa cuando existen 400 usuarios utilizándola de manera simultánea.</w:t>
            </w:r>
          </w:p>
          <w:p w:rsidR="008212F2" w:rsidRPr="008212F2" w:rsidRDefault="008212F2" w:rsidP="008212F2">
            <w:pPr>
              <w:rPr>
                <w:rFonts w:ascii="Arial Narrow" w:hAnsi="Arial Narrow" w:cs="Times New Roman"/>
                <w:sz w:val="18"/>
                <w:szCs w:val="18"/>
              </w:rPr>
            </w:pPr>
            <w:r>
              <w:rPr>
                <w:rFonts w:ascii="Arial Narrow" w:hAnsi="Arial Narrow" w:cs="Times New Roman"/>
                <w:sz w:val="18"/>
                <w:szCs w:val="18"/>
              </w:rPr>
              <w:t xml:space="preserve">- </w:t>
            </w:r>
            <w:r w:rsidRPr="008212F2">
              <w:rPr>
                <w:rFonts w:ascii="Arial Narrow" w:hAnsi="Arial Narrow" w:cs="Times New Roman"/>
                <w:sz w:val="18"/>
                <w:szCs w:val="18"/>
              </w:rPr>
              <w:t xml:space="preserve">En relación a la capacidad humana, el INDEC tiene 1.467 empleados (a diciembre 2016), de los cuales 32% posee formación universitaria (pre o posgrado) , 10% formación técnica, y el 58% restante una formación secundaria o primaria. Cuando se analiza las áreas técnicas (sin considerar las áreas de informática y administración), es decir, </w:t>
            </w:r>
            <w:r w:rsidRPr="008212F2">
              <w:rPr>
                <w:rFonts w:ascii="Arial Narrow" w:hAnsi="Arial Narrow" w:cs="Times New Roman"/>
                <w:sz w:val="18"/>
                <w:szCs w:val="18"/>
              </w:rPr>
              <w:lastRenderedPageBreak/>
              <w:t xml:space="preserve">aquellas que hacen específicamente a la labor metodológica y de producción estadística del INDEC, el perfil es similar: 42.9% de personal con formación universitaria y 57.1% con formación técnica, secundaria o primaria, sobre un total de 951 personas. Adicionalmente, se denota la insuficiencia de personal técnico en áreas específicas: visualización de datos, informes temáticos, errores de contenido y cobertura, y metodologías en muestreo. Asimismo, la Unidad de Género de la Dirección de Estadísticas Sectoriales, conformada en 2016 y trasversal al Instituto, aún carece de capacidad para que todos los operativos del INDEC tengan la perspectiva de género.  </w:t>
            </w:r>
          </w:p>
          <w:p w:rsidR="008212F2" w:rsidRPr="008212F2" w:rsidRDefault="008212F2" w:rsidP="008212F2">
            <w:pPr>
              <w:rPr>
                <w:rFonts w:ascii="Arial Narrow" w:hAnsi="Arial Narrow" w:cs="Times New Roman"/>
                <w:sz w:val="18"/>
                <w:szCs w:val="18"/>
              </w:rPr>
            </w:pPr>
            <w:r>
              <w:rPr>
                <w:rFonts w:ascii="Arial Narrow" w:hAnsi="Arial Narrow" w:cs="Times New Roman"/>
                <w:sz w:val="18"/>
                <w:szCs w:val="18"/>
              </w:rPr>
              <w:t xml:space="preserve">- </w:t>
            </w:r>
            <w:r w:rsidRPr="008212F2">
              <w:rPr>
                <w:rFonts w:ascii="Arial Narrow" w:hAnsi="Arial Narrow" w:cs="Times New Roman"/>
                <w:sz w:val="18"/>
                <w:szCs w:val="18"/>
              </w:rPr>
              <w:t>La coordinación inter-institucional es una de las áreas con menor puntaj</w:t>
            </w:r>
            <w:r w:rsidR="00F77F86">
              <w:rPr>
                <w:rFonts w:ascii="Arial Narrow" w:hAnsi="Arial Narrow" w:cs="Times New Roman"/>
                <w:sz w:val="18"/>
                <w:szCs w:val="18"/>
              </w:rPr>
              <w:t>e dentro del TASC (27.6 de 100)</w:t>
            </w:r>
            <w:r w:rsidRPr="008212F2">
              <w:rPr>
                <w:rFonts w:ascii="Arial Narrow" w:hAnsi="Arial Narrow" w:cs="Times New Roman"/>
                <w:sz w:val="18"/>
                <w:szCs w:val="18"/>
              </w:rPr>
              <w:t>. Entre los problemas destacan: (i) falta de una Estrategia Nacional de Desarrollo Estadístico que defina lo</w:t>
            </w:r>
            <w:r w:rsidR="00F77F86">
              <w:rPr>
                <w:rFonts w:ascii="Arial Narrow" w:hAnsi="Arial Narrow" w:cs="Times New Roman"/>
                <w:sz w:val="18"/>
                <w:szCs w:val="18"/>
              </w:rPr>
              <w:t>s objetivos y políticas del SEN</w:t>
            </w:r>
            <w:r w:rsidRPr="008212F2">
              <w:rPr>
                <w:rFonts w:ascii="Arial Narrow" w:hAnsi="Arial Narrow" w:cs="Times New Roman"/>
                <w:sz w:val="18"/>
                <w:szCs w:val="18"/>
              </w:rPr>
              <w:t xml:space="preserve">, y (ii) faltan completar el Plan Estadístico Nacional y el código </w:t>
            </w:r>
            <w:r w:rsidR="00F77F86">
              <w:rPr>
                <w:rFonts w:ascii="Arial Narrow" w:hAnsi="Arial Narrow" w:cs="Times New Roman"/>
                <w:sz w:val="18"/>
                <w:szCs w:val="18"/>
              </w:rPr>
              <w:t>de buenas prácticas para el SEN</w:t>
            </w:r>
            <w:r w:rsidRPr="008212F2">
              <w:rPr>
                <w:rFonts w:ascii="Arial Narrow" w:hAnsi="Arial Narrow" w:cs="Times New Roman"/>
                <w:sz w:val="18"/>
                <w:szCs w:val="18"/>
              </w:rPr>
              <w:t>. En consecuencia el INDEC se vio limitado para ejercer su facultad de ente normador de la producción estadística especialmente a nivel provincial, donde en algunos casos se dieron duplicaciones de esfuerzos.</w:t>
            </w:r>
          </w:p>
          <w:p w:rsidR="008212F2" w:rsidRPr="009A033B" w:rsidRDefault="008212F2" w:rsidP="008212F2">
            <w:pPr>
              <w:rPr>
                <w:rFonts w:ascii="Arial Narrow" w:hAnsi="Arial Narrow" w:cs="Times New Roman"/>
                <w:sz w:val="18"/>
                <w:szCs w:val="18"/>
              </w:rPr>
            </w:pPr>
            <w:r>
              <w:rPr>
                <w:rFonts w:ascii="Arial Narrow" w:hAnsi="Arial Narrow" w:cs="Times New Roman"/>
                <w:sz w:val="18"/>
                <w:szCs w:val="18"/>
              </w:rPr>
              <w:t xml:space="preserve">- </w:t>
            </w:r>
            <w:r w:rsidRPr="008212F2">
              <w:rPr>
                <w:rFonts w:ascii="Arial Narrow" w:hAnsi="Arial Narrow" w:cs="Times New Roman"/>
                <w:sz w:val="18"/>
                <w:szCs w:val="18"/>
              </w:rPr>
              <w:t>Finalmente, en el área de difusión de las estadísticas se ha identificado que el INDEC no cumple plenamente con la publicación y acceso a los mega-datos y micro-datos definidos dentro del marco legal de acceso a la información y secreto estadístico. Esto se debe principalmente a que no se cuentan con los recursos técnicos y humanos, ni con una planificación adecuada de la transformación de los datos a formatos usables por el público en general e instituciones interesadas.</w:t>
            </w:r>
          </w:p>
        </w:tc>
        <w:tc>
          <w:tcPr>
            <w:tcW w:w="1559" w:type="dxa"/>
          </w:tcPr>
          <w:p w:rsidR="00C91EAB" w:rsidRPr="009A033B" w:rsidRDefault="00C91EAB" w:rsidP="006D5C2D">
            <w:pPr>
              <w:rPr>
                <w:rFonts w:ascii="Arial Narrow" w:hAnsi="Arial Narrow" w:cs="Times New Roman"/>
                <w:sz w:val="18"/>
                <w:szCs w:val="18"/>
              </w:rPr>
            </w:pPr>
            <w:r w:rsidRPr="009A033B">
              <w:rPr>
                <w:rFonts w:ascii="Arial Narrow" w:hAnsi="Arial Narrow" w:cs="Times New Roman"/>
                <w:sz w:val="18"/>
                <w:szCs w:val="18"/>
              </w:rPr>
              <w:lastRenderedPageBreak/>
              <w:t>Medios</w:t>
            </w:r>
            <w:r w:rsidR="00C20CAA">
              <w:rPr>
                <w:rFonts w:ascii="Arial Narrow" w:hAnsi="Arial Narrow" w:cs="Times New Roman"/>
                <w:sz w:val="18"/>
                <w:szCs w:val="18"/>
              </w:rPr>
              <w:t xml:space="preserve"> (Ver de 1.20 a 1.26 del POD)</w:t>
            </w:r>
          </w:p>
          <w:p w:rsidR="00C91EAB" w:rsidRPr="009A033B" w:rsidRDefault="00C91EAB" w:rsidP="006D5C2D">
            <w:pPr>
              <w:rPr>
                <w:rFonts w:ascii="Arial Narrow" w:hAnsi="Arial Narrow" w:cs="Times New Roman"/>
                <w:sz w:val="18"/>
                <w:szCs w:val="18"/>
              </w:rPr>
            </w:pPr>
          </w:p>
          <w:p w:rsidR="00C91EAB" w:rsidRPr="009A033B" w:rsidRDefault="00C91EAB" w:rsidP="006D5C2D">
            <w:pPr>
              <w:pStyle w:val="ListParagraph"/>
              <w:numPr>
                <w:ilvl w:val="0"/>
                <w:numId w:val="2"/>
              </w:numPr>
              <w:rPr>
                <w:rFonts w:ascii="Arial Narrow" w:hAnsi="Arial Narrow" w:cs="Times New Roman"/>
                <w:sz w:val="18"/>
                <w:szCs w:val="18"/>
              </w:rPr>
            </w:pPr>
            <w:r w:rsidRPr="009A033B">
              <w:rPr>
                <w:rFonts w:ascii="Arial Narrow" w:hAnsi="Arial Narrow" w:cs="Times New Roman"/>
                <w:sz w:val="18"/>
                <w:szCs w:val="18"/>
              </w:rPr>
              <w:t>Fortalecimiento de la capacidad institucional del INDEC.</w:t>
            </w:r>
          </w:p>
          <w:p w:rsidR="00C91EAB" w:rsidRPr="009A033B" w:rsidRDefault="00C91EAB" w:rsidP="006D5C2D">
            <w:pPr>
              <w:pStyle w:val="ListParagraph"/>
              <w:numPr>
                <w:ilvl w:val="0"/>
                <w:numId w:val="2"/>
              </w:numPr>
              <w:rPr>
                <w:rFonts w:ascii="Arial Narrow" w:hAnsi="Arial Narrow" w:cs="Times New Roman"/>
                <w:sz w:val="18"/>
                <w:szCs w:val="18"/>
              </w:rPr>
            </w:pPr>
            <w:r w:rsidRPr="009A033B">
              <w:rPr>
                <w:rFonts w:ascii="Arial Narrow" w:hAnsi="Arial Narrow" w:cs="Times New Roman"/>
                <w:sz w:val="18"/>
                <w:szCs w:val="18"/>
              </w:rPr>
              <w:t xml:space="preserve">Actualización de la base estadística sociodemográfica </w:t>
            </w:r>
          </w:p>
          <w:p w:rsidR="00C91EAB" w:rsidRPr="009A033B" w:rsidRDefault="00C91EAB" w:rsidP="006D5C2D">
            <w:pPr>
              <w:pStyle w:val="ListParagraph"/>
              <w:numPr>
                <w:ilvl w:val="0"/>
                <w:numId w:val="2"/>
              </w:numPr>
              <w:rPr>
                <w:rFonts w:ascii="Arial Narrow" w:hAnsi="Arial Narrow" w:cs="Times New Roman"/>
                <w:sz w:val="18"/>
                <w:szCs w:val="18"/>
              </w:rPr>
            </w:pPr>
            <w:r w:rsidRPr="009A033B">
              <w:rPr>
                <w:rFonts w:ascii="Arial Narrow" w:hAnsi="Arial Narrow" w:cs="Times New Roman"/>
                <w:sz w:val="18"/>
                <w:szCs w:val="18"/>
              </w:rPr>
              <w:t xml:space="preserve">Actualización de la base estadística económica </w:t>
            </w:r>
          </w:p>
          <w:p w:rsidR="00C91EAB" w:rsidRPr="009A033B" w:rsidRDefault="00C91EAB" w:rsidP="006D5C2D">
            <w:pPr>
              <w:rPr>
                <w:rFonts w:ascii="Arial Narrow" w:hAnsi="Arial Narrow" w:cs="Times New Roman"/>
                <w:sz w:val="18"/>
                <w:szCs w:val="18"/>
              </w:rPr>
            </w:pPr>
          </w:p>
        </w:tc>
        <w:tc>
          <w:tcPr>
            <w:tcW w:w="4394" w:type="dxa"/>
          </w:tcPr>
          <w:p w:rsidR="00C91EAB" w:rsidRPr="009A033B" w:rsidRDefault="00C91EAB" w:rsidP="006D5C2D">
            <w:pPr>
              <w:rPr>
                <w:rFonts w:ascii="Arial Narrow" w:hAnsi="Arial Narrow" w:cs="Times New Roman"/>
                <w:sz w:val="18"/>
                <w:szCs w:val="18"/>
              </w:rPr>
            </w:pPr>
          </w:p>
          <w:p w:rsidR="00C91EAB" w:rsidRPr="009A033B" w:rsidRDefault="00C91EAB" w:rsidP="006D5C2D">
            <w:pPr>
              <w:pStyle w:val="ListParagraph"/>
              <w:numPr>
                <w:ilvl w:val="0"/>
                <w:numId w:val="2"/>
              </w:numPr>
              <w:rPr>
                <w:rFonts w:ascii="Arial Narrow" w:hAnsi="Arial Narrow" w:cs="Times New Roman"/>
                <w:sz w:val="18"/>
                <w:szCs w:val="18"/>
              </w:rPr>
            </w:pPr>
            <w:r w:rsidRPr="009A033B">
              <w:rPr>
                <w:rFonts w:ascii="Arial Narrow" w:hAnsi="Arial Narrow" w:cs="Times New Roman"/>
                <w:sz w:val="18"/>
                <w:szCs w:val="18"/>
              </w:rPr>
              <w:t>Fortalecimiento de la capacida</w:t>
            </w:r>
            <w:r w:rsidR="00C20CAA">
              <w:rPr>
                <w:rFonts w:ascii="Arial Narrow" w:hAnsi="Arial Narrow" w:cs="Times New Roman"/>
                <w:sz w:val="18"/>
                <w:szCs w:val="18"/>
              </w:rPr>
              <w:t>d institucional del INDEC (US$19.4</w:t>
            </w:r>
            <w:r w:rsidRPr="009A033B">
              <w:rPr>
                <w:rFonts w:ascii="Arial Narrow" w:hAnsi="Arial Narrow" w:cs="Times New Roman"/>
                <w:sz w:val="18"/>
                <w:szCs w:val="18"/>
              </w:rPr>
              <w:t xml:space="preserve"> millones).</w:t>
            </w:r>
          </w:p>
          <w:p w:rsidR="00C91EAB" w:rsidRPr="009A033B" w:rsidRDefault="00C91EAB" w:rsidP="006D5C2D">
            <w:pPr>
              <w:pStyle w:val="ListParagraph"/>
              <w:numPr>
                <w:ilvl w:val="0"/>
                <w:numId w:val="2"/>
              </w:numPr>
              <w:rPr>
                <w:rFonts w:ascii="Arial Narrow" w:hAnsi="Arial Narrow" w:cs="Times New Roman"/>
                <w:sz w:val="18"/>
                <w:szCs w:val="18"/>
              </w:rPr>
            </w:pPr>
            <w:r w:rsidRPr="009A033B">
              <w:rPr>
                <w:rFonts w:ascii="Arial Narrow" w:hAnsi="Arial Narrow" w:cs="Times New Roman"/>
                <w:sz w:val="18"/>
                <w:szCs w:val="18"/>
              </w:rPr>
              <w:t>Actualización de la base est</w:t>
            </w:r>
            <w:r w:rsidR="00C20CAA">
              <w:rPr>
                <w:rFonts w:ascii="Arial Narrow" w:hAnsi="Arial Narrow" w:cs="Times New Roman"/>
                <w:sz w:val="18"/>
                <w:szCs w:val="18"/>
              </w:rPr>
              <w:t>adística sociodemográfica (US$15.4</w:t>
            </w:r>
            <w:r w:rsidRPr="009A033B">
              <w:rPr>
                <w:rFonts w:ascii="Arial Narrow" w:hAnsi="Arial Narrow" w:cs="Times New Roman"/>
                <w:sz w:val="18"/>
                <w:szCs w:val="18"/>
              </w:rPr>
              <w:t xml:space="preserve"> millones)</w:t>
            </w:r>
          </w:p>
          <w:p w:rsidR="00C91EAB" w:rsidRPr="009A033B" w:rsidRDefault="00C91EAB" w:rsidP="006D5C2D">
            <w:pPr>
              <w:pStyle w:val="ListParagraph"/>
              <w:numPr>
                <w:ilvl w:val="0"/>
                <w:numId w:val="2"/>
              </w:numPr>
              <w:rPr>
                <w:rFonts w:ascii="Arial Narrow" w:hAnsi="Arial Narrow" w:cs="Times New Roman"/>
                <w:sz w:val="18"/>
                <w:szCs w:val="18"/>
              </w:rPr>
            </w:pPr>
            <w:r w:rsidRPr="009A033B">
              <w:rPr>
                <w:rFonts w:ascii="Arial Narrow" w:hAnsi="Arial Narrow" w:cs="Times New Roman"/>
                <w:sz w:val="18"/>
                <w:szCs w:val="18"/>
              </w:rPr>
              <w:t>Actualización de la b</w:t>
            </w:r>
            <w:r w:rsidR="00C20CAA">
              <w:rPr>
                <w:rFonts w:ascii="Arial Narrow" w:hAnsi="Arial Narrow" w:cs="Times New Roman"/>
                <w:sz w:val="18"/>
                <w:szCs w:val="18"/>
              </w:rPr>
              <w:t>ase estadística económica (US$12.3</w:t>
            </w:r>
            <w:r w:rsidRPr="009A033B">
              <w:rPr>
                <w:rFonts w:ascii="Arial Narrow" w:hAnsi="Arial Narrow" w:cs="Times New Roman"/>
                <w:sz w:val="18"/>
                <w:szCs w:val="18"/>
              </w:rPr>
              <w:t xml:space="preserve"> millones)</w:t>
            </w:r>
          </w:p>
          <w:p w:rsidR="00C91EAB" w:rsidRPr="009A033B" w:rsidRDefault="00C91EAB" w:rsidP="006D5C2D">
            <w:pPr>
              <w:rPr>
                <w:rFonts w:ascii="Arial Narrow" w:hAnsi="Arial Narrow" w:cs="Times New Roman"/>
                <w:sz w:val="18"/>
                <w:szCs w:val="18"/>
              </w:rPr>
            </w:pPr>
          </w:p>
        </w:tc>
      </w:tr>
    </w:tbl>
    <w:p w:rsidR="00CD17A1" w:rsidRPr="009A033B" w:rsidRDefault="00CD17A1">
      <w:pPr>
        <w:rPr>
          <w:rFonts w:ascii="Arial Narrow" w:hAnsi="Arial Narrow"/>
        </w:rPr>
      </w:pPr>
    </w:p>
    <w:sectPr w:rsidR="00CD17A1" w:rsidRPr="009A033B" w:rsidSect="00A977FA">
      <w:pgSz w:w="23814" w:h="16839" w:orient="landscape" w:code="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BCA" w:rsidRDefault="00412BCA" w:rsidP="0038522E">
      <w:pPr>
        <w:spacing w:after="0" w:line="240" w:lineRule="auto"/>
      </w:pPr>
      <w:r>
        <w:separator/>
      </w:r>
    </w:p>
  </w:endnote>
  <w:endnote w:type="continuationSeparator" w:id="0">
    <w:p w:rsidR="00412BCA" w:rsidRDefault="00412BCA" w:rsidP="0038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BCA" w:rsidRDefault="00412BCA" w:rsidP="0038522E">
      <w:pPr>
        <w:spacing w:after="0" w:line="240" w:lineRule="auto"/>
      </w:pPr>
      <w:r>
        <w:separator/>
      </w:r>
    </w:p>
  </w:footnote>
  <w:footnote w:type="continuationSeparator" w:id="0">
    <w:p w:rsidR="00412BCA" w:rsidRDefault="00412BCA" w:rsidP="00385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C75"/>
    <w:multiLevelType w:val="hybridMultilevel"/>
    <w:tmpl w:val="24F65D68"/>
    <w:lvl w:ilvl="0" w:tplc="3C5CF094">
      <w:start w:val="1"/>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6FA4428"/>
    <w:multiLevelType w:val="hybridMultilevel"/>
    <w:tmpl w:val="1F3C84C2"/>
    <w:lvl w:ilvl="0" w:tplc="19564180">
      <w:start w:val="1"/>
      <w:numFmt w:val="lowerRoman"/>
      <w:lvlText w:val="(%1)"/>
      <w:lvlJc w:val="left"/>
      <w:pPr>
        <w:ind w:left="1037" w:hanging="72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2" w15:restartNumberingAfterBreak="0">
    <w:nsid w:val="48830806"/>
    <w:multiLevelType w:val="hybridMultilevel"/>
    <w:tmpl w:val="8CDC42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4FBA596F"/>
    <w:multiLevelType w:val="hybridMultilevel"/>
    <w:tmpl w:val="07D8535A"/>
    <w:lvl w:ilvl="0" w:tplc="609E034E">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0410703"/>
    <w:multiLevelType w:val="hybridMultilevel"/>
    <w:tmpl w:val="9FEA6664"/>
    <w:lvl w:ilvl="0" w:tplc="1AC453B4">
      <w:start w:val="3"/>
      <w:numFmt w:val="bullet"/>
      <w:lvlText w:val="-"/>
      <w:lvlJc w:val="left"/>
      <w:pPr>
        <w:ind w:left="360" w:hanging="360"/>
      </w:pPr>
      <w:rPr>
        <w:rFonts w:ascii="Calibri" w:eastAsiaTheme="minorHAnsi" w:hAnsi="Calibri"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3214F69"/>
    <w:multiLevelType w:val="hybridMultilevel"/>
    <w:tmpl w:val="62443F14"/>
    <w:lvl w:ilvl="0" w:tplc="080A0001">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6" w15:restartNumberingAfterBreak="0">
    <w:nsid w:val="581A20FA"/>
    <w:multiLevelType w:val="hybridMultilevel"/>
    <w:tmpl w:val="A3D0CCFC"/>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D8802B4"/>
    <w:multiLevelType w:val="hybridMultilevel"/>
    <w:tmpl w:val="EA72AD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C496E16"/>
    <w:multiLevelType w:val="hybridMultilevel"/>
    <w:tmpl w:val="0E8EB75C"/>
    <w:lvl w:ilvl="0" w:tplc="3C5CF094">
      <w:start w:val="1"/>
      <w:numFmt w:val="bullet"/>
      <w:lvlText w:val="-"/>
      <w:lvlJc w:val="left"/>
      <w:pPr>
        <w:ind w:left="360" w:hanging="360"/>
      </w:pPr>
      <w:rPr>
        <w:rFonts w:ascii="Times New Roman" w:eastAsiaTheme="minorHAnsi" w:hAnsi="Times New Roman"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00C42E5"/>
    <w:multiLevelType w:val="hybridMultilevel"/>
    <w:tmpl w:val="9AA64BA0"/>
    <w:lvl w:ilvl="0" w:tplc="CE10ED50">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1E76D84"/>
    <w:multiLevelType w:val="hybridMultilevel"/>
    <w:tmpl w:val="6944E8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E6831AF"/>
    <w:multiLevelType w:val="hybridMultilevel"/>
    <w:tmpl w:val="636A66B2"/>
    <w:lvl w:ilvl="0" w:tplc="E86C09D4">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3"/>
  </w:num>
  <w:num w:numId="5">
    <w:abstractNumId w:val="10"/>
  </w:num>
  <w:num w:numId="6">
    <w:abstractNumId w:val="5"/>
  </w:num>
  <w:num w:numId="7">
    <w:abstractNumId w:val="1"/>
  </w:num>
  <w:num w:numId="8">
    <w:abstractNumId w:val="2"/>
  </w:num>
  <w:num w:numId="9">
    <w:abstractNumId w:val="7"/>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E9"/>
    <w:rsid w:val="000A7CA1"/>
    <w:rsid w:val="000F18F9"/>
    <w:rsid w:val="000F673F"/>
    <w:rsid w:val="00102E05"/>
    <w:rsid w:val="001A0AF1"/>
    <w:rsid w:val="001B204A"/>
    <w:rsid w:val="001D035B"/>
    <w:rsid w:val="001F40F5"/>
    <w:rsid w:val="002E7F4D"/>
    <w:rsid w:val="003702E9"/>
    <w:rsid w:val="0038522E"/>
    <w:rsid w:val="00393786"/>
    <w:rsid w:val="00412BCA"/>
    <w:rsid w:val="005222AF"/>
    <w:rsid w:val="005228D8"/>
    <w:rsid w:val="00550F5C"/>
    <w:rsid w:val="005A3C8E"/>
    <w:rsid w:val="00675B34"/>
    <w:rsid w:val="0069770A"/>
    <w:rsid w:val="006A4C2D"/>
    <w:rsid w:val="006D5C2D"/>
    <w:rsid w:val="007241DC"/>
    <w:rsid w:val="00726CE1"/>
    <w:rsid w:val="00776C9D"/>
    <w:rsid w:val="008212F2"/>
    <w:rsid w:val="00821535"/>
    <w:rsid w:val="00893FFD"/>
    <w:rsid w:val="008B2983"/>
    <w:rsid w:val="008F00A7"/>
    <w:rsid w:val="009058BE"/>
    <w:rsid w:val="00912713"/>
    <w:rsid w:val="00912A66"/>
    <w:rsid w:val="00976DC5"/>
    <w:rsid w:val="009810ED"/>
    <w:rsid w:val="009A033B"/>
    <w:rsid w:val="009C4F88"/>
    <w:rsid w:val="009E257E"/>
    <w:rsid w:val="009F05B8"/>
    <w:rsid w:val="00A1478B"/>
    <w:rsid w:val="00A26B61"/>
    <w:rsid w:val="00A32EB4"/>
    <w:rsid w:val="00A977FA"/>
    <w:rsid w:val="00B32B9A"/>
    <w:rsid w:val="00B53865"/>
    <w:rsid w:val="00BB3869"/>
    <w:rsid w:val="00C16AFC"/>
    <w:rsid w:val="00C20CAA"/>
    <w:rsid w:val="00C91EAB"/>
    <w:rsid w:val="00CB3273"/>
    <w:rsid w:val="00CD17A1"/>
    <w:rsid w:val="00CD3266"/>
    <w:rsid w:val="00D022A4"/>
    <w:rsid w:val="00D823AF"/>
    <w:rsid w:val="00D930DC"/>
    <w:rsid w:val="00DD3FBB"/>
    <w:rsid w:val="00DF50C5"/>
    <w:rsid w:val="00E57234"/>
    <w:rsid w:val="00E863AB"/>
    <w:rsid w:val="00E944CA"/>
    <w:rsid w:val="00E9766C"/>
    <w:rsid w:val="00EA3865"/>
    <w:rsid w:val="00F13998"/>
    <w:rsid w:val="00F77F86"/>
    <w:rsid w:val="00FF01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F209"/>
  <w15:chartTrackingRefBased/>
  <w15:docId w15:val="{DF64E615-DD27-4A05-8208-2A65903C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2E9"/>
    <w:pPr>
      <w:ind w:left="720"/>
      <w:contextualSpacing/>
    </w:pPr>
  </w:style>
  <w:style w:type="paragraph" w:styleId="BalloonText">
    <w:name w:val="Balloon Text"/>
    <w:basedOn w:val="Normal"/>
    <w:link w:val="BalloonTextChar"/>
    <w:uiPriority w:val="99"/>
    <w:semiHidden/>
    <w:unhideWhenUsed/>
    <w:rsid w:val="00912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66"/>
    <w:rPr>
      <w:rFonts w:ascii="Segoe UI" w:hAnsi="Segoe UI" w:cs="Segoe UI"/>
      <w:sz w:val="18"/>
      <w:szCs w:val="18"/>
    </w:rPr>
  </w:style>
  <w:style w:type="paragraph" w:styleId="FootnoteText">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FootnoteTextChar"/>
    <w:uiPriority w:val="99"/>
    <w:rsid w:val="008212F2"/>
    <w:pPr>
      <w:keepNext/>
      <w:keepLines/>
      <w:spacing w:after="120" w:line="240" w:lineRule="auto"/>
      <w:ind w:left="288" w:hanging="288"/>
      <w:jc w:val="both"/>
    </w:pPr>
    <w:rPr>
      <w:rFonts w:ascii="Times New Roman" w:eastAsia="Times New Roman" w:hAnsi="Times New Roman" w:cs="Times New Roman"/>
      <w:spacing w:val="-3"/>
      <w:sz w:val="20"/>
      <w:szCs w:val="20"/>
      <w:lang w:val="es-ES_tradnl"/>
    </w:rPr>
  </w:style>
  <w:style w:type="character" w:customStyle="1" w:styleId="FootnoteTextChar">
    <w:name w:val="Footnote Text Char"/>
    <w:aliases w:val="fn Char,foottextfra Char,footnote Char,F Char,Texto nota pie IIRSA Char,Texto de rodapé Char,nota_rodapé Char,nota de rodapé Char,FOOTNOTES Char,single space Char,footnote text Char,Style 25 Char,Texto nota piepddes Car Car Char"/>
    <w:basedOn w:val="DefaultParagraphFont"/>
    <w:link w:val="FootnoteText"/>
    <w:uiPriority w:val="99"/>
    <w:rsid w:val="008212F2"/>
    <w:rPr>
      <w:rFonts w:ascii="Times New Roman" w:eastAsia="Times New Roman" w:hAnsi="Times New Roman" w:cs="Times New Roman"/>
      <w:spacing w:val="-3"/>
      <w:sz w:val="20"/>
      <w:szCs w:val="20"/>
      <w:lang w:val="es-ES_tradnl"/>
    </w:rPr>
  </w:style>
  <w:style w:type="character" w:styleId="FootnoteReference">
    <w:name w:val="footnote reference"/>
    <w:aliases w:val="titulo 2,Style 24,pie pddes,referencia nota al pie,Texto de nota al pie,Ref,de nota al pie,Nota de pie,Texto nota al pie,de nota al pi,Ref. de nota al pie2,Massilia Footnote Reference,Massilia Footnote Referen,Footnote symbol,Footnot"/>
    <w:uiPriority w:val="99"/>
    <w:qFormat/>
    <w:rsid w:val="00821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FE15D088B263744A413921A5D9671BF" ma:contentTypeVersion="20" ma:contentTypeDescription="A content type to manage public (operations) IDB documents" ma:contentTypeScope="" ma:versionID="1879677f9a462161cc8e0602e28dd746">
  <xsd:schema xmlns:xsd="http://www.w3.org/2001/XMLSchema" xmlns:xs="http://www.w3.org/2001/XMLSchema" xmlns:p="http://schemas.microsoft.com/office/2006/metadata/properties" xmlns:ns2="cdc7663a-08f0-4737-9e8c-148ce897a09c" targetNamespace="http://schemas.microsoft.com/office/2006/metadata/properties" ma:root="true" ma:fieldsID="52f75a97534f73305059e4ad7324dd1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maxLength value="255"/>
        </xsd:restriction>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IDBDocs_x0020_Number xmlns="cdc7663a-08f0-4737-9e8c-148ce897a09c" xsi:nil="true"/>
    <Division_x0020_or_x0020_Unit xmlns="cdc7663a-08f0-4737-9e8c-148ce897a09c">IFD/ICS</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Administration</TermName>
          <TermId xmlns="http://schemas.microsoft.com/office/infopath/2007/PartnerControls">751f71fd-1433-4702-a2db-ff12a4e45594</TermId>
        </TermInfo>
      </Terms>
    </e46fe2894295491da65140ffd2369f49>
    <Other_x0020_Author xmlns="cdc7663a-08f0-4737-9e8c-148ce897a09c">Rojas Gonzalez, Sonia Amalia</Other_x0020_Author>
    <Migration_x0020_Info xmlns="cdc7663a-08f0-4737-9e8c-148ce897a09c" xsi:nil="true"/>
    <Approval_x0020_Number xmlns="cdc7663a-08f0-4737-9e8c-148ce897a09c" xsi:nil="true"/>
    <Phase xmlns="cdc7663a-08f0-4737-9e8c-148ce897a09c">ACTIVE</Phase>
    <Document_x0020_Author xmlns="cdc7663a-08f0-4737-9e8c-148ce897a09c">Reyes, Javier Ramiro</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NATIONAL STATISTICS SYSTEMS AND CENSUSES</TermName>
          <TermId xmlns="http://schemas.microsoft.com/office/infopath/2007/PartnerControls">360cfdd5-25a5-4528-aaed-eba3c6aa70b0</TermId>
        </TermInfo>
      </Terms>
    </b2ec7cfb18674cb8803df6b262e8b107>
    <Business_x0020_Area xmlns="cdc7663a-08f0-4737-9e8c-148ce897a09c">General Documents</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12</Value>
      <Value>4</Value>
      <Value>5</Value>
      <Value>36</Value>
      <Value>40</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AR-L1266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R0000308928</Record_x0020_Number>
    <_dlc_DocId xmlns="cdc7663a-08f0-4737-9e8c-148ce897a09c">EZSHARE-487500101-13</_dlc_DocId>
    <_dlc_DocIdUrl xmlns="cdc7663a-08f0-4737-9e8c-148ce897a09c">
      <Url>https://idbg.sharepoint.com/teams/EZ-AR-LON/AR-L1266/_layouts/15/DocIdRedir.aspx?ID=EZSHARE-487500101-13</Url>
      <Description>EZSHARE-487500101-13</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6907A3D0-248D-47C4-ADEF-2D0F9BB43783}"/>
</file>

<file path=customXml/itemProps2.xml><?xml version="1.0" encoding="utf-8"?>
<ds:datastoreItem xmlns:ds="http://schemas.openxmlformats.org/officeDocument/2006/customXml" ds:itemID="{B5638D6E-A8EC-405B-8F12-854950D9B5E9}"/>
</file>

<file path=customXml/itemProps3.xml><?xml version="1.0" encoding="utf-8"?>
<ds:datastoreItem xmlns:ds="http://schemas.openxmlformats.org/officeDocument/2006/customXml" ds:itemID="{25948958-8A67-48AA-806D-A6BE7526A589}"/>
</file>

<file path=customXml/itemProps4.xml><?xml version="1.0" encoding="utf-8"?>
<ds:datastoreItem xmlns:ds="http://schemas.openxmlformats.org/officeDocument/2006/customXml" ds:itemID="{A5EFB845-4C11-45E5-B487-6D573B4F521B}"/>
</file>

<file path=customXml/itemProps5.xml><?xml version="1.0" encoding="utf-8"?>
<ds:datastoreItem xmlns:ds="http://schemas.openxmlformats.org/officeDocument/2006/customXml" ds:itemID="{4CAC909B-E284-475D-88E6-0A4F7E4BEF21}"/>
</file>

<file path=customXml/itemProps6.xml><?xml version="1.0" encoding="utf-8"?>
<ds:datastoreItem xmlns:ds="http://schemas.openxmlformats.org/officeDocument/2006/customXml" ds:itemID="{72C97E3E-E3B6-473A-904F-3836800E6C9A}"/>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8255</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ISAN</dc:creator>
  <cp:keywords/>
  <dc:description/>
  <cp:lastModifiedBy>Cabral Berenfus, Florencia Alejandra</cp:lastModifiedBy>
  <cp:revision>2</cp:revision>
  <dcterms:created xsi:type="dcterms:W3CDTF">2017-05-05T16:46:00Z</dcterms:created>
  <dcterms:modified xsi:type="dcterms:W3CDTF">2017-05-05T16:46:00Z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Function Operations IDB">
    <vt:lpwstr>12;#Project Administration|751f71fd-1433-4702-a2db-ff12a4e45594</vt:lpwstr>
  </property>
  <property fmtid="{D5CDD505-2E9C-101B-9397-08002B2CF9AE}" pid="4" name="TaxKeyword">
    <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40;#NATIONAL STATISTICS SYSTEMS AND CENSUSES|360cfdd5-25a5-4528-aaed-eba3c6aa70b0</vt:lpwstr>
  </property>
  <property fmtid="{D5CDD505-2E9C-101B-9397-08002B2CF9AE}" pid="8" name="Fund IDB">
    <vt:lpwstr>4;#ORC|c028a4b2-ad8b-4cf4-9cac-a2ae6a778e23</vt:lpwstr>
  </property>
  <property fmtid="{D5CDD505-2E9C-101B-9397-08002B2CF9AE}" pid="9" name="Country">
    <vt:lpwstr>5;#Argentina|eb1b705c-195f-4c3b-9661-b201f2fee3c5</vt:lpwstr>
  </property>
  <property fmtid="{D5CDD505-2E9C-101B-9397-08002B2CF9AE}" pid="10" name="Sector IDB">
    <vt:lpwstr>36;#REFORM / MODERNIZATION OF THE STATE|c8fda4a7-691a-4c65-b227-9825197b5cd2</vt:lpwstr>
  </property>
  <property fmtid="{D5CDD505-2E9C-101B-9397-08002B2CF9AE}" pid="11" name="_dlc_DocIdItemGuid">
    <vt:lpwstr>2d1a01ab-f191-4624-ab65-391265e7418a</vt:lpwstr>
  </property>
  <property fmtid="{D5CDD505-2E9C-101B-9397-08002B2CF9AE}" pid="12" name="Disclosure Activity">
    <vt:lpwstr>Loan Proposal</vt:lpwstr>
  </property>
  <property fmtid="{D5CDD505-2E9C-101B-9397-08002B2CF9AE}" pid="13" name="ContentTypeId">
    <vt:lpwstr>0x0101001A458A224826124E8B45B1D613300CFC00EFE15D088B263744A413921A5D9671BF</vt:lpwstr>
  </property>
</Properties>
</file>