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before="120" w:after="120" w:line="240" w:lineRule="auto"/>
        <w:jc w:val="center"/>
        <w:rPr>
          <w:rFonts w:ascii="Arial" w:hAnsi="Arial" w:cs="Arial"/>
          <w:lang w:val="es-ES_tradnl"/>
        </w:rPr>
      </w:pPr>
    </w:p>
    <w:p>
      <w:pPr>
        <w:spacing w:before="120" w:after="120" w:line="240" w:lineRule="auto"/>
        <w:jc w:val="center"/>
        <w:rPr>
          <w:rFonts w:ascii="Arial" w:hAnsi="Arial" w:cs="Arial"/>
          <w:lang w:val="es-ES_tradnl"/>
        </w:rPr>
      </w:pPr>
    </w:p>
    <w:p>
      <w:pPr>
        <w:spacing w:before="120" w:after="120" w:line="240" w:lineRule="auto"/>
        <w:jc w:val="center"/>
        <w:rPr>
          <w:rFonts w:ascii="Arial" w:hAnsi="Arial" w:cs="Arial"/>
          <w:b/>
          <w:lang w:val="es-ES_tradnl"/>
        </w:rPr>
      </w:pPr>
    </w:p>
    <w:p>
      <w:pPr>
        <w:pStyle w:val="SubSubPar"/>
        <w:tabs>
          <w:tab w:val="clear" w:pos="1152"/>
        </w:tabs>
        <w:jc w:val="center"/>
        <w:outlineLvl w:val="9"/>
        <w:rPr>
          <w:rFonts w:ascii="Arial" w:hAnsi="Arial" w:cs="Arial"/>
          <w:smallCaps/>
          <w:sz w:val="22"/>
          <w:szCs w:val="22"/>
          <w:lang w:val="es-ES_tradnl"/>
        </w:rPr>
      </w:pPr>
      <w:r>
        <w:rPr>
          <w:rFonts w:ascii="Arial" w:hAnsi="Arial" w:cs="Arial"/>
          <w:smallCaps/>
          <w:sz w:val="22"/>
          <w:szCs w:val="22"/>
          <w:lang w:val="es-ES_tradnl"/>
        </w:rPr>
        <w:t>DOCUMENTO DEL BANCO INTERAMERICANO DE DESARROLLO</w:t>
      </w:r>
    </w:p>
    <w:p>
      <w:pPr>
        <w:spacing w:before="120" w:after="120" w:line="240" w:lineRule="auto"/>
        <w:jc w:val="center"/>
        <w:rPr>
          <w:rFonts w:ascii="Arial" w:hAnsi="Arial" w:cs="Arial"/>
          <w:b/>
          <w:lang w:val="es-ES_tradnl"/>
        </w:rPr>
      </w:pPr>
    </w:p>
    <w:p>
      <w:pPr>
        <w:spacing w:before="120" w:after="120" w:line="240" w:lineRule="auto"/>
        <w:jc w:val="center"/>
        <w:rPr>
          <w:rFonts w:ascii="Arial" w:hAnsi="Arial" w:cs="Arial"/>
          <w:b/>
          <w:lang w:val="es-ES_tradnl"/>
        </w:rPr>
      </w:pPr>
    </w:p>
    <w:p>
      <w:pPr>
        <w:spacing w:before="120" w:after="120" w:line="240" w:lineRule="auto"/>
        <w:jc w:val="center"/>
        <w:rPr>
          <w:rFonts w:ascii="Arial" w:hAnsi="Arial" w:cs="Arial"/>
          <w:b/>
          <w:lang w:val="es-ES_tradnl"/>
        </w:rPr>
      </w:pPr>
    </w:p>
    <w:p>
      <w:pPr>
        <w:spacing w:before="120" w:after="120" w:line="240" w:lineRule="auto"/>
        <w:jc w:val="center"/>
        <w:rPr>
          <w:rFonts w:ascii="Arial" w:hAnsi="Arial" w:cs="Arial"/>
          <w:b/>
          <w:lang w:val="es-ES_tradnl"/>
        </w:rPr>
      </w:pPr>
    </w:p>
    <w:p>
      <w:pPr>
        <w:spacing w:before="120" w:after="120" w:line="240" w:lineRule="auto"/>
        <w:jc w:val="center"/>
        <w:rPr>
          <w:rFonts w:ascii="Arial" w:hAnsi="Arial" w:cs="Arial"/>
          <w:b/>
          <w:lang w:val="es-ES_tradnl"/>
        </w:rPr>
      </w:pPr>
    </w:p>
    <w:p>
      <w:pPr>
        <w:spacing w:before="120" w:after="120" w:line="240" w:lineRule="auto"/>
        <w:jc w:val="center"/>
        <w:rPr>
          <w:rFonts w:ascii="Arial" w:hAnsi="Arial" w:cs="Arial"/>
          <w:b/>
          <w:lang w:val="es-ES_tradnl"/>
        </w:rPr>
      </w:pPr>
    </w:p>
    <w:p>
      <w:pPr>
        <w:spacing w:before="120" w:after="120" w:line="240" w:lineRule="auto"/>
        <w:jc w:val="center"/>
        <w:rPr>
          <w:rFonts w:ascii="Arial" w:hAnsi="Arial" w:cs="Arial"/>
          <w:b/>
          <w:lang w:val="es-ES_tradnl"/>
        </w:rPr>
      </w:pPr>
    </w:p>
    <w:p>
      <w:pPr>
        <w:spacing w:before="120" w:after="120" w:line="240" w:lineRule="auto"/>
        <w:jc w:val="center"/>
        <w:rPr>
          <w:rFonts w:ascii="Arial" w:hAnsi="Arial" w:cs="Arial"/>
          <w:b/>
          <w:lang w:val="es-ES_tradnl"/>
        </w:rPr>
      </w:pPr>
    </w:p>
    <w:p>
      <w:pPr>
        <w:spacing w:before="120" w:after="120" w:line="240" w:lineRule="auto"/>
        <w:jc w:val="center"/>
        <w:rPr>
          <w:rFonts w:ascii="Arial" w:hAnsi="Arial" w:cs="Arial"/>
          <w:b/>
          <w:smallCaps/>
          <w:lang w:val="es-ES_tradnl"/>
        </w:rPr>
      </w:pPr>
      <w:r>
        <w:rPr>
          <w:rFonts w:ascii="Arial" w:hAnsi="Arial" w:cs="Arial"/>
          <w:b/>
          <w:smallCaps/>
          <w:lang w:val="es-ES_tradnl"/>
        </w:rPr>
        <w:t>Perú</w:t>
      </w:r>
    </w:p>
    <w:p>
      <w:pPr>
        <w:spacing w:before="120" w:after="120" w:line="240" w:lineRule="auto"/>
        <w:jc w:val="center"/>
        <w:rPr>
          <w:rFonts w:ascii="Arial" w:hAnsi="Arial" w:cs="Arial"/>
          <w:b/>
          <w:smallCaps/>
          <w:lang w:val="es-ES_tradnl"/>
        </w:rPr>
      </w:pPr>
    </w:p>
    <w:p>
      <w:pPr>
        <w:spacing w:before="120" w:after="120" w:line="240" w:lineRule="auto"/>
        <w:jc w:val="center"/>
        <w:rPr>
          <w:rFonts w:ascii="Arial" w:hAnsi="Arial" w:cs="Arial"/>
          <w:b/>
          <w:smallCaps/>
          <w:lang w:val="es-ES_tradnl"/>
        </w:rPr>
      </w:pPr>
    </w:p>
    <w:p>
      <w:pPr>
        <w:spacing w:before="120" w:after="120" w:line="240" w:lineRule="auto"/>
        <w:jc w:val="center"/>
        <w:rPr>
          <w:rFonts w:ascii="Arial" w:hAnsi="Arial" w:cs="Arial"/>
          <w:b/>
          <w:smallCaps/>
          <w:lang w:val="es-ES_tradnl"/>
        </w:rPr>
      </w:pPr>
    </w:p>
    <w:p>
      <w:pPr>
        <w:spacing w:before="120" w:after="120" w:line="240" w:lineRule="auto"/>
        <w:jc w:val="center"/>
        <w:rPr>
          <w:rFonts w:ascii="Arial" w:hAnsi="Arial" w:cs="Arial"/>
          <w:b/>
          <w:smallCaps/>
          <w:lang w:val="es-ES_tradnl"/>
        </w:rPr>
      </w:pPr>
    </w:p>
    <w:p>
      <w:pPr>
        <w:spacing w:before="120" w:after="120" w:line="240" w:lineRule="auto"/>
        <w:jc w:val="center"/>
        <w:rPr>
          <w:rFonts w:ascii="Arial" w:hAnsi="Arial" w:cs="Arial"/>
          <w:b/>
          <w:smallCaps/>
          <w:lang w:val="es-ES_tradnl"/>
        </w:rPr>
      </w:pPr>
    </w:p>
    <w:p>
      <w:pPr>
        <w:spacing w:before="120" w:after="120" w:line="240" w:lineRule="auto"/>
        <w:jc w:val="center"/>
        <w:rPr>
          <w:rFonts w:ascii="Arial" w:hAnsi="Arial" w:cs="Arial"/>
          <w:b/>
          <w:smallCaps/>
          <w:lang w:val="es-ES_tradnl"/>
        </w:rPr>
      </w:pPr>
      <w:bookmarkStart w:id="0" w:name="_GoBack"/>
      <w:bookmarkEnd w:id="0"/>
      <w:r>
        <w:rPr>
          <w:rFonts w:ascii="Arial" w:hAnsi="Arial" w:cs="Arial"/>
          <w:b/>
          <w:smallCaps/>
          <w:lang w:val="es-ES_tradnl"/>
        </w:rPr>
        <w:t>Proyecto para la Mejora de la Eficiencia en la Gestión de la Inversión y las Contrataciones Públicas</w:t>
      </w:r>
    </w:p>
    <w:p>
      <w:pPr>
        <w:spacing w:before="120" w:after="120" w:line="240" w:lineRule="auto"/>
        <w:jc w:val="center"/>
        <w:rPr>
          <w:rFonts w:ascii="Arial" w:hAnsi="Arial" w:cs="Arial"/>
          <w:b/>
          <w:smallCaps/>
          <w:lang w:val="es-ES_tradnl"/>
        </w:rPr>
      </w:pPr>
    </w:p>
    <w:p>
      <w:pPr>
        <w:spacing w:before="120" w:after="120" w:line="240" w:lineRule="auto"/>
        <w:jc w:val="center"/>
        <w:rPr>
          <w:rFonts w:ascii="Arial" w:hAnsi="Arial" w:cs="Arial"/>
          <w:b/>
          <w:lang w:val="es-ES_tradnl"/>
        </w:rPr>
      </w:pPr>
      <w:r>
        <w:rPr>
          <w:rFonts w:ascii="Arial" w:hAnsi="Arial" w:cs="Arial"/>
          <w:b/>
          <w:smallCaps/>
          <w:lang w:val="es-ES_tradnl"/>
        </w:rPr>
        <w:t xml:space="preserve"> </w:t>
      </w:r>
      <w:r>
        <w:rPr>
          <w:rFonts w:ascii="Arial" w:hAnsi="Arial" w:cs="Arial"/>
          <w:b/>
          <w:lang w:val="es-ES_tradnl"/>
        </w:rPr>
        <w:t>(PE-L1231)</w:t>
      </w:r>
    </w:p>
    <w:p>
      <w:pPr>
        <w:spacing w:before="120" w:after="120" w:line="240" w:lineRule="auto"/>
        <w:jc w:val="center"/>
        <w:rPr>
          <w:rFonts w:ascii="Arial" w:hAnsi="Arial" w:cs="Arial"/>
          <w:lang w:val="es-ES_tradnl"/>
        </w:rPr>
      </w:pPr>
    </w:p>
    <w:p>
      <w:pPr>
        <w:spacing w:before="120" w:after="120" w:line="240" w:lineRule="auto"/>
        <w:jc w:val="center"/>
        <w:rPr>
          <w:rFonts w:ascii="Arial" w:hAnsi="Arial" w:cs="Arial"/>
          <w:lang w:val="es-ES_tradnl"/>
        </w:rPr>
      </w:pPr>
    </w:p>
    <w:p>
      <w:pPr>
        <w:spacing w:before="120" w:after="120" w:line="240" w:lineRule="auto"/>
        <w:jc w:val="center"/>
        <w:rPr>
          <w:rFonts w:ascii="Arial" w:hAnsi="Arial" w:cs="Arial"/>
          <w:lang w:val="es-ES_tradnl"/>
        </w:rPr>
      </w:pPr>
    </w:p>
    <w:p>
      <w:pPr>
        <w:spacing w:before="120" w:after="120" w:line="240" w:lineRule="auto"/>
        <w:jc w:val="center"/>
        <w:rPr>
          <w:rFonts w:ascii="Arial" w:hAnsi="Arial" w:cs="Arial"/>
          <w:lang w:val="es-ES_tradnl"/>
        </w:rPr>
      </w:pPr>
    </w:p>
    <w:p>
      <w:pPr>
        <w:spacing w:before="120" w:after="120" w:line="240" w:lineRule="auto"/>
        <w:jc w:val="center"/>
        <w:rPr>
          <w:rFonts w:ascii="Arial" w:hAnsi="Arial" w:cs="Arial"/>
          <w:lang w:val="es-ES_tradnl"/>
        </w:rPr>
      </w:pPr>
    </w:p>
    <w:p>
      <w:pPr>
        <w:tabs>
          <w:tab w:val="left" w:pos="1440"/>
          <w:tab w:val="left" w:pos="3060"/>
        </w:tabs>
        <w:spacing w:before="120" w:after="120" w:line="240" w:lineRule="auto"/>
        <w:jc w:val="center"/>
        <w:rPr>
          <w:rFonts w:ascii="Arial" w:hAnsi="Arial" w:cs="Arial"/>
          <w:b/>
          <w:smallCaps/>
          <w:lang w:val="es-ES_tradnl"/>
        </w:rPr>
      </w:pPr>
      <w:r>
        <w:rPr>
          <w:rFonts w:ascii="Arial" w:hAnsi="Arial" w:cs="Arial"/>
          <w:b/>
          <w:smallCaps/>
          <w:lang w:val="es-ES_tradnl"/>
        </w:rPr>
        <w:t xml:space="preserve">Análisis Económico </w:t>
      </w:r>
    </w:p>
    <w:p>
      <w:pPr>
        <w:spacing w:before="120" w:after="120" w:line="240" w:lineRule="auto"/>
        <w:jc w:val="center"/>
        <w:rPr>
          <w:rFonts w:ascii="Arial" w:hAnsi="Arial" w:cs="Arial"/>
          <w:lang w:val="es-ES_tradnl"/>
        </w:rPr>
      </w:pPr>
    </w:p>
    <w:p>
      <w:pPr>
        <w:spacing w:before="120" w:after="120" w:line="240" w:lineRule="auto"/>
        <w:jc w:val="center"/>
        <w:rPr>
          <w:rFonts w:ascii="Arial" w:hAnsi="Arial" w:cs="Arial"/>
          <w:lang w:val="es-ES_tradnl"/>
        </w:rPr>
      </w:pPr>
    </w:p>
    <w:p>
      <w:pPr>
        <w:spacing w:before="120" w:after="120" w:line="240" w:lineRule="auto"/>
        <w:jc w:val="center"/>
        <w:rPr>
          <w:rFonts w:ascii="Arial" w:hAnsi="Arial" w:cs="Arial"/>
          <w:lang w:val="es-ES_tradnl"/>
        </w:rPr>
      </w:pPr>
    </w:p>
    <w:p>
      <w:pPr>
        <w:spacing w:before="120" w:after="120" w:line="240" w:lineRule="auto"/>
        <w:jc w:val="center"/>
        <w:rPr>
          <w:rFonts w:ascii="Arial" w:hAnsi="Arial" w:cs="Arial"/>
          <w:lang w:val="es-ES_tradnl"/>
        </w:rPr>
      </w:pPr>
    </w:p>
    <w:p>
      <w:pPr>
        <w:spacing w:before="120" w:after="120" w:line="240" w:lineRule="auto"/>
        <w:jc w:val="center"/>
        <w:rPr>
          <w:rFonts w:ascii="Arial" w:hAnsi="Arial" w:cs="Arial"/>
          <w:lang w:val="es-ES_tradnl"/>
        </w:rPr>
      </w:pPr>
    </w:p>
    <w:p>
      <w:pPr>
        <w:spacing w:before="120" w:after="120" w:line="240" w:lineRule="auto"/>
        <w:jc w:val="center"/>
        <w:rPr>
          <w:rFonts w:ascii="Arial" w:hAnsi="Arial" w:cs="Arial"/>
          <w:lang w:val="es-ES_tradnl"/>
        </w:rPr>
      </w:pPr>
    </w:p>
    <w:p>
      <w:pPr>
        <w:spacing w:before="120" w:after="120" w:line="240" w:lineRule="auto"/>
        <w:jc w:val="center"/>
        <w:rPr>
          <w:rFonts w:ascii="Arial" w:hAnsi="Arial" w:cs="Arial"/>
          <w:lang w:val="es-ES_tradnl"/>
        </w:rPr>
      </w:pPr>
    </w:p>
    <w:p>
      <w:pPr>
        <w:spacing w:before="120" w:after="120" w:line="240" w:lineRule="auto"/>
        <w:jc w:val="center"/>
        <w:rPr>
          <w:rFonts w:ascii="Arial" w:hAnsi="Arial" w:cs="Arial"/>
          <w:lang w:val="es-ES_tradnl"/>
        </w:rPr>
      </w:pPr>
    </w:p>
    <w:tbl>
      <w:tblPr>
        <w:tblStyle w:val="TableGrid"/>
        <w:tblW w:w="0" w:type="auto"/>
        <w:tblLook w:val="04A0" w:firstRow="1" w:lastRow="0" w:firstColumn="1" w:lastColumn="0" w:noHBand="0" w:noVBand="1"/>
      </w:tblPr>
      <w:tblGrid>
        <w:gridCol w:w="9102"/>
      </w:tblGrid>
      <w:tr>
        <w:tc>
          <w:tcPr>
            <w:tcW w:w="9242" w:type="dxa"/>
          </w:tcPr>
          <w:p>
            <w:pPr>
              <w:spacing w:before="120" w:after="120"/>
              <w:ind w:left="-90"/>
              <w:jc w:val="both"/>
              <w:rPr>
                <w:rFonts w:ascii="Arial" w:hAnsi="Arial" w:cs="Arial"/>
                <w:lang w:val="es-ES_tradnl"/>
              </w:rPr>
            </w:pPr>
            <w:r>
              <w:rPr>
                <w:rFonts w:ascii="Arial" w:hAnsi="Arial" w:cs="Arial"/>
                <w:color w:val="000000"/>
                <w:lang w:val="es-ES_tradnl"/>
              </w:rPr>
              <w:t xml:space="preserve">Este documento fue preparado por el equipo de proyecto compuesto por: Marcio Cracel y Eduardo Contreras (Consultores independientes) en cooperación con José Larios y Agnes Rojas (FMM/CPE). </w:t>
            </w:r>
          </w:p>
        </w:tc>
      </w:tr>
    </w:tbl>
    <w:p>
      <w:pPr>
        <w:rPr>
          <w:rFonts w:ascii="Arial" w:hAnsi="Arial" w:cs="Arial"/>
          <w:lang w:val="es-ES_tradnl"/>
        </w:rPr>
      </w:pPr>
    </w:p>
    <w:p>
      <w:pPr>
        <w:rPr>
          <w:rFonts w:ascii="Arial" w:hAnsi="Arial" w:cs="Arial"/>
          <w:lang w:val="es-ES_tradnl"/>
        </w:rPr>
        <w:sectPr>
          <w:headerReference w:type="default" r:id="rId14"/>
          <w:pgSz w:w="11906" w:h="16838"/>
          <w:pgMar w:top="994" w:right="1440" w:bottom="1166" w:left="1354" w:header="720" w:footer="720" w:gutter="0"/>
          <w:pgNumType w:start="1"/>
          <w:cols w:space="720"/>
          <w:titlePg/>
          <w:docGrid w:linePitch="360"/>
        </w:sectPr>
      </w:pPr>
      <w:r>
        <w:rPr>
          <w:rFonts w:ascii="Arial" w:hAnsi="Arial" w:cs="Arial"/>
          <w:lang w:val="es-ES_tradnl"/>
        </w:rPr>
        <w:br w:type="page"/>
      </w:r>
    </w:p>
    <w:p>
      <w:pPr>
        <w:rPr>
          <w:rFonts w:ascii="Arial" w:hAnsi="Arial" w:cs="Arial"/>
          <w:lang w:val="es-ES_tradnl"/>
        </w:rPr>
      </w:pPr>
    </w:p>
    <w:p>
      <w:pPr>
        <w:rPr>
          <w:rFonts w:ascii="Arial" w:hAnsi="Arial" w:cs="Arial"/>
          <w:lang w:val="es-ES_tradnl"/>
        </w:rPr>
      </w:pPr>
    </w:p>
    <w:sdt>
      <w:sdtPr>
        <w:rPr>
          <w:rFonts w:ascii="Arial" w:hAnsi="Arial" w:cs="Arial"/>
          <w:lang w:val="es-ES_tradnl"/>
        </w:rPr>
        <w:id w:val="2121254010"/>
        <w:docPartObj>
          <w:docPartGallery w:val="Table of Contents"/>
          <w:docPartUnique/>
        </w:docPartObj>
      </w:sdtPr>
      <w:sdtEndPr>
        <w:rPr>
          <w:b/>
          <w:bCs/>
        </w:rPr>
      </w:sdtEndPr>
      <w:sdtContent>
        <w:p>
          <w:pPr>
            <w:rPr>
              <w:rFonts w:ascii="Arial" w:hAnsi="Arial" w:cs="Arial"/>
              <w:b/>
              <w:smallCaps/>
              <w:lang w:val="es-ES_tradnl"/>
            </w:rPr>
          </w:pPr>
          <w:r>
            <w:rPr>
              <w:rFonts w:ascii="Arial" w:hAnsi="Arial" w:cs="Arial"/>
              <w:b/>
              <w:lang w:val="es-ES_tradnl"/>
            </w:rPr>
            <w:t>Contenidos</w:t>
          </w:r>
        </w:p>
        <w:p>
          <w:pPr>
            <w:pStyle w:val="TOC1"/>
            <w:tabs>
              <w:tab w:val="clear" w:pos="9016"/>
              <w:tab w:val="right" w:leader="dot" w:pos="9000"/>
            </w:tabs>
            <w:ind w:right="446"/>
            <w:jc w:val="both"/>
            <w:rPr>
              <w:rFonts w:ascii="Arial" w:hAnsi="Arial" w:cs="Arial"/>
              <w:noProof/>
            </w:rPr>
          </w:pPr>
          <w:r>
            <w:rPr>
              <w:rFonts w:ascii="Arial" w:hAnsi="Arial" w:cs="Arial"/>
              <w:lang w:val="es-ES_tradnl"/>
            </w:rPr>
            <w:fldChar w:fldCharType="begin"/>
          </w:r>
          <w:r>
            <w:rPr>
              <w:rFonts w:ascii="Arial" w:hAnsi="Arial" w:cs="Arial"/>
              <w:lang w:val="es-ES_tradnl"/>
            </w:rPr>
            <w:instrText xml:space="preserve"> TOC \o "1-3" \h \z \u </w:instrText>
          </w:r>
          <w:r>
            <w:rPr>
              <w:rFonts w:ascii="Arial" w:hAnsi="Arial" w:cs="Arial"/>
              <w:lang w:val="es-ES_tradnl"/>
            </w:rPr>
            <w:fldChar w:fldCharType="separate"/>
          </w:r>
          <w:hyperlink w:anchor="_Toc490641727" w:history="1">
            <w:r>
              <w:rPr>
                <w:rStyle w:val="Hyperlink"/>
                <w:rFonts w:ascii="Arial" w:hAnsi="Arial" w:cs="Arial"/>
                <w:noProof/>
                <w:lang w:val="es-ES_tradnl"/>
              </w:rPr>
              <w:t>I.</w:t>
            </w:r>
            <w:r>
              <w:rPr>
                <w:rFonts w:ascii="Arial" w:hAnsi="Arial" w:cs="Arial"/>
                <w:noProof/>
              </w:rPr>
              <w:tab/>
            </w:r>
            <w:r>
              <w:rPr>
                <w:rStyle w:val="Hyperlink"/>
                <w:rFonts w:ascii="Arial" w:hAnsi="Arial" w:cs="Arial"/>
                <w:noProof/>
                <w:lang w:val="es-ES_tradnl"/>
              </w:rPr>
              <w:t>Resumen Ejecutivo</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_Toc490641727 \h </w:instrText>
            </w:r>
            <w:r>
              <w:rPr>
                <w:rFonts w:ascii="Arial" w:hAnsi="Arial" w:cs="Arial"/>
                <w:noProof/>
                <w:webHidden/>
              </w:rPr>
            </w:r>
            <w:r>
              <w:rPr>
                <w:rFonts w:ascii="Arial" w:hAnsi="Arial" w:cs="Arial"/>
                <w:noProof/>
                <w:webHidden/>
              </w:rPr>
              <w:fldChar w:fldCharType="separate"/>
            </w:r>
            <w:r>
              <w:rPr>
                <w:rFonts w:ascii="Arial" w:hAnsi="Arial" w:cs="Arial"/>
                <w:noProof/>
                <w:webHidden/>
              </w:rPr>
              <w:t>2</w:t>
            </w:r>
            <w:r>
              <w:rPr>
                <w:rFonts w:ascii="Arial" w:hAnsi="Arial" w:cs="Arial"/>
                <w:noProof/>
                <w:webHidden/>
              </w:rPr>
              <w:fldChar w:fldCharType="end"/>
            </w:r>
          </w:hyperlink>
        </w:p>
        <w:p>
          <w:pPr>
            <w:pStyle w:val="TOC1"/>
            <w:tabs>
              <w:tab w:val="clear" w:pos="9016"/>
              <w:tab w:val="right" w:leader="dot" w:pos="9000"/>
            </w:tabs>
            <w:ind w:right="446"/>
            <w:jc w:val="both"/>
            <w:rPr>
              <w:rFonts w:ascii="Arial" w:hAnsi="Arial" w:cs="Arial"/>
              <w:noProof/>
            </w:rPr>
          </w:pPr>
          <w:hyperlink w:anchor="_Toc490641728" w:history="1">
            <w:r>
              <w:rPr>
                <w:rStyle w:val="Hyperlink"/>
                <w:rFonts w:ascii="Arial" w:hAnsi="Arial" w:cs="Arial"/>
                <w:noProof/>
                <w:lang w:val="es-ES_tradnl"/>
              </w:rPr>
              <w:t>II.</w:t>
            </w:r>
            <w:r>
              <w:rPr>
                <w:rFonts w:ascii="Arial" w:hAnsi="Arial" w:cs="Arial"/>
                <w:noProof/>
              </w:rPr>
              <w:tab/>
            </w:r>
            <w:r>
              <w:rPr>
                <w:rStyle w:val="Hyperlink"/>
                <w:rFonts w:ascii="Arial" w:hAnsi="Arial" w:cs="Arial"/>
                <w:noProof/>
                <w:lang w:val="es-ES_tradnl"/>
              </w:rPr>
              <w:t>Antecedentes.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_Toc490641728 \h </w:instrText>
            </w:r>
            <w:r>
              <w:rPr>
                <w:rFonts w:ascii="Arial" w:hAnsi="Arial" w:cs="Arial"/>
                <w:noProof/>
                <w:webHidden/>
              </w:rPr>
            </w:r>
            <w:r>
              <w:rPr>
                <w:rFonts w:ascii="Arial" w:hAnsi="Arial" w:cs="Arial"/>
                <w:noProof/>
                <w:webHidden/>
              </w:rPr>
              <w:fldChar w:fldCharType="separate"/>
            </w:r>
            <w:r>
              <w:rPr>
                <w:rFonts w:ascii="Arial" w:hAnsi="Arial" w:cs="Arial"/>
                <w:noProof/>
                <w:webHidden/>
              </w:rPr>
              <w:t>2</w:t>
            </w:r>
            <w:r>
              <w:rPr>
                <w:rFonts w:ascii="Arial" w:hAnsi="Arial" w:cs="Arial"/>
                <w:noProof/>
                <w:webHidden/>
              </w:rPr>
              <w:fldChar w:fldCharType="end"/>
            </w:r>
          </w:hyperlink>
        </w:p>
        <w:p>
          <w:pPr>
            <w:pStyle w:val="TOC1"/>
            <w:tabs>
              <w:tab w:val="clear" w:pos="9016"/>
              <w:tab w:val="right" w:leader="dot" w:pos="9000"/>
            </w:tabs>
            <w:ind w:right="446"/>
            <w:jc w:val="both"/>
            <w:rPr>
              <w:rFonts w:ascii="Arial" w:hAnsi="Arial" w:cs="Arial"/>
              <w:noProof/>
            </w:rPr>
          </w:pPr>
          <w:hyperlink w:anchor="_Toc490641729" w:history="1">
            <w:r>
              <w:rPr>
                <w:rStyle w:val="Hyperlink"/>
                <w:rFonts w:ascii="Arial" w:hAnsi="Arial" w:cs="Arial"/>
                <w:noProof/>
                <w:lang w:val="es-ES_tradnl"/>
              </w:rPr>
              <w:t>III.</w:t>
            </w:r>
            <w:r>
              <w:rPr>
                <w:rFonts w:ascii="Arial" w:hAnsi="Arial" w:cs="Arial"/>
                <w:noProof/>
              </w:rPr>
              <w:tab/>
            </w:r>
            <w:r>
              <w:rPr>
                <w:rStyle w:val="Hyperlink"/>
                <w:rFonts w:ascii="Arial" w:hAnsi="Arial" w:cs="Arial"/>
                <w:noProof/>
                <w:lang w:val="es-ES_tradnl"/>
              </w:rPr>
              <w:t>Problemas Específicos a ser Solucionados y Causas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_Toc490641729 \h </w:instrText>
            </w:r>
            <w:r>
              <w:rPr>
                <w:rFonts w:ascii="Arial" w:hAnsi="Arial" w:cs="Arial"/>
                <w:noProof/>
                <w:webHidden/>
              </w:rPr>
            </w:r>
            <w:r>
              <w:rPr>
                <w:rFonts w:ascii="Arial" w:hAnsi="Arial" w:cs="Arial"/>
                <w:noProof/>
                <w:webHidden/>
              </w:rPr>
              <w:fldChar w:fldCharType="separate"/>
            </w:r>
            <w:r>
              <w:rPr>
                <w:rFonts w:ascii="Arial" w:hAnsi="Arial" w:cs="Arial"/>
                <w:noProof/>
                <w:webHidden/>
              </w:rPr>
              <w:t>3</w:t>
            </w:r>
            <w:r>
              <w:rPr>
                <w:rFonts w:ascii="Arial" w:hAnsi="Arial" w:cs="Arial"/>
                <w:noProof/>
                <w:webHidden/>
              </w:rPr>
              <w:fldChar w:fldCharType="end"/>
            </w:r>
          </w:hyperlink>
        </w:p>
        <w:p>
          <w:pPr>
            <w:pStyle w:val="TOC1"/>
            <w:tabs>
              <w:tab w:val="clear" w:pos="9016"/>
              <w:tab w:val="left" w:pos="880"/>
              <w:tab w:val="right" w:leader="dot" w:pos="9000"/>
            </w:tabs>
            <w:ind w:right="446"/>
            <w:jc w:val="both"/>
            <w:rPr>
              <w:rFonts w:ascii="Arial" w:hAnsi="Arial" w:cs="Arial"/>
              <w:noProof/>
            </w:rPr>
          </w:pPr>
          <w:hyperlink w:anchor="_Toc490641730" w:history="1">
            <w:r>
              <w:rPr>
                <w:rStyle w:val="Hyperlink"/>
                <w:rFonts w:ascii="Arial" w:hAnsi="Arial" w:cs="Arial"/>
                <w:noProof/>
                <w:lang w:val="es-ES_tradnl"/>
              </w:rPr>
              <w:t>IV.</w:t>
            </w:r>
            <w:r>
              <w:rPr>
                <w:rFonts w:ascii="Arial" w:hAnsi="Arial" w:cs="Arial"/>
                <w:noProof/>
              </w:rPr>
              <w:tab/>
            </w:r>
            <w:r>
              <w:rPr>
                <w:rStyle w:val="Hyperlink"/>
                <w:rFonts w:ascii="Arial" w:hAnsi="Arial" w:cs="Arial"/>
                <w:noProof/>
                <w:lang w:val="es-ES_tradnl"/>
              </w:rPr>
              <w:t>Soluciones propuestas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_Toc490641730 \h </w:instrText>
            </w:r>
            <w:r>
              <w:rPr>
                <w:rFonts w:ascii="Arial" w:hAnsi="Arial" w:cs="Arial"/>
                <w:noProof/>
                <w:webHidden/>
              </w:rPr>
            </w:r>
            <w:r>
              <w:rPr>
                <w:rFonts w:ascii="Arial" w:hAnsi="Arial" w:cs="Arial"/>
                <w:noProof/>
                <w:webHidden/>
              </w:rPr>
              <w:fldChar w:fldCharType="separate"/>
            </w:r>
            <w:r>
              <w:rPr>
                <w:rFonts w:ascii="Arial" w:hAnsi="Arial" w:cs="Arial"/>
                <w:noProof/>
                <w:webHidden/>
              </w:rPr>
              <w:t>4</w:t>
            </w:r>
            <w:r>
              <w:rPr>
                <w:rFonts w:ascii="Arial" w:hAnsi="Arial" w:cs="Arial"/>
                <w:noProof/>
                <w:webHidden/>
              </w:rPr>
              <w:fldChar w:fldCharType="end"/>
            </w:r>
          </w:hyperlink>
        </w:p>
        <w:p>
          <w:pPr>
            <w:pStyle w:val="TOC1"/>
            <w:tabs>
              <w:tab w:val="clear" w:pos="9016"/>
              <w:tab w:val="right" w:leader="dot" w:pos="9000"/>
            </w:tabs>
            <w:ind w:right="446"/>
            <w:jc w:val="both"/>
            <w:rPr>
              <w:rFonts w:ascii="Arial" w:hAnsi="Arial" w:cs="Arial"/>
              <w:noProof/>
            </w:rPr>
          </w:pPr>
          <w:hyperlink w:anchor="_Toc490641731" w:history="1">
            <w:r>
              <w:rPr>
                <w:rStyle w:val="Hyperlink"/>
                <w:rFonts w:ascii="Arial" w:hAnsi="Arial" w:cs="Arial"/>
                <w:noProof/>
                <w:lang w:val="es-ES_tradnl"/>
              </w:rPr>
              <w:t>V.</w:t>
            </w:r>
            <w:r>
              <w:rPr>
                <w:rFonts w:ascii="Arial" w:hAnsi="Arial" w:cs="Arial"/>
                <w:noProof/>
              </w:rPr>
              <w:tab/>
            </w:r>
            <w:r>
              <w:rPr>
                <w:rStyle w:val="Hyperlink"/>
                <w:rFonts w:ascii="Arial" w:hAnsi="Arial" w:cs="Arial"/>
                <w:noProof/>
                <w:lang w:val="es-ES_tradnl"/>
              </w:rPr>
              <w:t>Calculo del beneficio generado con una ejecución de proyectos más eficiente.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_Toc490641731 \h </w:instrText>
            </w:r>
            <w:r>
              <w:rPr>
                <w:rFonts w:ascii="Arial" w:hAnsi="Arial" w:cs="Arial"/>
                <w:noProof/>
                <w:webHidden/>
              </w:rPr>
            </w:r>
            <w:r>
              <w:rPr>
                <w:rFonts w:ascii="Arial" w:hAnsi="Arial" w:cs="Arial"/>
                <w:noProof/>
                <w:webHidden/>
              </w:rPr>
              <w:fldChar w:fldCharType="separate"/>
            </w:r>
            <w:r>
              <w:rPr>
                <w:rFonts w:ascii="Arial" w:hAnsi="Arial" w:cs="Arial"/>
                <w:noProof/>
                <w:webHidden/>
              </w:rPr>
              <w:t>5</w:t>
            </w:r>
            <w:r>
              <w:rPr>
                <w:rFonts w:ascii="Arial" w:hAnsi="Arial" w:cs="Arial"/>
                <w:noProof/>
                <w:webHidden/>
              </w:rPr>
              <w:fldChar w:fldCharType="end"/>
            </w:r>
          </w:hyperlink>
        </w:p>
        <w:p>
          <w:pPr>
            <w:pStyle w:val="TOC1"/>
            <w:tabs>
              <w:tab w:val="clear" w:pos="9016"/>
              <w:tab w:val="left" w:pos="880"/>
              <w:tab w:val="right" w:leader="dot" w:pos="9000"/>
            </w:tabs>
            <w:ind w:right="446"/>
            <w:jc w:val="both"/>
            <w:rPr>
              <w:rFonts w:ascii="Arial" w:hAnsi="Arial" w:cs="Arial"/>
              <w:noProof/>
            </w:rPr>
          </w:pPr>
          <w:hyperlink w:anchor="_Toc490641732" w:history="1">
            <w:r>
              <w:rPr>
                <w:rStyle w:val="Hyperlink"/>
                <w:rFonts w:ascii="Arial" w:hAnsi="Arial" w:cs="Arial"/>
                <w:noProof/>
                <w:lang w:val="es-ES_tradnl"/>
              </w:rPr>
              <w:t>VI.</w:t>
            </w:r>
            <w:r>
              <w:rPr>
                <w:rFonts w:ascii="Arial" w:hAnsi="Arial" w:cs="Arial"/>
                <w:noProof/>
              </w:rPr>
              <w:tab/>
            </w:r>
            <w:r>
              <w:rPr>
                <w:rStyle w:val="Hyperlink"/>
                <w:rFonts w:ascii="Arial" w:hAnsi="Arial" w:cs="Arial"/>
                <w:noProof/>
                <w:lang w:val="es-ES_tradnl"/>
              </w:rPr>
              <w:t>Costos del Proyecto</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_Toc490641732 \h </w:instrText>
            </w:r>
            <w:r>
              <w:rPr>
                <w:rFonts w:ascii="Arial" w:hAnsi="Arial" w:cs="Arial"/>
                <w:noProof/>
                <w:webHidden/>
              </w:rPr>
            </w:r>
            <w:r>
              <w:rPr>
                <w:rFonts w:ascii="Arial" w:hAnsi="Arial" w:cs="Arial"/>
                <w:noProof/>
                <w:webHidden/>
              </w:rPr>
              <w:fldChar w:fldCharType="separate"/>
            </w:r>
            <w:r>
              <w:rPr>
                <w:rFonts w:ascii="Arial" w:hAnsi="Arial" w:cs="Arial"/>
                <w:noProof/>
                <w:webHidden/>
              </w:rPr>
              <w:t>9</w:t>
            </w:r>
            <w:r>
              <w:rPr>
                <w:rFonts w:ascii="Arial" w:hAnsi="Arial" w:cs="Arial"/>
                <w:noProof/>
                <w:webHidden/>
              </w:rPr>
              <w:fldChar w:fldCharType="end"/>
            </w:r>
          </w:hyperlink>
        </w:p>
        <w:p>
          <w:pPr>
            <w:pStyle w:val="TOC1"/>
            <w:tabs>
              <w:tab w:val="clear" w:pos="9016"/>
              <w:tab w:val="left" w:pos="880"/>
              <w:tab w:val="right" w:leader="dot" w:pos="9000"/>
            </w:tabs>
            <w:ind w:right="446"/>
            <w:jc w:val="both"/>
            <w:rPr>
              <w:rFonts w:ascii="Arial" w:hAnsi="Arial" w:cs="Arial"/>
              <w:noProof/>
            </w:rPr>
          </w:pPr>
          <w:hyperlink w:anchor="_Toc490641733" w:history="1">
            <w:r>
              <w:rPr>
                <w:rStyle w:val="Hyperlink"/>
                <w:rFonts w:ascii="Arial" w:hAnsi="Arial" w:cs="Arial"/>
                <w:noProof/>
                <w:lang w:val="es-ES_tradnl"/>
              </w:rPr>
              <w:t>VII.</w:t>
            </w:r>
            <w:r>
              <w:rPr>
                <w:rFonts w:ascii="Arial" w:hAnsi="Arial" w:cs="Arial"/>
                <w:noProof/>
              </w:rPr>
              <w:tab/>
            </w:r>
            <w:r>
              <w:rPr>
                <w:rStyle w:val="Hyperlink"/>
                <w:rFonts w:ascii="Arial" w:hAnsi="Arial" w:cs="Arial"/>
                <w:noProof/>
                <w:lang w:val="es-ES_tradnl"/>
              </w:rPr>
              <w:t>Estimación del Beneficio Económico en Valor Presente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_Toc490641733 \h </w:instrText>
            </w:r>
            <w:r>
              <w:rPr>
                <w:rFonts w:ascii="Arial" w:hAnsi="Arial" w:cs="Arial"/>
                <w:noProof/>
                <w:webHidden/>
              </w:rPr>
            </w:r>
            <w:r>
              <w:rPr>
                <w:rFonts w:ascii="Arial" w:hAnsi="Arial" w:cs="Arial"/>
                <w:noProof/>
                <w:webHidden/>
              </w:rPr>
              <w:fldChar w:fldCharType="separate"/>
            </w:r>
            <w:r>
              <w:rPr>
                <w:rFonts w:ascii="Arial" w:hAnsi="Arial" w:cs="Arial"/>
                <w:noProof/>
                <w:webHidden/>
              </w:rPr>
              <w:t>10</w:t>
            </w:r>
            <w:r>
              <w:rPr>
                <w:rFonts w:ascii="Arial" w:hAnsi="Arial" w:cs="Arial"/>
                <w:noProof/>
                <w:webHidden/>
              </w:rPr>
              <w:fldChar w:fldCharType="end"/>
            </w:r>
          </w:hyperlink>
        </w:p>
        <w:p>
          <w:pPr>
            <w:pStyle w:val="TOC1"/>
            <w:tabs>
              <w:tab w:val="clear" w:pos="9016"/>
              <w:tab w:val="left" w:pos="880"/>
              <w:tab w:val="right" w:leader="dot" w:pos="9000"/>
            </w:tabs>
            <w:ind w:right="446"/>
            <w:jc w:val="both"/>
            <w:rPr>
              <w:rFonts w:ascii="Arial" w:hAnsi="Arial" w:cs="Arial"/>
              <w:noProof/>
            </w:rPr>
          </w:pPr>
          <w:hyperlink w:anchor="_Toc490641734" w:history="1">
            <w:r>
              <w:rPr>
                <w:rStyle w:val="Hyperlink"/>
                <w:rFonts w:ascii="Arial" w:hAnsi="Arial" w:cs="Arial"/>
                <w:noProof/>
                <w:lang w:val="es-ES_tradnl"/>
              </w:rPr>
              <w:t>VIII.</w:t>
            </w:r>
            <w:r>
              <w:rPr>
                <w:rFonts w:ascii="Arial" w:hAnsi="Arial" w:cs="Arial"/>
                <w:noProof/>
              </w:rPr>
              <w:tab/>
            </w:r>
            <w:r>
              <w:rPr>
                <w:rStyle w:val="Hyperlink"/>
                <w:rFonts w:ascii="Arial" w:hAnsi="Arial" w:cs="Arial"/>
                <w:noProof/>
                <w:lang w:val="es-ES_tradnl"/>
              </w:rPr>
              <w:t>Análisis de Sensibilidad</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_Toc490641734 \h </w:instrText>
            </w:r>
            <w:r>
              <w:rPr>
                <w:rFonts w:ascii="Arial" w:hAnsi="Arial" w:cs="Arial"/>
                <w:noProof/>
                <w:webHidden/>
              </w:rPr>
            </w:r>
            <w:r>
              <w:rPr>
                <w:rFonts w:ascii="Arial" w:hAnsi="Arial" w:cs="Arial"/>
                <w:noProof/>
                <w:webHidden/>
              </w:rPr>
              <w:fldChar w:fldCharType="separate"/>
            </w:r>
            <w:r>
              <w:rPr>
                <w:rFonts w:ascii="Arial" w:hAnsi="Arial" w:cs="Arial"/>
                <w:noProof/>
                <w:webHidden/>
              </w:rPr>
              <w:t>10</w:t>
            </w:r>
            <w:r>
              <w:rPr>
                <w:rFonts w:ascii="Arial" w:hAnsi="Arial" w:cs="Arial"/>
                <w:noProof/>
                <w:webHidden/>
              </w:rPr>
              <w:fldChar w:fldCharType="end"/>
            </w:r>
          </w:hyperlink>
        </w:p>
        <w:p>
          <w:pPr>
            <w:pStyle w:val="TOC1"/>
            <w:tabs>
              <w:tab w:val="clear" w:pos="440"/>
              <w:tab w:val="clear" w:pos="9016"/>
              <w:tab w:val="left" w:pos="180"/>
              <w:tab w:val="right" w:leader="dot" w:pos="9000"/>
            </w:tabs>
            <w:ind w:right="446"/>
            <w:jc w:val="both"/>
            <w:rPr>
              <w:rFonts w:ascii="Arial" w:hAnsi="Arial" w:cs="Arial"/>
              <w:noProof/>
            </w:rPr>
          </w:pPr>
          <w:hyperlink w:anchor="_Toc490641735" w:history="1">
            <w:r>
              <w:rPr>
                <w:rStyle w:val="Hyperlink"/>
                <w:rFonts w:ascii="Arial" w:hAnsi="Arial" w:cs="Arial"/>
                <w:noProof/>
                <w:lang w:val="es-ES_tradnl"/>
              </w:rPr>
              <w:t>ANEXO I – Precio Sombra - Estimación de los Costos Económicos de Inversión y Mantenimiento</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_Toc490641735 \h </w:instrText>
            </w:r>
            <w:r>
              <w:rPr>
                <w:rFonts w:ascii="Arial" w:hAnsi="Arial" w:cs="Arial"/>
                <w:noProof/>
                <w:webHidden/>
              </w:rPr>
            </w:r>
            <w:r>
              <w:rPr>
                <w:rFonts w:ascii="Arial" w:hAnsi="Arial" w:cs="Arial"/>
                <w:noProof/>
                <w:webHidden/>
              </w:rPr>
              <w:fldChar w:fldCharType="separate"/>
            </w:r>
            <w:r>
              <w:rPr>
                <w:rFonts w:ascii="Arial" w:hAnsi="Arial" w:cs="Arial"/>
                <w:noProof/>
                <w:webHidden/>
              </w:rPr>
              <w:t>12</w:t>
            </w:r>
            <w:r>
              <w:rPr>
                <w:rFonts w:ascii="Arial" w:hAnsi="Arial" w:cs="Arial"/>
                <w:noProof/>
                <w:webHidden/>
              </w:rPr>
              <w:fldChar w:fldCharType="end"/>
            </w:r>
          </w:hyperlink>
        </w:p>
        <w:p>
          <w:pPr>
            <w:pStyle w:val="TOC2"/>
            <w:tabs>
              <w:tab w:val="left" w:pos="660"/>
              <w:tab w:val="right" w:leader="dot" w:pos="9000"/>
              <w:tab w:val="right" w:leader="dot" w:pos="9102"/>
            </w:tabs>
            <w:ind w:left="0" w:right="446"/>
            <w:jc w:val="both"/>
            <w:rPr>
              <w:rFonts w:ascii="Arial" w:hAnsi="Arial" w:cs="Arial"/>
              <w:noProof/>
            </w:rPr>
          </w:pPr>
          <w:hyperlink w:anchor="_Toc490641736" w:history="1">
            <w:r>
              <w:rPr>
                <w:rStyle w:val="Hyperlink"/>
                <w:rFonts w:ascii="Arial" w:hAnsi="Arial" w:cs="Arial"/>
                <w:noProof/>
                <w:lang w:val="es-ES_tradnl"/>
              </w:rPr>
              <w:t>A.</w:t>
            </w:r>
            <w:r>
              <w:rPr>
                <w:rFonts w:ascii="Arial" w:hAnsi="Arial" w:cs="Arial"/>
                <w:noProof/>
              </w:rPr>
              <w:tab/>
            </w:r>
            <w:r>
              <w:rPr>
                <w:rStyle w:val="Hyperlink"/>
                <w:rFonts w:ascii="Arial" w:hAnsi="Arial" w:cs="Arial"/>
                <w:noProof/>
                <w:lang w:val="es-ES_tradnl"/>
              </w:rPr>
              <w:t>Costos</w:t>
            </w:r>
            <w:r>
              <w:rPr>
                <w:rStyle w:val="Hyperlink"/>
                <w:rFonts w:ascii="Arial" w:hAnsi="Arial" w:cs="Arial"/>
                <w:noProof/>
                <w:spacing w:val="-4"/>
                <w:lang w:val="es-ES_tradnl"/>
              </w:rPr>
              <w:t xml:space="preserve"> </w:t>
            </w:r>
            <w:r>
              <w:rPr>
                <w:rStyle w:val="Hyperlink"/>
                <w:rFonts w:ascii="Arial" w:hAnsi="Arial" w:cs="Arial"/>
                <w:noProof/>
                <w:lang w:val="es-ES_tradnl"/>
              </w:rPr>
              <w:t>de</w:t>
            </w:r>
            <w:r>
              <w:rPr>
                <w:rStyle w:val="Hyperlink"/>
                <w:rFonts w:ascii="Arial" w:hAnsi="Arial" w:cs="Arial"/>
                <w:noProof/>
                <w:spacing w:val="-4"/>
                <w:lang w:val="es-ES_tradnl"/>
              </w:rPr>
              <w:t xml:space="preserve"> </w:t>
            </w:r>
            <w:r>
              <w:rPr>
                <w:rStyle w:val="Hyperlink"/>
                <w:rFonts w:ascii="Arial" w:hAnsi="Arial" w:cs="Arial"/>
                <w:noProof/>
                <w:spacing w:val="-1"/>
                <w:lang w:val="es-ES_tradnl"/>
              </w:rPr>
              <w:t>Inversión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_Toc490641736 \h </w:instrText>
            </w:r>
            <w:r>
              <w:rPr>
                <w:rFonts w:ascii="Arial" w:hAnsi="Arial" w:cs="Arial"/>
                <w:noProof/>
                <w:webHidden/>
              </w:rPr>
            </w:r>
            <w:r>
              <w:rPr>
                <w:rFonts w:ascii="Arial" w:hAnsi="Arial" w:cs="Arial"/>
                <w:noProof/>
                <w:webHidden/>
              </w:rPr>
              <w:fldChar w:fldCharType="separate"/>
            </w:r>
            <w:r>
              <w:rPr>
                <w:rFonts w:ascii="Arial" w:hAnsi="Arial" w:cs="Arial"/>
                <w:noProof/>
                <w:webHidden/>
              </w:rPr>
              <w:t>12</w:t>
            </w:r>
            <w:r>
              <w:rPr>
                <w:rFonts w:ascii="Arial" w:hAnsi="Arial" w:cs="Arial"/>
                <w:noProof/>
                <w:webHidden/>
              </w:rPr>
              <w:fldChar w:fldCharType="end"/>
            </w:r>
          </w:hyperlink>
        </w:p>
        <w:p>
          <w:pPr>
            <w:pStyle w:val="TOC2"/>
            <w:tabs>
              <w:tab w:val="left" w:pos="660"/>
              <w:tab w:val="right" w:leader="dot" w:pos="9000"/>
              <w:tab w:val="right" w:leader="dot" w:pos="9102"/>
            </w:tabs>
            <w:ind w:left="0" w:right="446"/>
            <w:jc w:val="both"/>
            <w:rPr>
              <w:rFonts w:ascii="Arial" w:hAnsi="Arial" w:cs="Arial"/>
              <w:noProof/>
            </w:rPr>
          </w:pPr>
          <w:hyperlink w:anchor="_Toc490641737" w:history="1">
            <w:r>
              <w:rPr>
                <w:rStyle w:val="Hyperlink"/>
                <w:rFonts w:ascii="Arial" w:hAnsi="Arial" w:cs="Arial"/>
                <w:noProof/>
                <w:lang w:val="es-ES_tradnl"/>
              </w:rPr>
              <w:t>B.</w:t>
            </w:r>
            <w:r>
              <w:rPr>
                <w:rFonts w:ascii="Arial" w:hAnsi="Arial" w:cs="Arial"/>
                <w:noProof/>
              </w:rPr>
              <w:tab/>
            </w:r>
            <w:r>
              <w:rPr>
                <w:rStyle w:val="Hyperlink"/>
                <w:rFonts w:ascii="Arial" w:hAnsi="Arial" w:cs="Arial"/>
                <w:noProof/>
                <w:lang w:val="es-ES_tradnl"/>
              </w:rPr>
              <w:t>Costos de Mantenimiento</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_Toc490641737 \h </w:instrText>
            </w:r>
            <w:r>
              <w:rPr>
                <w:rFonts w:ascii="Arial" w:hAnsi="Arial" w:cs="Arial"/>
                <w:noProof/>
                <w:webHidden/>
              </w:rPr>
            </w:r>
            <w:r>
              <w:rPr>
                <w:rFonts w:ascii="Arial" w:hAnsi="Arial" w:cs="Arial"/>
                <w:noProof/>
                <w:webHidden/>
              </w:rPr>
              <w:fldChar w:fldCharType="separate"/>
            </w:r>
            <w:r>
              <w:rPr>
                <w:rFonts w:ascii="Arial" w:hAnsi="Arial" w:cs="Arial"/>
                <w:noProof/>
                <w:webHidden/>
              </w:rPr>
              <w:t>14</w:t>
            </w:r>
            <w:r>
              <w:rPr>
                <w:rFonts w:ascii="Arial" w:hAnsi="Arial" w:cs="Arial"/>
                <w:noProof/>
                <w:webHidden/>
              </w:rPr>
              <w:fldChar w:fldCharType="end"/>
            </w:r>
          </w:hyperlink>
        </w:p>
        <w:p>
          <w:pPr>
            <w:rPr>
              <w:rFonts w:ascii="Arial" w:hAnsi="Arial" w:cs="Arial"/>
              <w:lang w:val="es-ES_tradnl"/>
            </w:rPr>
          </w:pPr>
          <w:r>
            <w:rPr>
              <w:rFonts w:ascii="Arial" w:hAnsi="Arial" w:cs="Arial"/>
              <w:b/>
              <w:bCs/>
              <w:lang w:val="es-ES_tradnl"/>
            </w:rPr>
            <w:fldChar w:fldCharType="end"/>
          </w:r>
        </w:p>
      </w:sdtContent>
    </w:sdt>
    <w:p>
      <w:pPr>
        <w:rPr>
          <w:rFonts w:ascii="Arial" w:hAnsi="Arial" w:cs="Arial"/>
          <w:b/>
          <w:smallCaps/>
          <w:lang w:val="es-ES_tradnl"/>
        </w:rPr>
      </w:pPr>
      <w:r>
        <w:rPr>
          <w:rFonts w:ascii="Arial" w:hAnsi="Arial" w:cs="Arial"/>
          <w:b/>
          <w:smallCaps/>
          <w:lang w:val="es-ES_tradnl"/>
        </w:rPr>
        <w:br w:type="page"/>
      </w:r>
    </w:p>
    <w:p>
      <w:pPr>
        <w:pStyle w:val="Chapter"/>
        <w:numPr>
          <w:ilvl w:val="0"/>
          <w:numId w:val="2"/>
        </w:numPr>
        <w:ind w:left="900" w:hanging="792"/>
        <w:jc w:val="left"/>
        <w:outlineLvl w:val="0"/>
        <w:rPr>
          <w:rFonts w:ascii="Arial" w:hAnsi="Arial" w:cs="Arial"/>
          <w:sz w:val="22"/>
          <w:szCs w:val="22"/>
          <w:lang w:val="es-ES_tradnl"/>
        </w:rPr>
      </w:pPr>
      <w:bookmarkStart w:id="1" w:name="_Toc490641727"/>
      <w:r>
        <w:rPr>
          <w:rFonts w:ascii="Arial" w:hAnsi="Arial" w:cs="Arial"/>
          <w:sz w:val="22"/>
          <w:szCs w:val="22"/>
          <w:lang w:val="es-ES_tradnl"/>
        </w:rPr>
        <w:lastRenderedPageBreak/>
        <w:t>Resumen Ejecutivo</w:t>
      </w:r>
      <w:bookmarkEnd w:id="1"/>
    </w:p>
    <w:p>
      <w:pPr>
        <w:pStyle w:val="Paragraph"/>
        <w:numPr>
          <w:ilvl w:val="1"/>
          <w:numId w:val="2"/>
        </w:numPr>
        <w:tabs>
          <w:tab w:val="num" w:pos="720"/>
        </w:tabs>
        <w:ind w:left="720" w:hanging="720"/>
        <w:outlineLvl w:val="9"/>
        <w:rPr>
          <w:rFonts w:ascii="Arial" w:hAnsi="Arial" w:cs="Arial"/>
          <w:sz w:val="22"/>
          <w:szCs w:val="22"/>
          <w:lang w:val="es-ES_tradnl"/>
        </w:rPr>
      </w:pPr>
      <w:r>
        <w:rPr>
          <w:rFonts w:ascii="Arial" w:hAnsi="Arial" w:cs="Arial"/>
          <w:sz w:val="22"/>
          <w:szCs w:val="22"/>
          <w:lang w:val="es-ES_tradnl"/>
        </w:rPr>
        <w:t>El objetivo de este estudio es demostrar el beneficio económico generado a partir de un conjunto de acciones que promuevan la mejora de la gestión de la inversión pública en Perú. Se realizó un análisis comparativo entre los costos y beneficios económicos con y sin el Programa de Mejora de la Eficiencia del Gasto en Inversión Pública - PE-L1231 (en adelante, el Programa), considerando que con el Programa se espera mejorar una serie de indicadores de eficiencia en la gestión indicados en la Matriz de Resultados, incluyendo el aumento en la tasa de ejecución de la inversión y la reducción de la incidencia de retrasos en la ejecución de proyectos de inversión, entre otros. Como resultado de la mejora de estos indicadores, se reducirán los retrasos en la ejecución de los proyectos de inversión pública a nivel nacional, regional y local</w:t>
      </w:r>
      <w:r>
        <w:rPr>
          <w:rStyle w:val="FootnoteReference"/>
          <w:rFonts w:ascii="Arial" w:hAnsi="Arial" w:cs="Arial"/>
          <w:sz w:val="22"/>
          <w:szCs w:val="22"/>
          <w:lang w:val="es-ES_tradnl"/>
        </w:rPr>
        <w:footnoteReference w:id="1"/>
      </w:r>
      <w:r>
        <w:rPr>
          <w:rFonts w:ascii="Arial" w:hAnsi="Arial" w:cs="Arial"/>
          <w:sz w:val="22"/>
          <w:szCs w:val="22"/>
          <w:lang w:val="es-ES_tradnl"/>
        </w:rPr>
        <w:t>. Con esta mejora, los beneficios generados por estos proyectos ocurrirán en un plazo más cercano de lo planificado, lo que permite estimar las ganancias resultado de la diferencia de los Valores Presente Netos (VPN) de los proyectos de inversión pública con y sin Programa, y calcular el costo de oportunidad de la eliminación de retrasos, con base en tasas de interés utilizadas por el mercado financiero peruano.</w:t>
      </w:r>
    </w:p>
    <w:p>
      <w:pPr>
        <w:pStyle w:val="Chapter"/>
        <w:numPr>
          <w:ilvl w:val="0"/>
          <w:numId w:val="2"/>
        </w:numPr>
        <w:ind w:left="900" w:hanging="792"/>
        <w:jc w:val="left"/>
        <w:outlineLvl w:val="0"/>
        <w:rPr>
          <w:rFonts w:ascii="Arial" w:hAnsi="Arial" w:cs="Arial"/>
          <w:bCs/>
          <w:lang w:val="es-ES_tradnl"/>
        </w:rPr>
      </w:pPr>
      <w:bookmarkStart w:id="2" w:name="_Toc490641728"/>
      <w:r>
        <w:rPr>
          <w:rFonts w:ascii="Arial" w:hAnsi="Arial" w:cs="Arial"/>
          <w:sz w:val="22"/>
          <w:szCs w:val="22"/>
          <w:lang w:val="es-ES_tradnl"/>
        </w:rPr>
        <w:t>Antecedentes</w:t>
      </w:r>
      <w:r>
        <w:rPr>
          <w:rFonts w:ascii="Arial" w:hAnsi="Arial" w:cs="Arial"/>
          <w:b w:val="0"/>
          <w:sz w:val="22"/>
          <w:szCs w:val="22"/>
          <w:lang w:val="es-ES_tradnl"/>
        </w:rPr>
        <w:t>.</w:t>
      </w:r>
      <w:bookmarkEnd w:id="2"/>
      <w:r>
        <w:rPr>
          <w:rFonts w:ascii="Arial" w:hAnsi="Arial" w:cs="Arial"/>
          <w:sz w:val="22"/>
          <w:szCs w:val="22"/>
          <w:lang w:val="es-ES_tradnl"/>
        </w:rPr>
        <w:t xml:space="preserve"> </w:t>
      </w:r>
    </w:p>
    <w:p>
      <w:pPr>
        <w:pStyle w:val="Paragraph"/>
        <w:numPr>
          <w:ilvl w:val="1"/>
          <w:numId w:val="2"/>
        </w:numPr>
        <w:tabs>
          <w:tab w:val="clear" w:pos="1296"/>
        </w:tabs>
        <w:ind w:left="720" w:hanging="720"/>
        <w:outlineLvl w:val="9"/>
        <w:rPr>
          <w:rFonts w:ascii="Arial" w:hAnsi="Arial" w:cs="Arial"/>
          <w:sz w:val="22"/>
          <w:szCs w:val="22"/>
          <w:lang w:val="es-ES_tradnl"/>
        </w:rPr>
      </w:pPr>
      <w:r>
        <w:rPr>
          <w:rFonts w:ascii="Arial" w:hAnsi="Arial" w:cs="Arial"/>
          <w:b/>
          <w:sz w:val="22"/>
          <w:szCs w:val="22"/>
          <w:lang w:val="es-ES_tradnl"/>
        </w:rPr>
        <w:t>Aspectos macroeconómicos</w:t>
      </w:r>
      <w:r>
        <w:rPr>
          <w:rFonts w:ascii="Arial" w:hAnsi="Arial" w:cs="Arial"/>
          <w:sz w:val="22"/>
          <w:szCs w:val="22"/>
          <w:lang w:val="es-ES_tradnl"/>
        </w:rPr>
        <w:t>. En la última década</w:t>
      </w:r>
      <w:r>
        <w:rPr>
          <w:rStyle w:val="FootnoteReference"/>
          <w:rFonts w:ascii="Arial" w:hAnsi="Arial" w:cs="Arial"/>
          <w:sz w:val="22"/>
          <w:szCs w:val="22"/>
          <w:lang w:val="es-ES_tradnl"/>
        </w:rPr>
        <w:footnoteReference w:id="2"/>
      </w:r>
      <w:r>
        <w:rPr>
          <w:rFonts w:ascii="Arial" w:hAnsi="Arial" w:cs="Arial"/>
          <w:sz w:val="22"/>
          <w:szCs w:val="22"/>
          <w:lang w:val="es-ES_tradnl"/>
        </w:rPr>
        <w:t>, la economía peruana ha experimentado un importante crecimiento económico. Durante este periodo, el Producto Interno Bruto (PIB) creció 1,8 veces, a un ritmo promedio de 6% anual en términos reales</w:t>
      </w:r>
      <w:r>
        <w:rPr>
          <w:rFonts w:ascii="Arial" w:hAnsi="Arial" w:cs="Arial"/>
          <w:sz w:val="22"/>
          <w:szCs w:val="22"/>
          <w:vertAlign w:val="superscript"/>
          <w:lang w:val="es-ES_tradnl"/>
        </w:rPr>
        <w:footnoteReference w:id="3"/>
      </w:r>
      <w:r>
        <w:rPr>
          <w:rFonts w:ascii="Arial" w:hAnsi="Arial" w:cs="Arial"/>
          <w:sz w:val="22"/>
          <w:szCs w:val="22"/>
          <w:lang w:val="es-ES_tradnl"/>
        </w:rPr>
        <w:t>, superando al promedio latinoamericano (3.1%)</w:t>
      </w:r>
      <w:r>
        <w:rPr>
          <w:rFonts w:ascii="Arial" w:hAnsi="Arial" w:cs="Arial"/>
          <w:sz w:val="22"/>
          <w:szCs w:val="22"/>
          <w:vertAlign w:val="superscript"/>
          <w:lang w:val="es-ES_tradnl"/>
        </w:rPr>
        <w:footnoteReference w:id="4"/>
      </w:r>
      <w:r>
        <w:rPr>
          <w:rFonts w:ascii="Arial" w:hAnsi="Arial" w:cs="Arial"/>
          <w:sz w:val="22"/>
          <w:szCs w:val="22"/>
          <w:lang w:val="es-ES_tradnl"/>
        </w:rPr>
        <w:t xml:space="preserve">. El auge de los precios de los </w:t>
      </w:r>
      <w:r>
        <w:rPr>
          <w:rFonts w:ascii="Arial" w:hAnsi="Arial" w:cs="Arial"/>
          <w:i/>
          <w:sz w:val="22"/>
          <w:szCs w:val="22"/>
          <w:lang w:val="es-ES_tradnl"/>
        </w:rPr>
        <w:t>commodities</w:t>
      </w:r>
      <w:r>
        <w:rPr>
          <w:rFonts w:ascii="Arial" w:hAnsi="Arial" w:cs="Arial"/>
          <w:sz w:val="22"/>
          <w:szCs w:val="22"/>
          <w:lang w:val="es-ES_tradnl"/>
        </w:rPr>
        <w:t xml:space="preserve">, la disciplina fiscal y monetaria, y un entorno favorable para la inversión facilitaron estos resultados. </w:t>
      </w:r>
      <w:r>
        <w:rPr>
          <w:rFonts w:ascii="Arial" w:hAnsi="Arial" w:cs="Arial"/>
          <w:sz w:val="22"/>
          <w:szCs w:val="22"/>
        </w:rPr>
        <w:t xml:space="preserve">El </w:t>
      </w:r>
      <w:r>
        <w:rPr>
          <w:rFonts w:ascii="Arial" w:hAnsi="Arial" w:cs="Arial"/>
          <w:sz w:val="22"/>
          <w:szCs w:val="22"/>
          <w:lang w:val="es-ES_tradnl"/>
        </w:rPr>
        <w:t>mejor desempeño económico se vio reflejado en un aumento en los ingresos de la población</w:t>
      </w:r>
      <w:r>
        <w:rPr>
          <w:rStyle w:val="FootnoteReference"/>
          <w:rFonts w:ascii="Arial" w:hAnsi="Arial" w:cs="Arial"/>
          <w:sz w:val="22"/>
          <w:szCs w:val="22"/>
          <w:lang w:val="es-ES_tradnl"/>
        </w:rPr>
        <w:footnoteReference w:id="5"/>
      </w:r>
      <w:r>
        <w:rPr>
          <w:rFonts w:ascii="Arial" w:hAnsi="Arial" w:cs="Arial"/>
          <w:sz w:val="22"/>
          <w:szCs w:val="22"/>
          <w:lang w:val="es-ES_tradnl"/>
        </w:rPr>
        <w:t>. Entre el 2004 y 2014, la incidencia de los individuos en pobreza total se redujo del 58,7% a 22,7%, superando al promedio latinoamericano durante el mismo periodo (reducción de 10 puntos porcentuales)</w:t>
      </w:r>
      <w:r>
        <w:rPr>
          <w:rFonts w:ascii="Arial" w:hAnsi="Arial" w:cs="Arial"/>
          <w:sz w:val="22"/>
          <w:szCs w:val="22"/>
          <w:vertAlign w:val="superscript"/>
          <w:lang w:val="es-ES_tradnl"/>
        </w:rPr>
        <w:footnoteReference w:id="6"/>
      </w:r>
      <w:r>
        <w:rPr>
          <w:rFonts w:ascii="Arial" w:hAnsi="Arial" w:cs="Arial"/>
          <w:sz w:val="22"/>
          <w:szCs w:val="22"/>
          <w:lang w:val="es-ES_tradnl"/>
        </w:rPr>
        <w:t>. Los cambios en el contexto internacional, como la reducción de la demanda de socios comerciales como China, la caída de los precios de los minerales y el ajuste de la tasa de interés referencial de la Reserva Federal de los Estados Unidos, han contribuido con la disminución de la tasa de crecimiento del país y del resto de la región. De esta manera, la economía peruana ha pasado de crecer 6,9% en términos reales durante el 2006-2010 a 4,6% durante los últimos 6 años. La perspectiva de aumento para 2017 es alrededor de 2,7%</w:t>
      </w:r>
      <w:r>
        <w:rPr>
          <w:rStyle w:val="FootnoteReference"/>
          <w:rFonts w:ascii="Arial" w:hAnsi="Arial" w:cs="Arial"/>
          <w:sz w:val="22"/>
          <w:szCs w:val="22"/>
          <w:lang w:val="es-ES_tradnl"/>
        </w:rPr>
        <w:footnoteReference w:id="7"/>
      </w:r>
      <w:r>
        <w:rPr>
          <w:rFonts w:ascii="Arial" w:hAnsi="Arial" w:cs="Arial"/>
          <w:sz w:val="22"/>
          <w:szCs w:val="22"/>
          <w:lang w:val="es-ES_tradnl"/>
        </w:rPr>
        <w:t xml:space="preserve">. </w:t>
      </w:r>
      <w:r>
        <w:rPr>
          <w:rFonts w:ascii="Arial" w:hAnsi="Arial" w:cs="Arial"/>
          <w:bCs/>
          <w:sz w:val="22"/>
          <w:szCs w:val="22"/>
          <w:lang w:val="es-ES_tradnl"/>
        </w:rPr>
        <w:t xml:space="preserve"> </w:t>
      </w:r>
    </w:p>
    <w:p>
      <w:pPr>
        <w:pStyle w:val="Paragraph"/>
        <w:numPr>
          <w:ilvl w:val="1"/>
          <w:numId w:val="2"/>
        </w:numPr>
        <w:tabs>
          <w:tab w:val="clear" w:pos="1296"/>
        </w:tabs>
        <w:ind w:left="720" w:hanging="720"/>
        <w:outlineLvl w:val="9"/>
        <w:rPr>
          <w:rFonts w:ascii="Arial" w:hAnsi="Arial" w:cs="Arial"/>
          <w:sz w:val="22"/>
          <w:szCs w:val="22"/>
          <w:lang w:val="es-ES_tradnl"/>
        </w:rPr>
      </w:pPr>
      <w:r>
        <w:rPr>
          <w:rFonts w:ascii="Arial" w:hAnsi="Arial" w:cs="Arial"/>
          <w:b/>
          <w:sz w:val="22"/>
          <w:szCs w:val="22"/>
          <w:lang w:val="es-ES_tradnl"/>
        </w:rPr>
        <w:t>Aspectos referentes a la inversión pública.</w:t>
      </w:r>
      <w:r>
        <w:rPr>
          <w:rFonts w:ascii="Arial" w:hAnsi="Arial" w:cs="Arial"/>
          <w:sz w:val="22"/>
          <w:szCs w:val="22"/>
          <w:lang w:val="es-ES_tradnl"/>
        </w:rPr>
        <w:t xml:space="preserve"> Perú duplicó los niveles de inversión pública, pasando de invertir 2.9% del PIB en 2002 a casi 6% del PIB en promedio durante el periodo 2010-2014, manteniéndose por encima del promedio de la región de 4.1%</w:t>
      </w:r>
      <w:r>
        <w:rPr>
          <w:rStyle w:val="FootnoteReference"/>
          <w:rFonts w:ascii="Arial" w:hAnsi="Arial" w:cs="Arial"/>
          <w:sz w:val="22"/>
          <w:szCs w:val="22"/>
          <w:lang w:val="es-ES_tradnl"/>
        </w:rPr>
        <w:footnoteReference w:id="8"/>
      </w:r>
      <w:r>
        <w:rPr>
          <w:rFonts w:ascii="Arial" w:hAnsi="Arial" w:cs="Arial"/>
          <w:sz w:val="22"/>
          <w:szCs w:val="22"/>
          <w:lang w:val="es-ES_tradnl"/>
        </w:rPr>
        <w:t xml:space="preserve">. </w:t>
      </w:r>
      <w:r>
        <w:rPr>
          <w:rFonts w:ascii="Arial" w:hAnsi="Arial" w:cs="Arial"/>
          <w:sz w:val="22"/>
          <w:szCs w:val="22"/>
        </w:rPr>
        <w:t>Este aumento ocurrió aun cuando los procesos establecidos por el entonces vigente Sistema Nacional de Inversión Pública (SNIP)</w:t>
      </w:r>
      <w:r>
        <w:rPr>
          <w:rStyle w:val="FootnoteReference"/>
          <w:rFonts w:ascii="Arial" w:hAnsi="Arial" w:cs="Arial"/>
          <w:sz w:val="22"/>
          <w:szCs w:val="22"/>
        </w:rPr>
        <w:footnoteReference w:id="9"/>
      </w:r>
      <w:r>
        <w:rPr>
          <w:rFonts w:ascii="Arial" w:hAnsi="Arial" w:cs="Arial"/>
          <w:sz w:val="22"/>
          <w:szCs w:val="22"/>
        </w:rPr>
        <w:t xml:space="preserve"> eran complejos, el monto promedio de los </w:t>
      </w:r>
      <w:r>
        <w:rPr>
          <w:rFonts w:ascii="Arial" w:hAnsi="Arial" w:cs="Arial"/>
          <w:sz w:val="22"/>
          <w:szCs w:val="22"/>
        </w:rPr>
        <w:lastRenderedPageBreak/>
        <w:t>proyectos de inversión era pequeño</w:t>
      </w:r>
      <w:r>
        <w:rPr>
          <w:rStyle w:val="FootnoteReference"/>
          <w:rFonts w:ascii="Arial" w:hAnsi="Arial" w:cs="Arial"/>
          <w:sz w:val="22"/>
          <w:szCs w:val="22"/>
        </w:rPr>
        <w:footnoteReference w:id="10"/>
      </w:r>
      <w:r>
        <w:rPr>
          <w:rFonts w:ascii="Arial" w:hAnsi="Arial" w:cs="Arial"/>
          <w:sz w:val="22"/>
          <w:szCs w:val="22"/>
        </w:rPr>
        <w:t xml:space="preserve"> y el impacto en la calidad de la inversión pública era reducido. </w:t>
      </w:r>
      <w:r>
        <w:rPr>
          <w:rFonts w:ascii="Arial" w:hAnsi="Arial" w:cs="Arial"/>
          <w:sz w:val="22"/>
          <w:szCs w:val="22"/>
          <w:lang w:val="es-ES_tradnl"/>
        </w:rPr>
        <w:t xml:space="preserve">A pesar del notable incremento en el nivel de </w:t>
      </w:r>
      <w:r>
        <w:rPr>
          <w:rFonts w:ascii="Arial" w:hAnsi="Arial" w:cs="Arial"/>
          <w:sz w:val="22"/>
          <w:szCs w:val="22"/>
        </w:rPr>
        <w:t>inversión, la ausencia de instituciones públicas eficaces encargadas de su gestión limitó la reducción del déficit en infraestructura. Así, la brecha de infraestructura en sectores como transportes, vivienda, educación, salud, agricultura y seguridad ciudadana alcanza aproximadamente los US$70 mil millones, equivalente al 35% del PIB</w:t>
      </w:r>
      <w:r>
        <w:rPr>
          <w:rStyle w:val="FootnoteReference"/>
          <w:rFonts w:ascii="Arial" w:hAnsi="Arial" w:cs="Arial"/>
          <w:sz w:val="22"/>
          <w:szCs w:val="22"/>
        </w:rPr>
        <w:footnoteReference w:id="11"/>
      </w:r>
      <w:r>
        <w:rPr>
          <w:rFonts w:ascii="Arial" w:hAnsi="Arial" w:cs="Arial"/>
          <w:sz w:val="22"/>
          <w:szCs w:val="22"/>
        </w:rPr>
        <w:t>. Además, un análisis sobre el gasto de inversión pública y brechas de cobertura encontró que, en la mayoría de los sectores, la asignación de los gobiernos nacional, regional y local se realiza sin un criterio que priorice las regiones con un menor nivel de cobertura de servicio</w:t>
      </w:r>
      <w:r>
        <w:rPr>
          <w:rStyle w:val="FootnoteReference"/>
          <w:rFonts w:ascii="Arial" w:hAnsi="Arial" w:cs="Arial"/>
          <w:sz w:val="22"/>
          <w:szCs w:val="22"/>
        </w:rPr>
        <w:footnoteReference w:id="12"/>
      </w:r>
    </w:p>
    <w:p>
      <w:pPr>
        <w:pStyle w:val="Paragraph"/>
        <w:numPr>
          <w:ilvl w:val="1"/>
          <w:numId w:val="2"/>
        </w:numPr>
        <w:tabs>
          <w:tab w:val="clear" w:pos="1296"/>
        </w:tabs>
        <w:ind w:left="720" w:hanging="720"/>
        <w:outlineLvl w:val="9"/>
        <w:rPr>
          <w:rFonts w:ascii="Arial" w:hAnsi="Arial" w:cs="Arial"/>
          <w:sz w:val="22"/>
          <w:szCs w:val="22"/>
        </w:rPr>
      </w:pPr>
      <w:r>
        <w:rPr>
          <w:rFonts w:ascii="Arial" w:hAnsi="Arial" w:cs="Arial"/>
          <w:sz w:val="22"/>
          <w:szCs w:val="22"/>
        </w:rPr>
        <w:t>El impacto de la inversión pública sobre el cierre de brechas y el crecimiento depende en gran medida de la existencia de instituciones adecuadas para su gestión. Perú, en comparación con otros países en desarrollo y avanzados, obtiene un bajo rendimiento por punto porcentual del PIB de gasto en inversión. Según estimaciones propias, el índice de eficiencia del gasto en inversión se ubica en el decil más bajo de una muestra de casi 60 países: el análisis de frontera sugiere que Perú podría aumentar la calidad de su infraestructura en general en un 46% con el mismo nivel de inversión</w:t>
      </w:r>
      <w:r>
        <w:rPr>
          <w:rStyle w:val="FootnoteReference"/>
          <w:rFonts w:ascii="Arial" w:hAnsi="Arial" w:cs="Arial"/>
          <w:sz w:val="22"/>
          <w:szCs w:val="22"/>
        </w:rPr>
        <w:footnoteReference w:id="13"/>
      </w:r>
      <w:r>
        <w:rPr>
          <w:rStyle w:val="FootnoteReference"/>
          <w:rFonts w:ascii="Arial" w:hAnsi="Arial" w:cs="Arial"/>
          <w:vertAlign w:val="baseline"/>
        </w:rPr>
        <w:t>.</w:t>
      </w:r>
      <w:r>
        <w:rPr>
          <w:rFonts w:ascii="Arial" w:hAnsi="Arial" w:cs="Arial"/>
          <w:sz w:val="22"/>
          <w:szCs w:val="22"/>
        </w:rPr>
        <w:t xml:space="preserve"> Para mejorar la eficiencia, Perú ha adoptado las recomendaciones de mejores prácticas de inversión descentralizada en el mundo, en particular de la Organización para la Cooperación y el Desarrollo Económicos (OCDE)</w:t>
      </w:r>
      <w:r>
        <w:rPr>
          <w:rStyle w:val="FootnoteReference"/>
          <w:rFonts w:ascii="Arial" w:hAnsi="Arial" w:cs="Arial"/>
          <w:sz w:val="22"/>
          <w:szCs w:val="22"/>
        </w:rPr>
        <w:footnoteReference w:id="14"/>
      </w:r>
      <w:r>
        <w:rPr>
          <w:rStyle w:val="FootnoteReference"/>
          <w:rFonts w:ascii="Arial" w:hAnsi="Arial" w:cs="Arial"/>
        </w:rPr>
        <w:t xml:space="preserve"> </w:t>
      </w:r>
      <w:r>
        <w:rPr>
          <w:rFonts w:ascii="Arial" w:hAnsi="Arial" w:cs="Arial"/>
          <w:sz w:val="22"/>
          <w:szCs w:val="22"/>
        </w:rPr>
        <w:t xml:space="preserve">las cuales mitigan los múltiples desafíos para la gobernanza multinivel de la inversión pública, que se agrupan en los siguientes pilares: (i) coordinación interinstitucional y adopción de instrumentos efectivos; (ii) mejora del marco de seguimiento y transparencia de las inversiones; y (iii) fortalecimiento de capacidades y promoción del aprendizaje de políticas entre niveles de gobierno. Como se detallará a continuación, los principales elementos de reforma al sistema de gestión pública en Perú se ubican en este marco de mejores prácticas. </w:t>
      </w:r>
    </w:p>
    <w:p>
      <w:pPr>
        <w:pStyle w:val="Chapter"/>
        <w:numPr>
          <w:ilvl w:val="0"/>
          <w:numId w:val="2"/>
        </w:numPr>
        <w:ind w:left="900" w:hanging="792"/>
        <w:jc w:val="left"/>
        <w:outlineLvl w:val="0"/>
        <w:rPr>
          <w:rFonts w:ascii="Arial" w:hAnsi="Arial" w:cs="Arial"/>
          <w:sz w:val="22"/>
          <w:szCs w:val="22"/>
          <w:lang w:val="es-ES_tradnl"/>
        </w:rPr>
      </w:pPr>
      <w:bookmarkStart w:id="3" w:name="_Toc490641729"/>
      <w:r>
        <w:rPr>
          <w:rFonts w:ascii="Arial" w:hAnsi="Arial" w:cs="Arial"/>
          <w:sz w:val="22"/>
          <w:szCs w:val="22"/>
          <w:lang w:val="es-ES_tradnl"/>
        </w:rPr>
        <w:t>Problemas Específicos a ser Solucionados y Causas</w:t>
      </w:r>
      <w:bookmarkEnd w:id="3"/>
    </w:p>
    <w:p>
      <w:pPr>
        <w:pStyle w:val="Paragraph"/>
        <w:numPr>
          <w:ilvl w:val="1"/>
          <w:numId w:val="2"/>
        </w:numPr>
        <w:tabs>
          <w:tab w:val="num" w:pos="720"/>
        </w:tabs>
        <w:ind w:left="720" w:hanging="720"/>
        <w:outlineLvl w:val="9"/>
        <w:rPr>
          <w:rFonts w:ascii="Arial" w:hAnsi="Arial" w:cs="Arial"/>
          <w:sz w:val="22"/>
          <w:szCs w:val="22"/>
          <w:lang w:val="es-ES_tradnl"/>
        </w:rPr>
      </w:pPr>
      <w:r>
        <w:rPr>
          <w:rFonts w:ascii="Arial" w:hAnsi="Arial" w:cs="Arial"/>
          <w:b/>
          <w:sz w:val="22"/>
          <w:szCs w:val="22"/>
          <w:lang w:val="es-ES_tradnl"/>
        </w:rPr>
        <w:t>Débil coordinación interinstitucional y limitaciones en la capacidad de apoyar la programación y ejecución de la inversión</w:t>
      </w:r>
      <w:r>
        <w:rPr>
          <w:rFonts w:ascii="Arial" w:hAnsi="Arial" w:cs="Arial"/>
          <w:sz w:val="22"/>
          <w:szCs w:val="22"/>
          <w:lang w:val="es-ES_tradnl"/>
        </w:rPr>
        <w:t xml:space="preserve">. Las principales causas asociadas con este problema específico son: </w:t>
      </w:r>
    </w:p>
    <w:p>
      <w:pPr>
        <w:pStyle w:val="subpar"/>
        <w:numPr>
          <w:ilvl w:val="2"/>
          <w:numId w:val="7"/>
        </w:numPr>
        <w:tabs>
          <w:tab w:val="left" w:pos="180"/>
        </w:tabs>
        <w:suppressAutoHyphens/>
        <w:ind w:left="1350" w:hanging="450"/>
        <w:outlineLvl w:val="9"/>
        <w:rPr>
          <w:rFonts w:ascii="Arial" w:hAnsi="Arial" w:cs="Arial"/>
          <w:sz w:val="22"/>
          <w:szCs w:val="22"/>
          <w:lang w:val="es-ES_tradnl"/>
        </w:rPr>
      </w:pPr>
      <w:r>
        <w:rPr>
          <w:rFonts w:ascii="Arial" w:hAnsi="Arial" w:cs="Arial"/>
          <w:sz w:val="22"/>
          <w:szCs w:val="22"/>
          <w:lang w:val="es-ES_tradnl"/>
        </w:rPr>
        <w:t>Débil coordinación organizacional y de coordinación de los actores que forman parte del sistema de inversión pública.</w:t>
      </w:r>
    </w:p>
    <w:p>
      <w:pPr>
        <w:pStyle w:val="subpar"/>
        <w:numPr>
          <w:ilvl w:val="2"/>
          <w:numId w:val="7"/>
        </w:numPr>
        <w:tabs>
          <w:tab w:val="left" w:pos="180"/>
        </w:tabs>
        <w:suppressAutoHyphens/>
        <w:ind w:left="1350" w:hanging="450"/>
        <w:outlineLvl w:val="9"/>
        <w:rPr>
          <w:rFonts w:ascii="Arial" w:hAnsi="Arial" w:cs="Arial"/>
          <w:sz w:val="22"/>
          <w:szCs w:val="22"/>
          <w:lang w:val="es-ES_tradnl"/>
        </w:rPr>
      </w:pPr>
      <w:r>
        <w:rPr>
          <w:rFonts w:ascii="Arial" w:hAnsi="Arial" w:cs="Arial"/>
          <w:sz w:val="22"/>
          <w:szCs w:val="22"/>
          <w:lang w:val="es-ES_tradnl"/>
        </w:rPr>
        <w:t xml:space="preserve">Limitadas información y desactualización de metodologías en el ciclo de inversión.  </w:t>
      </w:r>
    </w:p>
    <w:p>
      <w:pPr>
        <w:pStyle w:val="subpar"/>
        <w:numPr>
          <w:ilvl w:val="2"/>
          <w:numId w:val="7"/>
        </w:numPr>
        <w:tabs>
          <w:tab w:val="left" w:pos="180"/>
        </w:tabs>
        <w:suppressAutoHyphens/>
        <w:ind w:left="1350" w:hanging="450"/>
        <w:outlineLvl w:val="9"/>
        <w:rPr>
          <w:rFonts w:ascii="Arial" w:eastAsia="Arial" w:hAnsi="Arial" w:cs="Arial"/>
          <w:sz w:val="22"/>
          <w:szCs w:val="22"/>
          <w:lang w:val="es-ES_tradnl"/>
        </w:rPr>
      </w:pPr>
      <w:r>
        <w:rPr>
          <w:rFonts w:ascii="Arial" w:hAnsi="Arial" w:cs="Arial"/>
          <w:sz w:val="22"/>
          <w:szCs w:val="22"/>
          <w:lang w:val="es-ES_tradnl"/>
        </w:rPr>
        <w:t xml:space="preserve">Débiles instrumentos de apoyo a la programación. </w:t>
      </w:r>
    </w:p>
    <w:p>
      <w:pPr>
        <w:pStyle w:val="subpar"/>
        <w:numPr>
          <w:ilvl w:val="2"/>
          <w:numId w:val="7"/>
        </w:numPr>
        <w:tabs>
          <w:tab w:val="left" w:pos="180"/>
        </w:tabs>
        <w:ind w:left="1350" w:hanging="450"/>
        <w:outlineLvl w:val="9"/>
        <w:rPr>
          <w:rFonts w:ascii="Arial" w:hAnsi="Arial" w:cs="Arial"/>
          <w:sz w:val="22"/>
          <w:szCs w:val="22"/>
          <w:lang w:val="es-ES_tradnl"/>
        </w:rPr>
      </w:pPr>
      <w:r>
        <w:rPr>
          <w:rFonts w:ascii="Arial" w:hAnsi="Arial" w:cs="Arial"/>
          <w:sz w:val="22"/>
          <w:szCs w:val="22"/>
          <w:lang w:val="es-ES_tradnl"/>
        </w:rPr>
        <w:t xml:space="preserve">Ausencia de instrumentos que apoyen la eficiencia de la ejecución. </w:t>
      </w:r>
    </w:p>
    <w:p>
      <w:pPr>
        <w:pStyle w:val="Paragraph"/>
        <w:numPr>
          <w:ilvl w:val="1"/>
          <w:numId w:val="2"/>
        </w:numPr>
        <w:tabs>
          <w:tab w:val="num" w:pos="720"/>
        </w:tabs>
        <w:ind w:left="720" w:hanging="720"/>
        <w:outlineLvl w:val="9"/>
        <w:rPr>
          <w:rFonts w:ascii="Arial" w:hAnsi="Arial" w:cs="Arial"/>
          <w:sz w:val="22"/>
          <w:szCs w:val="22"/>
          <w:lang w:val="es-ES_tradnl"/>
        </w:rPr>
      </w:pPr>
      <w:r>
        <w:rPr>
          <w:rFonts w:ascii="Arial" w:hAnsi="Arial" w:cs="Arial"/>
          <w:b/>
          <w:sz w:val="22"/>
          <w:szCs w:val="22"/>
          <w:lang w:val="es-ES_tradnl"/>
        </w:rPr>
        <w:t xml:space="preserve">Limitados mecanismos de seguimiento, evaluación y transparencia en la gestión de la inversión. </w:t>
      </w:r>
      <w:r>
        <w:rPr>
          <w:rFonts w:ascii="Arial" w:hAnsi="Arial" w:cs="Arial"/>
          <w:sz w:val="22"/>
          <w:szCs w:val="22"/>
          <w:lang w:val="es-ES_tradnl"/>
        </w:rPr>
        <w:t xml:space="preserve"> </w:t>
      </w:r>
      <w:r>
        <w:rPr>
          <w:rFonts w:ascii="Arial" w:hAnsi="Arial" w:cs="Arial"/>
          <w:sz w:val="22"/>
          <w:szCs w:val="22"/>
        </w:rPr>
        <w:t>En la actualidad, existen diversos sistemas y aplicativos informáticos que soportaban el antiguo SNIP</w:t>
      </w:r>
      <w:r>
        <w:rPr>
          <w:rStyle w:val="FootnoteReference"/>
          <w:rFonts w:ascii="Arial" w:hAnsi="Arial" w:cs="Arial"/>
          <w:sz w:val="22"/>
          <w:szCs w:val="22"/>
          <w:lang w:val="es-ES_tradnl"/>
        </w:rPr>
        <w:footnoteReference w:id="15"/>
      </w:r>
      <w:r>
        <w:rPr>
          <w:rFonts w:ascii="Arial" w:hAnsi="Arial" w:cs="Arial"/>
          <w:sz w:val="22"/>
          <w:szCs w:val="22"/>
        </w:rPr>
        <w:t xml:space="preserve"> (entre ellos, el Banco de </w:t>
      </w:r>
      <w:r>
        <w:rPr>
          <w:rFonts w:ascii="Arial" w:hAnsi="Arial" w:cs="Arial"/>
          <w:sz w:val="22"/>
          <w:szCs w:val="22"/>
          <w:lang w:val="es-ES_tradnl"/>
        </w:rPr>
        <w:t>Inversiones</w:t>
      </w:r>
      <w:r>
        <w:rPr>
          <w:rFonts w:ascii="Arial" w:hAnsi="Arial" w:cs="Arial"/>
          <w:sz w:val="22"/>
          <w:szCs w:val="22"/>
        </w:rPr>
        <w:t xml:space="preserve">, que mayormente registra la información referente a la pre-inversión), los cuales no se encuentran integrados </w:t>
      </w:r>
      <w:r>
        <w:rPr>
          <w:rFonts w:ascii="Arial" w:hAnsi="Arial" w:cs="Arial"/>
          <w:sz w:val="22"/>
          <w:szCs w:val="22"/>
        </w:rPr>
        <w:lastRenderedPageBreak/>
        <w:t>entre sí y tampoco con otras plataformas relevantes de gestión pública</w:t>
      </w:r>
      <w:r>
        <w:rPr>
          <w:rStyle w:val="FootnoteReference"/>
          <w:rFonts w:ascii="Arial" w:hAnsi="Arial" w:cs="Arial"/>
          <w:sz w:val="22"/>
          <w:szCs w:val="22"/>
        </w:rPr>
        <w:footnoteReference w:id="16"/>
      </w:r>
      <w:r>
        <w:rPr>
          <w:rFonts w:ascii="Arial" w:hAnsi="Arial" w:cs="Arial"/>
          <w:sz w:val="22"/>
          <w:szCs w:val="22"/>
        </w:rPr>
        <w:t>.  El énfasis en la pre-inversión combinado con la ausencia de un sistema de información integrado y coherente con las diversas fases que integran el proceso de las inversiones públicas (a nivel nacional y subnacional) conduce a que la inversión sea ejecutada de manera descoordinada, sin monitoreo y seguimiento, y sin una visión integrada</w:t>
      </w:r>
      <w:r>
        <w:rPr>
          <w:rFonts w:ascii="Arial" w:hAnsi="Arial" w:cs="Arial"/>
          <w:sz w:val="22"/>
          <w:szCs w:val="22"/>
          <w:lang w:val="es-ES_tradnl"/>
        </w:rPr>
        <w:t xml:space="preserve">. Las principales causas asociadas con este problema específico son: </w:t>
      </w:r>
    </w:p>
    <w:p>
      <w:pPr>
        <w:pStyle w:val="subpar"/>
        <w:numPr>
          <w:ilvl w:val="2"/>
          <w:numId w:val="8"/>
        </w:numPr>
        <w:tabs>
          <w:tab w:val="clear" w:pos="2304"/>
        </w:tabs>
        <w:ind w:left="1350" w:hanging="450"/>
        <w:outlineLvl w:val="9"/>
        <w:rPr>
          <w:rFonts w:ascii="Arial" w:hAnsi="Arial" w:cs="Arial"/>
          <w:sz w:val="22"/>
          <w:szCs w:val="22"/>
          <w:lang w:val="es-ES_tradnl"/>
        </w:rPr>
      </w:pPr>
      <w:r>
        <w:rPr>
          <w:rFonts w:ascii="Arial" w:hAnsi="Arial" w:cs="Arial"/>
          <w:sz w:val="22"/>
          <w:szCs w:val="22"/>
          <w:lang w:val="es-ES_tradnl"/>
        </w:rPr>
        <w:t>Gestión de la información inadecuada.</w:t>
      </w:r>
    </w:p>
    <w:p>
      <w:pPr>
        <w:pStyle w:val="subpar"/>
        <w:numPr>
          <w:ilvl w:val="2"/>
          <w:numId w:val="8"/>
        </w:numPr>
        <w:tabs>
          <w:tab w:val="left" w:pos="90"/>
        </w:tabs>
        <w:ind w:left="1350" w:hanging="450"/>
        <w:outlineLvl w:val="9"/>
        <w:rPr>
          <w:rFonts w:ascii="Arial" w:hAnsi="Arial" w:cs="Arial"/>
          <w:sz w:val="22"/>
          <w:szCs w:val="22"/>
          <w:lang w:val="es-ES_tradnl"/>
        </w:rPr>
      </w:pPr>
      <w:r>
        <w:rPr>
          <w:rFonts w:ascii="Arial" w:hAnsi="Arial" w:cs="Arial"/>
          <w:sz w:val="22"/>
          <w:szCs w:val="22"/>
          <w:lang w:val="es-ES_tradnl"/>
        </w:rPr>
        <w:t>Inadecuada gestión y transparencia de las contrataciones electrónicas.</w:t>
      </w:r>
    </w:p>
    <w:p>
      <w:pPr>
        <w:pStyle w:val="subpar"/>
        <w:numPr>
          <w:ilvl w:val="2"/>
          <w:numId w:val="8"/>
        </w:numPr>
        <w:tabs>
          <w:tab w:val="left" w:pos="90"/>
        </w:tabs>
        <w:ind w:left="1350" w:hanging="450"/>
        <w:outlineLvl w:val="9"/>
        <w:rPr>
          <w:rFonts w:ascii="Arial" w:hAnsi="Arial" w:cs="Arial"/>
          <w:sz w:val="22"/>
          <w:szCs w:val="22"/>
          <w:lang w:val="es-ES_tradnl"/>
        </w:rPr>
      </w:pPr>
      <w:r>
        <w:rPr>
          <w:rFonts w:ascii="Arial" w:hAnsi="Arial" w:cs="Arial"/>
          <w:sz w:val="22"/>
          <w:szCs w:val="22"/>
          <w:lang w:val="es-ES_tradnl"/>
        </w:rPr>
        <w:t>Debilidad de los instrumentos de apoyo para la toma de decisiones.</w:t>
      </w:r>
    </w:p>
    <w:p>
      <w:pPr>
        <w:pStyle w:val="subpar"/>
        <w:numPr>
          <w:ilvl w:val="2"/>
          <w:numId w:val="8"/>
        </w:numPr>
        <w:tabs>
          <w:tab w:val="left" w:pos="90"/>
        </w:tabs>
        <w:ind w:left="1350" w:hanging="450"/>
        <w:outlineLvl w:val="9"/>
        <w:rPr>
          <w:rFonts w:ascii="Arial" w:hAnsi="Arial" w:cs="Arial"/>
          <w:sz w:val="22"/>
          <w:szCs w:val="22"/>
          <w:lang w:val="es-ES_tradnl"/>
        </w:rPr>
      </w:pPr>
      <w:r>
        <w:rPr>
          <w:rFonts w:ascii="Arial" w:hAnsi="Arial" w:cs="Arial"/>
          <w:sz w:val="22"/>
          <w:szCs w:val="22"/>
          <w:lang w:val="es-ES_tradnl"/>
        </w:rPr>
        <w:t xml:space="preserve">Infraestructura informática insuficiente para hospedar y operar los sistemas de inversión pública. </w:t>
      </w:r>
    </w:p>
    <w:p>
      <w:pPr>
        <w:pStyle w:val="Paragraph"/>
        <w:numPr>
          <w:ilvl w:val="1"/>
          <w:numId w:val="2"/>
        </w:numPr>
        <w:tabs>
          <w:tab w:val="num" w:pos="720"/>
        </w:tabs>
        <w:ind w:left="720" w:hanging="720"/>
        <w:outlineLvl w:val="9"/>
        <w:rPr>
          <w:rFonts w:ascii="Arial" w:hAnsi="Arial" w:cs="Arial"/>
          <w:sz w:val="22"/>
          <w:szCs w:val="22"/>
          <w:lang w:val="es-ES_tradnl"/>
        </w:rPr>
      </w:pPr>
      <w:r>
        <w:rPr>
          <w:rFonts w:ascii="Arial" w:hAnsi="Arial" w:cs="Arial"/>
          <w:b/>
          <w:sz w:val="22"/>
          <w:szCs w:val="22"/>
          <w:lang w:val="es-ES_tradnl"/>
        </w:rPr>
        <w:t xml:space="preserve">Brechas de conocimiento del capital humano a cargo de la gestión del sistema de inversión. </w:t>
      </w:r>
      <w:r>
        <w:rPr>
          <w:rFonts w:ascii="Arial" w:hAnsi="Arial" w:cs="Arial"/>
          <w:sz w:val="22"/>
          <w:szCs w:val="22"/>
          <w:lang w:val="es-ES_tradnl"/>
        </w:rPr>
        <w:t>Las capacidades técnicas de los operadores encargados de la gestión de la inversión pública son deficientes, principalmente a nivel descentralizado</w:t>
      </w:r>
      <w:r>
        <w:rPr>
          <w:rStyle w:val="FootnoteReference"/>
          <w:rFonts w:ascii="Arial" w:hAnsi="Arial" w:cs="Arial"/>
          <w:sz w:val="22"/>
          <w:szCs w:val="22"/>
          <w:lang w:val="es-ES_tradnl"/>
        </w:rPr>
        <w:footnoteReference w:id="17"/>
      </w:r>
      <w:r>
        <w:rPr>
          <w:rFonts w:ascii="Arial" w:hAnsi="Arial" w:cs="Arial"/>
          <w:sz w:val="22"/>
          <w:szCs w:val="22"/>
          <w:lang w:val="es-ES_tradnl"/>
        </w:rPr>
        <w:t>. A nivel subnacional, existe escasez de profesionales para la gestión de la inversión pública. Esto se evidencia en los resultados del diagnóstico de conocimientos en gestión de la inversión pública realizado en 2013 a los operadores del SNIP, por la Autoridad Nacional del Servicio Civil (SERVIR)</w:t>
      </w:r>
      <w:r>
        <w:rPr>
          <w:rStyle w:val="FootnoteReference"/>
          <w:rFonts w:ascii="Arial" w:hAnsi="Arial" w:cs="Arial"/>
          <w:sz w:val="22"/>
          <w:szCs w:val="22"/>
          <w:lang w:val="es-ES_tradnl"/>
        </w:rPr>
        <w:footnoteReference w:id="18"/>
      </w:r>
      <w:r>
        <w:rPr>
          <w:rFonts w:ascii="Arial" w:hAnsi="Arial" w:cs="Arial"/>
          <w:sz w:val="22"/>
          <w:szCs w:val="22"/>
          <w:lang w:val="es-ES_tradnl"/>
        </w:rPr>
        <w:t>. Las principales causas asociadas con este problema específico son:</w:t>
      </w:r>
    </w:p>
    <w:p>
      <w:pPr>
        <w:pStyle w:val="subpar"/>
        <w:numPr>
          <w:ilvl w:val="2"/>
          <w:numId w:val="9"/>
        </w:numPr>
        <w:tabs>
          <w:tab w:val="clear" w:pos="2304"/>
        </w:tabs>
        <w:ind w:left="1350" w:hanging="450"/>
        <w:outlineLvl w:val="9"/>
        <w:rPr>
          <w:rFonts w:ascii="Arial" w:hAnsi="Arial" w:cs="Arial"/>
          <w:sz w:val="22"/>
          <w:szCs w:val="22"/>
          <w:lang w:val="es-ES_tradnl"/>
        </w:rPr>
      </w:pPr>
      <w:r>
        <w:rPr>
          <w:rFonts w:ascii="Arial" w:hAnsi="Arial" w:cs="Arial"/>
          <w:sz w:val="22"/>
          <w:szCs w:val="22"/>
          <w:lang w:val="es-ES_tradnl"/>
        </w:rPr>
        <w:t>Ausencia de una estrategia para la formación, reclutamiento y retención del capital humano.</w:t>
      </w:r>
    </w:p>
    <w:p>
      <w:pPr>
        <w:pStyle w:val="subpar"/>
        <w:numPr>
          <w:ilvl w:val="2"/>
          <w:numId w:val="9"/>
        </w:numPr>
        <w:tabs>
          <w:tab w:val="clear" w:pos="2304"/>
        </w:tabs>
        <w:ind w:left="1350" w:hanging="450"/>
        <w:outlineLvl w:val="9"/>
        <w:rPr>
          <w:rFonts w:ascii="Arial" w:hAnsi="Arial" w:cs="Arial"/>
          <w:sz w:val="22"/>
          <w:szCs w:val="22"/>
          <w:lang w:val="es-ES_tradnl"/>
        </w:rPr>
      </w:pPr>
      <w:r>
        <w:rPr>
          <w:rFonts w:ascii="Arial" w:hAnsi="Arial" w:cs="Arial"/>
          <w:sz w:val="22"/>
          <w:szCs w:val="22"/>
          <w:lang w:val="es-ES_tradnl"/>
        </w:rPr>
        <w:t>No existe un sistema de capacitación y aprendizaje permanente para los operadores del sistema ni se cuenta con información sistematizada y actualizada sobre sus capacidades y conocimiento.</w:t>
      </w:r>
    </w:p>
    <w:p>
      <w:pPr>
        <w:pStyle w:val="subpar"/>
        <w:numPr>
          <w:ilvl w:val="2"/>
          <w:numId w:val="9"/>
        </w:numPr>
        <w:tabs>
          <w:tab w:val="clear" w:pos="2304"/>
        </w:tabs>
        <w:ind w:left="1350" w:hanging="450"/>
        <w:outlineLvl w:val="9"/>
        <w:rPr>
          <w:rFonts w:ascii="Arial" w:hAnsi="Arial" w:cs="Arial"/>
          <w:sz w:val="22"/>
          <w:szCs w:val="22"/>
          <w:lang w:val="es-ES_tradnl"/>
        </w:rPr>
      </w:pPr>
      <w:r>
        <w:rPr>
          <w:rFonts w:ascii="Arial" w:hAnsi="Arial" w:cs="Arial"/>
          <w:sz w:val="22"/>
          <w:szCs w:val="22"/>
          <w:lang w:val="es-ES_tradnl"/>
        </w:rPr>
        <w:t>En cuanto a contrataciones públicas, no existe un sistema de capacitación y certificación de competencias actualizado, sostenible, y con un enfoque de profesionalización.</w:t>
      </w:r>
    </w:p>
    <w:p>
      <w:pPr>
        <w:pStyle w:val="subpar"/>
        <w:numPr>
          <w:ilvl w:val="2"/>
          <w:numId w:val="9"/>
        </w:numPr>
        <w:tabs>
          <w:tab w:val="clear" w:pos="2304"/>
        </w:tabs>
        <w:ind w:left="1350" w:hanging="450"/>
        <w:outlineLvl w:val="9"/>
        <w:rPr>
          <w:rFonts w:ascii="Arial" w:hAnsi="Arial" w:cs="Arial"/>
          <w:sz w:val="22"/>
          <w:szCs w:val="22"/>
          <w:lang w:val="es-ES_tradnl"/>
        </w:rPr>
      </w:pPr>
      <w:r>
        <w:rPr>
          <w:rFonts w:ascii="Arial" w:hAnsi="Arial" w:cs="Arial"/>
          <w:sz w:val="22"/>
          <w:szCs w:val="22"/>
          <w:lang w:val="es-ES_tradnl"/>
        </w:rPr>
        <w:t xml:space="preserve">Escasa información entre los operadores del nuevo sistema sobre sus roles, responsabilidades, y el uso de los nuevos procesos y herramientas. </w:t>
      </w:r>
    </w:p>
    <w:p>
      <w:pPr>
        <w:pStyle w:val="Chapter"/>
        <w:numPr>
          <w:ilvl w:val="0"/>
          <w:numId w:val="2"/>
        </w:numPr>
        <w:ind w:left="900" w:hanging="792"/>
        <w:jc w:val="left"/>
        <w:outlineLvl w:val="0"/>
        <w:rPr>
          <w:rFonts w:ascii="Arial" w:hAnsi="Arial" w:cs="Arial"/>
          <w:sz w:val="22"/>
          <w:szCs w:val="22"/>
          <w:lang w:val="es-ES_tradnl"/>
        </w:rPr>
      </w:pPr>
      <w:bookmarkStart w:id="4" w:name="_Toc490641730"/>
      <w:r>
        <w:rPr>
          <w:rFonts w:ascii="Arial" w:hAnsi="Arial" w:cs="Arial"/>
          <w:sz w:val="22"/>
          <w:szCs w:val="22"/>
          <w:lang w:val="es-ES_tradnl"/>
        </w:rPr>
        <w:t>Soluciones propuestas</w:t>
      </w:r>
      <w:bookmarkEnd w:id="4"/>
    </w:p>
    <w:p>
      <w:pPr>
        <w:pStyle w:val="Paragraph"/>
        <w:numPr>
          <w:ilvl w:val="1"/>
          <w:numId w:val="2"/>
        </w:numPr>
        <w:rPr>
          <w:rFonts w:ascii="Arial" w:hAnsi="Arial" w:cs="Arial"/>
          <w:lang w:val="es-ES_tradnl"/>
        </w:rPr>
      </w:pPr>
      <w:r>
        <w:rPr>
          <w:rFonts w:ascii="Arial" w:hAnsi="Arial" w:cs="Arial"/>
          <w:b/>
          <w:sz w:val="22"/>
          <w:szCs w:val="22"/>
          <w:lang w:val="es-ES_tradnl"/>
        </w:rPr>
        <w:t>Objetivo del Programa</w:t>
      </w:r>
      <w:r>
        <w:rPr>
          <w:rFonts w:ascii="Arial" w:hAnsi="Arial" w:cs="Arial"/>
          <w:sz w:val="22"/>
          <w:szCs w:val="22"/>
          <w:lang w:val="es-ES_tradnl"/>
        </w:rPr>
        <w:t xml:space="preserve">. El objetivo del Proyecto es fortalecer la gestión de la inversión y contrataciones pública para contribuir con la reducción de las brechas de inversión en sectores clave de la economía y por áreas geográficas del país. Los objetivos específicos son: (i) mejoramiento de la gestión de la inversión pública para la efectiva prestación de servicios y la provisión de la infraestructura prioritaria; y (ii) mejoramiento de la capacidad para generar conocimiento y mejora continua en la gestión de la contratación pública, dentro del ciclo de la inversión pública. </w:t>
      </w:r>
      <w:r>
        <w:rPr>
          <w:rFonts w:ascii="Arial" w:hAnsi="Arial" w:cs="Arial"/>
          <w:lang w:val="es-ES_tradnl"/>
        </w:rPr>
        <w:t xml:space="preserve">Esto se logrará con: (i) la revisión de las normas y directivas y el incremento en la coordinación en todas las fases de la inversión pública, incluyendo la contratación pública; (ii) la ampliación de la transparencia en el ciclo de </w:t>
      </w:r>
      <w:r>
        <w:rPr>
          <w:rFonts w:ascii="Arial" w:hAnsi="Arial" w:cs="Arial"/>
          <w:lang w:val="es-ES_tradnl"/>
        </w:rPr>
        <w:lastRenderedPageBreak/>
        <w:t>inversión y su vínculo con las contrataciones públicas, y una mayor integración e interoperabilidad de la información para la toma de decisiones en la gestión de la inversión y las contrataciones públicas; y (iii) una mayor capacidad del capital humano encargado de su gestión.</w:t>
      </w:r>
    </w:p>
    <w:p>
      <w:pPr>
        <w:pStyle w:val="Paragraph"/>
        <w:numPr>
          <w:ilvl w:val="1"/>
          <w:numId w:val="2"/>
        </w:numPr>
        <w:tabs>
          <w:tab w:val="clear" w:pos="1296"/>
          <w:tab w:val="num" w:pos="720"/>
        </w:tabs>
        <w:ind w:left="720" w:hanging="720"/>
        <w:outlineLvl w:val="9"/>
        <w:rPr>
          <w:rFonts w:ascii="Arial" w:eastAsiaTheme="minorHAnsi" w:hAnsi="Arial" w:cs="Arial"/>
          <w:sz w:val="22"/>
          <w:szCs w:val="22"/>
          <w:lang w:val="es-ES_tradnl"/>
        </w:rPr>
      </w:pPr>
      <w:r>
        <w:rPr>
          <w:rFonts w:ascii="Arial" w:hAnsi="Arial" w:cs="Arial"/>
          <w:b/>
          <w:sz w:val="22"/>
          <w:szCs w:val="22"/>
          <w:lang w:val="es-ES_tradnl"/>
        </w:rPr>
        <w:t>Componente I. Mejora de la capacidad del marco institucional (US$14,4 millones).</w:t>
      </w:r>
      <w:r>
        <w:rPr>
          <w:rFonts w:ascii="Arial" w:hAnsi="Arial" w:cs="Arial"/>
          <w:sz w:val="22"/>
          <w:szCs w:val="22"/>
          <w:lang w:val="es-ES_tradnl"/>
        </w:rPr>
        <w:t xml:space="preserve"> </w:t>
      </w:r>
      <w:bookmarkStart w:id="5" w:name="_Hlk490760972"/>
      <w:r>
        <w:rPr>
          <w:rFonts w:ascii="Arial" w:eastAsia="Arial" w:hAnsi="Arial" w:cs="Arial"/>
          <w:sz w:val="22"/>
          <w:szCs w:val="22"/>
          <w:lang w:val="es-ES_tradnl"/>
        </w:rPr>
        <w:t>Este componente desarrollará actividades enfocadas a revisar la arquitectura institucional de la inversión pública, con la implantación del nuevo Sistema Nacional de Programación Multianual y Gestión de Inversiones y su articulación con el proceso de contrataciones públicas, en particular incrementando la capacidad de articular entes regionales/sectoriales, y de formular y evaluar con calidad de manera ex-ante y ex-post proyectos priorizados por el enfoque de brechas</w:t>
      </w:r>
      <w:bookmarkEnd w:id="5"/>
      <w:r>
        <w:rPr>
          <w:rFonts w:ascii="Arial" w:eastAsia="Arial" w:hAnsi="Arial" w:cs="Arial"/>
          <w:sz w:val="22"/>
          <w:szCs w:val="22"/>
          <w:lang w:val="es-ES_tradnl"/>
        </w:rPr>
        <w:t>. Incluye las siguientes líneas de acción:</w:t>
      </w:r>
    </w:p>
    <w:p>
      <w:pPr>
        <w:pStyle w:val="Paragraph"/>
        <w:numPr>
          <w:ilvl w:val="2"/>
          <w:numId w:val="2"/>
        </w:numPr>
        <w:tabs>
          <w:tab w:val="clear" w:pos="2304"/>
        </w:tabs>
        <w:ind w:left="1080" w:hanging="360"/>
        <w:outlineLvl w:val="9"/>
        <w:rPr>
          <w:rFonts w:ascii="Arial" w:eastAsiaTheme="minorHAnsi" w:hAnsi="Arial" w:cs="Arial"/>
          <w:sz w:val="22"/>
          <w:szCs w:val="22"/>
          <w:lang w:val="es-ES_tradnl"/>
        </w:rPr>
      </w:pPr>
      <w:r>
        <w:rPr>
          <w:rFonts w:ascii="Arial" w:eastAsiaTheme="minorHAnsi" w:hAnsi="Arial" w:cs="Arial"/>
          <w:sz w:val="22"/>
          <w:szCs w:val="22"/>
          <w:lang w:val="es-ES_tradnl"/>
        </w:rPr>
        <w:t>Mejoramiento del marco organizacional.</w:t>
      </w:r>
    </w:p>
    <w:p>
      <w:pPr>
        <w:pStyle w:val="Paragraph"/>
        <w:numPr>
          <w:ilvl w:val="2"/>
          <w:numId w:val="2"/>
        </w:numPr>
        <w:tabs>
          <w:tab w:val="clear" w:pos="2304"/>
        </w:tabs>
        <w:ind w:left="1080" w:hanging="360"/>
        <w:outlineLvl w:val="9"/>
        <w:rPr>
          <w:rFonts w:ascii="Arial" w:eastAsiaTheme="minorHAnsi" w:hAnsi="Arial" w:cs="Arial"/>
          <w:sz w:val="22"/>
          <w:szCs w:val="22"/>
          <w:lang w:val="es-ES_tradnl"/>
        </w:rPr>
      </w:pPr>
      <w:r>
        <w:rPr>
          <w:rFonts w:ascii="Arial" w:eastAsiaTheme="minorHAnsi" w:hAnsi="Arial" w:cs="Arial"/>
          <w:sz w:val="22"/>
          <w:szCs w:val="22"/>
          <w:lang w:val="es-ES_tradnl"/>
        </w:rPr>
        <w:t>Desarrollo de metodologías para el ciclo de proyectos.</w:t>
      </w:r>
    </w:p>
    <w:p>
      <w:pPr>
        <w:pStyle w:val="Paragraph"/>
        <w:numPr>
          <w:ilvl w:val="2"/>
          <w:numId w:val="2"/>
        </w:numPr>
        <w:tabs>
          <w:tab w:val="clear" w:pos="2304"/>
        </w:tabs>
        <w:ind w:left="1080" w:hanging="360"/>
        <w:outlineLvl w:val="9"/>
        <w:rPr>
          <w:rFonts w:ascii="Arial" w:eastAsiaTheme="minorHAnsi" w:hAnsi="Arial" w:cs="Arial"/>
          <w:sz w:val="22"/>
          <w:szCs w:val="22"/>
          <w:lang w:val="es-ES_tradnl"/>
        </w:rPr>
      </w:pPr>
      <w:r>
        <w:rPr>
          <w:rFonts w:ascii="Arial" w:eastAsiaTheme="minorHAnsi" w:hAnsi="Arial" w:cs="Arial"/>
          <w:sz w:val="22"/>
          <w:szCs w:val="22"/>
          <w:lang w:val="es-ES_tradnl"/>
        </w:rPr>
        <w:t>Desarrollo de instrumentos de apoyo.</w:t>
      </w:r>
    </w:p>
    <w:p>
      <w:pPr>
        <w:pStyle w:val="Paragraph"/>
        <w:numPr>
          <w:ilvl w:val="2"/>
          <w:numId w:val="2"/>
        </w:numPr>
        <w:tabs>
          <w:tab w:val="clear" w:pos="2304"/>
        </w:tabs>
        <w:ind w:left="1080" w:hanging="360"/>
        <w:outlineLvl w:val="9"/>
        <w:rPr>
          <w:rFonts w:ascii="Arial" w:eastAsiaTheme="minorHAnsi" w:hAnsi="Arial" w:cs="Arial"/>
          <w:sz w:val="22"/>
          <w:szCs w:val="22"/>
          <w:lang w:val="es-ES_tradnl"/>
        </w:rPr>
      </w:pPr>
      <w:r>
        <w:rPr>
          <w:rFonts w:ascii="Arial" w:eastAsiaTheme="minorHAnsi" w:hAnsi="Arial" w:cs="Arial"/>
          <w:sz w:val="22"/>
          <w:szCs w:val="22"/>
          <w:lang w:val="es-ES_tradnl"/>
        </w:rPr>
        <w:t xml:space="preserve">Instrumentos de mejora de la eficiencia en </w:t>
      </w:r>
      <w:r>
        <w:rPr>
          <w:rFonts w:ascii="Arial" w:eastAsiaTheme="minorHAnsi" w:hAnsi="Arial" w:cs="Arial"/>
          <w:bCs/>
          <w:sz w:val="22"/>
          <w:szCs w:val="22"/>
          <w:lang w:val="es-ES_tradnl"/>
        </w:rPr>
        <w:t xml:space="preserve">la ejecución de las inversiones y las </w:t>
      </w:r>
      <w:r>
        <w:rPr>
          <w:rFonts w:ascii="Arial" w:eastAsiaTheme="minorHAnsi" w:hAnsi="Arial" w:cs="Arial"/>
          <w:sz w:val="22"/>
          <w:szCs w:val="22"/>
          <w:lang w:val="es-ES_tradnl"/>
        </w:rPr>
        <w:t>contrataciones públicas.</w:t>
      </w:r>
    </w:p>
    <w:p>
      <w:pPr>
        <w:pStyle w:val="Paragraph"/>
        <w:numPr>
          <w:ilvl w:val="1"/>
          <w:numId w:val="2"/>
        </w:numPr>
        <w:tabs>
          <w:tab w:val="clear" w:pos="1296"/>
          <w:tab w:val="num" w:pos="720"/>
        </w:tabs>
        <w:ind w:left="720" w:hanging="720"/>
        <w:outlineLvl w:val="9"/>
        <w:rPr>
          <w:rFonts w:ascii="Arial" w:eastAsiaTheme="minorHAnsi" w:hAnsi="Arial" w:cs="Arial"/>
          <w:sz w:val="22"/>
          <w:szCs w:val="22"/>
          <w:lang w:val="es-ES_tradnl"/>
        </w:rPr>
      </w:pPr>
      <w:r>
        <w:rPr>
          <w:rFonts w:ascii="Arial" w:hAnsi="Arial" w:cs="Arial"/>
          <w:b/>
          <w:sz w:val="22"/>
          <w:szCs w:val="22"/>
          <w:lang w:val="es-ES_tradnl"/>
        </w:rPr>
        <w:t>Componente</w:t>
      </w:r>
      <w:r>
        <w:rPr>
          <w:rFonts w:ascii="Arial" w:eastAsia="Arial" w:hAnsi="Arial" w:cs="Arial"/>
          <w:b/>
          <w:sz w:val="22"/>
          <w:szCs w:val="22"/>
          <w:lang w:val="es-ES_tradnl"/>
        </w:rPr>
        <w:t xml:space="preserve"> II. </w:t>
      </w:r>
      <w:bookmarkStart w:id="6" w:name="_Hlk490761016"/>
      <w:r>
        <w:rPr>
          <w:rFonts w:ascii="Arial" w:eastAsia="Arial" w:hAnsi="Arial" w:cs="Arial"/>
          <w:b/>
          <w:sz w:val="22"/>
          <w:szCs w:val="22"/>
          <w:lang w:val="es-ES_tradnl"/>
        </w:rPr>
        <w:t>Desarrollo e implementación de un sistema informático de gestión de la inversión pública</w:t>
      </w:r>
      <w:bookmarkEnd w:id="6"/>
      <w:r>
        <w:rPr>
          <w:rFonts w:ascii="Arial" w:eastAsia="Arial" w:hAnsi="Arial" w:cs="Arial"/>
          <w:b/>
          <w:sz w:val="22"/>
          <w:szCs w:val="22"/>
          <w:lang w:val="es-ES_tradnl"/>
        </w:rPr>
        <w:t xml:space="preserve"> interoperable con otros sistemas de gestión de las finanzas públicas (US$33,8 millones). </w:t>
      </w:r>
      <w:bookmarkStart w:id="7" w:name="_Hlk490761035"/>
      <w:r>
        <w:rPr>
          <w:rFonts w:ascii="Arial" w:eastAsia="Arial" w:hAnsi="Arial" w:cs="Arial"/>
          <w:sz w:val="22"/>
          <w:szCs w:val="22"/>
          <w:lang w:val="es-ES_tradnl"/>
        </w:rPr>
        <w:t>Este componente busca mejorar el seguimiento, evaluación, y rendición de cuentas en la gestión de la inversión pública a partir de un sistema integral de información que cubra sus diferentes fases y que incorpore de forma coherente: (i) la programación, formulación y evaluación ex-ante; (ii) la ejecución; (iii) el monitoreo y seguimiento; (iv) el funcionamiento del sistema; (v) análisis ex-post; y (vi) la transparencia</w:t>
      </w:r>
      <w:bookmarkEnd w:id="7"/>
      <w:r>
        <w:rPr>
          <w:rFonts w:ascii="Arial" w:eastAsia="Arial" w:hAnsi="Arial" w:cs="Arial"/>
          <w:sz w:val="22"/>
          <w:szCs w:val="22"/>
          <w:lang w:val="es-ES_tradnl"/>
        </w:rPr>
        <w:t>. Incluye las siguientes líneas de acción:</w:t>
      </w:r>
    </w:p>
    <w:p>
      <w:pPr>
        <w:pStyle w:val="Paragraph"/>
        <w:numPr>
          <w:ilvl w:val="2"/>
          <w:numId w:val="2"/>
        </w:numPr>
        <w:tabs>
          <w:tab w:val="clear" w:pos="2304"/>
        </w:tabs>
        <w:ind w:left="1080" w:hanging="360"/>
        <w:outlineLvl w:val="9"/>
        <w:rPr>
          <w:rFonts w:ascii="Arial" w:eastAsiaTheme="minorHAnsi" w:hAnsi="Arial" w:cs="Arial"/>
          <w:sz w:val="22"/>
          <w:szCs w:val="22"/>
          <w:lang w:val="es-ES_tradnl"/>
        </w:rPr>
      </w:pPr>
      <w:r>
        <w:rPr>
          <w:rFonts w:ascii="Arial" w:eastAsiaTheme="minorHAnsi" w:hAnsi="Arial" w:cs="Arial"/>
          <w:sz w:val="22"/>
          <w:szCs w:val="22"/>
          <w:lang w:val="es-ES_tradnl"/>
        </w:rPr>
        <w:t>Adaptación e implementación del Banco de Inversiones y su base de datos.</w:t>
      </w:r>
    </w:p>
    <w:p>
      <w:pPr>
        <w:pStyle w:val="Paragraph"/>
        <w:numPr>
          <w:ilvl w:val="2"/>
          <w:numId w:val="2"/>
        </w:numPr>
        <w:tabs>
          <w:tab w:val="clear" w:pos="2304"/>
        </w:tabs>
        <w:ind w:left="1080" w:hanging="360"/>
        <w:outlineLvl w:val="9"/>
        <w:rPr>
          <w:rFonts w:ascii="Arial" w:eastAsiaTheme="minorHAnsi" w:hAnsi="Arial" w:cs="Arial"/>
          <w:sz w:val="22"/>
          <w:szCs w:val="22"/>
          <w:lang w:val="es-ES_tradnl"/>
        </w:rPr>
      </w:pPr>
      <w:r>
        <w:rPr>
          <w:rFonts w:ascii="Arial" w:eastAsiaTheme="minorHAnsi" w:hAnsi="Arial" w:cs="Arial"/>
          <w:sz w:val="22"/>
          <w:szCs w:val="22"/>
          <w:lang w:val="es-ES_tradnl"/>
        </w:rPr>
        <w:t>Implementación del sistema de información integrado para la gestión de todo el ciclo de inversión pública.</w:t>
      </w:r>
    </w:p>
    <w:p>
      <w:pPr>
        <w:pStyle w:val="Paragraph"/>
        <w:numPr>
          <w:ilvl w:val="2"/>
          <w:numId w:val="2"/>
        </w:numPr>
        <w:tabs>
          <w:tab w:val="clear" w:pos="2304"/>
        </w:tabs>
        <w:ind w:left="1080" w:hanging="360"/>
        <w:outlineLvl w:val="9"/>
        <w:rPr>
          <w:rFonts w:ascii="Arial" w:eastAsiaTheme="minorHAnsi" w:hAnsi="Arial" w:cs="Arial"/>
          <w:sz w:val="22"/>
          <w:szCs w:val="22"/>
          <w:lang w:val="es-ES_tradnl"/>
        </w:rPr>
      </w:pPr>
      <w:r>
        <w:rPr>
          <w:rFonts w:ascii="Arial" w:eastAsiaTheme="minorHAnsi" w:hAnsi="Arial" w:cs="Arial"/>
          <w:sz w:val="22"/>
          <w:szCs w:val="22"/>
          <w:lang w:val="es-ES_tradnl"/>
        </w:rPr>
        <w:t>Desarrollo de interfaces con otros sistemas de gestión gubernamental.</w:t>
      </w:r>
    </w:p>
    <w:p>
      <w:pPr>
        <w:pStyle w:val="Paragraph"/>
        <w:numPr>
          <w:ilvl w:val="2"/>
          <w:numId w:val="2"/>
        </w:numPr>
        <w:tabs>
          <w:tab w:val="clear" w:pos="2304"/>
        </w:tabs>
        <w:ind w:left="1080" w:hanging="360"/>
        <w:outlineLvl w:val="9"/>
        <w:rPr>
          <w:rFonts w:ascii="Arial" w:eastAsiaTheme="minorHAnsi" w:hAnsi="Arial" w:cs="Arial"/>
          <w:sz w:val="22"/>
          <w:szCs w:val="22"/>
          <w:lang w:val="es-ES_tradnl"/>
        </w:rPr>
      </w:pPr>
      <w:r>
        <w:rPr>
          <w:rFonts w:ascii="Arial" w:eastAsiaTheme="minorHAnsi" w:hAnsi="Arial" w:cs="Arial"/>
          <w:sz w:val="22"/>
          <w:szCs w:val="22"/>
          <w:lang w:val="es-ES_tradnl"/>
        </w:rPr>
        <w:t>Desarrollo e implementación de una aplicación informática que permita la automatización de los instrumentos de apoyo a la gestión de las inversiones públicas.</w:t>
      </w:r>
    </w:p>
    <w:p>
      <w:pPr>
        <w:pStyle w:val="Paragraph"/>
        <w:numPr>
          <w:ilvl w:val="2"/>
          <w:numId w:val="2"/>
        </w:numPr>
        <w:tabs>
          <w:tab w:val="clear" w:pos="2304"/>
        </w:tabs>
        <w:ind w:left="1080" w:hanging="360"/>
        <w:outlineLvl w:val="9"/>
        <w:rPr>
          <w:rFonts w:ascii="Arial" w:eastAsiaTheme="minorHAnsi" w:hAnsi="Arial" w:cs="Arial"/>
          <w:sz w:val="22"/>
          <w:szCs w:val="22"/>
          <w:lang w:val="es-ES_tradnl"/>
        </w:rPr>
      </w:pPr>
      <w:r>
        <w:rPr>
          <w:rFonts w:ascii="Arial" w:eastAsiaTheme="minorHAnsi" w:hAnsi="Arial" w:cs="Arial"/>
          <w:sz w:val="22"/>
          <w:szCs w:val="22"/>
          <w:lang w:val="es-ES_tradnl"/>
        </w:rPr>
        <w:t>Implementación de un sistema informático off-the-shelf para la gestión del inventario de activos públicos.</w:t>
      </w:r>
    </w:p>
    <w:p>
      <w:pPr>
        <w:pStyle w:val="Paragraph"/>
        <w:numPr>
          <w:ilvl w:val="2"/>
          <w:numId w:val="2"/>
        </w:numPr>
        <w:tabs>
          <w:tab w:val="clear" w:pos="2304"/>
        </w:tabs>
        <w:ind w:left="1080" w:hanging="360"/>
        <w:outlineLvl w:val="9"/>
        <w:rPr>
          <w:rFonts w:ascii="Arial" w:eastAsiaTheme="minorHAnsi" w:hAnsi="Arial" w:cs="Arial"/>
          <w:sz w:val="22"/>
          <w:szCs w:val="22"/>
          <w:lang w:val="es-ES_tradnl"/>
        </w:rPr>
      </w:pPr>
      <w:r>
        <w:rPr>
          <w:rFonts w:ascii="Arial" w:eastAsiaTheme="minorHAnsi" w:hAnsi="Arial" w:cs="Arial"/>
          <w:sz w:val="22"/>
          <w:szCs w:val="22"/>
          <w:lang w:val="es-ES_tradnl"/>
        </w:rPr>
        <w:t>Implementación de un laboratorio de innovación en la gestión de la inversión pública.</w:t>
      </w:r>
    </w:p>
    <w:p>
      <w:pPr>
        <w:pStyle w:val="Paragraph"/>
        <w:numPr>
          <w:ilvl w:val="2"/>
          <w:numId w:val="2"/>
        </w:numPr>
        <w:tabs>
          <w:tab w:val="clear" w:pos="2304"/>
        </w:tabs>
        <w:ind w:left="1080" w:hanging="360"/>
        <w:outlineLvl w:val="9"/>
        <w:rPr>
          <w:rFonts w:ascii="Arial" w:eastAsiaTheme="minorHAnsi" w:hAnsi="Arial" w:cs="Arial"/>
          <w:sz w:val="22"/>
          <w:szCs w:val="22"/>
          <w:lang w:val="es-ES_tradnl"/>
        </w:rPr>
      </w:pPr>
      <w:r>
        <w:rPr>
          <w:rFonts w:ascii="Arial" w:eastAsiaTheme="minorHAnsi" w:hAnsi="Arial" w:cs="Arial"/>
          <w:sz w:val="22"/>
          <w:szCs w:val="22"/>
          <w:lang w:val="es-ES_tradnl"/>
        </w:rPr>
        <w:t>Adecuación de la plataforma tecnológica para el funcionamiento de los sistemas informáticos y aplicativos de apoyo a Invierte.pe.</w:t>
      </w:r>
    </w:p>
    <w:p>
      <w:pPr>
        <w:pStyle w:val="Paragraph"/>
        <w:numPr>
          <w:ilvl w:val="2"/>
          <w:numId w:val="2"/>
        </w:numPr>
        <w:tabs>
          <w:tab w:val="clear" w:pos="2304"/>
        </w:tabs>
        <w:ind w:left="1080" w:hanging="360"/>
        <w:outlineLvl w:val="9"/>
        <w:rPr>
          <w:rFonts w:ascii="Arial" w:eastAsiaTheme="minorHAnsi" w:hAnsi="Arial" w:cs="Arial"/>
          <w:sz w:val="22"/>
          <w:szCs w:val="22"/>
          <w:lang w:val="es-ES_tradnl"/>
        </w:rPr>
      </w:pPr>
      <w:r>
        <w:rPr>
          <w:rFonts w:ascii="Arial" w:eastAsiaTheme="minorHAnsi" w:hAnsi="Arial" w:cs="Arial"/>
          <w:sz w:val="22"/>
          <w:szCs w:val="22"/>
          <w:lang w:val="es-ES_tradnl"/>
        </w:rPr>
        <w:t>Implementación de una mesa de ayuda inteligente y multicanal para el soporte a los usuarios del sistema.</w:t>
      </w:r>
    </w:p>
    <w:p>
      <w:pPr>
        <w:pStyle w:val="Paragraph"/>
        <w:numPr>
          <w:ilvl w:val="2"/>
          <w:numId w:val="2"/>
        </w:numPr>
        <w:tabs>
          <w:tab w:val="clear" w:pos="2304"/>
        </w:tabs>
        <w:ind w:left="1080" w:hanging="360"/>
        <w:outlineLvl w:val="9"/>
        <w:rPr>
          <w:rFonts w:ascii="Arial" w:eastAsiaTheme="minorHAnsi" w:hAnsi="Arial" w:cs="Arial"/>
          <w:sz w:val="22"/>
          <w:szCs w:val="22"/>
          <w:lang w:val="es-ES_tradnl"/>
        </w:rPr>
      </w:pPr>
      <w:r>
        <w:rPr>
          <w:rFonts w:ascii="Arial" w:eastAsiaTheme="minorHAnsi" w:hAnsi="Arial" w:cs="Arial"/>
          <w:sz w:val="22"/>
          <w:szCs w:val="22"/>
          <w:lang w:val="es-ES_tradnl"/>
        </w:rPr>
        <w:t>Mejora de la gestión y la transparencia de las contrataciones electrónicas.</w:t>
      </w:r>
    </w:p>
    <w:p>
      <w:pPr>
        <w:pStyle w:val="Paragraph"/>
        <w:numPr>
          <w:ilvl w:val="1"/>
          <w:numId w:val="2"/>
        </w:numPr>
        <w:tabs>
          <w:tab w:val="clear" w:pos="1296"/>
          <w:tab w:val="num" w:pos="720"/>
        </w:tabs>
        <w:ind w:left="720" w:hanging="720"/>
        <w:outlineLvl w:val="9"/>
        <w:rPr>
          <w:rFonts w:ascii="Arial" w:eastAsiaTheme="minorHAnsi" w:hAnsi="Arial" w:cs="Arial"/>
          <w:sz w:val="22"/>
          <w:szCs w:val="22"/>
          <w:lang w:val="es-ES_tradnl"/>
        </w:rPr>
      </w:pPr>
      <w:r>
        <w:rPr>
          <w:rFonts w:ascii="Arial" w:hAnsi="Arial" w:cs="Arial"/>
          <w:b/>
          <w:sz w:val="22"/>
          <w:szCs w:val="22"/>
          <w:lang w:val="es-ES_tradnl"/>
        </w:rPr>
        <w:t>Componente</w:t>
      </w:r>
      <w:r>
        <w:rPr>
          <w:rFonts w:ascii="Arial" w:eastAsia="Arial" w:hAnsi="Arial" w:cs="Arial"/>
          <w:b/>
          <w:sz w:val="22"/>
          <w:szCs w:val="22"/>
          <w:lang w:val="es-ES_tradnl"/>
        </w:rPr>
        <w:t xml:space="preserve"> III. Mejora de la capacidad del capital humano (US$15,3 millones).</w:t>
      </w:r>
      <w:r>
        <w:rPr>
          <w:rFonts w:ascii="Arial" w:eastAsia="Arial" w:hAnsi="Arial" w:cs="Arial"/>
          <w:sz w:val="22"/>
          <w:szCs w:val="22"/>
          <w:lang w:val="es-ES_tradnl"/>
        </w:rPr>
        <w:t xml:space="preserve"> Este componente busca la mejora de la calidad del capital humano encargado de la gestión de la inversión pública. Incluye las siguientes líneas de acción:</w:t>
      </w:r>
    </w:p>
    <w:p>
      <w:pPr>
        <w:pStyle w:val="Paragraph"/>
        <w:numPr>
          <w:ilvl w:val="2"/>
          <w:numId w:val="2"/>
        </w:numPr>
        <w:tabs>
          <w:tab w:val="clear" w:pos="2304"/>
        </w:tabs>
        <w:ind w:left="1080" w:hanging="360"/>
        <w:outlineLvl w:val="9"/>
        <w:rPr>
          <w:rFonts w:ascii="Arial" w:eastAsiaTheme="minorHAnsi" w:hAnsi="Arial" w:cs="Arial"/>
          <w:sz w:val="22"/>
          <w:szCs w:val="22"/>
          <w:lang w:val="es-ES_tradnl"/>
        </w:rPr>
      </w:pPr>
      <w:r>
        <w:rPr>
          <w:rFonts w:ascii="Arial" w:eastAsiaTheme="minorHAnsi" w:hAnsi="Arial" w:cs="Arial"/>
          <w:sz w:val="22"/>
          <w:szCs w:val="22"/>
          <w:lang w:val="es-ES_tradnl"/>
        </w:rPr>
        <w:t>Desarrollo e implementación de una estrategia global de la gestión del capital humano involucrado en la gestión de los proyectos a lo largo del ciclo de inversión.</w:t>
      </w:r>
    </w:p>
    <w:p>
      <w:pPr>
        <w:pStyle w:val="Paragraph"/>
        <w:numPr>
          <w:ilvl w:val="2"/>
          <w:numId w:val="2"/>
        </w:numPr>
        <w:tabs>
          <w:tab w:val="clear" w:pos="2304"/>
        </w:tabs>
        <w:ind w:left="1080" w:hanging="360"/>
        <w:outlineLvl w:val="9"/>
        <w:rPr>
          <w:rFonts w:ascii="Arial" w:eastAsiaTheme="minorHAnsi" w:hAnsi="Arial" w:cs="Arial"/>
          <w:sz w:val="22"/>
          <w:szCs w:val="22"/>
          <w:lang w:val="es-ES_tradnl"/>
        </w:rPr>
      </w:pPr>
      <w:r>
        <w:rPr>
          <w:rFonts w:ascii="Arial" w:eastAsiaTheme="minorHAnsi" w:hAnsi="Arial" w:cs="Arial"/>
          <w:sz w:val="22"/>
          <w:szCs w:val="22"/>
          <w:lang w:val="es-ES_tradnl"/>
        </w:rPr>
        <w:t>Desarrollo e implementación de un programa de capacitación integral y sostenible para la inversión en capital humano.</w:t>
      </w:r>
    </w:p>
    <w:p>
      <w:pPr>
        <w:pStyle w:val="Paragraph"/>
        <w:numPr>
          <w:ilvl w:val="2"/>
          <w:numId w:val="2"/>
        </w:numPr>
        <w:tabs>
          <w:tab w:val="clear" w:pos="2304"/>
        </w:tabs>
        <w:ind w:left="1080" w:hanging="360"/>
        <w:outlineLvl w:val="9"/>
        <w:rPr>
          <w:rFonts w:ascii="Arial" w:eastAsiaTheme="minorHAnsi" w:hAnsi="Arial" w:cs="Arial"/>
          <w:sz w:val="22"/>
          <w:szCs w:val="22"/>
          <w:lang w:val="es-ES_tradnl"/>
        </w:rPr>
      </w:pPr>
      <w:r>
        <w:rPr>
          <w:rFonts w:ascii="Arial" w:eastAsiaTheme="minorHAnsi" w:hAnsi="Arial" w:cs="Arial"/>
          <w:sz w:val="22"/>
          <w:szCs w:val="22"/>
          <w:lang w:val="es-ES_tradnl"/>
        </w:rPr>
        <w:t>Desarrollo e implementación de un programa de gestión del cambio para todo el ciclo de inversión.</w:t>
      </w:r>
    </w:p>
    <w:p>
      <w:pPr>
        <w:pStyle w:val="Paragraph"/>
        <w:numPr>
          <w:ilvl w:val="2"/>
          <w:numId w:val="2"/>
        </w:numPr>
        <w:tabs>
          <w:tab w:val="clear" w:pos="2304"/>
        </w:tabs>
        <w:ind w:left="1080" w:hanging="360"/>
        <w:outlineLvl w:val="9"/>
        <w:rPr>
          <w:rFonts w:ascii="Arial" w:eastAsiaTheme="minorHAnsi" w:hAnsi="Arial" w:cs="Arial"/>
          <w:sz w:val="22"/>
          <w:szCs w:val="22"/>
          <w:lang w:val="es-ES_tradnl"/>
        </w:rPr>
      </w:pPr>
      <w:r>
        <w:rPr>
          <w:rFonts w:ascii="Arial" w:eastAsiaTheme="minorHAnsi" w:hAnsi="Arial" w:cs="Arial"/>
          <w:sz w:val="22"/>
          <w:szCs w:val="22"/>
          <w:lang w:val="es-ES_tradnl"/>
        </w:rPr>
        <w:lastRenderedPageBreak/>
        <w:t>Desarrollo e implementación de una estrategia de acompañamiento in situ que integre al capital humano capacitado con la puesta en marcha de los primeros módulos del sistema digital de gestión de Invierte.pe.</w:t>
      </w:r>
    </w:p>
    <w:p>
      <w:pPr>
        <w:pStyle w:val="Paragraph"/>
        <w:numPr>
          <w:ilvl w:val="2"/>
          <w:numId w:val="2"/>
        </w:numPr>
        <w:tabs>
          <w:tab w:val="clear" w:pos="2304"/>
        </w:tabs>
        <w:ind w:left="1080" w:hanging="360"/>
        <w:outlineLvl w:val="9"/>
        <w:rPr>
          <w:rFonts w:ascii="Arial" w:eastAsiaTheme="minorHAnsi" w:hAnsi="Arial" w:cs="Arial"/>
          <w:sz w:val="22"/>
          <w:szCs w:val="22"/>
          <w:lang w:val="es-ES_tradnl"/>
        </w:rPr>
      </w:pPr>
      <w:r>
        <w:rPr>
          <w:rFonts w:ascii="Arial" w:eastAsiaTheme="minorHAnsi" w:hAnsi="Arial" w:cs="Arial"/>
          <w:sz w:val="22"/>
          <w:szCs w:val="22"/>
          <w:lang w:val="es-ES_tradnl"/>
        </w:rPr>
        <w:t>Desarrollo e implementación de una estrategia de fortalecimiento y certificación de capacidades de profesionales en contrataciones públicas.</w:t>
      </w:r>
    </w:p>
    <w:p>
      <w:pPr>
        <w:pStyle w:val="Chapter"/>
        <w:numPr>
          <w:ilvl w:val="0"/>
          <w:numId w:val="2"/>
        </w:numPr>
        <w:ind w:left="900" w:hanging="792"/>
        <w:jc w:val="left"/>
        <w:outlineLvl w:val="0"/>
        <w:rPr>
          <w:rFonts w:ascii="Arial" w:hAnsi="Arial" w:cs="Arial"/>
          <w:sz w:val="22"/>
          <w:szCs w:val="22"/>
          <w:lang w:val="es-ES_tradnl"/>
        </w:rPr>
      </w:pPr>
      <w:bookmarkStart w:id="8" w:name="_Toc490641731"/>
      <w:r>
        <w:rPr>
          <w:rFonts w:ascii="Arial" w:hAnsi="Arial" w:cs="Arial"/>
          <w:sz w:val="22"/>
          <w:szCs w:val="22"/>
          <w:lang w:val="es-ES_tradnl"/>
        </w:rPr>
        <w:t>Calculo del beneficio generado con una ejecución de proyectos más eficiente.</w:t>
      </w:r>
      <w:bookmarkEnd w:id="8"/>
      <w:r>
        <w:rPr>
          <w:rFonts w:ascii="Arial" w:hAnsi="Arial" w:cs="Arial"/>
          <w:sz w:val="22"/>
          <w:szCs w:val="22"/>
          <w:lang w:val="es-ES_tradnl"/>
        </w:rPr>
        <w:t xml:space="preserve"> </w:t>
      </w:r>
    </w:p>
    <w:p>
      <w:pPr>
        <w:pStyle w:val="Paragraph"/>
        <w:numPr>
          <w:ilvl w:val="1"/>
          <w:numId w:val="13"/>
        </w:numPr>
        <w:tabs>
          <w:tab w:val="left" w:pos="720"/>
          <w:tab w:val="num" w:pos="2160"/>
        </w:tabs>
        <w:suppressAutoHyphens/>
        <w:ind w:left="720" w:hanging="720"/>
        <w:rPr>
          <w:rFonts w:ascii="Arial" w:hAnsi="Arial" w:cs="Arial"/>
          <w:b/>
          <w:sz w:val="22"/>
          <w:szCs w:val="22"/>
          <w:lang w:val="es-ES_tradnl"/>
        </w:rPr>
      </w:pPr>
      <w:r>
        <w:rPr>
          <w:rFonts w:ascii="Arial" w:hAnsi="Arial" w:cs="Arial"/>
          <w:b/>
          <w:sz w:val="22"/>
          <w:szCs w:val="22"/>
          <w:lang w:val="es-ES_tradnl"/>
        </w:rPr>
        <w:t>Evidencia internacional.</w:t>
      </w:r>
      <w:r>
        <w:rPr>
          <w:rFonts w:ascii="Arial" w:hAnsi="Arial" w:cs="Arial"/>
          <w:sz w:val="22"/>
          <w:szCs w:val="22"/>
          <w:lang w:val="es-ES_tradnl"/>
        </w:rPr>
        <w:t xml:space="preserve"> </w:t>
      </w:r>
      <w:r>
        <w:rPr>
          <w:rFonts w:ascii="Arial" w:eastAsia="Arial" w:hAnsi="Arial" w:cs="Arial"/>
          <w:sz w:val="22"/>
          <w:szCs w:val="22"/>
          <w:lang w:val="es-ES_tradnl"/>
        </w:rPr>
        <w:t xml:space="preserve">La literatura </w:t>
      </w:r>
      <w:r>
        <w:rPr>
          <w:rFonts w:ascii="Arial" w:eastAsiaTheme="minorHAnsi" w:hAnsi="Arial" w:cs="Arial"/>
          <w:sz w:val="22"/>
          <w:szCs w:val="22"/>
          <w:lang w:val="es-ES_tradnl"/>
        </w:rPr>
        <w:t>empírica</w:t>
      </w:r>
      <w:r>
        <w:rPr>
          <w:rFonts w:ascii="Arial" w:eastAsia="Arial" w:hAnsi="Arial" w:cs="Arial"/>
          <w:sz w:val="22"/>
          <w:szCs w:val="22"/>
          <w:lang w:val="es-ES_tradnl"/>
        </w:rPr>
        <w:t xml:space="preserve"> muestra que los efectos de la inversión pública sobre el crecimiento económico y el cierre de brechas son </w:t>
      </w:r>
      <w:r>
        <w:rPr>
          <w:rFonts w:ascii="Arial" w:eastAsia="Arial" w:hAnsi="Arial" w:cs="Arial"/>
          <w:iCs/>
          <w:sz w:val="22"/>
          <w:szCs w:val="22"/>
          <w:lang w:val="es-ES_tradnl"/>
        </w:rPr>
        <w:t>heterogéneos</w:t>
      </w:r>
      <w:r>
        <w:rPr>
          <w:rStyle w:val="FootnoteReference"/>
          <w:rFonts w:ascii="Arial" w:eastAsia="Arial" w:hAnsi="Arial" w:cs="Arial"/>
          <w:iCs/>
          <w:sz w:val="22"/>
          <w:szCs w:val="22"/>
          <w:lang w:val="es-ES_tradnl"/>
        </w:rPr>
        <w:footnoteReference w:id="19"/>
      </w:r>
      <w:r>
        <w:rPr>
          <w:rFonts w:ascii="Arial" w:eastAsia="Arial" w:hAnsi="Arial" w:cs="Arial"/>
          <w:iCs/>
          <w:sz w:val="22"/>
          <w:szCs w:val="22"/>
          <w:lang w:val="es-ES_tradnl"/>
        </w:rPr>
        <w:t>.</w:t>
      </w:r>
      <w:r>
        <w:rPr>
          <w:rFonts w:ascii="Arial" w:eastAsia="Arial" w:hAnsi="Arial" w:cs="Arial"/>
          <w:sz w:val="22"/>
          <w:szCs w:val="22"/>
          <w:lang w:val="es-ES_tradnl"/>
        </w:rPr>
        <w:t xml:space="preserve"> En particular, el retorno económico y social de la inversión pública depende en parte del grado de </w:t>
      </w:r>
      <w:r>
        <w:rPr>
          <w:rFonts w:ascii="Arial" w:eastAsia="Arial" w:hAnsi="Arial" w:cs="Arial"/>
          <w:i/>
          <w:iCs/>
          <w:sz w:val="22"/>
          <w:szCs w:val="22"/>
          <w:lang w:val="es-ES_tradnl"/>
        </w:rPr>
        <w:t>eficiencia</w:t>
      </w:r>
      <w:r>
        <w:rPr>
          <w:rFonts w:ascii="Arial" w:eastAsia="Arial" w:hAnsi="Arial" w:cs="Arial"/>
          <w:iCs/>
          <w:sz w:val="22"/>
          <w:szCs w:val="22"/>
          <w:lang w:val="es-ES_tradnl"/>
        </w:rPr>
        <w:t xml:space="preserve"> con que se la ejecute: un shock de gasto público en inversión de 1 punto del PIB aumenta el producto en solo 0.3% en países con baja eficiencia del gasto, pero el mismo shock genera un aumento de 0.6% en países con mayores niveles de eficiencia del gasto</w:t>
      </w:r>
      <w:r>
        <w:rPr>
          <w:rStyle w:val="FootnoteReference"/>
          <w:rFonts w:ascii="Arial" w:eastAsia="Arial" w:hAnsi="Arial" w:cs="Arial"/>
          <w:iCs/>
          <w:sz w:val="22"/>
          <w:szCs w:val="22"/>
          <w:lang w:val="es-ES_tradnl"/>
        </w:rPr>
        <w:footnoteReference w:id="20"/>
      </w:r>
      <w:r>
        <w:rPr>
          <w:rFonts w:ascii="Arial" w:eastAsia="Arial" w:hAnsi="Arial" w:cs="Arial"/>
          <w:iCs/>
          <w:sz w:val="22"/>
          <w:szCs w:val="22"/>
          <w:lang w:val="es-ES_tradnl"/>
        </w:rPr>
        <w:t>. Los niveles de eficiencia del gasto en inversión son en parte explicados por la fortaleza o calidad de las instituciones que enmarcan el ciclo de proyectos: los países que cuentan con instituciones de gestión de la inversión de mayor calidad tienden a presentar mayores niveles de eficiencia en su gasto de inversión</w:t>
      </w:r>
      <w:r>
        <w:rPr>
          <w:rStyle w:val="FootnoteReference"/>
          <w:rFonts w:ascii="Arial" w:eastAsia="Arial" w:hAnsi="Arial" w:cs="Arial"/>
          <w:iCs/>
          <w:sz w:val="22"/>
          <w:szCs w:val="22"/>
          <w:lang w:val="es-ES_tradnl"/>
        </w:rPr>
        <w:footnoteReference w:id="21"/>
      </w:r>
      <w:r>
        <w:rPr>
          <w:rFonts w:ascii="Arial" w:eastAsia="Arial" w:hAnsi="Arial" w:cs="Arial"/>
          <w:iCs/>
          <w:sz w:val="22"/>
          <w:szCs w:val="22"/>
          <w:lang w:val="es-ES_tradnl"/>
        </w:rPr>
        <w:t>. Por ello, la evidencia destaca la</w:t>
      </w:r>
      <w:r>
        <w:rPr>
          <w:rFonts w:ascii="Arial" w:eastAsia="Arial" w:hAnsi="Arial" w:cs="Arial"/>
          <w:bCs/>
          <w:iCs/>
          <w:sz w:val="22"/>
          <w:szCs w:val="22"/>
          <w:lang w:val="es-ES_tradnl"/>
        </w:rPr>
        <w:t xml:space="preserve"> importancia de fortalecer el marco institucional para mejorar los resultados de la inversión pública en países en desarrollo</w:t>
      </w:r>
      <w:r>
        <w:rPr>
          <w:rStyle w:val="FootnoteReference"/>
          <w:rFonts w:ascii="Arial" w:eastAsia="Arial" w:hAnsi="Arial" w:cs="Arial"/>
          <w:bCs/>
          <w:iCs/>
          <w:sz w:val="22"/>
          <w:szCs w:val="22"/>
          <w:lang w:val="es-ES_tradnl"/>
        </w:rPr>
        <w:footnoteReference w:id="22"/>
      </w:r>
      <w:r>
        <w:rPr>
          <w:rFonts w:ascii="Arial" w:eastAsia="Arial" w:hAnsi="Arial" w:cs="Arial"/>
          <w:bCs/>
          <w:iCs/>
          <w:sz w:val="22"/>
          <w:szCs w:val="22"/>
          <w:lang w:val="es-ES_tradnl"/>
        </w:rPr>
        <w:t>. Dicho fortalecimiento viene de la mano de asegurar un conjunto de medidas, entre las que se destacan: (i) intervenciones orientadas a mejorar los mecanismos de monitoreo de la inversión; y (ii) la implementación de medidas para mejorar la competencia y transparencia en la ejecución de la inversión. Asimismo, diversas evaluaciones experimentales y cuasi experimentales recientes señalan los beneficios de fortalecer los instrumentos de monitoreo y el uso de información para mejorar el desempeño de los proyectos de inversión y/o la prestación de servicios</w:t>
      </w:r>
      <w:r>
        <w:rPr>
          <w:rStyle w:val="FootnoteReference"/>
          <w:rFonts w:ascii="Arial" w:eastAsia="Arial" w:hAnsi="Arial" w:cs="Arial"/>
          <w:bCs/>
          <w:iCs/>
          <w:sz w:val="22"/>
          <w:szCs w:val="22"/>
          <w:lang w:val="es-ES_tradnl"/>
        </w:rPr>
        <w:footnoteReference w:id="23"/>
      </w:r>
      <w:r>
        <w:rPr>
          <w:rFonts w:ascii="Arial" w:eastAsia="Arial" w:hAnsi="Arial" w:cs="Arial"/>
          <w:bCs/>
          <w:iCs/>
          <w:sz w:val="22"/>
          <w:szCs w:val="22"/>
          <w:lang w:val="es-ES_tradnl"/>
        </w:rPr>
        <w:t xml:space="preserve">. A su vez, existe evidencia sobre los impactos de </w:t>
      </w:r>
      <w:r>
        <w:rPr>
          <w:rFonts w:ascii="Arial" w:hAnsi="Arial" w:cs="Arial"/>
          <w:sz w:val="22"/>
          <w:szCs w:val="22"/>
        </w:rPr>
        <w:t>la introducción de sistemas orientados a mejorar la información de precios sobre la eficiencia y calidad de los proyectos de infraestructura en países en desarrollo.</w:t>
      </w:r>
      <w:r>
        <w:rPr>
          <w:rStyle w:val="FootnoteReference"/>
          <w:rFonts w:ascii="Arial" w:hAnsi="Arial" w:cs="Arial"/>
          <w:sz w:val="22"/>
          <w:szCs w:val="22"/>
        </w:rPr>
        <w:footnoteReference w:id="24"/>
      </w:r>
      <w:r>
        <w:rPr>
          <w:rFonts w:ascii="Arial" w:eastAsia="Arial" w:hAnsi="Arial" w:cs="Arial"/>
          <w:bCs/>
          <w:iCs/>
          <w:sz w:val="22"/>
          <w:szCs w:val="22"/>
          <w:lang w:val="es-ES_tradnl"/>
        </w:rPr>
        <w:t xml:space="preserve"> </w:t>
      </w:r>
      <w:r>
        <w:rPr>
          <w:rFonts w:ascii="Arial" w:hAnsi="Arial" w:cs="Arial"/>
          <w:sz w:val="22"/>
          <w:szCs w:val="22"/>
        </w:rPr>
        <w:t xml:space="preserve">Estas experiencias implementadas en países emergentes sugieren el potencial de aplicación al caso peruano, y la importancia de poder evaluar rigurosamente sus efectos. </w:t>
      </w:r>
    </w:p>
    <w:p>
      <w:pPr>
        <w:pStyle w:val="Paragraph"/>
        <w:numPr>
          <w:ilvl w:val="1"/>
          <w:numId w:val="2"/>
        </w:numPr>
        <w:tabs>
          <w:tab w:val="clear" w:pos="1296"/>
          <w:tab w:val="num" w:pos="720"/>
        </w:tabs>
        <w:ind w:left="720" w:hanging="720"/>
        <w:outlineLvl w:val="9"/>
        <w:rPr>
          <w:rFonts w:ascii="Arial" w:hAnsi="Arial" w:cs="Arial"/>
          <w:sz w:val="22"/>
          <w:szCs w:val="22"/>
          <w:lang w:val="es-ES_tradnl"/>
        </w:rPr>
      </w:pPr>
      <w:r>
        <w:rPr>
          <w:rFonts w:ascii="Arial" w:hAnsi="Arial" w:cs="Arial"/>
          <w:b/>
          <w:sz w:val="22"/>
          <w:szCs w:val="22"/>
          <w:lang w:val="es-ES_tradnl"/>
        </w:rPr>
        <w:t>Supuestos</w:t>
      </w:r>
      <w:r>
        <w:rPr>
          <w:rFonts w:ascii="Arial" w:hAnsi="Arial" w:cs="Arial"/>
          <w:sz w:val="22"/>
          <w:szCs w:val="22"/>
          <w:lang w:val="es-ES_tradnl"/>
        </w:rPr>
        <w:t xml:space="preserve">. El presente Programa contempla una serie de actividades que con certeza generarán beneficios económicos y financieros significativos que podrían ser estimados; sin embargo, para efectos de justificar las inversiones del proyecto, se seleccionó como </w:t>
      </w:r>
      <w:r>
        <w:rPr>
          <w:rFonts w:ascii="Arial" w:hAnsi="Arial" w:cs="Arial"/>
          <w:sz w:val="22"/>
          <w:szCs w:val="22"/>
          <w:lang w:val="es-ES_tradnl"/>
        </w:rPr>
        <w:lastRenderedPageBreak/>
        <w:t xml:space="preserve">única variable de evaluación a los beneficios resultantes del aumento en la tasa de ejecución de la inversión pública y la disminución en la incidencia de retrasos en la ejecución de proyectos. Para la estimación del cálculo de los beneficios, se presenta el siguiente supuesto:  </w:t>
      </w:r>
    </w:p>
    <w:tbl>
      <w:tblPr>
        <w:tblStyle w:val="TableGrid"/>
        <w:tblW w:w="8820" w:type="dxa"/>
        <w:tblInd w:w="715" w:type="dxa"/>
        <w:tblLook w:val="04A0" w:firstRow="1" w:lastRow="0" w:firstColumn="1" w:lastColumn="0" w:noHBand="0" w:noVBand="1"/>
      </w:tblPr>
      <w:tblGrid>
        <w:gridCol w:w="8820"/>
      </w:tblGrid>
      <w:tr>
        <w:tc>
          <w:tcPr>
            <w:tcW w:w="8820" w:type="dxa"/>
          </w:tcPr>
          <w:p>
            <w:pPr>
              <w:pStyle w:val="Paragraph"/>
              <w:numPr>
                <w:ilvl w:val="0"/>
                <w:numId w:val="0"/>
              </w:numPr>
              <w:outlineLvl w:val="9"/>
              <w:rPr>
                <w:rFonts w:ascii="Arial" w:hAnsi="Arial" w:cs="Arial"/>
                <w:i/>
                <w:sz w:val="22"/>
                <w:szCs w:val="22"/>
                <w:lang w:val="es-ES_tradnl"/>
              </w:rPr>
            </w:pPr>
            <w:r>
              <w:rPr>
                <w:rFonts w:ascii="Arial" w:hAnsi="Arial" w:cs="Arial"/>
                <w:b/>
                <w:i/>
                <w:sz w:val="22"/>
                <w:szCs w:val="22"/>
                <w:lang w:val="es-ES_tradnl"/>
              </w:rPr>
              <w:t xml:space="preserve">Supuesto </w:t>
            </w:r>
            <w:r>
              <w:rPr>
                <w:rFonts w:ascii="Arial" w:hAnsi="Arial" w:cs="Arial"/>
                <w:i/>
                <w:sz w:val="22"/>
                <w:szCs w:val="22"/>
                <w:lang w:val="es-ES_tradnl"/>
              </w:rPr>
              <w:t xml:space="preserve">– Con la implementación de una serie de medidas para mejorar la gestión de la inversión pública en Perú, entre las cuales destacan: (i) fortalecimiento del marco institucional de la inversión pública; (ii) mejora en la preparación, ejecución, seguimiento y evaluación de la gestión de las inversiones; y (iii) fortalecimiento de los recursos humanos involucrados en la inversión pública; se estima aumentará la tasa de ejecución de la inversión y se reducirá la incidencia de retrasos, con lo que se reducirán los retrasos en el ciclo de los proyectos de inversión pública, desde que un proyecto es declarado elegible y recibe asignación presupuestaria, hasta que su ejecución culmina. Se asume que, con la reducción de estos retrasos, los beneficios estimados en los estudios de pre-inversión mediante el indicador de Valor Presente Neto (VPN) ocurrirán en un plazo más cercano del plazo planificado. Esto permite estimar las diferencias entre los VPN con y sin Programa y calcular el costo de oportunidad de estas diferencias con base a las tasas de interés vigentes en el sistema financiero peruano. El indicador correspondiente a la reducción de la incidencia de retrasos en la ejecución de proyectos de inversión pública está contemplado en la Matriz de Resultados del Programa.      </w:t>
            </w:r>
          </w:p>
        </w:tc>
      </w:tr>
    </w:tbl>
    <w:p>
      <w:pPr>
        <w:pStyle w:val="Paragraph"/>
        <w:numPr>
          <w:ilvl w:val="1"/>
          <w:numId w:val="2"/>
        </w:numPr>
        <w:tabs>
          <w:tab w:val="clear" w:pos="1296"/>
          <w:tab w:val="num" w:pos="720"/>
        </w:tabs>
        <w:ind w:left="720" w:hanging="720"/>
        <w:outlineLvl w:val="9"/>
        <w:rPr>
          <w:rFonts w:ascii="Arial" w:hAnsi="Arial" w:cs="Arial"/>
          <w:sz w:val="22"/>
          <w:szCs w:val="22"/>
          <w:lang w:val="es-ES_tradnl"/>
        </w:rPr>
      </w:pPr>
      <w:r>
        <w:rPr>
          <w:rFonts w:ascii="Arial" w:hAnsi="Arial" w:cs="Arial"/>
          <w:sz w:val="22"/>
          <w:szCs w:val="22"/>
          <w:lang w:val="es-ES_tradnl"/>
        </w:rPr>
        <w:t xml:space="preserve">La presente evaluación estima de forma conservadora (reducción de apenas 1 año de los 2 años de retraso actuales) que, como resultado de las intervenciones del proyecto, en el año 2028 se logrará mejorar la tasa de ejecución y reducir la incidencia de retrasos en la ejecución de proyectos de inversión (aproximadamente un año, de acuerdo al supuesto). El que los proyectos se ejecuten con menos retrasos generará un beneficio económico que será estimado en la presente evaluación. Utilizando una tasa de descuento del 12%, al final del año 2028 (10 años desde el inicio de la ejecución del Programa) las inversiones del Programa estarán generando un VPN de US$4,0 millones con una Tasa Interna de Retorno (TIR) del 21%. </w:t>
      </w:r>
    </w:p>
    <w:p>
      <w:pPr>
        <w:pStyle w:val="Paragraph"/>
        <w:numPr>
          <w:ilvl w:val="1"/>
          <w:numId w:val="2"/>
        </w:numPr>
        <w:tabs>
          <w:tab w:val="clear" w:pos="1296"/>
          <w:tab w:val="num" w:pos="720"/>
        </w:tabs>
        <w:ind w:left="720" w:hanging="720"/>
        <w:outlineLvl w:val="9"/>
        <w:rPr>
          <w:rFonts w:ascii="Arial" w:hAnsi="Arial" w:cs="Arial"/>
          <w:color w:val="000000"/>
          <w:sz w:val="22"/>
          <w:szCs w:val="22"/>
          <w:lang w:val="es-ES_tradnl"/>
        </w:rPr>
      </w:pPr>
      <w:r>
        <w:rPr>
          <w:rFonts w:ascii="Arial" w:hAnsi="Arial" w:cs="Arial"/>
          <w:b/>
          <w:color w:val="000000"/>
          <w:sz w:val="22"/>
          <w:szCs w:val="22"/>
          <w:lang w:val="es-ES_tradnl"/>
        </w:rPr>
        <w:t>Descripción de la metodología.</w:t>
      </w:r>
      <w:r>
        <w:rPr>
          <w:rFonts w:ascii="Arial" w:hAnsi="Arial" w:cs="Arial"/>
          <w:color w:val="000000"/>
          <w:sz w:val="22"/>
          <w:szCs w:val="22"/>
          <w:lang w:val="es-ES_tradnl"/>
        </w:rPr>
        <w:t xml:space="preserve"> El equipo de proyecto optó por utilizar una estimación conservadora para el cálculo de los beneficios del Programa PE-L1231 (reducción de solamente 1 año de retraso). La </w:t>
      </w:r>
      <w:r>
        <w:rPr>
          <w:rFonts w:ascii="Arial" w:hAnsi="Arial" w:cs="Arial"/>
          <w:sz w:val="22"/>
          <w:szCs w:val="22"/>
          <w:lang w:val="es-ES_tradnl"/>
        </w:rPr>
        <w:t>información</w:t>
      </w:r>
      <w:r>
        <w:rPr>
          <w:rFonts w:ascii="Arial" w:hAnsi="Arial" w:cs="Arial"/>
          <w:color w:val="000000"/>
          <w:sz w:val="22"/>
          <w:szCs w:val="22"/>
          <w:lang w:val="es-ES_tradnl"/>
        </w:rPr>
        <w:t xml:space="preserve"> histórica de los VPN de los proyectos de inversión pública fue tomada de la base de datos del SNIP, y sólo se consideraron los proyectos ejecutados por el Gobierno Nacional y los Gobiernos Regionales - los que concentran aproximadamente el 60% de la inversión pública en Perú - y los proyectos que fueron declarados elegibles en los años 2014, 2015 y 2016. En caso de que se incluyesen todos los niveles de gobierno y un horizonte de tiempo más extenso, los beneficios estimados serían considerablemente más significativos.</w:t>
      </w:r>
    </w:p>
    <w:p>
      <w:pPr>
        <w:pStyle w:val="Paragraph"/>
        <w:numPr>
          <w:ilvl w:val="1"/>
          <w:numId w:val="2"/>
        </w:numPr>
        <w:tabs>
          <w:tab w:val="clear" w:pos="1296"/>
          <w:tab w:val="num" w:pos="720"/>
        </w:tabs>
        <w:ind w:left="720" w:hanging="720"/>
        <w:outlineLvl w:val="9"/>
        <w:rPr>
          <w:rFonts w:ascii="Arial" w:hAnsi="Arial" w:cs="Arial"/>
          <w:color w:val="000000"/>
          <w:sz w:val="22"/>
          <w:szCs w:val="22"/>
          <w:lang w:val="es-ES_tradnl"/>
        </w:rPr>
      </w:pPr>
      <w:r>
        <w:rPr>
          <w:rFonts w:ascii="Arial" w:hAnsi="Arial" w:cs="Arial"/>
          <w:color w:val="000000"/>
          <w:sz w:val="22"/>
          <w:szCs w:val="22"/>
          <w:lang w:val="es-ES_tradnl"/>
        </w:rPr>
        <w:t xml:space="preserve">La metodología compara dos escenarios, con y sin Programa. Los estudios de factibilidad de los proyectos de inversión pública de Perú tienen un horizonte medio de 10 años. La metodología de la presente evaluación simula la disminución de los retrasos en la ejecución de los proyectos de inversión pública (considerando que con el Programa PE-L1231 se eliminarán retrasos en la ejecución en por lo menos 1 año) y, por </w:t>
      </w:r>
      <w:r>
        <w:rPr>
          <w:rFonts w:ascii="Arial" w:hAnsi="Arial" w:cs="Arial"/>
          <w:sz w:val="22"/>
          <w:szCs w:val="22"/>
          <w:lang w:val="es-ES_tradnl"/>
        </w:rPr>
        <w:t>tanto</w:t>
      </w:r>
      <w:r>
        <w:rPr>
          <w:rFonts w:ascii="Arial" w:hAnsi="Arial" w:cs="Arial"/>
          <w:color w:val="000000"/>
          <w:sz w:val="22"/>
          <w:szCs w:val="22"/>
          <w:lang w:val="es-ES_tradnl"/>
        </w:rPr>
        <w:t xml:space="preserve">, de los VPN correspondientes. Así, se espera que los VPN del 10º año de los proyectos de inversión ocurran en el 9º año, los VPN del 9º año en el 8º año y así sucesivamente. La diferencia entre los valores de los VPN del año (x) y del año (x-1) es considerada la ganancia bruta del Programa. El beneficio real es estimado a partir del cálculo del costo de oportunidad de estas diferencias, utilizando la tasa de interés vigente en el sistema financiero peruano y publicado por el Banco Central de Reserva del Perú. </w:t>
      </w:r>
    </w:p>
    <w:p>
      <w:pPr>
        <w:pStyle w:val="Paragraph"/>
        <w:numPr>
          <w:ilvl w:val="0"/>
          <w:numId w:val="0"/>
        </w:numPr>
        <w:tabs>
          <w:tab w:val="num" w:pos="1800"/>
        </w:tabs>
        <w:autoSpaceDE w:val="0"/>
        <w:autoSpaceDN w:val="0"/>
        <w:adjustRightInd w:val="0"/>
        <w:ind w:left="720"/>
        <w:outlineLvl w:val="9"/>
        <w:rPr>
          <w:rFonts w:ascii="Arial" w:hAnsi="Arial" w:cs="Arial"/>
          <w:color w:val="000000"/>
          <w:sz w:val="22"/>
          <w:szCs w:val="22"/>
          <w:lang w:val="es-ES_tradnl"/>
        </w:rPr>
      </w:pPr>
      <w:r>
        <w:rPr>
          <w:rFonts w:ascii="Arial" w:hAnsi="Arial" w:cs="Arial"/>
          <w:color w:val="000000"/>
          <w:sz w:val="22"/>
          <w:szCs w:val="22"/>
          <w:lang w:val="es-ES_tradnl"/>
        </w:rPr>
        <w:t xml:space="preserve">El Cuadro 1 presenta la comparación de la evolución de los VPN de los proyectos de inversión del Gobierno Nacional y de los Gobierno Regionales con elegibilidad en los años 2014, 2015 y 2016, bajo un escenario sin y con Programa. </w:t>
      </w:r>
      <w:r>
        <w:rPr>
          <w:rFonts w:ascii="Arial" w:hAnsi="Arial" w:cs="Arial"/>
          <w:color w:val="000000"/>
          <w:sz w:val="22"/>
          <w:szCs w:val="22"/>
          <w:lang w:val="es-ES_tradnl"/>
        </w:rPr>
        <w:br w:type="page"/>
      </w:r>
    </w:p>
    <w:p>
      <w:pPr>
        <w:pStyle w:val="Paragraph"/>
        <w:numPr>
          <w:ilvl w:val="0"/>
          <w:numId w:val="0"/>
        </w:numPr>
        <w:autoSpaceDE w:val="0"/>
        <w:autoSpaceDN w:val="0"/>
        <w:adjustRightInd w:val="0"/>
        <w:ind w:left="1170"/>
        <w:outlineLvl w:val="9"/>
        <w:rPr>
          <w:rFonts w:ascii="Arial" w:hAnsi="Arial" w:cs="Arial"/>
          <w:color w:val="000000"/>
          <w:sz w:val="22"/>
          <w:szCs w:val="22"/>
          <w:lang w:val="es-ES_tradnl"/>
        </w:rPr>
        <w:sectPr>
          <w:pgSz w:w="11906" w:h="16838"/>
          <w:pgMar w:top="994" w:right="1109" w:bottom="1166" w:left="1354" w:header="720" w:footer="720" w:gutter="0"/>
          <w:pgNumType w:start="1"/>
          <w:cols w:space="720"/>
          <w:titlePg/>
          <w:docGrid w:linePitch="360"/>
        </w:sectPr>
      </w:pPr>
    </w:p>
    <w:p>
      <w:pPr>
        <w:pStyle w:val="Paragraph"/>
        <w:numPr>
          <w:ilvl w:val="0"/>
          <w:numId w:val="0"/>
        </w:numPr>
        <w:autoSpaceDE w:val="0"/>
        <w:autoSpaceDN w:val="0"/>
        <w:adjustRightInd w:val="0"/>
        <w:ind w:left="1170"/>
        <w:outlineLvl w:val="9"/>
        <w:rPr>
          <w:rFonts w:ascii="Arial" w:hAnsi="Arial" w:cs="Arial"/>
          <w:color w:val="000000"/>
          <w:sz w:val="22"/>
          <w:szCs w:val="22"/>
          <w:lang w:val="es-ES_tradnl"/>
        </w:rPr>
      </w:pPr>
    </w:p>
    <w:p>
      <w:pPr>
        <w:pStyle w:val="Paragraph"/>
        <w:numPr>
          <w:ilvl w:val="0"/>
          <w:numId w:val="0"/>
        </w:numPr>
        <w:autoSpaceDE w:val="0"/>
        <w:autoSpaceDN w:val="0"/>
        <w:adjustRightInd w:val="0"/>
        <w:ind w:left="1170"/>
        <w:jc w:val="center"/>
        <w:outlineLvl w:val="9"/>
        <w:rPr>
          <w:rFonts w:ascii="Arial" w:hAnsi="Arial" w:cs="Arial"/>
          <w:b/>
          <w:color w:val="000000"/>
          <w:sz w:val="22"/>
          <w:szCs w:val="22"/>
          <w:lang w:val="es-ES_tradnl"/>
        </w:rPr>
      </w:pPr>
      <w:r>
        <w:rPr>
          <w:rFonts w:ascii="Arial" w:hAnsi="Arial" w:cs="Arial"/>
          <w:b/>
          <w:color w:val="000000"/>
          <w:sz w:val="22"/>
          <w:szCs w:val="22"/>
          <w:lang w:val="es-ES_tradnl"/>
        </w:rPr>
        <w:t>Cuadro 1</w:t>
      </w:r>
    </w:p>
    <w:p>
      <w:pPr>
        <w:pStyle w:val="Paragraph"/>
        <w:numPr>
          <w:ilvl w:val="0"/>
          <w:numId w:val="0"/>
        </w:numPr>
        <w:autoSpaceDE w:val="0"/>
        <w:autoSpaceDN w:val="0"/>
        <w:adjustRightInd w:val="0"/>
        <w:ind w:left="1170"/>
        <w:jc w:val="center"/>
        <w:outlineLvl w:val="9"/>
        <w:rPr>
          <w:rFonts w:ascii="Arial" w:hAnsi="Arial" w:cs="Arial"/>
          <w:b/>
          <w:color w:val="000000"/>
          <w:sz w:val="22"/>
          <w:szCs w:val="22"/>
          <w:lang w:val="es-ES_tradnl"/>
        </w:rPr>
      </w:pPr>
      <w:r>
        <w:rPr>
          <w:noProof/>
        </w:rPr>
        <w:drawing>
          <wp:anchor distT="0" distB="0" distL="114300" distR="114300" simplePos="0" relativeHeight="251669504" behindDoc="1" locked="0" layoutInCell="1" allowOverlap="1">
            <wp:simplePos x="0" y="0"/>
            <wp:positionH relativeFrom="page">
              <wp:posOffset>449580</wp:posOffset>
            </wp:positionH>
            <wp:positionV relativeFrom="paragraph">
              <wp:posOffset>68580</wp:posOffset>
            </wp:positionV>
            <wp:extent cx="9944058" cy="2339340"/>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55390" cy="234200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00"/>
          <w:lang w:val="es-ES_tradnl"/>
        </w:rPr>
        <w:t xml:space="preserve">  </w:t>
      </w:r>
    </w:p>
    <w:p>
      <w:pPr>
        <w:pStyle w:val="Paragraph"/>
        <w:numPr>
          <w:ilvl w:val="0"/>
          <w:numId w:val="0"/>
        </w:numPr>
        <w:autoSpaceDE w:val="0"/>
        <w:autoSpaceDN w:val="0"/>
        <w:adjustRightInd w:val="0"/>
        <w:ind w:left="1170"/>
        <w:jc w:val="center"/>
        <w:outlineLvl w:val="9"/>
        <w:rPr>
          <w:rFonts w:ascii="Arial" w:hAnsi="Arial" w:cs="Arial"/>
          <w:b/>
          <w:color w:val="000000"/>
          <w:sz w:val="22"/>
          <w:szCs w:val="22"/>
          <w:lang w:val="es-ES_tradnl"/>
        </w:rPr>
        <w:sectPr>
          <w:pgSz w:w="16838" w:h="11906" w:orient="landscape"/>
          <w:pgMar w:top="1354" w:right="994" w:bottom="1440" w:left="1166" w:header="720" w:footer="720" w:gutter="0"/>
          <w:cols w:space="720"/>
          <w:docGrid w:linePitch="360"/>
        </w:sectPr>
      </w:pPr>
    </w:p>
    <w:p>
      <w:pPr>
        <w:pStyle w:val="Paragraph"/>
        <w:numPr>
          <w:ilvl w:val="0"/>
          <w:numId w:val="0"/>
        </w:numPr>
        <w:autoSpaceDE w:val="0"/>
        <w:autoSpaceDN w:val="0"/>
        <w:adjustRightInd w:val="0"/>
        <w:ind w:left="1170"/>
        <w:outlineLvl w:val="9"/>
        <w:rPr>
          <w:rFonts w:ascii="Arial" w:hAnsi="Arial" w:cs="Arial"/>
          <w:color w:val="000000"/>
          <w:sz w:val="22"/>
          <w:szCs w:val="22"/>
          <w:lang w:val="es-ES_tradnl"/>
        </w:rPr>
      </w:pPr>
    </w:p>
    <w:p>
      <w:pPr>
        <w:pStyle w:val="Paragraph"/>
        <w:numPr>
          <w:ilvl w:val="0"/>
          <w:numId w:val="0"/>
        </w:numPr>
        <w:autoSpaceDE w:val="0"/>
        <w:autoSpaceDN w:val="0"/>
        <w:adjustRightInd w:val="0"/>
        <w:ind w:left="1170"/>
        <w:outlineLvl w:val="9"/>
        <w:rPr>
          <w:rFonts w:ascii="Arial" w:hAnsi="Arial" w:cs="Arial"/>
          <w:color w:val="000000"/>
          <w:sz w:val="22"/>
          <w:szCs w:val="22"/>
          <w:lang w:val="es-ES_tradnl"/>
        </w:rPr>
      </w:pPr>
    </w:p>
    <w:p>
      <w:pPr>
        <w:pStyle w:val="Paragraph"/>
        <w:numPr>
          <w:ilvl w:val="2"/>
          <w:numId w:val="10"/>
        </w:numPr>
        <w:tabs>
          <w:tab w:val="clear" w:pos="2304"/>
        </w:tabs>
        <w:autoSpaceDE w:val="0"/>
        <w:autoSpaceDN w:val="0"/>
        <w:adjustRightInd w:val="0"/>
        <w:ind w:left="1170" w:hanging="540"/>
        <w:outlineLvl w:val="9"/>
        <w:rPr>
          <w:rFonts w:ascii="Arial" w:hAnsi="Arial" w:cs="Arial"/>
          <w:color w:val="000000"/>
          <w:sz w:val="22"/>
          <w:szCs w:val="22"/>
          <w:lang w:val="es-ES_tradnl"/>
        </w:rPr>
      </w:pPr>
      <w:r>
        <w:rPr>
          <w:rFonts w:ascii="Arial" w:hAnsi="Arial" w:cs="Arial"/>
          <w:color w:val="000000"/>
          <w:sz w:val="22"/>
          <w:szCs w:val="22"/>
          <w:lang w:val="es-ES_tradnl"/>
        </w:rPr>
        <w:t>La columna VPN Total – presenta los montos totales de los VPN del Gobierno Nacional y de los Gobierno Regionales con elegibilidad en los años 2014 (US$ 245,4 millones – línea 1), 2015 (US$496,0 millones – línea 2) y 2016 (US$277,2 millones – línea 3).</w:t>
      </w:r>
    </w:p>
    <w:p>
      <w:pPr>
        <w:pStyle w:val="Paragraph"/>
        <w:numPr>
          <w:ilvl w:val="2"/>
          <w:numId w:val="10"/>
        </w:numPr>
        <w:autoSpaceDE w:val="0"/>
        <w:autoSpaceDN w:val="0"/>
        <w:adjustRightInd w:val="0"/>
        <w:ind w:left="1170" w:hanging="540"/>
        <w:outlineLvl w:val="9"/>
        <w:rPr>
          <w:rFonts w:ascii="Arial" w:hAnsi="Arial" w:cs="Arial"/>
          <w:color w:val="000000"/>
          <w:sz w:val="22"/>
          <w:szCs w:val="22"/>
          <w:lang w:val="es-ES_tradnl"/>
        </w:rPr>
      </w:pPr>
      <w:r>
        <w:rPr>
          <w:rFonts w:ascii="Arial" w:hAnsi="Arial" w:cs="Arial"/>
          <w:color w:val="000000"/>
          <w:sz w:val="22"/>
          <w:szCs w:val="22"/>
          <w:lang w:val="es-ES_tradnl"/>
        </w:rPr>
        <w:t>Las columnas desde los años 2014 a 2026 presentan la evolución de los VPN, considerando un horizonte de 10 años y que el VPN es positivo a partir del cuarto año de ejecución (por ejemplo, el Total VPN para proyectos con viabilidad en 2014 (línea 1) en el año 2018 es de US$12,3 millones, en 2019 de US$ 24,5 millones, y así sucesivamente).</w:t>
      </w:r>
    </w:p>
    <w:p>
      <w:pPr>
        <w:pStyle w:val="Paragraph"/>
        <w:numPr>
          <w:ilvl w:val="2"/>
          <w:numId w:val="10"/>
        </w:numPr>
        <w:autoSpaceDE w:val="0"/>
        <w:autoSpaceDN w:val="0"/>
        <w:adjustRightInd w:val="0"/>
        <w:ind w:left="1170" w:hanging="540"/>
        <w:outlineLvl w:val="9"/>
        <w:rPr>
          <w:rFonts w:ascii="Arial" w:hAnsi="Arial" w:cs="Arial"/>
          <w:color w:val="000000"/>
          <w:sz w:val="22"/>
          <w:szCs w:val="22"/>
          <w:lang w:val="es-ES_tradnl"/>
        </w:rPr>
      </w:pPr>
      <w:r>
        <w:rPr>
          <w:rFonts w:ascii="Arial" w:hAnsi="Arial" w:cs="Arial"/>
          <w:color w:val="000000"/>
          <w:sz w:val="22"/>
          <w:szCs w:val="22"/>
          <w:lang w:val="es-ES_tradnl"/>
        </w:rPr>
        <w:t>En el grupo de líneas / columnas sin Programa (en color azul – líneas 1, 2 y 3), es presentada la información anual consolidada de la evolución de los VPN tal como se reporta en la base de datos del SNIP.</w:t>
      </w:r>
    </w:p>
    <w:p>
      <w:pPr>
        <w:pStyle w:val="Paragraph"/>
        <w:numPr>
          <w:ilvl w:val="2"/>
          <w:numId w:val="10"/>
        </w:numPr>
        <w:autoSpaceDE w:val="0"/>
        <w:autoSpaceDN w:val="0"/>
        <w:adjustRightInd w:val="0"/>
        <w:ind w:left="1170" w:hanging="540"/>
        <w:outlineLvl w:val="9"/>
        <w:rPr>
          <w:rFonts w:ascii="Arial" w:hAnsi="Arial" w:cs="Arial"/>
          <w:color w:val="000000"/>
          <w:sz w:val="22"/>
          <w:szCs w:val="22"/>
          <w:lang w:val="es-ES_tradnl"/>
        </w:rPr>
      </w:pPr>
      <w:r>
        <w:rPr>
          <w:rFonts w:ascii="Arial" w:hAnsi="Arial" w:cs="Arial"/>
          <w:color w:val="000000"/>
          <w:sz w:val="22"/>
          <w:szCs w:val="22"/>
          <w:lang w:val="es-ES_tradnl"/>
        </w:rPr>
        <w:t xml:space="preserve">En el grupo de líneas / columnas con Programa (en color verde – líneas 4, 5 y 6) se simula que, con la eliminación de retrasos en la ejecución, el beneficio ocurrirá un año antes de lo que ocurriría sin Programa. </w:t>
      </w:r>
    </w:p>
    <w:p>
      <w:pPr>
        <w:pStyle w:val="Paragraph"/>
        <w:numPr>
          <w:ilvl w:val="2"/>
          <w:numId w:val="10"/>
        </w:numPr>
        <w:autoSpaceDE w:val="0"/>
        <w:autoSpaceDN w:val="0"/>
        <w:adjustRightInd w:val="0"/>
        <w:ind w:left="1170" w:hanging="540"/>
        <w:outlineLvl w:val="9"/>
        <w:rPr>
          <w:rFonts w:ascii="Arial" w:hAnsi="Arial" w:cs="Arial"/>
          <w:color w:val="000000"/>
          <w:sz w:val="22"/>
          <w:szCs w:val="22"/>
          <w:lang w:val="es-ES_tradnl"/>
        </w:rPr>
      </w:pPr>
      <w:r>
        <w:rPr>
          <w:rFonts w:ascii="Arial" w:hAnsi="Arial" w:cs="Arial"/>
          <w:color w:val="000000"/>
          <w:sz w:val="22"/>
          <w:szCs w:val="22"/>
          <w:lang w:val="es-ES_tradnl"/>
        </w:rPr>
        <w:t>El grupo de líneas / columnas en color naranja (líneas 7, 8 y 9) presenta las diferencias entre los VPN con y sin Programa.</w:t>
      </w:r>
    </w:p>
    <w:p>
      <w:pPr>
        <w:pStyle w:val="Paragraph"/>
        <w:numPr>
          <w:ilvl w:val="2"/>
          <w:numId w:val="10"/>
        </w:numPr>
        <w:autoSpaceDE w:val="0"/>
        <w:autoSpaceDN w:val="0"/>
        <w:adjustRightInd w:val="0"/>
        <w:ind w:left="1170" w:hanging="540"/>
        <w:outlineLvl w:val="9"/>
        <w:rPr>
          <w:rFonts w:ascii="Arial" w:hAnsi="Arial" w:cs="Arial"/>
          <w:color w:val="000000"/>
          <w:sz w:val="22"/>
          <w:szCs w:val="22"/>
          <w:lang w:val="es-ES_tradnl"/>
        </w:rPr>
      </w:pPr>
      <w:r>
        <w:rPr>
          <w:rFonts w:ascii="Arial" w:hAnsi="Arial" w:cs="Arial"/>
          <w:color w:val="000000"/>
          <w:sz w:val="22"/>
          <w:szCs w:val="22"/>
          <w:lang w:val="es-ES_tradnl"/>
        </w:rPr>
        <w:t>Finalmente, en la línea 11 se calcula el costo de oportunidad correspondiente al beneficio por el adelanto en la ocurrencia de los VPN utilizando la tasa de interés reportada por el Banco Central de Perú. El interés del año 2018 = US$47,0 millones * 7%</w:t>
      </w:r>
      <w:r>
        <w:rPr>
          <w:rStyle w:val="FootnoteReference"/>
          <w:rFonts w:ascii="Arial" w:hAnsi="Arial" w:cs="Arial"/>
          <w:color w:val="000000"/>
          <w:sz w:val="22"/>
          <w:szCs w:val="22"/>
          <w:lang w:val="es-ES_tradnl"/>
        </w:rPr>
        <w:footnoteReference w:id="25"/>
      </w:r>
      <w:r>
        <w:rPr>
          <w:rFonts w:ascii="Arial" w:hAnsi="Arial" w:cs="Arial"/>
          <w:color w:val="000000"/>
          <w:sz w:val="22"/>
          <w:szCs w:val="22"/>
          <w:lang w:val="es-ES_tradnl"/>
        </w:rPr>
        <w:t xml:space="preserve"> = US$3,3 millones. Para el año 2025 el interés es = US$ 13,9 millones * 7% = US$ 0,97 millones.</w:t>
      </w:r>
    </w:p>
    <w:p>
      <w:pPr>
        <w:pStyle w:val="Chapter"/>
        <w:numPr>
          <w:ilvl w:val="0"/>
          <w:numId w:val="2"/>
        </w:numPr>
        <w:ind w:left="900" w:hanging="792"/>
        <w:jc w:val="left"/>
        <w:outlineLvl w:val="0"/>
        <w:rPr>
          <w:rFonts w:ascii="Arial" w:hAnsi="Arial" w:cs="Arial"/>
          <w:sz w:val="22"/>
          <w:szCs w:val="22"/>
          <w:lang w:val="es-ES_tradnl"/>
        </w:rPr>
      </w:pPr>
      <w:bookmarkStart w:id="9" w:name="_Toc490641732"/>
      <w:r>
        <w:rPr>
          <w:rFonts w:ascii="Arial" w:hAnsi="Arial" w:cs="Arial"/>
          <w:sz w:val="22"/>
          <w:szCs w:val="22"/>
          <w:lang w:val="es-ES_tradnl"/>
        </w:rPr>
        <w:t>Costos del Proyecto</w:t>
      </w:r>
      <w:bookmarkEnd w:id="9"/>
    </w:p>
    <w:p>
      <w:pPr>
        <w:pStyle w:val="Paragraph"/>
        <w:numPr>
          <w:ilvl w:val="1"/>
          <w:numId w:val="2"/>
        </w:numPr>
        <w:tabs>
          <w:tab w:val="clear" w:pos="1296"/>
          <w:tab w:val="num" w:pos="720"/>
        </w:tabs>
        <w:ind w:left="720" w:hanging="720"/>
        <w:outlineLvl w:val="9"/>
        <w:rPr>
          <w:rFonts w:ascii="Arial" w:hAnsi="Arial" w:cs="Arial"/>
          <w:sz w:val="22"/>
          <w:szCs w:val="22"/>
          <w:lang w:val="es-ES_tradnl"/>
        </w:rPr>
      </w:pPr>
      <w:r>
        <w:rPr>
          <w:rFonts w:ascii="Arial" w:hAnsi="Arial" w:cs="Arial"/>
          <w:sz w:val="22"/>
          <w:szCs w:val="22"/>
          <w:lang w:val="es-ES_tradnl"/>
        </w:rPr>
        <w:t xml:space="preserve">Para el cálculo del beneficio neto del proyecto dos costos fueron considerados: (i) los costos económicos de </w:t>
      </w:r>
      <w:r>
        <w:rPr>
          <w:rFonts w:ascii="Arial" w:hAnsi="Arial" w:cs="Arial"/>
          <w:bCs/>
          <w:color w:val="000000"/>
          <w:sz w:val="22"/>
          <w:szCs w:val="22"/>
          <w:lang w:val="es-ES_tradnl"/>
        </w:rPr>
        <w:t>inversión</w:t>
      </w:r>
      <w:r>
        <w:rPr>
          <w:rFonts w:ascii="Arial" w:hAnsi="Arial" w:cs="Arial"/>
          <w:sz w:val="22"/>
          <w:szCs w:val="22"/>
          <w:lang w:val="es-ES_tradnl"/>
        </w:rPr>
        <w:t>; y (ii) los costos económicos de mantenimiento. El Anexo I de este documento presenta los cálculos detallados de dichos costos.</w:t>
      </w:r>
    </w:p>
    <w:p>
      <w:pPr>
        <w:pStyle w:val="Paragraph"/>
        <w:numPr>
          <w:ilvl w:val="2"/>
          <w:numId w:val="11"/>
        </w:numPr>
        <w:tabs>
          <w:tab w:val="clear" w:pos="2304"/>
        </w:tabs>
        <w:ind w:left="1170" w:hanging="540"/>
        <w:outlineLvl w:val="9"/>
        <w:rPr>
          <w:rFonts w:ascii="Arial" w:hAnsi="Arial" w:cs="Arial"/>
          <w:sz w:val="22"/>
          <w:szCs w:val="22"/>
          <w:lang w:val="es-ES_tradnl"/>
        </w:rPr>
      </w:pPr>
      <w:r>
        <w:rPr>
          <w:rFonts w:ascii="Arial" w:hAnsi="Arial" w:cs="Arial"/>
          <w:sz w:val="22"/>
          <w:szCs w:val="22"/>
          <w:lang w:val="es-ES_tradnl"/>
        </w:rPr>
        <w:t>Costos económicos de inversión:</w:t>
      </w:r>
    </w:p>
    <w:tbl>
      <w:tblPr>
        <w:tblW w:w="10165" w:type="dxa"/>
        <w:tblLayout w:type="fixed"/>
        <w:tblLook w:val="04A0" w:firstRow="1" w:lastRow="0" w:firstColumn="1" w:lastColumn="0" w:noHBand="0" w:noVBand="1"/>
      </w:tblPr>
      <w:tblGrid>
        <w:gridCol w:w="1139"/>
        <w:gridCol w:w="1106"/>
        <w:gridCol w:w="1260"/>
        <w:gridCol w:w="1350"/>
        <w:gridCol w:w="1350"/>
        <w:gridCol w:w="1350"/>
        <w:gridCol w:w="1260"/>
        <w:gridCol w:w="1350"/>
      </w:tblGrid>
      <w:tr>
        <w:trPr>
          <w:trHeight w:val="290"/>
        </w:trPr>
        <w:tc>
          <w:tcPr>
            <w:tcW w:w="10165"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Cuadro 2 - Costos del proyecto</w:t>
            </w:r>
          </w:p>
        </w:tc>
      </w:tr>
      <w:tr>
        <w:trPr>
          <w:trHeight w:val="245"/>
        </w:trPr>
        <w:tc>
          <w:tcPr>
            <w:tcW w:w="1139" w:type="dxa"/>
            <w:tcBorders>
              <w:top w:val="nil"/>
              <w:left w:val="single" w:sz="4" w:space="0" w:color="auto"/>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Categoría</w:t>
            </w:r>
          </w:p>
        </w:tc>
        <w:tc>
          <w:tcPr>
            <w:tcW w:w="1106"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2018</w:t>
            </w:r>
          </w:p>
        </w:tc>
        <w:tc>
          <w:tcPr>
            <w:tcW w:w="1260"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2019</w:t>
            </w:r>
          </w:p>
        </w:tc>
        <w:tc>
          <w:tcPr>
            <w:tcW w:w="1350"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2020</w:t>
            </w:r>
          </w:p>
        </w:tc>
        <w:tc>
          <w:tcPr>
            <w:tcW w:w="1350"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2021</w:t>
            </w:r>
          </w:p>
        </w:tc>
        <w:tc>
          <w:tcPr>
            <w:tcW w:w="1350"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2022</w:t>
            </w:r>
          </w:p>
        </w:tc>
        <w:tc>
          <w:tcPr>
            <w:tcW w:w="1260"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2023</w:t>
            </w:r>
          </w:p>
        </w:tc>
        <w:tc>
          <w:tcPr>
            <w:tcW w:w="1350"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Total</w:t>
            </w:r>
          </w:p>
        </w:tc>
      </w:tr>
      <w:tr>
        <w:trPr>
          <w:trHeight w:val="301"/>
        </w:trPr>
        <w:tc>
          <w:tcPr>
            <w:tcW w:w="1139"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Costo de inversión </w:t>
            </w:r>
          </w:p>
        </w:tc>
        <w:tc>
          <w:tcPr>
            <w:tcW w:w="1106"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3,687,500</w:t>
            </w:r>
          </w:p>
        </w:tc>
        <w:tc>
          <w:tcPr>
            <w:tcW w:w="1260"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7,375,000</w:t>
            </w:r>
          </w:p>
        </w:tc>
        <w:tc>
          <w:tcPr>
            <w:tcW w:w="1350"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14,750,000</w:t>
            </w:r>
          </w:p>
        </w:tc>
        <w:tc>
          <w:tcPr>
            <w:tcW w:w="1350"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18,437,500</w:t>
            </w:r>
          </w:p>
        </w:tc>
        <w:tc>
          <w:tcPr>
            <w:tcW w:w="1350"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18,437,500</w:t>
            </w:r>
          </w:p>
        </w:tc>
        <w:tc>
          <w:tcPr>
            <w:tcW w:w="1260"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11,062,500</w:t>
            </w:r>
          </w:p>
        </w:tc>
        <w:tc>
          <w:tcPr>
            <w:tcW w:w="1350" w:type="dxa"/>
            <w:tcBorders>
              <w:top w:val="nil"/>
              <w:left w:val="nil"/>
              <w:bottom w:val="single" w:sz="4" w:space="0" w:color="auto"/>
              <w:right w:val="single" w:sz="4" w:space="0" w:color="auto"/>
            </w:tcBorders>
            <w:shd w:val="clear" w:color="000000" w:fill="BFBFBF"/>
            <w:vAlign w:val="center"/>
            <w:hideMark/>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73,750,000</w:t>
            </w:r>
          </w:p>
        </w:tc>
      </w:tr>
      <w:tr>
        <w:trPr>
          <w:trHeight w:val="463"/>
        </w:trPr>
        <w:tc>
          <w:tcPr>
            <w:tcW w:w="1139"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Costo de inversión social</w:t>
            </w:r>
          </w:p>
        </w:tc>
        <w:tc>
          <w:tcPr>
            <w:tcW w:w="1106"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3,246,059</w:t>
            </w:r>
          </w:p>
        </w:tc>
        <w:tc>
          <w:tcPr>
            <w:tcW w:w="1260"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6,492,117</w:t>
            </w:r>
          </w:p>
        </w:tc>
        <w:tc>
          <w:tcPr>
            <w:tcW w:w="1350"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12,984,234</w:t>
            </w:r>
          </w:p>
        </w:tc>
        <w:tc>
          <w:tcPr>
            <w:tcW w:w="1350"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16,230,293</w:t>
            </w:r>
          </w:p>
        </w:tc>
        <w:tc>
          <w:tcPr>
            <w:tcW w:w="1350"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16,230,293</w:t>
            </w:r>
          </w:p>
        </w:tc>
        <w:tc>
          <w:tcPr>
            <w:tcW w:w="1260"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9,738,176</w:t>
            </w:r>
          </w:p>
        </w:tc>
        <w:tc>
          <w:tcPr>
            <w:tcW w:w="1350" w:type="dxa"/>
            <w:tcBorders>
              <w:top w:val="nil"/>
              <w:left w:val="nil"/>
              <w:bottom w:val="single" w:sz="4" w:space="0" w:color="auto"/>
              <w:right w:val="single" w:sz="4" w:space="0" w:color="auto"/>
            </w:tcBorders>
            <w:shd w:val="clear" w:color="000000" w:fill="BFBFBF"/>
            <w:vAlign w:val="center"/>
            <w:hideMark/>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64,921,171</w:t>
            </w:r>
          </w:p>
        </w:tc>
      </w:tr>
      <w:tr>
        <w:trPr>
          <w:trHeight w:val="245"/>
        </w:trPr>
        <w:tc>
          <w:tcPr>
            <w:tcW w:w="1139" w:type="dxa"/>
            <w:tcBorders>
              <w:top w:val="nil"/>
              <w:left w:val="single" w:sz="4" w:space="0" w:color="auto"/>
              <w:bottom w:val="single" w:sz="4" w:space="0" w:color="auto"/>
              <w:right w:val="single" w:sz="4" w:space="0" w:color="auto"/>
            </w:tcBorders>
            <w:shd w:val="clear" w:color="000000" w:fill="A6A6A6"/>
            <w:vAlign w:val="bottom"/>
            <w:hideMark/>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1106" w:type="dxa"/>
            <w:tcBorders>
              <w:top w:val="nil"/>
              <w:left w:val="nil"/>
              <w:bottom w:val="single" w:sz="4" w:space="0" w:color="auto"/>
              <w:right w:val="single" w:sz="4" w:space="0" w:color="auto"/>
            </w:tcBorders>
            <w:shd w:val="clear" w:color="000000" w:fill="BFBFBF"/>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w:t>
            </w:r>
          </w:p>
        </w:tc>
        <w:tc>
          <w:tcPr>
            <w:tcW w:w="1260" w:type="dxa"/>
            <w:tcBorders>
              <w:top w:val="nil"/>
              <w:left w:val="nil"/>
              <w:bottom w:val="single" w:sz="4" w:space="0" w:color="auto"/>
              <w:right w:val="single" w:sz="4" w:space="0" w:color="auto"/>
            </w:tcBorders>
            <w:shd w:val="clear" w:color="000000" w:fill="BFBFBF"/>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10</w:t>
            </w:r>
          </w:p>
        </w:tc>
        <w:tc>
          <w:tcPr>
            <w:tcW w:w="1350" w:type="dxa"/>
            <w:tcBorders>
              <w:top w:val="nil"/>
              <w:left w:val="nil"/>
              <w:bottom w:val="single" w:sz="4" w:space="0" w:color="auto"/>
              <w:right w:val="single" w:sz="4" w:space="0" w:color="auto"/>
            </w:tcBorders>
            <w:shd w:val="clear" w:color="000000" w:fill="BFBFBF"/>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w:t>
            </w:r>
          </w:p>
        </w:tc>
        <w:tc>
          <w:tcPr>
            <w:tcW w:w="1350" w:type="dxa"/>
            <w:tcBorders>
              <w:top w:val="nil"/>
              <w:left w:val="nil"/>
              <w:bottom w:val="single" w:sz="4" w:space="0" w:color="auto"/>
              <w:right w:val="single" w:sz="4" w:space="0" w:color="auto"/>
            </w:tcBorders>
            <w:shd w:val="clear" w:color="000000" w:fill="BFBFBF"/>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25</w:t>
            </w:r>
          </w:p>
        </w:tc>
        <w:tc>
          <w:tcPr>
            <w:tcW w:w="1350" w:type="dxa"/>
            <w:tcBorders>
              <w:top w:val="nil"/>
              <w:left w:val="nil"/>
              <w:bottom w:val="single" w:sz="4" w:space="0" w:color="auto"/>
              <w:right w:val="single" w:sz="4" w:space="0" w:color="auto"/>
            </w:tcBorders>
            <w:shd w:val="clear" w:color="000000" w:fill="BFBFBF"/>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25</w:t>
            </w:r>
          </w:p>
        </w:tc>
        <w:tc>
          <w:tcPr>
            <w:tcW w:w="1260" w:type="dxa"/>
            <w:tcBorders>
              <w:top w:val="nil"/>
              <w:left w:val="nil"/>
              <w:bottom w:val="single" w:sz="4" w:space="0" w:color="auto"/>
              <w:right w:val="single" w:sz="4" w:space="0" w:color="auto"/>
            </w:tcBorders>
            <w:shd w:val="clear" w:color="000000" w:fill="BFBFBF"/>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15</w:t>
            </w:r>
          </w:p>
        </w:tc>
        <w:tc>
          <w:tcPr>
            <w:tcW w:w="1350" w:type="dxa"/>
            <w:tcBorders>
              <w:top w:val="nil"/>
              <w:left w:val="nil"/>
              <w:bottom w:val="single" w:sz="4" w:space="0" w:color="auto"/>
              <w:right w:val="single" w:sz="4" w:space="0" w:color="auto"/>
            </w:tcBorders>
            <w:shd w:val="clear" w:color="000000" w:fill="A6A6A6"/>
            <w:vAlign w:val="bottom"/>
            <w:hideMark/>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r>
    </w:tbl>
    <w:p>
      <w:pPr>
        <w:pStyle w:val="Paragraph"/>
        <w:numPr>
          <w:ilvl w:val="0"/>
          <w:numId w:val="0"/>
        </w:numPr>
        <w:ind w:left="-180"/>
        <w:outlineLvl w:val="9"/>
        <w:rPr>
          <w:rFonts w:ascii="Arial" w:hAnsi="Arial" w:cs="Arial"/>
          <w:sz w:val="22"/>
          <w:szCs w:val="22"/>
          <w:lang w:val="es-ES_tradnl"/>
        </w:rPr>
      </w:pPr>
    </w:p>
    <w:p>
      <w:pPr>
        <w:pStyle w:val="Paragraph"/>
        <w:numPr>
          <w:ilvl w:val="2"/>
          <w:numId w:val="11"/>
        </w:numPr>
        <w:tabs>
          <w:tab w:val="clear" w:pos="2304"/>
        </w:tabs>
        <w:ind w:left="1170" w:hanging="540"/>
        <w:outlineLvl w:val="9"/>
        <w:rPr>
          <w:rFonts w:ascii="Arial" w:hAnsi="Arial" w:cs="Arial"/>
          <w:sz w:val="22"/>
          <w:szCs w:val="22"/>
          <w:lang w:val="es-ES_tradnl"/>
        </w:rPr>
      </w:pPr>
      <w:r>
        <w:rPr>
          <w:rFonts w:ascii="Arial" w:hAnsi="Arial" w:cs="Arial"/>
          <w:sz w:val="22"/>
          <w:szCs w:val="22"/>
          <w:lang w:val="es-ES_tradnl"/>
        </w:rPr>
        <w:t>Costos económicos de mantenimiento:</w:t>
      </w:r>
    </w:p>
    <w:tbl>
      <w:tblPr>
        <w:tblW w:w="8040" w:type="dxa"/>
        <w:tblLook w:val="04A0" w:firstRow="1" w:lastRow="0" w:firstColumn="1" w:lastColumn="0" w:noHBand="0" w:noVBand="1"/>
      </w:tblPr>
      <w:tblGrid>
        <w:gridCol w:w="2644"/>
        <w:gridCol w:w="1471"/>
        <w:gridCol w:w="2090"/>
        <w:gridCol w:w="1835"/>
      </w:tblGrid>
      <w:tr>
        <w:trPr>
          <w:trHeight w:val="285"/>
        </w:trPr>
        <w:tc>
          <w:tcPr>
            <w:tcW w:w="8040" w:type="dxa"/>
            <w:gridSpan w:val="4"/>
            <w:tcBorders>
              <w:top w:val="single" w:sz="4" w:space="0" w:color="auto"/>
              <w:left w:val="single" w:sz="4" w:space="0" w:color="auto"/>
              <w:bottom w:val="single" w:sz="4" w:space="0" w:color="auto"/>
              <w:right w:val="single" w:sz="4" w:space="0" w:color="000000"/>
            </w:tcBorders>
            <w:shd w:val="clear" w:color="000000" w:fill="C0C0C0"/>
            <w:vAlign w:val="bottom"/>
            <w:hideMark/>
          </w:tcPr>
          <w:p>
            <w:pPr>
              <w:spacing w:after="0" w:line="240" w:lineRule="auto"/>
              <w:jc w:val="center"/>
              <w:rPr>
                <w:rFonts w:ascii="Arial" w:eastAsia="Times New Roman" w:hAnsi="Arial" w:cs="Arial"/>
                <w:b/>
                <w:bCs/>
                <w:color w:val="000000"/>
                <w:sz w:val="20"/>
                <w:szCs w:val="20"/>
                <w:lang w:val="es-ES_tradnl"/>
              </w:rPr>
            </w:pPr>
            <w:r>
              <w:rPr>
                <w:rFonts w:ascii="Arial" w:eastAsia="Times New Roman" w:hAnsi="Arial" w:cs="Arial"/>
                <w:b/>
                <w:bCs/>
                <w:color w:val="000000"/>
                <w:sz w:val="20"/>
                <w:szCs w:val="20"/>
                <w:lang w:val="es-ES_tradnl"/>
              </w:rPr>
              <w:t>Cuadro 3 - Costos de mantenimiento (US$)</w:t>
            </w:r>
          </w:p>
        </w:tc>
      </w:tr>
      <w:tr>
        <w:trPr>
          <w:trHeight w:val="276"/>
        </w:trPr>
        <w:tc>
          <w:tcPr>
            <w:tcW w:w="2644" w:type="dxa"/>
            <w:tcBorders>
              <w:top w:val="nil"/>
              <w:left w:val="single" w:sz="4" w:space="0" w:color="auto"/>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Activos</w:t>
            </w:r>
          </w:p>
        </w:tc>
        <w:tc>
          <w:tcPr>
            <w:tcW w:w="1471"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Años</w:t>
            </w:r>
          </w:p>
        </w:tc>
        <w:tc>
          <w:tcPr>
            <w:tcW w:w="2090"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Inv. Fin.</w:t>
            </w:r>
          </w:p>
        </w:tc>
        <w:tc>
          <w:tcPr>
            <w:tcW w:w="1835"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Inv. Social</w:t>
            </w:r>
          </w:p>
        </w:tc>
      </w:tr>
      <w:tr>
        <w:trPr>
          <w:trHeight w:val="276"/>
        </w:trPr>
        <w:tc>
          <w:tcPr>
            <w:tcW w:w="2644"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Servicios</w:t>
            </w:r>
          </w:p>
        </w:tc>
        <w:tc>
          <w:tcPr>
            <w:tcW w:w="1471"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10 años</w:t>
            </w:r>
          </w:p>
        </w:tc>
        <w:tc>
          <w:tcPr>
            <w:tcW w:w="2090"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17,645,838</w:t>
            </w:r>
          </w:p>
        </w:tc>
        <w:tc>
          <w:tcPr>
            <w:tcW w:w="1835"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17,316,393</w:t>
            </w:r>
          </w:p>
        </w:tc>
      </w:tr>
      <w:tr>
        <w:trPr>
          <w:trHeight w:val="283"/>
        </w:trPr>
        <w:tc>
          <w:tcPr>
            <w:tcW w:w="2644"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Sistemas de Computación</w:t>
            </w:r>
          </w:p>
        </w:tc>
        <w:tc>
          <w:tcPr>
            <w:tcW w:w="1471"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 años</w:t>
            </w:r>
          </w:p>
        </w:tc>
        <w:tc>
          <w:tcPr>
            <w:tcW w:w="2090"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6,970,000</w:t>
            </w:r>
          </w:p>
        </w:tc>
        <w:tc>
          <w:tcPr>
            <w:tcW w:w="1835"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6,575,472</w:t>
            </w:r>
          </w:p>
        </w:tc>
      </w:tr>
      <w:tr>
        <w:trPr>
          <w:trHeight w:val="276"/>
        </w:trPr>
        <w:tc>
          <w:tcPr>
            <w:tcW w:w="2644"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Equipos Informáticos</w:t>
            </w:r>
          </w:p>
        </w:tc>
        <w:tc>
          <w:tcPr>
            <w:tcW w:w="1471"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 años</w:t>
            </w:r>
          </w:p>
        </w:tc>
        <w:tc>
          <w:tcPr>
            <w:tcW w:w="2090"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3,606,480</w:t>
            </w:r>
          </w:p>
        </w:tc>
        <w:tc>
          <w:tcPr>
            <w:tcW w:w="1835"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3,402,340</w:t>
            </w:r>
          </w:p>
        </w:tc>
      </w:tr>
    </w:tbl>
    <w:p>
      <w:pPr>
        <w:pStyle w:val="Paragraph"/>
        <w:numPr>
          <w:ilvl w:val="0"/>
          <w:numId w:val="0"/>
        </w:numPr>
        <w:ind w:left="1296" w:hanging="1296"/>
        <w:outlineLvl w:val="9"/>
        <w:rPr>
          <w:rFonts w:ascii="Arial" w:hAnsi="Arial" w:cs="Arial"/>
          <w:sz w:val="22"/>
          <w:szCs w:val="22"/>
          <w:lang w:val="es-ES_tradnl"/>
        </w:rPr>
      </w:pPr>
    </w:p>
    <w:p>
      <w:pPr>
        <w:pStyle w:val="Chapter"/>
        <w:numPr>
          <w:ilvl w:val="0"/>
          <w:numId w:val="2"/>
        </w:numPr>
        <w:ind w:left="900" w:hanging="792"/>
        <w:jc w:val="left"/>
        <w:outlineLvl w:val="0"/>
        <w:rPr>
          <w:rFonts w:ascii="Arial" w:hAnsi="Arial" w:cs="Arial"/>
          <w:sz w:val="22"/>
          <w:szCs w:val="22"/>
          <w:lang w:val="es-ES_tradnl"/>
        </w:rPr>
      </w:pPr>
      <w:bookmarkStart w:id="10" w:name="_Toc490641733"/>
      <w:r>
        <w:rPr>
          <w:rFonts w:ascii="Arial" w:hAnsi="Arial" w:cs="Arial"/>
          <w:sz w:val="22"/>
          <w:szCs w:val="22"/>
          <w:lang w:val="es-ES_tradnl"/>
        </w:rPr>
        <w:lastRenderedPageBreak/>
        <w:t>Estimación del Beneficio Económico en Valor Presente</w:t>
      </w:r>
      <w:bookmarkEnd w:id="10"/>
    </w:p>
    <w:p>
      <w:pPr>
        <w:pStyle w:val="Paragraph"/>
        <w:numPr>
          <w:ilvl w:val="1"/>
          <w:numId w:val="2"/>
        </w:numPr>
        <w:tabs>
          <w:tab w:val="clear" w:pos="1296"/>
          <w:tab w:val="num" w:pos="720"/>
        </w:tabs>
        <w:ind w:left="720" w:hanging="720"/>
        <w:outlineLvl w:val="9"/>
        <w:rPr>
          <w:rFonts w:ascii="Arial" w:hAnsi="Arial" w:cs="Arial"/>
          <w:sz w:val="22"/>
          <w:szCs w:val="22"/>
          <w:lang w:val="es-ES_tradnl"/>
        </w:rPr>
      </w:pPr>
      <w:r>
        <w:rPr>
          <w:rFonts w:ascii="Arial" w:hAnsi="Arial" w:cs="Arial"/>
          <w:sz w:val="22"/>
          <w:szCs w:val="22"/>
          <w:lang w:val="es-ES_tradnl"/>
        </w:rPr>
        <w:t xml:space="preserve">De acuerdo con el Cuadro 4 a continuación, al final del año 2028 (10 años desde el inicio de la ejecución de las actividades del Programa) las inversiones del Programa estarán generando un VPN de US$4,0 millones con una Tasa Interna de Retorno del 21%. </w:t>
      </w:r>
    </w:p>
    <w:p>
      <w:pPr>
        <w:pStyle w:val="Paragraph"/>
        <w:numPr>
          <w:ilvl w:val="0"/>
          <w:numId w:val="0"/>
        </w:numPr>
        <w:ind w:left="1296" w:hanging="1836"/>
        <w:outlineLvl w:val="9"/>
        <w:rPr>
          <w:rFonts w:ascii="Arial" w:hAnsi="Arial" w:cs="Arial"/>
          <w:lang w:val="es-ES_tradnl"/>
        </w:rPr>
      </w:pPr>
      <w:r>
        <w:rPr>
          <w:noProof/>
        </w:rPr>
        <w:drawing>
          <wp:anchor distT="0" distB="0" distL="114300" distR="114300" simplePos="0" relativeHeight="251670528" behindDoc="1" locked="0" layoutInCell="1" allowOverlap="1">
            <wp:simplePos x="0" y="0"/>
            <wp:positionH relativeFrom="column">
              <wp:posOffset>-166371</wp:posOffset>
            </wp:positionH>
            <wp:positionV relativeFrom="paragraph">
              <wp:posOffset>15240</wp:posOffset>
            </wp:positionV>
            <wp:extent cx="6374537" cy="24765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8985" cy="247822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lang w:val="es-ES_tradnl"/>
        </w:rPr>
        <w:t xml:space="preserve">    </w:t>
      </w:r>
    </w:p>
    <w:p>
      <w:pPr>
        <w:pStyle w:val="Paragraph"/>
        <w:numPr>
          <w:ilvl w:val="0"/>
          <w:numId w:val="0"/>
        </w:numPr>
        <w:ind w:left="1296" w:hanging="1836"/>
        <w:outlineLvl w:val="9"/>
        <w:rPr>
          <w:rFonts w:ascii="Arial" w:hAnsi="Arial" w:cs="Arial"/>
          <w:lang w:val="es-ES_tradnl"/>
        </w:rPr>
      </w:pPr>
    </w:p>
    <w:p>
      <w:pPr>
        <w:pStyle w:val="Paragraph"/>
        <w:numPr>
          <w:ilvl w:val="0"/>
          <w:numId w:val="0"/>
        </w:numPr>
        <w:ind w:left="1296" w:hanging="1836"/>
        <w:outlineLvl w:val="9"/>
        <w:rPr>
          <w:rFonts w:ascii="Arial" w:hAnsi="Arial" w:cs="Arial"/>
          <w:lang w:val="es-ES_tradnl"/>
        </w:rPr>
      </w:pPr>
    </w:p>
    <w:p>
      <w:pPr>
        <w:pStyle w:val="Paragraph"/>
        <w:numPr>
          <w:ilvl w:val="0"/>
          <w:numId w:val="0"/>
        </w:numPr>
        <w:ind w:left="1296" w:hanging="1836"/>
        <w:outlineLvl w:val="9"/>
        <w:rPr>
          <w:rFonts w:ascii="Arial" w:hAnsi="Arial" w:cs="Arial"/>
          <w:lang w:val="es-ES_tradnl"/>
        </w:rPr>
      </w:pPr>
    </w:p>
    <w:p>
      <w:pPr>
        <w:pStyle w:val="Paragraph"/>
        <w:numPr>
          <w:ilvl w:val="0"/>
          <w:numId w:val="0"/>
        </w:numPr>
        <w:ind w:left="1296" w:hanging="1836"/>
        <w:outlineLvl w:val="9"/>
        <w:rPr>
          <w:rFonts w:ascii="Arial" w:hAnsi="Arial" w:cs="Arial"/>
          <w:lang w:val="es-ES_tradnl"/>
        </w:rPr>
      </w:pPr>
    </w:p>
    <w:p>
      <w:pPr>
        <w:pStyle w:val="Paragraph"/>
        <w:numPr>
          <w:ilvl w:val="0"/>
          <w:numId w:val="0"/>
        </w:numPr>
        <w:ind w:left="1296" w:hanging="1836"/>
        <w:outlineLvl w:val="9"/>
        <w:rPr>
          <w:rFonts w:ascii="Arial" w:hAnsi="Arial" w:cs="Arial"/>
          <w:lang w:val="es-ES_tradnl"/>
        </w:rPr>
      </w:pPr>
    </w:p>
    <w:p>
      <w:pPr>
        <w:pStyle w:val="Paragraph"/>
        <w:numPr>
          <w:ilvl w:val="0"/>
          <w:numId w:val="0"/>
        </w:numPr>
        <w:ind w:left="1296" w:hanging="1836"/>
        <w:outlineLvl w:val="9"/>
        <w:rPr>
          <w:rFonts w:ascii="Arial" w:hAnsi="Arial" w:cs="Arial"/>
          <w:lang w:val="es-ES_tradnl"/>
        </w:rPr>
      </w:pPr>
    </w:p>
    <w:p>
      <w:pPr>
        <w:pStyle w:val="Paragraph"/>
        <w:numPr>
          <w:ilvl w:val="0"/>
          <w:numId w:val="0"/>
        </w:numPr>
        <w:ind w:left="1296" w:hanging="1836"/>
        <w:outlineLvl w:val="9"/>
        <w:rPr>
          <w:rFonts w:ascii="Arial" w:hAnsi="Arial" w:cs="Arial"/>
          <w:lang w:val="es-ES_tradnl"/>
        </w:rPr>
      </w:pPr>
    </w:p>
    <w:p>
      <w:pPr>
        <w:pStyle w:val="Paragraph"/>
        <w:numPr>
          <w:ilvl w:val="0"/>
          <w:numId w:val="0"/>
        </w:numPr>
        <w:ind w:left="1296" w:hanging="1836"/>
        <w:outlineLvl w:val="9"/>
        <w:rPr>
          <w:rFonts w:ascii="Arial" w:hAnsi="Arial" w:cs="Arial"/>
          <w:lang w:val="es-ES_tradnl"/>
        </w:rPr>
      </w:pPr>
    </w:p>
    <w:p>
      <w:pPr>
        <w:pStyle w:val="Paragraph"/>
        <w:numPr>
          <w:ilvl w:val="0"/>
          <w:numId w:val="0"/>
        </w:numPr>
        <w:ind w:left="1296" w:hanging="1836"/>
        <w:outlineLvl w:val="9"/>
        <w:rPr>
          <w:rFonts w:ascii="Arial" w:hAnsi="Arial" w:cs="Arial"/>
          <w:sz w:val="22"/>
          <w:szCs w:val="22"/>
          <w:lang w:val="es-ES_tradnl"/>
        </w:rPr>
      </w:pPr>
    </w:p>
    <w:p>
      <w:pPr>
        <w:pStyle w:val="Paragraph"/>
        <w:numPr>
          <w:ilvl w:val="0"/>
          <w:numId w:val="0"/>
        </w:numPr>
        <w:outlineLvl w:val="9"/>
        <w:rPr>
          <w:rFonts w:ascii="Arial" w:hAnsi="Arial" w:cs="Arial"/>
          <w:sz w:val="22"/>
          <w:szCs w:val="22"/>
          <w:lang w:val="es-ES_tradnl"/>
        </w:rPr>
      </w:pPr>
    </w:p>
    <w:p>
      <w:pPr>
        <w:pStyle w:val="Chapter"/>
        <w:numPr>
          <w:ilvl w:val="0"/>
          <w:numId w:val="2"/>
        </w:numPr>
        <w:ind w:left="900" w:hanging="792"/>
        <w:jc w:val="left"/>
        <w:outlineLvl w:val="0"/>
        <w:rPr>
          <w:rFonts w:ascii="Arial" w:hAnsi="Arial" w:cs="Arial"/>
          <w:sz w:val="22"/>
          <w:szCs w:val="22"/>
          <w:lang w:val="es-ES_tradnl"/>
        </w:rPr>
      </w:pPr>
      <w:bookmarkStart w:id="11" w:name="_Toc490641734"/>
      <w:r>
        <w:rPr>
          <w:rFonts w:ascii="Arial" w:hAnsi="Arial" w:cs="Arial"/>
          <w:sz w:val="22"/>
          <w:szCs w:val="22"/>
          <w:lang w:val="es-ES_tradnl"/>
        </w:rPr>
        <w:t>Análisis de Sensibilidad</w:t>
      </w:r>
      <w:bookmarkEnd w:id="11"/>
    </w:p>
    <w:p>
      <w:pPr>
        <w:pStyle w:val="Paragraph"/>
        <w:numPr>
          <w:ilvl w:val="1"/>
          <w:numId w:val="2"/>
        </w:numPr>
        <w:tabs>
          <w:tab w:val="clear" w:pos="1296"/>
          <w:tab w:val="num" w:pos="720"/>
        </w:tabs>
        <w:ind w:left="720" w:hanging="720"/>
        <w:outlineLvl w:val="9"/>
        <w:rPr>
          <w:rFonts w:ascii="Arial" w:hAnsi="Arial" w:cs="Arial"/>
          <w:sz w:val="22"/>
          <w:szCs w:val="22"/>
          <w:lang w:val="es-ES_tradnl"/>
        </w:rPr>
        <w:sectPr>
          <w:pgSz w:w="11906" w:h="16838"/>
          <w:pgMar w:top="994" w:right="1440" w:bottom="1166" w:left="1354" w:header="720" w:footer="720" w:gutter="0"/>
          <w:cols w:space="720"/>
          <w:docGrid w:linePitch="360"/>
        </w:sectPr>
      </w:pPr>
      <w:r>
        <w:rPr>
          <w:rFonts w:ascii="Arial" w:hAnsi="Arial" w:cs="Arial"/>
          <w:sz w:val="22"/>
          <w:szCs w:val="22"/>
          <w:lang w:val="es-ES_tradnl"/>
        </w:rPr>
        <w:t xml:space="preserve">El análisis de sensibilidad simula cuál sería el menor porcentaje de proyectos que tendría que finalizar su ejecución para que se lograse una TIR de 12%. El Cuadro 5 simula la hipótesis de que el 99.4% de los proyectos que reciben elegibilidad culminan su ejecución. En este escenario, la TIR sería de </w:t>
      </w:r>
      <w:r>
        <w:rPr>
          <w:rFonts w:ascii="Arial" w:hAnsi="Arial" w:cs="Arial"/>
          <w:color w:val="000000" w:themeColor="text1"/>
          <w:sz w:val="22"/>
          <w:szCs w:val="22"/>
          <w:lang w:val="es-ES_tradnl"/>
        </w:rPr>
        <w:t xml:space="preserve">12% </w:t>
      </w:r>
      <w:r>
        <w:rPr>
          <w:rFonts w:ascii="Arial" w:hAnsi="Arial" w:cs="Arial"/>
          <w:sz w:val="22"/>
          <w:szCs w:val="22"/>
          <w:lang w:val="es-ES_tradnl"/>
        </w:rPr>
        <w:t>al final del año 2028, con un VPN de US$ 1,7 millones conforme se presenta en el Cuadro 6.</w:t>
      </w:r>
    </w:p>
    <w:p>
      <w:pPr>
        <w:pStyle w:val="Paragraph"/>
        <w:numPr>
          <w:ilvl w:val="0"/>
          <w:numId w:val="0"/>
        </w:numPr>
        <w:outlineLvl w:val="9"/>
        <w:rPr>
          <w:rFonts w:ascii="Arial" w:hAnsi="Arial" w:cs="Arial"/>
          <w:sz w:val="22"/>
          <w:szCs w:val="22"/>
          <w:lang w:val="es-ES_tradnl"/>
        </w:rPr>
      </w:pPr>
      <w:r>
        <w:rPr>
          <w:noProof/>
        </w:rPr>
        <w:lastRenderedPageBreak/>
        <w:drawing>
          <wp:anchor distT="0" distB="0" distL="114300" distR="114300" simplePos="0" relativeHeight="251671552" behindDoc="1" locked="0" layoutInCell="1" allowOverlap="1">
            <wp:simplePos x="0" y="0"/>
            <wp:positionH relativeFrom="column">
              <wp:posOffset>-123190</wp:posOffset>
            </wp:positionH>
            <wp:positionV relativeFrom="paragraph">
              <wp:posOffset>176530</wp:posOffset>
            </wp:positionV>
            <wp:extent cx="9570418" cy="22250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89102" cy="22293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pPr>
        <w:pStyle w:val="Paragraph"/>
        <w:numPr>
          <w:ilvl w:val="0"/>
          <w:numId w:val="0"/>
        </w:numPr>
        <w:ind w:left="720"/>
        <w:outlineLvl w:val="9"/>
        <w:rPr>
          <w:rFonts w:ascii="Arial" w:hAnsi="Arial" w:cs="Arial"/>
          <w:sz w:val="22"/>
          <w:szCs w:val="22"/>
          <w:lang w:val="es-ES_tradnl"/>
        </w:rPr>
      </w:pPr>
    </w:p>
    <w:p>
      <w:pPr>
        <w:pStyle w:val="Paragraph"/>
        <w:numPr>
          <w:ilvl w:val="0"/>
          <w:numId w:val="0"/>
        </w:numPr>
        <w:ind w:left="720"/>
        <w:outlineLvl w:val="9"/>
        <w:rPr>
          <w:rFonts w:ascii="Arial" w:hAnsi="Arial" w:cs="Arial"/>
          <w:sz w:val="22"/>
          <w:szCs w:val="22"/>
          <w:lang w:val="es-ES_tradnl"/>
        </w:rPr>
      </w:pPr>
      <w:r>
        <w:rPr>
          <w:noProof/>
        </w:rPr>
        <w:drawing>
          <wp:anchor distT="0" distB="0" distL="114300" distR="114300" simplePos="0" relativeHeight="251672576" behindDoc="1" locked="0" layoutInCell="1" allowOverlap="1">
            <wp:simplePos x="0" y="0"/>
            <wp:positionH relativeFrom="margin">
              <wp:posOffset>859790</wp:posOffset>
            </wp:positionH>
            <wp:positionV relativeFrom="paragraph">
              <wp:posOffset>2141087</wp:posOffset>
            </wp:positionV>
            <wp:extent cx="7399020" cy="2874778"/>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17578" cy="28819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lang w:val="es-ES_tradnl"/>
        </w:rPr>
        <w:t xml:space="preserve">   </w:t>
      </w:r>
    </w:p>
    <w:p>
      <w:pPr>
        <w:rPr>
          <w:rFonts w:ascii="Arial" w:hAnsi="Arial" w:cs="Arial"/>
          <w:lang w:val="es-ES_tradnl"/>
        </w:rPr>
        <w:sectPr>
          <w:pgSz w:w="16838" w:h="11906" w:orient="landscape"/>
          <w:pgMar w:top="1354" w:right="994" w:bottom="1440" w:left="1166" w:header="720" w:footer="720" w:gutter="0"/>
          <w:cols w:space="720"/>
          <w:docGrid w:linePitch="360"/>
        </w:sectPr>
      </w:pPr>
      <w:bookmarkStart w:id="12" w:name="_Toc479116397"/>
    </w:p>
    <w:p>
      <w:pPr>
        <w:pStyle w:val="Heading1"/>
        <w:rPr>
          <w:rFonts w:cs="Arial"/>
          <w:b w:val="0"/>
          <w:sz w:val="22"/>
          <w:szCs w:val="22"/>
          <w:lang w:val="es-ES_tradnl"/>
        </w:rPr>
      </w:pPr>
      <w:bookmarkStart w:id="13" w:name="_Toc490641735"/>
      <w:r>
        <w:rPr>
          <w:rFonts w:cs="Arial"/>
          <w:sz w:val="22"/>
          <w:szCs w:val="22"/>
          <w:lang w:val="es-ES_tradnl"/>
        </w:rPr>
        <w:lastRenderedPageBreak/>
        <w:t>ANEXO I – Precios Sombra - Estimación de los Costos Económicos de Inversión y Mantenimiento</w:t>
      </w:r>
      <w:bookmarkEnd w:id="12"/>
      <w:bookmarkEnd w:id="13"/>
    </w:p>
    <w:p>
      <w:pPr>
        <w:pStyle w:val="Heading2"/>
        <w:numPr>
          <w:ilvl w:val="0"/>
          <w:numId w:val="6"/>
        </w:numPr>
        <w:ind w:left="360"/>
        <w:rPr>
          <w:rFonts w:ascii="Arial" w:hAnsi="Arial" w:cs="Arial"/>
          <w:bCs w:val="0"/>
          <w:sz w:val="22"/>
          <w:szCs w:val="22"/>
          <w:lang w:val="es-ES_tradnl"/>
        </w:rPr>
      </w:pPr>
      <w:bookmarkStart w:id="14" w:name="_Toc479116398"/>
      <w:bookmarkStart w:id="15" w:name="_Toc490641736"/>
      <w:r>
        <w:rPr>
          <w:rFonts w:ascii="Arial" w:hAnsi="Arial" w:cs="Arial"/>
          <w:sz w:val="22"/>
          <w:szCs w:val="22"/>
          <w:lang w:val="es-ES_tradnl"/>
        </w:rPr>
        <w:t>Costos</w:t>
      </w:r>
      <w:r>
        <w:rPr>
          <w:rFonts w:ascii="Arial" w:hAnsi="Arial" w:cs="Arial"/>
          <w:spacing w:val="-4"/>
          <w:sz w:val="22"/>
          <w:szCs w:val="22"/>
          <w:lang w:val="es-ES_tradnl"/>
        </w:rPr>
        <w:t xml:space="preserve"> </w:t>
      </w:r>
      <w:r>
        <w:rPr>
          <w:rFonts w:ascii="Arial" w:hAnsi="Arial" w:cs="Arial"/>
          <w:sz w:val="22"/>
          <w:szCs w:val="22"/>
          <w:lang w:val="es-ES_tradnl"/>
        </w:rPr>
        <w:t>de</w:t>
      </w:r>
      <w:r>
        <w:rPr>
          <w:rFonts w:ascii="Arial" w:hAnsi="Arial" w:cs="Arial"/>
          <w:spacing w:val="-4"/>
          <w:sz w:val="22"/>
          <w:szCs w:val="22"/>
          <w:lang w:val="es-ES_tradnl"/>
        </w:rPr>
        <w:t xml:space="preserve"> </w:t>
      </w:r>
      <w:r>
        <w:rPr>
          <w:rFonts w:ascii="Arial" w:hAnsi="Arial" w:cs="Arial"/>
          <w:spacing w:val="-1"/>
          <w:sz w:val="22"/>
          <w:szCs w:val="22"/>
          <w:lang w:val="es-ES_tradnl"/>
        </w:rPr>
        <w:t>Inversión</w:t>
      </w:r>
      <w:bookmarkEnd w:id="14"/>
      <w:bookmarkEnd w:id="15"/>
    </w:p>
    <w:p>
      <w:pPr>
        <w:pStyle w:val="Paragraph"/>
        <w:numPr>
          <w:ilvl w:val="1"/>
          <w:numId w:val="3"/>
        </w:numPr>
        <w:ind w:left="540" w:hanging="540"/>
        <w:outlineLvl w:val="9"/>
        <w:rPr>
          <w:rFonts w:ascii="Arial" w:hAnsi="Arial" w:cs="Arial"/>
          <w:sz w:val="22"/>
          <w:szCs w:val="22"/>
          <w:lang w:val="es-ES_tradnl"/>
        </w:rPr>
      </w:pPr>
      <w:r>
        <w:rPr>
          <w:rFonts w:ascii="Arial" w:hAnsi="Arial" w:cs="Arial"/>
          <w:sz w:val="22"/>
          <w:szCs w:val="22"/>
          <w:lang w:val="es-ES_tradnl"/>
        </w:rPr>
        <w:t>Los costos de inversión incluyen los costos directos de equipos y costos indirectos, tales como costos de supervisión, capacitación y otros servicios, así como imprevistos. Los precios unitarios fueron tomados del Plan Operativo Anual (POA) del Programa.</w:t>
      </w:r>
    </w:p>
    <w:p>
      <w:pPr>
        <w:pStyle w:val="Paragraph"/>
        <w:numPr>
          <w:ilvl w:val="1"/>
          <w:numId w:val="3"/>
        </w:numPr>
        <w:ind w:left="540" w:hanging="540"/>
        <w:outlineLvl w:val="9"/>
        <w:rPr>
          <w:rFonts w:ascii="Arial" w:hAnsi="Arial" w:cs="Arial"/>
          <w:sz w:val="22"/>
          <w:szCs w:val="22"/>
          <w:lang w:val="es-ES_tradnl"/>
        </w:rPr>
      </w:pPr>
      <w:bookmarkStart w:id="16" w:name="Cuadro_2:_Costos_de_inversión_por_catego"/>
      <w:bookmarkEnd w:id="16"/>
      <w:r>
        <w:rPr>
          <w:rFonts w:ascii="Arial" w:hAnsi="Arial" w:cs="Arial"/>
          <w:sz w:val="22"/>
          <w:szCs w:val="22"/>
          <w:lang w:val="es-ES_tradnl"/>
        </w:rPr>
        <w:t>El valor total de las inversiones planeadas a precios de mercado alcanza US$73,8 millones. El detalle de los costos de inversión se presenta en el Cuadro 1.</w:t>
      </w:r>
    </w:p>
    <w:tbl>
      <w:tblPr>
        <w:tblpPr w:leftFromText="180" w:rightFromText="180" w:vertAnchor="text" w:horzAnchor="page" w:tblpX="3241" w:tblpY="172"/>
        <w:tblW w:w="6540" w:type="dxa"/>
        <w:tblLook w:val="04A0" w:firstRow="1" w:lastRow="0" w:firstColumn="1" w:lastColumn="0" w:noHBand="0" w:noVBand="1"/>
      </w:tblPr>
      <w:tblGrid>
        <w:gridCol w:w="5000"/>
        <w:gridCol w:w="1540"/>
      </w:tblGrid>
      <w:tr>
        <w:trPr>
          <w:trHeight w:val="255"/>
        </w:trPr>
        <w:tc>
          <w:tcPr>
            <w:tcW w:w="6540" w:type="dxa"/>
            <w:gridSpan w:val="2"/>
            <w:tcBorders>
              <w:top w:val="single" w:sz="4" w:space="0" w:color="auto"/>
              <w:left w:val="single" w:sz="4" w:space="0" w:color="auto"/>
              <w:bottom w:val="single" w:sz="4" w:space="0" w:color="auto"/>
              <w:right w:val="single" w:sz="4" w:space="0" w:color="000000"/>
            </w:tcBorders>
            <w:shd w:val="clear" w:color="000000" w:fill="C0C0C0"/>
            <w:vAlign w:val="bottom"/>
            <w:hideMark/>
          </w:tcPr>
          <w:p>
            <w:pPr>
              <w:spacing w:after="0" w:line="240" w:lineRule="auto"/>
              <w:jc w:val="center"/>
              <w:rPr>
                <w:rFonts w:ascii="Arial" w:eastAsia="Times New Roman" w:hAnsi="Arial" w:cs="Arial"/>
                <w:b/>
                <w:bCs/>
                <w:color w:val="000000"/>
                <w:sz w:val="20"/>
                <w:szCs w:val="20"/>
                <w:lang w:val="es-ES_tradnl"/>
              </w:rPr>
            </w:pPr>
            <w:r>
              <w:rPr>
                <w:rFonts w:ascii="Arial" w:eastAsia="Times New Roman" w:hAnsi="Arial" w:cs="Arial"/>
                <w:b/>
                <w:bCs/>
                <w:color w:val="000000"/>
                <w:sz w:val="20"/>
                <w:szCs w:val="20"/>
                <w:lang w:val="es-ES_tradnl"/>
              </w:rPr>
              <w:t>Cuadro 1: Costos de inversión por categoría (US$)</w:t>
            </w:r>
          </w:p>
        </w:tc>
      </w:tr>
      <w:tr>
        <w:trPr>
          <w:trHeight w:val="264"/>
        </w:trPr>
        <w:tc>
          <w:tcPr>
            <w:tcW w:w="5000" w:type="dxa"/>
            <w:tcBorders>
              <w:top w:val="nil"/>
              <w:left w:val="single" w:sz="4" w:space="0" w:color="auto"/>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Categoría</w:t>
            </w:r>
          </w:p>
        </w:tc>
        <w:tc>
          <w:tcPr>
            <w:tcW w:w="1540"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Costo</w:t>
            </w:r>
          </w:p>
        </w:tc>
      </w:tr>
      <w:tr>
        <w:trPr>
          <w:trHeight w:val="264"/>
        </w:trPr>
        <w:tc>
          <w:tcPr>
            <w:tcW w:w="5000"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Sistemas de computador y aplicativos</w:t>
            </w:r>
          </w:p>
        </w:tc>
        <w:tc>
          <w:tcPr>
            <w:tcW w:w="154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6,970,000</w:t>
            </w:r>
          </w:p>
        </w:tc>
      </w:tr>
      <w:tr>
        <w:trPr>
          <w:trHeight w:val="264"/>
        </w:trPr>
        <w:tc>
          <w:tcPr>
            <w:tcW w:w="5000"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Computadoras, servidores y hardware diversos</w:t>
            </w:r>
          </w:p>
        </w:tc>
        <w:tc>
          <w:tcPr>
            <w:tcW w:w="154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3,606,480</w:t>
            </w:r>
          </w:p>
        </w:tc>
      </w:tr>
      <w:tr>
        <w:trPr>
          <w:trHeight w:val="264"/>
        </w:trPr>
        <w:tc>
          <w:tcPr>
            <w:tcW w:w="5000"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Servicios Generales</w:t>
            </w:r>
          </w:p>
        </w:tc>
        <w:tc>
          <w:tcPr>
            <w:tcW w:w="1540" w:type="dxa"/>
            <w:tcBorders>
              <w:top w:val="nil"/>
              <w:left w:val="nil"/>
              <w:bottom w:val="single" w:sz="4" w:space="0" w:color="auto"/>
              <w:right w:val="single" w:sz="4" w:space="0" w:color="auto"/>
            </w:tcBorders>
            <w:shd w:val="clear" w:color="000000" w:fill="FFFFFF"/>
            <w:vAlign w:val="center"/>
            <w:hideMark/>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44,114,596</w:t>
            </w:r>
          </w:p>
        </w:tc>
      </w:tr>
      <w:tr>
        <w:trPr>
          <w:trHeight w:val="264"/>
        </w:trPr>
        <w:tc>
          <w:tcPr>
            <w:tcW w:w="5000"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Mano de obra</w:t>
            </w:r>
          </w:p>
        </w:tc>
        <w:tc>
          <w:tcPr>
            <w:tcW w:w="1540" w:type="dxa"/>
            <w:tcBorders>
              <w:top w:val="nil"/>
              <w:left w:val="nil"/>
              <w:bottom w:val="single" w:sz="4" w:space="0" w:color="auto"/>
              <w:right w:val="single" w:sz="4" w:space="0" w:color="auto"/>
            </w:tcBorders>
            <w:shd w:val="clear" w:color="000000" w:fill="FFFFFF"/>
            <w:vAlign w:val="center"/>
            <w:hideMark/>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19,058,925</w:t>
            </w:r>
          </w:p>
        </w:tc>
      </w:tr>
      <w:tr>
        <w:trPr>
          <w:trHeight w:val="264"/>
        </w:trPr>
        <w:tc>
          <w:tcPr>
            <w:tcW w:w="5000" w:type="dxa"/>
            <w:tcBorders>
              <w:top w:val="nil"/>
              <w:left w:val="single" w:sz="4" w:space="0" w:color="auto"/>
              <w:bottom w:val="single" w:sz="4" w:space="0" w:color="auto"/>
              <w:right w:val="single" w:sz="4" w:space="0" w:color="auto"/>
            </w:tcBorders>
            <w:shd w:val="clear" w:color="auto" w:fill="auto"/>
            <w:vAlign w:val="bottom"/>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Imprevistos</w:t>
            </w:r>
          </w:p>
        </w:tc>
        <w:tc>
          <w:tcPr>
            <w:tcW w:w="1540" w:type="dxa"/>
            <w:tcBorders>
              <w:top w:val="nil"/>
              <w:left w:val="nil"/>
              <w:bottom w:val="single" w:sz="4" w:space="0" w:color="auto"/>
              <w:right w:val="single" w:sz="4" w:space="0" w:color="auto"/>
            </w:tcBorders>
            <w:shd w:val="clear" w:color="000000" w:fill="FFFFFF"/>
            <w:vAlign w:val="center"/>
          </w:tcPr>
          <w:p>
            <w:pPr>
              <w:spacing w:after="0" w:line="240" w:lineRule="auto"/>
              <w:jc w:val="right"/>
              <w:rPr>
                <w:rFonts w:ascii="Arial" w:eastAsia="Times New Roman" w:hAnsi="Arial" w:cs="Arial"/>
                <w:color w:val="000000"/>
                <w:sz w:val="20"/>
                <w:szCs w:val="20"/>
              </w:rPr>
            </w:pPr>
          </w:p>
        </w:tc>
      </w:tr>
      <w:tr>
        <w:trPr>
          <w:trHeight w:val="264"/>
        </w:trPr>
        <w:tc>
          <w:tcPr>
            <w:tcW w:w="5000"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Total</w:t>
            </w:r>
          </w:p>
        </w:tc>
        <w:tc>
          <w:tcPr>
            <w:tcW w:w="154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73,750,000</w:t>
            </w:r>
          </w:p>
        </w:tc>
      </w:tr>
    </w:tbl>
    <w:p>
      <w:pPr>
        <w:pStyle w:val="Paragraph"/>
        <w:numPr>
          <w:ilvl w:val="0"/>
          <w:numId w:val="0"/>
        </w:numPr>
        <w:ind w:left="1296" w:hanging="1296"/>
        <w:outlineLvl w:val="9"/>
        <w:rPr>
          <w:rFonts w:ascii="Arial" w:hAnsi="Arial" w:cs="Arial"/>
          <w:sz w:val="22"/>
          <w:szCs w:val="22"/>
          <w:lang w:val="es-ES_tradnl"/>
        </w:rPr>
      </w:pPr>
    </w:p>
    <w:p>
      <w:pPr>
        <w:pStyle w:val="Paragraph"/>
        <w:numPr>
          <w:ilvl w:val="0"/>
          <w:numId w:val="0"/>
        </w:numPr>
        <w:ind w:left="1296" w:hanging="1296"/>
        <w:outlineLvl w:val="9"/>
        <w:rPr>
          <w:rFonts w:ascii="Arial" w:hAnsi="Arial" w:cs="Arial"/>
          <w:sz w:val="22"/>
          <w:szCs w:val="22"/>
          <w:lang w:val="es-ES_tradnl"/>
        </w:rPr>
      </w:pPr>
    </w:p>
    <w:p>
      <w:pPr>
        <w:pStyle w:val="Paragraph"/>
        <w:numPr>
          <w:ilvl w:val="0"/>
          <w:numId w:val="0"/>
        </w:numPr>
        <w:ind w:left="188"/>
        <w:outlineLvl w:val="9"/>
        <w:rPr>
          <w:rFonts w:ascii="Arial" w:hAnsi="Arial" w:cs="Arial"/>
          <w:sz w:val="22"/>
          <w:szCs w:val="22"/>
          <w:lang w:val="es-ES_tradnl"/>
        </w:rPr>
      </w:pPr>
    </w:p>
    <w:p>
      <w:pPr>
        <w:spacing w:before="120" w:after="120"/>
        <w:ind w:left="990" w:firstLine="1800"/>
        <w:contextualSpacing/>
        <w:jc w:val="both"/>
        <w:rPr>
          <w:rFonts w:ascii="Arial" w:hAnsi="Arial" w:cs="Arial"/>
          <w:lang w:val="es-ES_tradnl"/>
        </w:rPr>
      </w:pPr>
    </w:p>
    <w:p>
      <w:pPr>
        <w:pStyle w:val="Paragraph"/>
        <w:numPr>
          <w:ilvl w:val="1"/>
          <w:numId w:val="3"/>
        </w:numPr>
        <w:ind w:left="540" w:hanging="540"/>
        <w:outlineLvl w:val="9"/>
        <w:rPr>
          <w:rFonts w:ascii="Arial" w:hAnsi="Arial" w:cs="Arial"/>
          <w:sz w:val="22"/>
          <w:szCs w:val="22"/>
          <w:lang w:val="es-ES_tradnl"/>
        </w:rPr>
      </w:pPr>
      <w:r>
        <w:rPr>
          <w:rFonts w:ascii="Arial" w:hAnsi="Arial" w:cs="Arial"/>
          <w:sz w:val="22"/>
          <w:szCs w:val="22"/>
          <w:lang w:val="es-ES_tradnl"/>
        </w:rPr>
        <w:t>En el Cuadro 2 se muestra el valor de los costos financieros a través del tiempo en US$.</w:t>
      </w:r>
    </w:p>
    <w:tbl>
      <w:tblPr>
        <w:tblW w:w="10190" w:type="dxa"/>
        <w:tblInd w:w="-365" w:type="dxa"/>
        <w:tblLook w:val="04A0" w:firstRow="1" w:lastRow="0" w:firstColumn="1" w:lastColumn="0" w:noHBand="0" w:noVBand="1"/>
      </w:tblPr>
      <w:tblGrid>
        <w:gridCol w:w="1759"/>
        <w:gridCol w:w="1110"/>
        <w:gridCol w:w="1215"/>
        <w:gridCol w:w="1238"/>
        <w:gridCol w:w="1217"/>
        <w:gridCol w:w="1217"/>
        <w:gridCol w:w="1217"/>
        <w:gridCol w:w="1217"/>
      </w:tblGrid>
      <w:tr>
        <w:trPr>
          <w:trHeight w:val="243"/>
        </w:trPr>
        <w:tc>
          <w:tcPr>
            <w:tcW w:w="10190" w:type="dxa"/>
            <w:gridSpan w:val="8"/>
            <w:tcBorders>
              <w:top w:val="single" w:sz="4" w:space="0" w:color="auto"/>
              <w:left w:val="single" w:sz="4" w:space="0" w:color="auto"/>
              <w:bottom w:val="single" w:sz="4" w:space="0" w:color="auto"/>
              <w:right w:val="single" w:sz="4" w:space="0" w:color="000000"/>
            </w:tcBorders>
            <w:shd w:val="clear" w:color="000000" w:fill="C0C0C0"/>
            <w:vAlign w:val="bottom"/>
            <w:hideMark/>
          </w:tcPr>
          <w:p>
            <w:pPr>
              <w:spacing w:after="0" w:line="240" w:lineRule="auto"/>
              <w:jc w:val="center"/>
              <w:rPr>
                <w:rFonts w:ascii="Arial" w:eastAsia="Times New Roman" w:hAnsi="Arial" w:cs="Arial"/>
                <w:b/>
                <w:bCs/>
                <w:color w:val="000000"/>
                <w:sz w:val="20"/>
                <w:szCs w:val="20"/>
                <w:lang w:val="es-ES_tradnl"/>
              </w:rPr>
            </w:pPr>
            <w:r>
              <w:rPr>
                <w:rFonts w:ascii="Arial" w:eastAsia="Times New Roman" w:hAnsi="Arial" w:cs="Arial"/>
                <w:b/>
                <w:bCs/>
                <w:color w:val="000000"/>
                <w:sz w:val="20"/>
                <w:szCs w:val="20"/>
                <w:lang w:val="es-ES_tradnl"/>
              </w:rPr>
              <w:t>Cuadro 2 - Costos de inversión, por año de ejecución (US$)</w:t>
            </w:r>
          </w:p>
        </w:tc>
      </w:tr>
      <w:tr>
        <w:trPr>
          <w:trHeight w:val="252"/>
        </w:trPr>
        <w:tc>
          <w:tcPr>
            <w:tcW w:w="1850" w:type="dxa"/>
            <w:tcBorders>
              <w:top w:val="nil"/>
              <w:left w:val="single" w:sz="4" w:space="0" w:color="auto"/>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Categoría</w:t>
            </w:r>
          </w:p>
        </w:tc>
        <w:tc>
          <w:tcPr>
            <w:tcW w:w="1111"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2018</w:t>
            </w:r>
          </w:p>
        </w:tc>
        <w:tc>
          <w:tcPr>
            <w:tcW w:w="1231"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2019</w:t>
            </w:r>
          </w:p>
        </w:tc>
        <w:tc>
          <w:tcPr>
            <w:tcW w:w="1241"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2020</w:t>
            </w:r>
          </w:p>
        </w:tc>
        <w:tc>
          <w:tcPr>
            <w:tcW w:w="1217"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2021</w:t>
            </w:r>
          </w:p>
        </w:tc>
        <w:tc>
          <w:tcPr>
            <w:tcW w:w="1217"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2022</w:t>
            </w:r>
          </w:p>
        </w:tc>
        <w:tc>
          <w:tcPr>
            <w:tcW w:w="1106"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2023</w:t>
            </w:r>
          </w:p>
        </w:tc>
        <w:tc>
          <w:tcPr>
            <w:tcW w:w="1217"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Total</w:t>
            </w:r>
          </w:p>
        </w:tc>
      </w:tr>
      <w:tr>
        <w:trPr>
          <w:trHeight w:val="252"/>
        </w:trPr>
        <w:tc>
          <w:tcPr>
            <w:tcW w:w="185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Costo de inversión en US$</w:t>
            </w:r>
          </w:p>
        </w:tc>
        <w:tc>
          <w:tcPr>
            <w:tcW w:w="1111" w:type="dxa"/>
            <w:tcBorders>
              <w:top w:val="nil"/>
              <w:left w:val="nil"/>
              <w:bottom w:val="single" w:sz="4" w:space="0" w:color="auto"/>
              <w:right w:val="single" w:sz="4" w:space="0" w:color="auto"/>
            </w:tcBorders>
            <w:shd w:val="clear" w:color="auto" w:fill="auto"/>
            <w:vAlign w:val="center"/>
          </w:tcPr>
          <w:p>
            <w:pPr>
              <w:jc w:val="center"/>
              <w:rPr>
                <w:rFonts w:ascii="Arial" w:hAnsi="Arial" w:cs="Arial"/>
                <w:color w:val="000000"/>
                <w:sz w:val="20"/>
                <w:szCs w:val="20"/>
              </w:rPr>
            </w:pPr>
            <w:r>
              <w:rPr>
                <w:rFonts w:ascii="Arial" w:hAnsi="Arial" w:cs="Arial"/>
                <w:color w:val="000000"/>
                <w:sz w:val="20"/>
                <w:szCs w:val="20"/>
              </w:rPr>
              <w:t>3,687,500</w:t>
            </w:r>
          </w:p>
        </w:tc>
        <w:tc>
          <w:tcPr>
            <w:tcW w:w="1231" w:type="dxa"/>
            <w:tcBorders>
              <w:top w:val="nil"/>
              <w:left w:val="nil"/>
              <w:bottom w:val="single" w:sz="4" w:space="0" w:color="auto"/>
              <w:right w:val="single" w:sz="4" w:space="0" w:color="auto"/>
            </w:tcBorders>
            <w:shd w:val="clear" w:color="auto" w:fill="auto"/>
            <w:vAlign w:val="center"/>
          </w:tcPr>
          <w:p>
            <w:pPr>
              <w:jc w:val="center"/>
              <w:rPr>
                <w:rFonts w:ascii="Arial" w:hAnsi="Arial" w:cs="Arial"/>
                <w:color w:val="000000"/>
                <w:sz w:val="20"/>
                <w:szCs w:val="20"/>
              </w:rPr>
            </w:pPr>
            <w:r>
              <w:rPr>
                <w:rFonts w:ascii="Arial" w:hAnsi="Arial" w:cs="Arial"/>
                <w:color w:val="000000"/>
                <w:sz w:val="20"/>
                <w:szCs w:val="20"/>
              </w:rPr>
              <w:t>7,375,000</w:t>
            </w:r>
          </w:p>
        </w:tc>
        <w:tc>
          <w:tcPr>
            <w:tcW w:w="1241" w:type="dxa"/>
            <w:tcBorders>
              <w:top w:val="nil"/>
              <w:left w:val="nil"/>
              <w:bottom w:val="single" w:sz="4" w:space="0" w:color="auto"/>
              <w:right w:val="single" w:sz="4" w:space="0" w:color="auto"/>
            </w:tcBorders>
            <w:shd w:val="clear" w:color="auto" w:fill="auto"/>
            <w:vAlign w:val="center"/>
          </w:tcPr>
          <w:p>
            <w:pPr>
              <w:jc w:val="center"/>
              <w:rPr>
                <w:rFonts w:ascii="Arial" w:hAnsi="Arial" w:cs="Arial"/>
                <w:color w:val="000000"/>
                <w:sz w:val="20"/>
                <w:szCs w:val="20"/>
              </w:rPr>
            </w:pPr>
            <w:r>
              <w:rPr>
                <w:rFonts w:ascii="Arial" w:hAnsi="Arial" w:cs="Arial"/>
                <w:color w:val="000000"/>
                <w:sz w:val="20"/>
                <w:szCs w:val="20"/>
              </w:rPr>
              <w:t>14,750,000</w:t>
            </w:r>
          </w:p>
        </w:tc>
        <w:tc>
          <w:tcPr>
            <w:tcW w:w="1217" w:type="dxa"/>
            <w:tcBorders>
              <w:top w:val="nil"/>
              <w:left w:val="nil"/>
              <w:bottom w:val="single" w:sz="4" w:space="0" w:color="auto"/>
              <w:right w:val="single" w:sz="4" w:space="0" w:color="auto"/>
            </w:tcBorders>
            <w:shd w:val="clear" w:color="auto" w:fill="auto"/>
            <w:vAlign w:val="center"/>
          </w:tcPr>
          <w:p>
            <w:pPr>
              <w:jc w:val="center"/>
              <w:rPr>
                <w:rFonts w:ascii="Arial" w:hAnsi="Arial" w:cs="Arial"/>
                <w:color w:val="000000"/>
                <w:sz w:val="20"/>
                <w:szCs w:val="20"/>
              </w:rPr>
            </w:pPr>
            <w:r>
              <w:rPr>
                <w:rFonts w:ascii="Arial" w:hAnsi="Arial" w:cs="Arial"/>
                <w:color w:val="000000"/>
                <w:sz w:val="20"/>
                <w:szCs w:val="20"/>
              </w:rPr>
              <w:t>18,437,500</w:t>
            </w:r>
          </w:p>
        </w:tc>
        <w:tc>
          <w:tcPr>
            <w:tcW w:w="1217" w:type="dxa"/>
            <w:tcBorders>
              <w:top w:val="nil"/>
              <w:left w:val="nil"/>
              <w:bottom w:val="single" w:sz="4" w:space="0" w:color="auto"/>
              <w:right w:val="single" w:sz="4" w:space="0" w:color="auto"/>
            </w:tcBorders>
            <w:shd w:val="clear" w:color="auto" w:fill="auto"/>
            <w:vAlign w:val="center"/>
          </w:tcPr>
          <w:p>
            <w:pPr>
              <w:jc w:val="center"/>
              <w:rPr>
                <w:rFonts w:ascii="Arial" w:hAnsi="Arial" w:cs="Arial"/>
                <w:color w:val="000000"/>
                <w:sz w:val="20"/>
                <w:szCs w:val="20"/>
              </w:rPr>
            </w:pPr>
            <w:r>
              <w:rPr>
                <w:rFonts w:ascii="Arial" w:hAnsi="Arial" w:cs="Arial"/>
                <w:color w:val="000000"/>
                <w:sz w:val="20"/>
                <w:szCs w:val="20"/>
              </w:rPr>
              <w:t>18,437,500</w:t>
            </w:r>
          </w:p>
        </w:tc>
        <w:tc>
          <w:tcPr>
            <w:tcW w:w="1106" w:type="dxa"/>
            <w:tcBorders>
              <w:top w:val="nil"/>
              <w:left w:val="nil"/>
              <w:bottom w:val="single" w:sz="4" w:space="0" w:color="auto"/>
              <w:right w:val="single" w:sz="4" w:space="0" w:color="auto"/>
            </w:tcBorders>
            <w:shd w:val="clear" w:color="auto" w:fill="auto"/>
            <w:vAlign w:val="center"/>
          </w:tcPr>
          <w:p>
            <w:pPr>
              <w:jc w:val="center"/>
              <w:rPr>
                <w:rFonts w:ascii="Arial" w:hAnsi="Arial" w:cs="Arial"/>
                <w:color w:val="000000"/>
                <w:sz w:val="20"/>
                <w:szCs w:val="20"/>
              </w:rPr>
            </w:pPr>
            <w:r>
              <w:rPr>
                <w:rFonts w:ascii="Arial" w:hAnsi="Arial" w:cs="Arial"/>
                <w:color w:val="000000"/>
                <w:sz w:val="20"/>
                <w:szCs w:val="20"/>
              </w:rPr>
              <w:t>11,062,500</w:t>
            </w:r>
          </w:p>
        </w:tc>
        <w:tc>
          <w:tcPr>
            <w:tcW w:w="1217" w:type="dxa"/>
            <w:tcBorders>
              <w:top w:val="nil"/>
              <w:left w:val="nil"/>
              <w:bottom w:val="single" w:sz="4" w:space="0" w:color="auto"/>
              <w:right w:val="single" w:sz="4" w:space="0" w:color="auto"/>
            </w:tcBorders>
            <w:shd w:val="clear" w:color="auto" w:fill="auto"/>
            <w:vAlign w:val="center"/>
          </w:tcPr>
          <w:p>
            <w:pPr>
              <w:jc w:val="center"/>
              <w:rPr>
                <w:rFonts w:ascii="Arial" w:hAnsi="Arial" w:cs="Arial"/>
                <w:color w:val="000000"/>
                <w:sz w:val="20"/>
                <w:szCs w:val="20"/>
              </w:rPr>
            </w:pPr>
            <w:r>
              <w:rPr>
                <w:rFonts w:ascii="Arial" w:hAnsi="Arial" w:cs="Arial"/>
                <w:color w:val="000000"/>
                <w:sz w:val="20"/>
                <w:szCs w:val="20"/>
              </w:rPr>
              <w:t>73,750,000</w:t>
            </w:r>
          </w:p>
        </w:tc>
      </w:tr>
      <w:tr>
        <w:trPr>
          <w:trHeight w:val="263"/>
        </w:trPr>
        <w:tc>
          <w:tcPr>
            <w:tcW w:w="1850" w:type="dxa"/>
            <w:tcBorders>
              <w:top w:val="nil"/>
              <w:left w:val="single" w:sz="4" w:space="0" w:color="auto"/>
              <w:bottom w:val="single" w:sz="4" w:space="0" w:color="auto"/>
              <w:right w:val="single" w:sz="4" w:space="0" w:color="auto"/>
            </w:tcBorders>
            <w:shd w:val="clear" w:color="000000" w:fill="A6A6A6"/>
            <w:vAlign w:val="bottom"/>
            <w:hideMark/>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1111" w:type="dxa"/>
            <w:tcBorders>
              <w:top w:val="nil"/>
              <w:left w:val="nil"/>
              <w:bottom w:val="single" w:sz="8" w:space="0" w:color="auto"/>
              <w:right w:val="single" w:sz="8" w:space="0" w:color="000000"/>
            </w:tcBorders>
            <w:shd w:val="clear" w:color="000000" w:fill="BFBFBF"/>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w:t>
            </w:r>
          </w:p>
        </w:tc>
        <w:tc>
          <w:tcPr>
            <w:tcW w:w="1231" w:type="dxa"/>
            <w:tcBorders>
              <w:top w:val="nil"/>
              <w:left w:val="nil"/>
              <w:bottom w:val="single" w:sz="8" w:space="0" w:color="auto"/>
              <w:right w:val="single" w:sz="8" w:space="0" w:color="000000"/>
            </w:tcBorders>
            <w:shd w:val="clear" w:color="000000" w:fill="BFBFBF"/>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10</w:t>
            </w:r>
          </w:p>
        </w:tc>
        <w:tc>
          <w:tcPr>
            <w:tcW w:w="1241" w:type="dxa"/>
            <w:tcBorders>
              <w:top w:val="nil"/>
              <w:left w:val="nil"/>
              <w:bottom w:val="single" w:sz="8" w:space="0" w:color="auto"/>
              <w:right w:val="single" w:sz="8" w:space="0" w:color="000000"/>
            </w:tcBorders>
            <w:shd w:val="clear" w:color="000000" w:fill="BFBFBF"/>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w:t>
            </w:r>
          </w:p>
        </w:tc>
        <w:tc>
          <w:tcPr>
            <w:tcW w:w="1217" w:type="dxa"/>
            <w:tcBorders>
              <w:top w:val="nil"/>
              <w:left w:val="nil"/>
              <w:bottom w:val="single" w:sz="8" w:space="0" w:color="auto"/>
              <w:right w:val="single" w:sz="8" w:space="0" w:color="000000"/>
            </w:tcBorders>
            <w:shd w:val="clear" w:color="000000" w:fill="BFBFBF"/>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25</w:t>
            </w:r>
          </w:p>
        </w:tc>
        <w:tc>
          <w:tcPr>
            <w:tcW w:w="1217" w:type="dxa"/>
            <w:tcBorders>
              <w:top w:val="nil"/>
              <w:left w:val="nil"/>
              <w:bottom w:val="single" w:sz="8" w:space="0" w:color="auto"/>
              <w:right w:val="single" w:sz="8" w:space="0" w:color="000000"/>
            </w:tcBorders>
            <w:shd w:val="clear" w:color="000000" w:fill="BFBFBF"/>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25</w:t>
            </w:r>
          </w:p>
        </w:tc>
        <w:tc>
          <w:tcPr>
            <w:tcW w:w="1106" w:type="dxa"/>
            <w:tcBorders>
              <w:top w:val="nil"/>
              <w:left w:val="nil"/>
              <w:bottom w:val="single" w:sz="8" w:space="0" w:color="auto"/>
              <w:right w:val="single" w:sz="8" w:space="0" w:color="000000"/>
            </w:tcBorders>
            <w:shd w:val="clear" w:color="000000" w:fill="BFBFBF"/>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15</w:t>
            </w:r>
          </w:p>
        </w:tc>
        <w:tc>
          <w:tcPr>
            <w:tcW w:w="1217" w:type="dxa"/>
            <w:tcBorders>
              <w:top w:val="nil"/>
              <w:left w:val="single" w:sz="4" w:space="0" w:color="auto"/>
              <w:bottom w:val="single" w:sz="4" w:space="0" w:color="auto"/>
              <w:right w:val="single" w:sz="4" w:space="0" w:color="auto"/>
            </w:tcBorders>
            <w:shd w:val="clear" w:color="000000" w:fill="A6A6A6"/>
            <w:vAlign w:val="bottom"/>
            <w:hideMark/>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r>
    </w:tbl>
    <w:p>
      <w:pPr>
        <w:pStyle w:val="Paragraph"/>
        <w:numPr>
          <w:ilvl w:val="0"/>
          <w:numId w:val="0"/>
        </w:numPr>
        <w:ind w:left="-180"/>
        <w:outlineLvl w:val="9"/>
        <w:rPr>
          <w:rFonts w:ascii="Arial" w:hAnsi="Arial" w:cs="Arial"/>
          <w:sz w:val="22"/>
          <w:szCs w:val="22"/>
          <w:lang w:val="es-ES_tradnl"/>
        </w:rPr>
      </w:pPr>
    </w:p>
    <w:p>
      <w:pPr>
        <w:pStyle w:val="Paragraph"/>
        <w:numPr>
          <w:ilvl w:val="1"/>
          <w:numId w:val="3"/>
        </w:numPr>
        <w:ind w:left="540" w:hanging="540"/>
        <w:outlineLvl w:val="9"/>
        <w:rPr>
          <w:rFonts w:ascii="Arial" w:hAnsi="Arial" w:cs="Arial"/>
          <w:sz w:val="22"/>
          <w:szCs w:val="22"/>
          <w:lang w:val="es-ES_tradnl"/>
        </w:rPr>
      </w:pPr>
      <w:r>
        <w:rPr>
          <w:rFonts w:ascii="Arial" w:hAnsi="Arial" w:cs="Arial"/>
          <w:sz w:val="22"/>
          <w:szCs w:val="22"/>
          <w:lang w:val="es-ES_tradnl"/>
        </w:rPr>
        <w:t>A fin de convertir los costos de inversión de precios de mercado a precios sociales, se realizó una desagregación de los costos en materiales y equipos nacionales, materiales y equipos importados, mano de obra calificada y mano de obra no calificada. Esta clasificación se presenta en el Cuadro 3.</w:t>
      </w:r>
    </w:p>
    <w:p>
      <w:pPr>
        <w:pStyle w:val="Paragraph"/>
        <w:numPr>
          <w:ilvl w:val="0"/>
          <w:numId w:val="0"/>
        </w:numPr>
        <w:ind w:left="1296" w:hanging="1296"/>
        <w:outlineLvl w:val="9"/>
        <w:rPr>
          <w:rFonts w:ascii="Arial" w:hAnsi="Arial" w:cs="Arial"/>
          <w:sz w:val="22"/>
          <w:szCs w:val="22"/>
          <w:lang w:val="es-ES_tradnl"/>
        </w:rPr>
      </w:pPr>
    </w:p>
    <w:tbl>
      <w:tblPr>
        <w:tblW w:w="6540" w:type="dxa"/>
        <w:tblInd w:w="1324" w:type="dxa"/>
        <w:tblLook w:val="04A0" w:firstRow="1" w:lastRow="0" w:firstColumn="1" w:lastColumn="0" w:noHBand="0" w:noVBand="1"/>
      </w:tblPr>
      <w:tblGrid>
        <w:gridCol w:w="5000"/>
        <w:gridCol w:w="1540"/>
      </w:tblGrid>
      <w:tr>
        <w:trPr>
          <w:trHeight w:val="255"/>
        </w:trPr>
        <w:tc>
          <w:tcPr>
            <w:tcW w:w="6540" w:type="dxa"/>
            <w:gridSpan w:val="2"/>
            <w:tcBorders>
              <w:top w:val="single" w:sz="4" w:space="0" w:color="auto"/>
              <w:left w:val="single" w:sz="4" w:space="0" w:color="auto"/>
              <w:bottom w:val="single" w:sz="4" w:space="0" w:color="auto"/>
              <w:right w:val="single" w:sz="4" w:space="0" w:color="000000"/>
            </w:tcBorders>
            <w:shd w:val="clear" w:color="000000" w:fill="C0C0C0"/>
            <w:vAlign w:val="bottom"/>
            <w:hideMark/>
          </w:tcPr>
          <w:p>
            <w:pPr>
              <w:spacing w:after="0" w:line="240" w:lineRule="auto"/>
              <w:jc w:val="center"/>
              <w:rPr>
                <w:rFonts w:ascii="Arial" w:eastAsia="Times New Roman" w:hAnsi="Arial" w:cs="Arial"/>
                <w:b/>
                <w:bCs/>
                <w:color w:val="000000"/>
                <w:sz w:val="20"/>
                <w:szCs w:val="20"/>
                <w:lang w:val="es-ES_tradnl"/>
              </w:rPr>
            </w:pPr>
            <w:r>
              <w:rPr>
                <w:rFonts w:ascii="Arial" w:eastAsia="Times New Roman" w:hAnsi="Arial" w:cs="Arial"/>
                <w:b/>
                <w:bCs/>
                <w:color w:val="000000"/>
                <w:sz w:val="20"/>
                <w:szCs w:val="20"/>
                <w:lang w:val="es-ES_tradnl"/>
              </w:rPr>
              <w:t>Cuadro 3: Costos de inversión por insumo económico (en US$)</w:t>
            </w:r>
          </w:p>
        </w:tc>
      </w:tr>
      <w:tr>
        <w:trPr>
          <w:trHeight w:val="528"/>
        </w:trPr>
        <w:tc>
          <w:tcPr>
            <w:tcW w:w="5000" w:type="dxa"/>
            <w:tcBorders>
              <w:top w:val="nil"/>
              <w:left w:val="single" w:sz="4" w:space="0" w:color="auto"/>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Insumo económico</w:t>
            </w:r>
          </w:p>
        </w:tc>
        <w:tc>
          <w:tcPr>
            <w:tcW w:w="1540"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Costo financiero</w:t>
            </w:r>
          </w:p>
        </w:tc>
      </w:tr>
      <w:tr>
        <w:trPr>
          <w:trHeight w:val="528"/>
        </w:trPr>
        <w:tc>
          <w:tcPr>
            <w:tcW w:w="5000"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Sistemas de computador y aplicativos de origen nacional</w:t>
            </w:r>
          </w:p>
        </w:tc>
        <w:tc>
          <w:tcPr>
            <w:tcW w:w="1540"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r>
      <w:tr>
        <w:trPr>
          <w:trHeight w:val="528"/>
        </w:trPr>
        <w:tc>
          <w:tcPr>
            <w:tcW w:w="5000"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Sistemas de computador y aplicativos de origen importado</w:t>
            </w:r>
          </w:p>
        </w:tc>
        <w:tc>
          <w:tcPr>
            <w:tcW w:w="1540"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6,970,000</w:t>
            </w:r>
          </w:p>
        </w:tc>
      </w:tr>
      <w:tr>
        <w:trPr>
          <w:trHeight w:val="264"/>
        </w:trPr>
        <w:tc>
          <w:tcPr>
            <w:tcW w:w="5000"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Equipos de origen nacional</w:t>
            </w:r>
          </w:p>
        </w:tc>
        <w:tc>
          <w:tcPr>
            <w:tcW w:w="1540"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r>
      <w:tr>
        <w:trPr>
          <w:trHeight w:val="264"/>
        </w:trPr>
        <w:tc>
          <w:tcPr>
            <w:tcW w:w="5000"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Equipos de origen importado</w:t>
            </w:r>
          </w:p>
        </w:tc>
        <w:tc>
          <w:tcPr>
            <w:tcW w:w="1540"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3,606,480</w:t>
            </w:r>
          </w:p>
        </w:tc>
      </w:tr>
      <w:tr>
        <w:trPr>
          <w:trHeight w:val="264"/>
        </w:trPr>
        <w:tc>
          <w:tcPr>
            <w:tcW w:w="5000"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Servicio de origen nacional</w:t>
            </w:r>
          </w:p>
        </w:tc>
        <w:tc>
          <w:tcPr>
            <w:tcW w:w="1540"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26,468,757</w:t>
            </w:r>
          </w:p>
        </w:tc>
      </w:tr>
      <w:tr>
        <w:trPr>
          <w:trHeight w:val="264"/>
        </w:trPr>
        <w:tc>
          <w:tcPr>
            <w:tcW w:w="5000"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Servicios de origen importada</w:t>
            </w:r>
          </w:p>
        </w:tc>
        <w:tc>
          <w:tcPr>
            <w:tcW w:w="1540"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17,645,838</w:t>
            </w:r>
          </w:p>
        </w:tc>
      </w:tr>
      <w:tr>
        <w:trPr>
          <w:trHeight w:val="264"/>
        </w:trPr>
        <w:tc>
          <w:tcPr>
            <w:tcW w:w="5000"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Mano de obra no calificada</w:t>
            </w:r>
          </w:p>
        </w:tc>
        <w:tc>
          <w:tcPr>
            <w:tcW w:w="1540"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r>
      <w:tr>
        <w:trPr>
          <w:trHeight w:val="264"/>
        </w:trPr>
        <w:tc>
          <w:tcPr>
            <w:tcW w:w="5000"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Mano de obra calificada</w:t>
            </w:r>
          </w:p>
        </w:tc>
        <w:tc>
          <w:tcPr>
            <w:tcW w:w="1540"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19,058,925</w:t>
            </w:r>
          </w:p>
        </w:tc>
      </w:tr>
      <w:tr>
        <w:trPr>
          <w:trHeight w:val="264"/>
        </w:trPr>
        <w:tc>
          <w:tcPr>
            <w:tcW w:w="5000"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Imprevistos</w:t>
            </w:r>
          </w:p>
        </w:tc>
        <w:tc>
          <w:tcPr>
            <w:tcW w:w="1540"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r>
      <w:tr>
        <w:trPr>
          <w:trHeight w:val="264"/>
        </w:trPr>
        <w:tc>
          <w:tcPr>
            <w:tcW w:w="5000"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Total</w:t>
            </w:r>
          </w:p>
        </w:tc>
        <w:tc>
          <w:tcPr>
            <w:tcW w:w="1540" w:type="dxa"/>
            <w:tcBorders>
              <w:top w:val="nil"/>
              <w:left w:val="nil"/>
              <w:bottom w:val="single" w:sz="4" w:space="0" w:color="auto"/>
              <w:right w:val="single" w:sz="4" w:space="0" w:color="auto"/>
            </w:tcBorders>
            <w:shd w:val="clear" w:color="auto" w:fill="auto"/>
            <w:vAlign w:val="bottom"/>
            <w:hideMark/>
          </w:tcPr>
          <w:p>
            <w:pPr>
              <w:spacing w:after="0" w:line="240" w:lineRule="auto"/>
              <w:jc w:val="right"/>
              <w:rPr>
                <w:rFonts w:ascii="Arial" w:eastAsia="Times New Roman" w:hAnsi="Arial" w:cs="Arial"/>
                <w:b/>
                <w:color w:val="000000"/>
                <w:sz w:val="20"/>
                <w:szCs w:val="20"/>
              </w:rPr>
            </w:pPr>
            <w:r>
              <w:rPr>
                <w:rFonts w:ascii="Arial" w:eastAsia="Times New Roman" w:hAnsi="Arial" w:cs="Arial"/>
                <w:b/>
                <w:color w:val="000000"/>
                <w:sz w:val="20"/>
                <w:szCs w:val="20"/>
              </w:rPr>
              <w:t>73,750,000</w:t>
            </w:r>
          </w:p>
        </w:tc>
      </w:tr>
    </w:tbl>
    <w:p>
      <w:pPr>
        <w:pStyle w:val="Paragraph"/>
        <w:numPr>
          <w:ilvl w:val="0"/>
          <w:numId w:val="0"/>
        </w:numPr>
        <w:ind w:left="3456" w:hanging="1296"/>
        <w:outlineLvl w:val="9"/>
        <w:rPr>
          <w:rFonts w:ascii="Arial" w:hAnsi="Arial" w:cs="Arial"/>
          <w:sz w:val="22"/>
          <w:szCs w:val="22"/>
          <w:lang w:val="es-ES_tradnl"/>
        </w:rPr>
      </w:pPr>
    </w:p>
    <w:p>
      <w:pPr>
        <w:pStyle w:val="Paragraph"/>
        <w:numPr>
          <w:ilvl w:val="1"/>
          <w:numId w:val="3"/>
        </w:numPr>
        <w:ind w:left="540" w:hanging="540"/>
        <w:outlineLvl w:val="9"/>
        <w:rPr>
          <w:rFonts w:ascii="Arial" w:hAnsi="Arial" w:cs="Arial"/>
          <w:sz w:val="22"/>
          <w:szCs w:val="22"/>
          <w:lang w:val="es-ES_tradnl"/>
        </w:rPr>
      </w:pPr>
      <w:r>
        <w:rPr>
          <w:rFonts w:ascii="Arial" w:hAnsi="Arial" w:cs="Arial"/>
          <w:sz w:val="22"/>
          <w:szCs w:val="22"/>
          <w:lang w:val="es-ES_tradnl"/>
        </w:rPr>
        <w:t xml:space="preserve">Dado que los precios de mercado no reflejan el costo real de oportunidad de los recursos, debido a la presencia de imperfecciones tales como impuestos (subsidios), bandas de precios, presencia de poder de mercado (monopolios), etc., dichos precios deben corregirse considerando factores de conversión que transforman un precio de mercado </w:t>
      </w:r>
      <w:r>
        <w:rPr>
          <w:rFonts w:ascii="Arial" w:hAnsi="Arial" w:cs="Arial"/>
          <w:sz w:val="22"/>
          <w:szCs w:val="22"/>
          <w:lang w:val="es-ES_tradnl"/>
        </w:rPr>
        <w:lastRenderedPageBreak/>
        <w:t>en un precio de eficiencia o precio social (precio sombra). Para realizar dicha conversión se aplicaron los factores de conversión indicados a continuación.</w:t>
      </w:r>
    </w:p>
    <w:p>
      <w:pPr>
        <w:pStyle w:val="Paragraph"/>
        <w:numPr>
          <w:ilvl w:val="0"/>
          <w:numId w:val="4"/>
        </w:numPr>
        <w:ind w:left="900"/>
        <w:outlineLvl w:val="9"/>
        <w:rPr>
          <w:rFonts w:ascii="Arial" w:hAnsi="Arial" w:cs="Arial"/>
          <w:sz w:val="22"/>
          <w:szCs w:val="22"/>
          <w:lang w:val="es-ES_tradnl"/>
        </w:rPr>
      </w:pPr>
      <w:r>
        <w:rPr>
          <w:rFonts w:ascii="Arial" w:hAnsi="Arial" w:cs="Arial"/>
          <w:spacing w:val="-1"/>
          <w:sz w:val="22"/>
          <w:szCs w:val="22"/>
          <w:u w:val="single" w:color="000000"/>
          <w:lang w:val="es-ES_tradnl"/>
        </w:rPr>
        <w:t>Factor</w:t>
      </w:r>
      <w:r>
        <w:rPr>
          <w:rFonts w:ascii="Arial" w:hAnsi="Arial" w:cs="Arial"/>
          <w:spacing w:val="38"/>
          <w:sz w:val="22"/>
          <w:szCs w:val="22"/>
          <w:u w:val="single" w:color="000000"/>
          <w:lang w:val="es-ES_tradnl"/>
        </w:rPr>
        <w:t xml:space="preserve"> </w:t>
      </w:r>
      <w:r>
        <w:rPr>
          <w:rFonts w:ascii="Arial" w:hAnsi="Arial" w:cs="Arial"/>
          <w:sz w:val="22"/>
          <w:szCs w:val="22"/>
          <w:u w:val="single" w:color="000000"/>
          <w:lang w:val="es-ES_tradnl"/>
        </w:rPr>
        <w:t>de</w:t>
      </w:r>
      <w:r>
        <w:rPr>
          <w:rFonts w:ascii="Arial" w:hAnsi="Arial" w:cs="Arial"/>
          <w:spacing w:val="39"/>
          <w:sz w:val="22"/>
          <w:szCs w:val="22"/>
          <w:u w:val="single" w:color="000000"/>
          <w:lang w:val="es-ES_tradnl"/>
        </w:rPr>
        <w:t xml:space="preserve"> </w:t>
      </w:r>
      <w:r>
        <w:rPr>
          <w:rFonts w:ascii="Arial" w:hAnsi="Arial" w:cs="Arial"/>
          <w:spacing w:val="-1"/>
          <w:sz w:val="22"/>
          <w:szCs w:val="22"/>
          <w:u w:val="single" w:color="000000"/>
          <w:lang w:val="es-ES_tradnl"/>
        </w:rPr>
        <w:t>conversión</w:t>
      </w:r>
      <w:r>
        <w:rPr>
          <w:rFonts w:ascii="Arial" w:hAnsi="Arial" w:cs="Arial"/>
          <w:spacing w:val="39"/>
          <w:sz w:val="22"/>
          <w:szCs w:val="22"/>
          <w:u w:val="single" w:color="000000"/>
          <w:lang w:val="es-ES_tradnl"/>
        </w:rPr>
        <w:t xml:space="preserve"> </w:t>
      </w:r>
      <w:r>
        <w:rPr>
          <w:rFonts w:ascii="Arial" w:hAnsi="Arial" w:cs="Arial"/>
          <w:spacing w:val="-1"/>
          <w:sz w:val="22"/>
          <w:szCs w:val="22"/>
          <w:u w:val="single" w:color="000000"/>
          <w:lang w:val="es-ES_tradnl"/>
        </w:rPr>
        <w:t>estándar</w:t>
      </w:r>
      <w:r>
        <w:rPr>
          <w:rFonts w:ascii="Arial" w:hAnsi="Arial" w:cs="Arial"/>
          <w:spacing w:val="37"/>
          <w:sz w:val="22"/>
          <w:szCs w:val="22"/>
          <w:u w:val="single" w:color="000000"/>
          <w:lang w:val="es-ES_tradnl"/>
        </w:rPr>
        <w:t xml:space="preserve"> </w:t>
      </w:r>
      <w:r>
        <w:rPr>
          <w:rFonts w:ascii="Arial" w:hAnsi="Arial" w:cs="Arial"/>
          <w:spacing w:val="-1"/>
          <w:sz w:val="22"/>
          <w:szCs w:val="22"/>
          <w:u w:val="single" w:color="000000"/>
          <w:lang w:val="es-ES_tradnl"/>
        </w:rPr>
        <w:t>(FCS)</w:t>
      </w:r>
      <w:r>
        <w:rPr>
          <w:rFonts w:ascii="Arial" w:hAnsi="Arial" w:cs="Arial"/>
          <w:spacing w:val="-1"/>
          <w:sz w:val="22"/>
          <w:szCs w:val="22"/>
          <w:lang w:val="es-ES_tradnl"/>
        </w:rPr>
        <w:t>:</w:t>
      </w:r>
      <w:r>
        <w:rPr>
          <w:rFonts w:ascii="Arial" w:hAnsi="Arial" w:cs="Arial"/>
          <w:spacing w:val="38"/>
          <w:sz w:val="22"/>
          <w:szCs w:val="22"/>
          <w:lang w:val="es-ES_tradnl"/>
        </w:rPr>
        <w:t xml:space="preserve"> </w:t>
      </w:r>
      <w:r>
        <w:rPr>
          <w:rFonts w:ascii="Arial" w:hAnsi="Arial" w:cs="Arial"/>
          <w:sz w:val="22"/>
          <w:szCs w:val="22"/>
          <w:lang w:val="es-ES_tradnl"/>
        </w:rPr>
        <w:t>se</w:t>
      </w:r>
      <w:r>
        <w:rPr>
          <w:rFonts w:ascii="Arial" w:hAnsi="Arial" w:cs="Arial"/>
          <w:spacing w:val="35"/>
          <w:sz w:val="22"/>
          <w:szCs w:val="22"/>
          <w:lang w:val="es-ES_tradnl"/>
        </w:rPr>
        <w:t xml:space="preserve"> </w:t>
      </w:r>
      <w:r>
        <w:rPr>
          <w:rFonts w:ascii="Arial" w:hAnsi="Arial" w:cs="Arial"/>
          <w:sz w:val="22"/>
          <w:szCs w:val="22"/>
          <w:lang w:val="es-ES_tradnl"/>
        </w:rPr>
        <w:t>obtiene</w:t>
      </w:r>
      <w:r>
        <w:rPr>
          <w:rFonts w:ascii="Arial" w:hAnsi="Arial" w:cs="Arial"/>
          <w:spacing w:val="36"/>
          <w:sz w:val="22"/>
          <w:szCs w:val="22"/>
          <w:lang w:val="es-ES_tradnl"/>
        </w:rPr>
        <w:t xml:space="preserve"> </w:t>
      </w:r>
      <w:r>
        <w:rPr>
          <w:rFonts w:ascii="Arial" w:hAnsi="Arial" w:cs="Arial"/>
          <w:sz w:val="22"/>
          <w:szCs w:val="22"/>
          <w:lang w:val="es-ES_tradnl"/>
        </w:rPr>
        <w:t>a</w:t>
      </w:r>
      <w:r>
        <w:rPr>
          <w:rFonts w:ascii="Arial" w:hAnsi="Arial" w:cs="Arial"/>
          <w:spacing w:val="36"/>
          <w:sz w:val="22"/>
          <w:szCs w:val="22"/>
          <w:lang w:val="es-ES_tradnl"/>
        </w:rPr>
        <w:t xml:space="preserve"> </w:t>
      </w:r>
      <w:r>
        <w:rPr>
          <w:rFonts w:ascii="Arial" w:hAnsi="Arial" w:cs="Arial"/>
          <w:spacing w:val="-1"/>
          <w:sz w:val="22"/>
          <w:szCs w:val="22"/>
          <w:lang w:val="es-ES_tradnl"/>
        </w:rPr>
        <w:t>través</w:t>
      </w:r>
      <w:r>
        <w:rPr>
          <w:rFonts w:ascii="Arial" w:hAnsi="Arial" w:cs="Arial"/>
          <w:spacing w:val="37"/>
          <w:sz w:val="22"/>
          <w:szCs w:val="22"/>
          <w:lang w:val="es-ES_tradnl"/>
        </w:rPr>
        <w:t xml:space="preserve"> </w:t>
      </w:r>
      <w:r>
        <w:rPr>
          <w:rFonts w:ascii="Arial" w:hAnsi="Arial" w:cs="Arial"/>
          <w:sz w:val="22"/>
          <w:szCs w:val="22"/>
          <w:lang w:val="es-ES_tradnl"/>
        </w:rPr>
        <w:t>de</w:t>
      </w:r>
      <w:r>
        <w:rPr>
          <w:rFonts w:ascii="Arial" w:hAnsi="Arial" w:cs="Arial"/>
          <w:spacing w:val="39"/>
          <w:sz w:val="22"/>
          <w:szCs w:val="22"/>
          <w:lang w:val="es-ES_tradnl"/>
        </w:rPr>
        <w:t xml:space="preserve"> </w:t>
      </w:r>
      <w:r>
        <w:rPr>
          <w:rFonts w:ascii="Arial" w:hAnsi="Arial" w:cs="Arial"/>
          <w:sz w:val="22"/>
          <w:szCs w:val="22"/>
          <w:lang w:val="es-ES_tradnl"/>
        </w:rPr>
        <w:t>la</w:t>
      </w:r>
      <w:r>
        <w:rPr>
          <w:rFonts w:ascii="Arial" w:hAnsi="Arial" w:cs="Arial"/>
          <w:spacing w:val="35"/>
          <w:sz w:val="22"/>
          <w:szCs w:val="22"/>
          <w:lang w:val="es-ES_tradnl"/>
        </w:rPr>
        <w:t xml:space="preserve"> </w:t>
      </w:r>
      <w:r>
        <w:rPr>
          <w:rFonts w:ascii="Arial" w:hAnsi="Arial" w:cs="Arial"/>
          <w:sz w:val="22"/>
          <w:szCs w:val="22"/>
          <w:lang w:val="es-ES_tradnl"/>
        </w:rPr>
        <w:t>aplicación</w:t>
      </w:r>
      <w:r>
        <w:rPr>
          <w:rFonts w:ascii="Arial" w:hAnsi="Arial" w:cs="Arial"/>
          <w:spacing w:val="37"/>
          <w:sz w:val="22"/>
          <w:szCs w:val="22"/>
          <w:lang w:val="es-ES_tradnl"/>
        </w:rPr>
        <w:t xml:space="preserve"> </w:t>
      </w:r>
      <w:r>
        <w:rPr>
          <w:rFonts w:ascii="Arial" w:hAnsi="Arial" w:cs="Arial"/>
          <w:sz w:val="22"/>
          <w:szCs w:val="22"/>
          <w:lang w:val="es-ES_tradnl"/>
        </w:rPr>
        <w:t>de</w:t>
      </w:r>
      <w:r>
        <w:rPr>
          <w:rFonts w:ascii="Arial" w:hAnsi="Arial" w:cs="Arial"/>
          <w:spacing w:val="36"/>
          <w:sz w:val="22"/>
          <w:szCs w:val="22"/>
          <w:lang w:val="es-ES_tradnl"/>
        </w:rPr>
        <w:t xml:space="preserve"> </w:t>
      </w:r>
      <w:r>
        <w:rPr>
          <w:rFonts w:ascii="Arial" w:hAnsi="Arial" w:cs="Arial"/>
          <w:sz w:val="22"/>
          <w:szCs w:val="22"/>
          <w:lang w:val="es-ES_tradnl"/>
        </w:rPr>
        <w:t>la</w:t>
      </w:r>
      <w:r>
        <w:rPr>
          <w:rFonts w:ascii="Arial" w:hAnsi="Arial" w:cs="Arial"/>
          <w:spacing w:val="36"/>
          <w:sz w:val="22"/>
          <w:szCs w:val="22"/>
          <w:lang w:val="es-ES_tradnl"/>
        </w:rPr>
        <w:t xml:space="preserve"> </w:t>
      </w:r>
      <w:r>
        <w:rPr>
          <w:rFonts w:ascii="Arial" w:hAnsi="Arial" w:cs="Arial"/>
          <w:spacing w:val="-1"/>
          <w:sz w:val="22"/>
          <w:szCs w:val="22"/>
          <w:lang w:val="es-ES_tradnl"/>
        </w:rPr>
        <w:t>siguiente</w:t>
      </w:r>
      <w:r>
        <w:rPr>
          <w:rFonts w:ascii="Arial" w:hAnsi="Arial" w:cs="Arial"/>
          <w:spacing w:val="63"/>
          <w:w w:val="99"/>
          <w:sz w:val="22"/>
          <w:szCs w:val="22"/>
          <w:lang w:val="es-ES_tradnl"/>
        </w:rPr>
        <w:t xml:space="preserve"> </w:t>
      </w:r>
      <w:r>
        <w:rPr>
          <w:rFonts w:ascii="Arial" w:hAnsi="Arial" w:cs="Arial"/>
          <w:spacing w:val="-1"/>
          <w:sz w:val="22"/>
          <w:szCs w:val="22"/>
          <w:lang w:val="es-ES_tradnl"/>
        </w:rPr>
        <w:t>ecuación,</w:t>
      </w:r>
      <w:r>
        <w:rPr>
          <w:rFonts w:ascii="Arial" w:hAnsi="Arial" w:cs="Arial"/>
          <w:spacing w:val="35"/>
          <w:sz w:val="22"/>
          <w:szCs w:val="22"/>
          <w:lang w:val="es-ES_tradnl"/>
        </w:rPr>
        <w:t xml:space="preserve"> </w:t>
      </w:r>
      <w:r>
        <w:rPr>
          <w:rFonts w:ascii="Arial" w:hAnsi="Arial" w:cs="Arial"/>
          <w:spacing w:val="-1"/>
          <w:sz w:val="22"/>
          <w:szCs w:val="22"/>
          <w:lang w:val="es-ES_tradnl"/>
        </w:rPr>
        <w:t>sobre</w:t>
      </w:r>
      <w:r>
        <w:rPr>
          <w:rFonts w:ascii="Arial" w:hAnsi="Arial" w:cs="Arial"/>
          <w:spacing w:val="35"/>
          <w:sz w:val="22"/>
          <w:szCs w:val="22"/>
          <w:lang w:val="es-ES_tradnl"/>
        </w:rPr>
        <w:t xml:space="preserve"> </w:t>
      </w:r>
      <w:r>
        <w:rPr>
          <w:rFonts w:ascii="Arial" w:hAnsi="Arial" w:cs="Arial"/>
          <w:spacing w:val="-1"/>
          <w:sz w:val="22"/>
          <w:szCs w:val="22"/>
          <w:lang w:val="es-ES_tradnl"/>
        </w:rPr>
        <w:t>datos</w:t>
      </w:r>
      <w:r>
        <w:rPr>
          <w:rFonts w:ascii="Arial" w:hAnsi="Arial" w:cs="Arial"/>
          <w:spacing w:val="35"/>
          <w:sz w:val="22"/>
          <w:szCs w:val="22"/>
          <w:lang w:val="es-ES_tradnl"/>
        </w:rPr>
        <w:t xml:space="preserve"> </w:t>
      </w:r>
      <w:r>
        <w:rPr>
          <w:rFonts w:ascii="Arial" w:hAnsi="Arial" w:cs="Arial"/>
          <w:spacing w:val="1"/>
          <w:sz w:val="22"/>
          <w:szCs w:val="22"/>
          <w:lang w:val="es-ES_tradnl"/>
        </w:rPr>
        <w:t>de</w:t>
      </w:r>
      <w:r>
        <w:rPr>
          <w:rFonts w:ascii="Arial" w:hAnsi="Arial" w:cs="Arial"/>
          <w:spacing w:val="34"/>
          <w:sz w:val="22"/>
          <w:szCs w:val="22"/>
          <w:lang w:val="es-ES_tradnl"/>
        </w:rPr>
        <w:t xml:space="preserve"> </w:t>
      </w:r>
      <w:r>
        <w:rPr>
          <w:rFonts w:ascii="Arial" w:hAnsi="Arial" w:cs="Arial"/>
          <w:spacing w:val="-1"/>
          <w:sz w:val="22"/>
          <w:szCs w:val="22"/>
          <w:lang w:val="es-ES_tradnl"/>
        </w:rPr>
        <w:t>comercio</w:t>
      </w:r>
      <w:r>
        <w:rPr>
          <w:rFonts w:ascii="Arial" w:hAnsi="Arial" w:cs="Arial"/>
          <w:spacing w:val="37"/>
          <w:sz w:val="22"/>
          <w:szCs w:val="22"/>
          <w:lang w:val="es-ES_tradnl"/>
        </w:rPr>
        <w:t xml:space="preserve"> </w:t>
      </w:r>
      <w:r>
        <w:rPr>
          <w:rFonts w:ascii="Arial" w:hAnsi="Arial" w:cs="Arial"/>
          <w:spacing w:val="-1"/>
          <w:sz w:val="22"/>
          <w:szCs w:val="22"/>
          <w:lang w:val="es-ES_tradnl"/>
        </w:rPr>
        <w:t>exterior</w:t>
      </w:r>
      <w:r>
        <w:rPr>
          <w:rFonts w:ascii="Arial" w:hAnsi="Arial" w:cs="Arial"/>
          <w:spacing w:val="34"/>
          <w:sz w:val="22"/>
          <w:szCs w:val="22"/>
          <w:lang w:val="es-ES_tradnl"/>
        </w:rPr>
        <w:t xml:space="preserve"> </w:t>
      </w:r>
      <w:r>
        <w:rPr>
          <w:rFonts w:ascii="Arial" w:hAnsi="Arial" w:cs="Arial"/>
          <w:sz w:val="22"/>
          <w:szCs w:val="22"/>
          <w:lang w:val="es-ES_tradnl"/>
        </w:rPr>
        <w:t>de</w:t>
      </w:r>
      <w:r>
        <w:rPr>
          <w:rFonts w:ascii="Arial" w:hAnsi="Arial" w:cs="Arial"/>
          <w:spacing w:val="36"/>
          <w:sz w:val="22"/>
          <w:szCs w:val="22"/>
          <w:lang w:val="es-ES_tradnl"/>
        </w:rPr>
        <w:t xml:space="preserve"> </w:t>
      </w:r>
      <w:r>
        <w:rPr>
          <w:rFonts w:ascii="Arial" w:hAnsi="Arial" w:cs="Arial"/>
          <w:spacing w:val="-1"/>
          <w:sz w:val="22"/>
          <w:szCs w:val="22"/>
          <w:lang w:val="es-ES_tradnl"/>
        </w:rPr>
        <w:t xml:space="preserve">Perú </w:t>
      </w:r>
      <w:r>
        <w:rPr>
          <w:rFonts w:ascii="Arial" w:hAnsi="Arial" w:cs="Arial"/>
          <w:sz w:val="22"/>
          <w:szCs w:val="22"/>
          <w:lang w:val="es-ES_tradnl"/>
        </w:rPr>
        <w:t>en</w:t>
      </w:r>
      <w:r>
        <w:rPr>
          <w:rFonts w:ascii="Arial" w:hAnsi="Arial" w:cs="Arial"/>
          <w:spacing w:val="35"/>
          <w:sz w:val="22"/>
          <w:szCs w:val="22"/>
          <w:lang w:val="es-ES_tradnl"/>
        </w:rPr>
        <w:t xml:space="preserve"> </w:t>
      </w:r>
      <w:r>
        <w:rPr>
          <w:rFonts w:ascii="Arial" w:hAnsi="Arial" w:cs="Arial"/>
          <w:sz w:val="22"/>
          <w:szCs w:val="22"/>
          <w:lang w:val="es-ES_tradnl"/>
        </w:rPr>
        <w:t>los</w:t>
      </w:r>
      <w:r>
        <w:rPr>
          <w:rFonts w:ascii="Arial" w:hAnsi="Arial" w:cs="Arial"/>
          <w:spacing w:val="35"/>
          <w:sz w:val="22"/>
          <w:szCs w:val="22"/>
          <w:lang w:val="es-ES_tradnl"/>
        </w:rPr>
        <w:t xml:space="preserve"> </w:t>
      </w:r>
      <w:r>
        <w:rPr>
          <w:rFonts w:ascii="Arial" w:hAnsi="Arial" w:cs="Arial"/>
          <w:spacing w:val="-1"/>
          <w:sz w:val="22"/>
          <w:szCs w:val="22"/>
          <w:lang w:val="es-ES_tradnl"/>
        </w:rPr>
        <w:t>años</w:t>
      </w:r>
      <w:r>
        <w:rPr>
          <w:rFonts w:ascii="Arial" w:hAnsi="Arial" w:cs="Arial"/>
          <w:spacing w:val="35"/>
          <w:sz w:val="22"/>
          <w:szCs w:val="22"/>
          <w:lang w:val="es-ES_tradnl"/>
        </w:rPr>
        <w:t xml:space="preserve"> </w:t>
      </w:r>
      <w:r>
        <w:rPr>
          <w:rFonts w:ascii="Arial" w:hAnsi="Arial" w:cs="Arial"/>
          <w:sz w:val="22"/>
          <w:szCs w:val="22"/>
          <w:lang w:val="es-ES_tradnl"/>
        </w:rPr>
        <w:t>2012</w:t>
      </w:r>
      <w:r>
        <w:rPr>
          <w:rFonts w:ascii="Arial" w:hAnsi="Arial" w:cs="Arial"/>
          <w:spacing w:val="37"/>
          <w:sz w:val="22"/>
          <w:szCs w:val="22"/>
          <w:lang w:val="es-ES_tradnl"/>
        </w:rPr>
        <w:t xml:space="preserve"> </w:t>
      </w:r>
      <w:r>
        <w:rPr>
          <w:rFonts w:ascii="Arial" w:hAnsi="Arial" w:cs="Arial"/>
          <w:sz w:val="22"/>
          <w:szCs w:val="22"/>
          <w:lang w:val="es-ES_tradnl"/>
        </w:rPr>
        <w:t>a</w:t>
      </w:r>
      <w:r>
        <w:rPr>
          <w:rFonts w:ascii="Arial" w:hAnsi="Arial" w:cs="Arial"/>
          <w:spacing w:val="97"/>
          <w:w w:val="99"/>
          <w:sz w:val="22"/>
          <w:szCs w:val="22"/>
          <w:lang w:val="es-ES_tradnl"/>
        </w:rPr>
        <w:t xml:space="preserve"> </w:t>
      </w:r>
      <w:r>
        <w:rPr>
          <w:rFonts w:ascii="Arial" w:hAnsi="Arial" w:cs="Arial"/>
          <w:sz w:val="22"/>
          <w:szCs w:val="22"/>
          <w:lang w:val="es-ES_tradnl"/>
        </w:rPr>
        <w:t>2016:</w:t>
      </w:r>
    </w:p>
    <w:p>
      <w:pPr>
        <w:pStyle w:val="Paragraph"/>
        <w:numPr>
          <w:ilvl w:val="0"/>
          <w:numId w:val="0"/>
        </w:numPr>
        <w:ind w:left="1350"/>
        <w:outlineLvl w:val="9"/>
        <w:rPr>
          <w:rFonts w:ascii="Arial" w:hAnsi="Arial" w:cs="Arial"/>
          <w:spacing w:val="-1"/>
          <w:sz w:val="22"/>
          <w:szCs w:val="22"/>
          <w:u w:color="000000"/>
          <w:lang w:val="fr-FR"/>
        </w:rPr>
      </w:pPr>
      <w:r>
        <w:rPr>
          <w:rFonts w:ascii="Arial" w:hAnsi="Arial" w:cs="Arial"/>
          <w:spacing w:val="-1"/>
          <w:sz w:val="22"/>
          <w:szCs w:val="22"/>
          <w:u w:color="000000"/>
          <w:lang w:val="fr-FR"/>
        </w:rPr>
        <w:t>FCS= X + M / (X + M + T)</w:t>
      </w:r>
    </w:p>
    <w:p>
      <w:pPr>
        <w:pStyle w:val="Paragraph"/>
        <w:numPr>
          <w:ilvl w:val="0"/>
          <w:numId w:val="0"/>
        </w:numPr>
        <w:ind w:left="1350"/>
        <w:outlineLvl w:val="9"/>
        <w:rPr>
          <w:rFonts w:ascii="Arial" w:hAnsi="Arial" w:cs="Arial"/>
          <w:spacing w:val="-1"/>
          <w:sz w:val="22"/>
          <w:szCs w:val="22"/>
          <w:u w:color="000000"/>
          <w:lang w:val="fr-FR"/>
        </w:rPr>
      </w:pPr>
      <w:r>
        <w:rPr>
          <w:rFonts w:ascii="Arial" w:hAnsi="Arial" w:cs="Arial"/>
          <w:spacing w:val="-1"/>
          <w:sz w:val="22"/>
          <w:szCs w:val="22"/>
          <w:u w:color="000000"/>
          <w:lang w:val="fr-FR"/>
        </w:rPr>
        <w:t>Donde,</w:t>
      </w:r>
    </w:p>
    <w:p>
      <w:pPr>
        <w:pStyle w:val="Paragraph"/>
        <w:numPr>
          <w:ilvl w:val="0"/>
          <w:numId w:val="0"/>
        </w:numPr>
        <w:ind w:left="1350"/>
        <w:outlineLvl w:val="9"/>
        <w:rPr>
          <w:rFonts w:ascii="Arial" w:hAnsi="Arial" w:cs="Arial"/>
          <w:spacing w:val="-1"/>
          <w:sz w:val="22"/>
          <w:szCs w:val="22"/>
          <w:u w:color="000000"/>
          <w:lang w:val="es-ES_tradnl"/>
        </w:rPr>
      </w:pPr>
      <w:r>
        <w:rPr>
          <w:rFonts w:ascii="Arial" w:hAnsi="Arial" w:cs="Arial"/>
          <w:spacing w:val="-1"/>
          <w:sz w:val="22"/>
          <w:szCs w:val="22"/>
          <w:u w:color="000000"/>
          <w:lang w:val="es-ES_tradnl"/>
        </w:rPr>
        <w:t xml:space="preserve">X: valor total de exportaciones de Perú </w:t>
      </w:r>
    </w:p>
    <w:p>
      <w:pPr>
        <w:pStyle w:val="Paragraph"/>
        <w:numPr>
          <w:ilvl w:val="0"/>
          <w:numId w:val="0"/>
        </w:numPr>
        <w:ind w:left="1350"/>
        <w:outlineLvl w:val="9"/>
        <w:rPr>
          <w:rFonts w:ascii="Arial" w:hAnsi="Arial" w:cs="Arial"/>
          <w:spacing w:val="-1"/>
          <w:sz w:val="22"/>
          <w:szCs w:val="22"/>
          <w:u w:color="000000"/>
          <w:lang w:val="es-ES_tradnl"/>
        </w:rPr>
      </w:pPr>
      <w:r>
        <w:rPr>
          <w:rFonts w:ascii="Arial" w:hAnsi="Arial" w:cs="Arial"/>
          <w:spacing w:val="-1"/>
          <w:sz w:val="22"/>
          <w:szCs w:val="22"/>
          <w:u w:color="000000"/>
          <w:lang w:val="es-ES_tradnl"/>
        </w:rPr>
        <w:t>M: valor total de importaciones de Perú</w:t>
      </w:r>
    </w:p>
    <w:p>
      <w:pPr>
        <w:pStyle w:val="Paragraph"/>
        <w:numPr>
          <w:ilvl w:val="0"/>
          <w:numId w:val="0"/>
        </w:numPr>
        <w:ind w:left="1350"/>
        <w:outlineLvl w:val="9"/>
        <w:rPr>
          <w:rFonts w:ascii="Arial" w:hAnsi="Arial" w:cs="Arial"/>
          <w:b/>
          <w:spacing w:val="-1"/>
          <w:sz w:val="22"/>
          <w:szCs w:val="22"/>
          <w:u w:color="000000"/>
          <w:lang w:val="es-ES_tradnl"/>
        </w:rPr>
      </w:pPr>
      <w:r>
        <w:rPr>
          <w:rFonts w:ascii="Arial" w:hAnsi="Arial" w:cs="Arial"/>
          <w:spacing w:val="-1"/>
          <w:sz w:val="22"/>
          <w:szCs w:val="22"/>
          <w:u w:color="000000"/>
          <w:lang w:val="es-ES_tradnl"/>
        </w:rPr>
        <w:t>T: recaudación aduanera de Perú</w:t>
      </w:r>
      <w:r>
        <w:rPr>
          <w:rFonts w:ascii="Arial" w:hAnsi="Arial" w:cs="Arial"/>
          <w:b/>
          <w:spacing w:val="-1"/>
          <w:sz w:val="22"/>
          <w:szCs w:val="22"/>
          <w:u w:color="000000"/>
          <w:lang w:val="es-ES_tradnl"/>
        </w:rPr>
        <w:t xml:space="preserve">. </w:t>
      </w:r>
    </w:p>
    <w:p>
      <w:pPr>
        <w:pStyle w:val="Paragraph"/>
        <w:numPr>
          <w:ilvl w:val="0"/>
          <w:numId w:val="0"/>
        </w:numPr>
        <w:ind w:left="1350"/>
        <w:outlineLvl w:val="9"/>
        <w:rPr>
          <w:rFonts w:ascii="Arial" w:hAnsi="Arial" w:cs="Arial"/>
          <w:spacing w:val="-1"/>
          <w:sz w:val="22"/>
          <w:szCs w:val="22"/>
          <w:u w:color="000000"/>
          <w:lang w:val="es-ES_tradnl"/>
        </w:rPr>
      </w:pPr>
      <w:r>
        <w:rPr>
          <w:rFonts w:ascii="Arial" w:hAnsi="Arial" w:cs="Arial"/>
          <w:spacing w:val="-1"/>
          <w:sz w:val="22"/>
          <w:szCs w:val="22"/>
          <w:u w:color="000000"/>
          <w:lang w:val="es-ES_tradnl"/>
        </w:rPr>
        <w:t>Los datos relevantes se indican en la siguiente tabla:</w:t>
      </w:r>
    </w:p>
    <w:tbl>
      <w:tblPr>
        <w:tblStyle w:val="TableGrid"/>
        <w:tblW w:w="11206" w:type="dxa"/>
        <w:tblInd w:w="-905" w:type="dxa"/>
        <w:tblLook w:val="04A0" w:firstRow="1" w:lastRow="0" w:firstColumn="1" w:lastColumn="0" w:noHBand="0" w:noVBand="1"/>
      </w:tblPr>
      <w:tblGrid>
        <w:gridCol w:w="3240"/>
        <w:gridCol w:w="1576"/>
        <w:gridCol w:w="1576"/>
        <w:gridCol w:w="1618"/>
        <w:gridCol w:w="1620"/>
        <w:gridCol w:w="1576"/>
      </w:tblGrid>
      <w:tr>
        <w:trPr>
          <w:trHeight w:val="53"/>
        </w:trPr>
        <w:tc>
          <w:tcPr>
            <w:tcW w:w="11206" w:type="dxa"/>
            <w:gridSpan w:val="6"/>
            <w:shd w:val="clear" w:color="auto" w:fill="C6D9F1" w:themeFill="text2" w:themeFillTint="33"/>
            <w:vAlign w:val="center"/>
            <w:hideMark/>
          </w:tcPr>
          <w:p>
            <w:pPr>
              <w:spacing w:before="120" w:after="120"/>
              <w:ind w:hanging="31"/>
              <w:contextualSpacing/>
              <w:jc w:val="center"/>
              <w:rPr>
                <w:rFonts w:ascii="Arial" w:eastAsia="Times New Roman" w:hAnsi="Arial" w:cs="Arial"/>
                <w:b/>
                <w:bCs/>
                <w:sz w:val="20"/>
                <w:szCs w:val="20"/>
                <w:lang w:val="es-ES_tradnl"/>
              </w:rPr>
            </w:pPr>
            <w:r>
              <w:rPr>
                <w:rFonts w:ascii="Arial" w:eastAsia="Times New Roman" w:hAnsi="Arial" w:cs="Arial"/>
                <w:b/>
                <w:bCs/>
                <w:sz w:val="20"/>
                <w:szCs w:val="20"/>
                <w:lang w:val="es-ES_tradnl"/>
              </w:rPr>
              <w:t>Factor de Conversión Estándar</w:t>
            </w:r>
          </w:p>
        </w:tc>
      </w:tr>
      <w:tr>
        <w:trPr>
          <w:trHeight w:val="53"/>
        </w:trPr>
        <w:tc>
          <w:tcPr>
            <w:tcW w:w="3240" w:type="dxa"/>
            <w:shd w:val="clear" w:color="auto" w:fill="FABF8F" w:themeFill="accent6" w:themeFillTint="99"/>
            <w:noWrap/>
            <w:hideMark/>
          </w:tcPr>
          <w:p>
            <w:pPr>
              <w:spacing w:before="120" w:after="120"/>
              <w:ind w:hanging="31"/>
              <w:contextualSpacing/>
              <w:jc w:val="center"/>
              <w:rPr>
                <w:rFonts w:ascii="Arial" w:eastAsia="Times New Roman" w:hAnsi="Arial" w:cs="Arial"/>
                <w:b/>
                <w:bCs/>
                <w:sz w:val="20"/>
                <w:szCs w:val="20"/>
                <w:lang w:val="es-ES_tradnl"/>
              </w:rPr>
            </w:pPr>
            <w:r>
              <w:rPr>
                <w:rFonts w:ascii="Arial" w:eastAsia="Times New Roman" w:hAnsi="Arial" w:cs="Arial"/>
                <w:b/>
                <w:bCs/>
                <w:sz w:val="20"/>
                <w:szCs w:val="20"/>
                <w:lang w:val="es-ES_tradnl"/>
              </w:rPr>
              <w:t>US$</w:t>
            </w:r>
          </w:p>
        </w:tc>
        <w:tc>
          <w:tcPr>
            <w:tcW w:w="1576" w:type="dxa"/>
            <w:shd w:val="clear" w:color="auto" w:fill="FABF8F" w:themeFill="accent6" w:themeFillTint="99"/>
            <w:noWrap/>
            <w:hideMark/>
          </w:tcPr>
          <w:p>
            <w:pPr>
              <w:spacing w:before="120" w:after="120"/>
              <w:ind w:hanging="31"/>
              <w:contextualSpacing/>
              <w:jc w:val="center"/>
              <w:rPr>
                <w:rFonts w:ascii="Arial" w:eastAsia="Times New Roman" w:hAnsi="Arial" w:cs="Arial"/>
                <w:b/>
                <w:bCs/>
                <w:sz w:val="20"/>
                <w:szCs w:val="20"/>
                <w:lang w:val="es-ES_tradnl"/>
              </w:rPr>
            </w:pPr>
            <w:r>
              <w:rPr>
                <w:rFonts w:ascii="Arial" w:eastAsia="Times New Roman" w:hAnsi="Arial" w:cs="Arial"/>
                <w:b/>
                <w:bCs/>
                <w:sz w:val="20"/>
                <w:szCs w:val="20"/>
                <w:lang w:val="es-ES_tradnl"/>
              </w:rPr>
              <w:t>2012</w:t>
            </w:r>
          </w:p>
        </w:tc>
        <w:tc>
          <w:tcPr>
            <w:tcW w:w="1576" w:type="dxa"/>
            <w:shd w:val="clear" w:color="auto" w:fill="FABF8F" w:themeFill="accent6" w:themeFillTint="99"/>
            <w:noWrap/>
            <w:hideMark/>
          </w:tcPr>
          <w:p>
            <w:pPr>
              <w:spacing w:before="120" w:after="120"/>
              <w:ind w:hanging="31"/>
              <w:contextualSpacing/>
              <w:jc w:val="center"/>
              <w:rPr>
                <w:rFonts w:ascii="Arial" w:eastAsia="Times New Roman" w:hAnsi="Arial" w:cs="Arial"/>
                <w:b/>
                <w:bCs/>
                <w:sz w:val="20"/>
                <w:szCs w:val="20"/>
                <w:lang w:val="es-ES_tradnl"/>
              </w:rPr>
            </w:pPr>
            <w:r>
              <w:rPr>
                <w:rFonts w:ascii="Arial" w:eastAsia="Times New Roman" w:hAnsi="Arial" w:cs="Arial"/>
                <w:b/>
                <w:bCs/>
                <w:sz w:val="20"/>
                <w:szCs w:val="20"/>
                <w:lang w:val="es-ES_tradnl"/>
              </w:rPr>
              <w:t>2013</w:t>
            </w:r>
          </w:p>
        </w:tc>
        <w:tc>
          <w:tcPr>
            <w:tcW w:w="1618" w:type="dxa"/>
            <w:shd w:val="clear" w:color="auto" w:fill="FABF8F" w:themeFill="accent6" w:themeFillTint="99"/>
            <w:noWrap/>
            <w:hideMark/>
          </w:tcPr>
          <w:p>
            <w:pPr>
              <w:spacing w:before="120" w:after="120"/>
              <w:ind w:hanging="31"/>
              <w:contextualSpacing/>
              <w:jc w:val="center"/>
              <w:rPr>
                <w:rFonts w:ascii="Arial" w:eastAsia="Times New Roman" w:hAnsi="Arial" w:cs="Arial"/>
                <w:b/>
                <w:bCs/>
                <w:sz w:val="20"/>
                <w:szCs w:val="20"/>
                <w:lang w:val="es-ES_tradnl"/>
              </w:rPr>
            </w:pPr>
            <w:r>
              <w:rPr>
                <w:rFonts w:ascii="Arial" w:eastAsia="Times New Roman" w:hAnsi="Arial" w:cs="Arial"/>
                <w:b/>
                <w:bCs/>
                <w:sz w:val="20"/>
                <w:szCs w:val="20"/>
                <w:lang w:val="es-ES_tradnl"/>
              </w:rPr>
              <w:t>2014</w:t>
            </w:r>
          </w:p>
        </w:tc>
        <w:tc>
          <w:tcPr>
            <w:tcW w:w="1620" w:type="dxa"/>
            <w:shd w:val="clear" w:color="auto" w:fill="FABF8F" w:themeFill="accent6" w:themeFillTint="99"/>
            <w:noWrap/>
            <w:hideMark/>
          </w:tcPr>
          <w:p>
            <w:pPr>
              <w:spacing w:before="120" w:after="120"/>
              <w:ind w:hanging="31"/>
              <w:contextualSpacing/>
              <w:jc w:val="center"/>
              <w:rPr>
                <w:rFonts w:ascii="Arial" w:eastAsia="Times New Roman" w:hAnsi="Arial" w:cs="Arial"/>
                <w:b/>
                <w:bCs/>
                <w:sz w:val="20"/>
                <w:szCs w:val="20"/>
                <w:lang w:val="es-ES_tradnl"/>
              </w:rPr>
            </w:pPr>
            <w:r>
              <w:rPr>
                <w:rFonts w:ascii="Arial" w:eastAsia="Times New Roman" w:hAnsi="Arial" w:cs="Arial"/>
                <w:b/>
                <w:bCs/>
                <w:sz w:val="20"/>
                <w:szCs w:val="20"/>
                <w:lang w:val="es-ES_tradnl"/>
              </w:rPr>
              <w:t>2015</w:t>
            </w:r>
          </w:p>
        </w:tc>
        <w:tc>
          <w:tcPr>
            <w:tcW w:w="1576" w:type="dxa"/>
            <w:shd w:val="clear" w:color="auto" w:fill="FABF8F" w:themeFill="accent6" w:themeFillTint="99"/>
            <w:noWrap/>
            <w:hideMark/>
          </w:tcPr>
          <w:p>
            <w:pPr>
              <w:spacing w:before="120" w:after="120"/>
              <w:ind w:hanging="31"/>
              <w:contextualSpacing/>
              <w:jc w:val="center"/>
              <w:rPr>
                <w:rFonts w:ascii="Arial" w:eastAsia="Times New Roman" w:hAnsi="Arial" w:cs="Arial"/>
                <w:b/>
                <w:bCs/>
                <w:sz w:val="20"/>
                <w:szCs w:val="20"/>
                <w:lang w:val="es-ES_tradnl"/>
              </w:rPr>
            </w:pPr>
            <w:r>
              <w:rPr>
                <w:rFonts w:ascii="Arial" w:eastAsia="Times New Roman" w:hAnsi="Arial" w:cs="Arial"/>
                <w:b/>
                <w:bCs/>
                <w:sz w:val="20"/>
                <w:szCs w:val="20"/>
                <w:lang w:val="es-ES_tradnl"/>
              </w:rPr>
              <w:t>2016</w:t>
            </w:r>
          </w:p>
        </w:tc>
      </w:tr>
      <w:tr>
        <w:trPr>
          <w:trHeight w:val="53"/>
        </w:trPr>
        <w:tc>
          <w:tcPr>
            <w:tcW w:w="3240" w:type="dxa"/>
            <w:noWrap/>
            <w:hideMark/>
          </w:tcPr>
          <w:p>
            <w:pPr>
              <w:spacing w:before="120" w:after="120"/>
              <w:ind w:hanging="31"/>
              <w:contextualSpacing/>
              <w:jc w:val="both"/>
              <w:rPr>
                <w:rFonts w:ascii="Arial" w:eastAsia="Times New Roman" w:hAnsi="Arial" w:cs="Arial"/>
                <w:b/>
                <w:bCs/>
                <w:sz w:val="20"/>
                <w:szCs w:val="20"/>
                <w:lang w:val="es-ES_tradnl"/>
              </w:rPr>
            </w:pPr>
            <w:r>
              <w:rPr>
                <w:rFonts w:ascii="Arial" w:eastAsia="Times New Roman" w:hAnsi="Arial" w:cs="Arial"/>
                <w:b/>
                <w:bCs/>
                <w:sz w:val="20"/>
                <w:szCs w:val="20"/>
                <w:lang w:val="es-ES_tradnl"/>
              </w:rPr>
              <w:t>X   =   Exportaciones</w:t>
            </w:r>
          </w:p>
        </w:tc>
        <w:tc>
          <w:tcPr>
            <w:tcW w:w="1576" w:type="dxa"/>
            <w:noWrap/>
            <w:vAlign w:val="center"/>
            <w:hideMark/>
          </w:tcPr>
          <w:p>
            <w:pPr>
              <w:spacing w:before="120" w:after="120"/>
              <w:ind w:hanging="31"/>
              <w:contextualSpacing/>
              <w:jc w:val="center"/>
              <w:rPr>
                <w:rFonts w:ascii="Arial" w:eastAsia="Times New Roman" w:hAnsi="Arial" w:cs="Arial"/>
                <w:sz w:val="20"/>
                <w:szCs w:val="20"/>
                <w:lang w:val="es-ES_tradnl"/>
              </w:rPr>
            </w:pPr>
            <w:r>
              <w:rPr>
                <w:rFonts w:ascii="Arial" w:eastAsia="Times New Roman" w:hAnsi="Arial" w:cs="Arial"/>
                <w:sz w:val="20"/>
                <w:szCs w:val="20"/>
                <w:lang w:val="es-ES_tradnl"/>
              </w:rPr>
              <w:t>52,881,407,340</w:t>
            </w:r>
          </w:p>
        </w:tc>
        <w:tc>
          <w:tcPr>
            <w:tcW w:w="1576" w:type="dxa"/>
            <w:noWrap/>
            <w:vAlign w:val="center"/>
            <w:hideMark/>
          </w:tcPr>
          <w:p>
            <w:pPr>
              <w:spacing w:before="120" w:after="120"/>
              <w:ind w:hanging="31"/>
              <w:contextualSpacing/>
              <w:jc w:val="center"/>
              <w:rPr>
                <w:rFonts w:ascii="Arial" w:eastAsia="Times New Roman" w:hAnsi="Arial" w:cs="Arial"/>
                <w:sz w:val="20"/>
                <w:szCs w:val="20"/>
                <w:lang w:val="es-ES_tradnl"/>
              </w:rPr>
            </w:pPr>
            <w:r>
              <w:rPr>
                <w:rFonts w:ascii="Arial" w:eastAsia="Times New Roman" w:hAnsi="Arial" w:cs="Arial"/>
                <w:sz w:val="20"/>
                <w:szCs w:val="20"/>
                <w:lang w:val="es-ES_tradnl"/>
              </w:rPr>
              <w:t>49,908,212,739</w:t>
            </w:r>
          </w:p>
        </w:tc>
        <w:tc>
          <w:tcPr>
            <w:tcW w:w="1618" w:type="dxa"/>
            <w:noWrap/>
            <w:vAlign w:val="center"/>
            <w:hideMark/>
          </w:tcPr>
          <w:p>
            <w:pPr>
              <w:spacing w:before="120" w:after="120"/>
              <w:ind w:hanging="31"/>
              <w:contextualSpacing/>
              <w:jc w:val="center"/>
              <w:rPr>
                <w:rFonts w:ascii="Arial" w:eastAsia="Times New Roman" w:hAnsi="Arial" w:cs="Arial"/>
                <w:sz w:val="20"/>
                <w:szCs w:val="20"/>
                <w:lang w:val="es-ES_tradnl"/>
              </w:rPr>
            </w:pPr>
            <w:r>
              <w:rPr>
                <w:rFonts w:ascii="Arial" w:eastAsia="Times New Roman" w:hAnsi="Arial" w:cs="Arial"/>
                <w:sz w:val="20"/>
                <w:szCs w:val="20"/>
                <w:lang w:val="es-ES_tradnl"/>
              </w:rPr>
              <w:t>45,392,391,687</w:t>
            </w:r>
          </w:p>
        </w:tc>
        <w:tc>
          <w:tcPr>
            <w:tcW w:w="1620" w:type="dxa"/>
            <w:noWrap/>
            <w:vAlign w:val="center"/>
            <w:hideMark/>
          </w:tcPr>
          <w:p>
            <w:pPr>
              <w:spacing w:before="120" w:after="120"/>
              <w:ind w:hanging="31"/>
              <w:contextualSpacing/>
              <w:jc w:val="center"/>
              <w:rPr>
                <w:rFonts w:ascii="Arial" w:eastAsia="Times New Roman" w:hAnsi="Arial" w:cs="Arial"/>
                <w:sz w:val="20"/>
                <w:szCs w:val="20"/>
                <w:lang w:val="es-ES_tradnl"/>
              </w:rPr>
            </w:pPr>
            <w:r>
              <w:rPr>
                <w:rFonts w:ascii="Arial" w:eastAsia="Times New Roman" w:hAnsi="Arial" w:cs="Arial"/>
                <w:sz w:val="20"/>
                <w:szCs w:val="20"/>
                <w:lang w:val="es-ES_tradnl"/>
              </w:rPr>
              <w:t>40,298,329,355</w:t>
            </w:r>
          </w:p>
        </w:tc>
        <w:tc>
          <w:tcPr>
            <w:tcW w:w="1576" w:type="dxa"/>
            <w:noWrap/>
            <w:vAlign w:val="center"/>
            <w:hideMark/>
          </w:tcPr>
          <w:p>
            <w:pPr>
              <w:spacing w:before="120" w:after="120"/>
              <w:ind w:hanging="31"/>
              <w:contextualSpacing/>
              <w:jc w:val="center"/>
              <w:rPr>
                <w:rFonts w:ascii="Arial" w:eastAsia="Times New Roman" w:hAnsi="Arial" w:cs="Arial"/>
                <w:sz w:val="20"/>
                <w:szCs w:val="20"/>
                <w:lang w:val="es-ES_tradnl"/>
              </w:rPr>
            </w:pPr>
            <w:r>
              <w:rPr>
                <w:rFonts w:ascii="Arial" w:eastAsia="Times New Roman" w:hAnsi="Arial" w:cs="Arial"/>
                <w:sz w:val="20"/>
                <w:szCs w:val="20"/>
                <w:lang w:val="es-ES_tradnl"/>
              </w:rPr>
              <w:t>43,118,652,098</w:t>
            </w:r>
          </w:p>
        </w:tc>
      </w:tr>
      <w:tr>
        <w:trPr>
          <w:trHeight w:val="255"/>
        </w:trPr>
        <w:tc>
          <w:tcPr>
            <w:tcW w:w="3240" w:type="dxa"/>
            <w:hideMark/>
          </w:tcPr>
          <w:p>
            <w:pPr>
              <w:spacing w:before="120" w:after="120"/>
              <w:ind w:hanging="31"/>
              <w:contextualSpacing/>
              <w:jc w:val="both"/>
              <w:rPr>
                <w:rFonts w:ascii="Arial" w:eastAsia="Times New Roman" w:hAnsi="Arial" w:cs="Arial"/>
                <w:b/>
                <w:bCs/>
                <w:sz w:val="20"/>
                <w:szCs w:val="20"/>
                <w:lang w:val="es-ES_tradnl"/>
              </w:rPr>
            </w:pPr>
            <w:r>
              <w:rPr>
                <w:rFonts w:ascii="Arial" w:eastAsia="Times New Roman" w:hAnsi="Arial" w:cs="Arial"/>
                <w:b/>
                <w:bCs/>
                <w:sz w:val="20"/>
                <w:szCs w:val="20"/>
                <w:lang w:val="es-ES_tradnl"/>
              </w:rPr>
              <w:t>M  =   Importaciones</w:t>
            </w:r>
          </w:p>
        </w:tc>
        <w:tc>
          <w:tcPr>
            <w:tcW w:w="1576" w:type="dxa"/>
            <w:noWrap/>
            <w:vAlign w:val="center"/>
            <w:hideMark/>
          </w:tcPr>
          <w:p>
            <w:pPr>
              <w:spacing w:before="120" w:after="120"/>
              <w:ind w:hanging="31"/>
              <w:contextualSpacing/>
              <w:jc w:val="center"/>
              <w:rPr>
                <w:rFonts w:ascii="Arial" w:eastAsia="Times New Roman" w:hAnsi="Arial" w:cs="Arial"/>
                <w:sz w:val="20"/>
                <w:szCs w:val="20"/>
                <w:lang w:val="es-ES_tradnl"/>
              </w:rPr>
            </w:pPr>
            <w:r>
              <w:rPr>
                <w:rFonts w:ascii="Arial" w:eastAsia="Times New Roman" w:hAnsi="Arial" w:cs="Arial"/>
                <w:sz w:val="20"/>
                <w:szCs w:val="20"/>
                <w:lang w:val="es-ES_tradnl"/>
              </w:rPr>
              <w:t>48,490,294,206</w:t>
            </w:r>
          </w:p>
        </w:tc>
        <w:tc>
          <w:tcPr>
            <w:tcW w:w="1576" w:type="dxa"/>
            <w:noWrap/>
            <w:vAlign w:val="center"/>
            <w:hideMark/>
          </w:tcPr>
          <w:p>
            <w:pPr>
              <w:spacing w:before="120" w:after="120"/>
              <w:ind w:hanging="31"/>
              <w:contextualSpacing/>
              <w:jc w:val="center"/>
              <w:rPr>
                <w:rFonts w:ascii="Arial" w:eastAsia="Times New Roman" w:hAnsi="Arial" w:cs="Arial"/>
                <w:sz w:val="20"/>
                <w:szCs w:val="20"/>
                <w:lang w:val="es-ES_tradnl"/>
              </w:rPr>
            </w:pPr>
            <w:r>
              <w:rPr>
                <w:rFonts w:ascii="Arial" w:eastAsia="Times New Roman" w:hAnsi="Arial" w:cs="Arial"/>
                <w:sz w:val="20"/>
                <w:szCs w:val="20"/>
                <w:lang w:val="es-ES_tradnl"/>
              </w:rPr>
              <w:t>50,251,304,637</w:t>
            </w:r>
          </w:p>
        </w:tc>
        <w:tc>
          <w:tcPr>
            <w:tcW w:w="1618" w:type="dxa"/>
            <w:noWrap/>
            <w:vAlign w:val="center"/>
            <w:hideMark/>
          </w:tcPr>
          <w:p>
            <w:pPr>
              <w:spacing w:before="120" w:after="120"/>
              <w:ind w:hanging="31"/>
              <w:contextualSpacing/>
              <w:jc w:val="center"/>
              <w:rPr>
                <w:rFonts w:ascii="Arial" w:eastAsia="Times New Roman" w:hAnsi="Arial" w:cs="Arial"/>
                <w:sz w:val="20"/>
                <w:szCs w:val="20"/>
                <w:lang w:val="es-ES_tradnl"/>
              </w:rPr>
            </w:pPr>
            <w:r>
              <w:rPr>
                <w:rFonts w:ascii="Arial" w:eastAsia="Times New Roman" w:hAnsi="Arial" w:cs="Arial"/>
                <w:sz w:val="20"/>
                <w:szCs w:val="20"/>
                <w:lang w:val="es-ES_tradnl"/>
              </w:rPr>
              <w:t>48,683,691,440</w:t>
            </w:r>
          </w:p>
        </w:tc>
        <w:tc>
          <w:tcPr>
            <w:tcW w:w="1620" w:type="dxa"/>
            <w:noWrap/>
            <w:vAlign w:val="center"/>
            <w:hideMark/>
          </w:tcPr>
          <w:p>
            <w:pPr>
              <w:spacing w:before="120" w:after="120"/>
              <w:ind w:hanging="31"/>
              <w:contextualSpacing/>
              <w:jc w:val="center"/>
              <w:rPr>
                <w:rFonts w:ascii="Arial" w:eastAsia="Times New Roman" w:hAnsi="Arial" w:cs="Arial"/>
                <w:sz w:val="20"/>
                <w:szCs w:val="20"/>
                <w:lang w:val="es-ES_tradnl"/>
              </w:rPr>
            </w:pPr>
            <w:r>
              <w:rPr>
                <w:rFonts w:ascii="Arial" w:eastAsia="Times New Roman" w:hAnsi="Arial" w:cs="Arial"/>
                <w:sz w:val="20"/>
                <w:szCs w:val="20"/>
                <w:lang w:val="es-ES_tradnl"/>
              </w:rPr>
              <w:t>44,863,082,527</w:t>
            </w:r>
          </w:p>
        </w:tc>
        <w:tc>
          <w:tcPr>
            <w:tcW w:w="1576" w:type="dxa"/>
            <w:noWrap/>
            <w:vAlign w:val="center"/>
            <w:hideMark/>
          </w:tcPr>
          <w:p>
            <w:pPr>
              <w:spacing w:before="120" w:after="120"/>
              <w:ind w:hanging="31"/>
              <w:contextualSpacing/>
              <w:jc w:val="center"/>
              <w:rPr>
                <w:rFonts w:ascii="Arial" w:eastAsia="Times New Roman" w:hAnsi="Arial" w:cs="Arial"/>
                <w:sz w:val="20"/>
                <w:szCs w:val="20"/>
                <w:lang w:val="es-ES_tradnl"/>
              </w:rPr>
            </w:pPr>
            <w:r>
              <w:rPr>
                <w:rFonts w:ascii="Arial" w:eastAsia="Times New Roman" w:hAnsi="Arial" w:cs="Arial"/>
                <w:sz w:val="20"/>
                <w:szCs w:val="20"/>
                <w:lang w:val="es-ES_tradnl"/>
              </w:rPr>
              <w:t>42,948,387,669</w:t>
            </w:r>
          </w:p>
        </w:tc>
      </w:tr>
      <w:tr>
        <w:trPr>
          <w:trHeight w:val="255"/>
        </w:trPr>
        <w:tc>
          <w:tcPr>
            <w:tcW w:w="3240" w:type="dxa"/>
            <w:hideMark/>
          </w:tcPr>
          <w:p>
            <w:pPr>
              <w:spacing w:before="120" w:after="120"/>
              <w:ind w:hanging="31"/>
              <w:contextualSpacing/>
              <w:jc w:val="both"/>
              <w:rPr>
                <w:rFonts w:ascii="Arial" w:eastAsia="Times New Roman" w:hAnsi="Arial" w:cs="Arial"/>
                <w:b/>
                <w:bCs/>
                <w:sz w:val="20"/>
                <w:szCs w:val="20"/>
                <w:lang w:val="es-ES_tradnl"/>
              </w:rPr>
            </w:pPr>
            <w:r>
              <w:rPr>
                <w:rFonts w:ascii="Arial" w:eastAsia="Times New Roman" w:hAnsi="Arial" w:cs="Arial"/>
                <w:b/>
                <w:bCs/>
                <w:sz w:val="20"/>
                <w:szCs w:val="20"/>
                <w:lang w:val="es-ES_tradnl"/>
              </w:rPr>
              <w:t>T   =   Recaudación aduanera</w:t>
            </w:r>
          </w:p>
        </w:tc>
        <w:tc>
          <w:tcPr>
            <w:tcW w:w="1576" w:type="dxa"/>
            <w:noWrap/>
            <w:vAlign w:val="center"/>
            <w:hideMark/>
          </w:tcPr>
          <w:p>
            <w:pPr>
              <w:spacing w:before="120" w:after="120"/>
              <w:ind w:hanging="31"/>
              <w:contextualSpacing/>
              <w:jc w:val="center"/>
              <w:rPr>
                <w:rFonts w:ascii="Arial" w:eastAsia="Times New Roman" w:hAnsi="Arial" w:cs="Arial"/>
                <w:sz w:val="20"/>
                <w:szCs w:val="20"/>
                <w:lang w:val="es-ES_tradnl"/>
              </w:rPr>
            </w:pPr>
            <w:r>
              <w:rPr>
                <w:rFonts w:ascii="Arial" w:eastAsia="Times New Roman" w:hAnsi="Arial" w:cs="Arial"/>
                <w:sz w:val="20"/>
                <w:szCs w:val="20"/>
                <w:lang w:val="es-ES_tradnl"/>
              </w:rPr>
              <w:t>1,526,024,225</w:t>
            </w:r>
          </w:p>
        </w:tc>
        <w:tc>
          <w:tcPr>
            <w:tcW w:w="1576" w:type="dxa"/>
            <w:noWrap/>
            <w:vAlign w:val="center"/>
            <w:hideMark/>
          </w:tcPr>
          <w:p>
            <w:pPr>
              <w:spacing w:before="120" w:after="120"/>
              <w:ind w:hanging="31"/>
              <w:contextualSpacing/>
              <w:jc w:val="center"/>
              <w:rPr>
                <w:rFonts w:ascii="Arial" w:eastAsia="Times New Roman" w:hAnsi="Arial" w:cs="Arial"/>
                <w:sz w:val="20"/>
                <w:szCs w:val="20"/>
                <w:lang w:val="es-ES_tradnl"/>
              </w:rPr>
            </w:pPr>
            <w:r>
              <w:rPr>
                <w:rFonts w:ascii="Arial" w:eastAsia="Times New Roman" w:hAnsi="Arial" w:cs="Arial"/>
                <w:sz w:val="20"/>
                <w:szCs w:val="20"/>
                <w:lang w:val="es-ES_tradnl"/>
              </w:rPr>
              <w:t>1,705,910,307</w:t>
            </w:r>
          </w:p>
        </w:tc>
        <w:tc>
          <w:tcPr>
            <w:tcW w:w="1618" w:type="dxa"/>
            <w:noWrap/>
            <w:vAlign w:val="center"/>
            <w:hideMark/>
          </w:tcPr>
          <w:p>
            <w:pPr>
              <w:spacing w:before="120" w:after="120"/>
              <w:ind w:hanging="31"/>
              <w:contextualSpacing/>
              <w:jc w:val="center"/>
              <w:rPr>
                <w:rFonts w:ascii="Arial" w:eastAsia="Times New Roman" w:hAnsi="Arial" w:cs="Arial"/>
                <w:sz w:val="20"/>
                <w:szCs w:val="20"/>
                <w:lang w:val="es-ES_tradnl"/>
              </w:rPr>
            </w:pPr>
            <w:r>
              <w:rPr>
                <w:rFonts w:ascii="Arial" w:eastAsia="Times New Roman" w:hAnsi="Arial" w:cs="Arial"/>
                <w:sz w:val="20"/>
                <w:szCs w:val="20"/>
                <w:lang w:val="es-ES_tradnl"/>
              </w:rPr>
              <w:t>1,789,803,793</w:t>
            </w:r>
          </w:p>
        </w:tc>
        <w:tc>
          <w:tcPr>
            <w:tcW w:w="1620" w:type="dxa"/>
            <w:noWrap/>
            <w:vAlign w:val="center"/>
            <w:hideMark/>
          </w:tcPr>
          <w:p>
            <w:pPr>
              <w:spacing w:before="120" w:after="120"/>
              <w:ind w:hanging="31"/>
              <w:contextualSpacing/>
              <w:jc w:val="center"/>
              <w:rPr>
                <w:rFonts w:ascii="Arial" w:eastAsia="Times New Roman" w:hAnsi="Arial" w:cs="Arial"/>
                <w:sz w:val="20"/>
                <w:szCs w:val="20"/>
                <w:lang w:val="es-ES_tradnl"/>
              </w:rPr>
            </w:pPr>
            <w:r>
              <w:rPr>
                <w:rFonts w:ascii="Arial" w:eastAsia="Times New Roman" w:hAnsi="Arial" w:cs="Arial"/>
                <w:sz w:val="20"/>
                <w:szCs w:val="20"/>
                <w:lang w:val="es-ES_tradnl"/>
              </w:rPr>
              <w:t>1,774,534,430</w:t>
            </w:r>
          </w:p>
        </w:tc>
        <w:tc>
          <w:tcPr>
            <w:tcW w:w="1576" w:type="dxa"/>
            <w:noWrap/>
            <w:vAlign w:val="center"/>
            <w:hideMark/>
          </w:tcPr>
          <w:p>
            <w:pPr>
              <w:spacing w:before="120" w:after="120"/>
              <w:ind w:hanging="31"/>
              <w:contextualSpacing/>
              <w:jc w:val="center"/>
              <w:rPr>
                <w:rFonts w:ascii="Arial" w:eastAsia="Times New Roman" w:hAnsi="Arial" w:cs="Arial"/>
                <w:sz w:val="20"/>
                <w:szCs w:val="20"/>
                <w:lang w:val="es-ES_tradnl"/>
              </w:rPr>
            </w:pPr>
            <w:r>
              <w:rPr>
                <w:rFonts w:ascii="Arial" w:eastAsia="Times New Roman" w:hAnsi="Arial" w:cs="Arial"/>
                <w:sz w:val="20"/>
                <w:szCs w:val="20"/>
                <w:lang w:val="es-ES_tradnl"/>
              </w:rPr>
              <w:t>1,793,405,276</w:t>
            </w:r>
          </w:p>
        </w:tc>
      </w:tr>
      <w:tr>
        <w:trPr>
          <w:trHeight w:val="525"/>
        </w:trPr>
        <w:tc>
          <w:tcPr>
            <w:tcW w:w="3240" w:type="dxa"/>
            <w:hideMark/>
          </w:tcPr>
          <w:p>
            <w:pPr>
              <w:spacing w:before="120" w:after="120"/>
              <w:ind w:hanging="31"/>
              <w:contextualSpacing/>
              <w:jc w:val="both"/>
              <w:rPr>
                <w:rFonts w:ascii="Arial" w:eastAsia="Times New Roman" w:hAnsi="Arial" w:cs="Arial"/>
                <w:b/>
                <w:bCs/>
                <w:sz w:val="20"/>
                <w:szCs w:val="20"/>
                <w:lang w:val="es-ES_tradnl"/>
              </w:rPr>
            </w:pPr>
            <w:r>
              <w:rPr>
                <w:rFonts w:ascii="Arial" w:eastAsia="Times New Roman" w:hAnsi="Arial" w:cs="Arial"/>
                <w:b/>
                <w:bCs/>
                <w:sz w:val="20"/>
                <w:szCs w:val="20"/>
                <w:lang w:val="es-ES_tradnl"/>
              </w:rPr>
              <w:t>Factor de conversión estándar (FCS) = (X + M) / (X + M + T)</w:t>
            </w:r>
          </w:p>
        </w:tc>
        <w:tc>
          <w:tcPr>
            <w:tcW w:w="1576" w:type="dxa"/>
            <w:noWrap/>
            <w:vAlign w:val="center"/>
            <w:hideMark/>
          </w:tcPr>
          <w:p>
            <w:pPr>
              <w:spacing w:before="120" w:after="120"/>
              <w:ind w:hanging="31"/>
              <w:contextualSpacing/>
              <w:jc w:val="center"/>
              <w:rPr>
                <w:rFonts w:ascii="Arial" w:eastAsia="Times New Roman" w:hAnsi="Arial" w:cs="Arial"/>
                <w:sz w:val="20"/>
                <w:szCs w:val="20"/>
                <w:lang w:val="es-ES_tradnl"/>
              </w:rPr>
            </w:pPr>
            <w:r>
              <w:rPr>
                <w:rFonts w:ascii="Arial" w:eastAsia="Times New Roman" w:hAnsi="Arial" w:cs="Arial"/>
                <w:sz w:val="20"/>
                <w:szCs w:val="20"/>
                <w:lang w:val="es-ES_tradnl"/>
              </w:rPr>
              <w:t>0.985</w:t>
            </w:r>
          </w:p>
        </w:tc>
        <w:tc>
          <w:tcPr>
            <w:tcW w:w="1576" w:type="dxa"/>
            <w:noWrap/>
            <w:vAlign w:val="center"/>
            <w:hideMark/>
          </w:tcPr>
          <w:p>
            <w:pPr>
              <w:spacing w:before="120" w:after="120"/>
              <w:ind w:hanging="31"/>
              <w:contextualSpacing/>
              <w:jc w:val="center"/>
              <w:rPr>
                <w:rFonts w:ascii="Arial" w:eastAsia="Times New Roman" w:hAnsi="Arial" w:cs="Arial"/>
                <w:sz w:val="20"/>
                <w:szCs w:val="20"/>
                <w:lang w:val="es-ES_tradnl"/>
              </w:rPr>
            </w:pPr>
            <w:r>
              <w:rPr>
                <w:rFonts w:ascii="Arial" w:eastAsia="Times New Roman" w:hAnsi="Arial" w:cs="Arial"/>
                <w:sz w:val="20"/>
                <w:szCs w:val="20"/>
                <w:lang w:val="es-ES_tradnl"/>
              </w:rPr>
              <w:t>0.983</w:t>
            </w:r>
          </w:p>
        </w:tc>
        <w:tc>
          <w:tcPr>
            <w:tcW w:w="1618" w:type="dxa"/>
            <w:noWrap/>
            <w:vAlign w:val="center"/>
            <w:hideMark/>
          </w:tcPr>
          <w:p>
            <w:pPr>
              <w:spacing w:before="120" w:after="120"/>
              <w:ind w:hanging="31"/>
              <w:contextualSpacing/>
              <w:jc w:val="center"/>
              <w:rPr>
                <w:rFonts w:ascii="Arial" w:eastAsia="Times New Roman" w:hAnsi="Arial" w:cs="Arial"/>
                <w:sz w:val="20"/>
                <w:szCs w:val="20"/>
                <w:lang w:val="es-ES_tradnl"/>
              </w:rPr>
            </w:pPr>
            <w:r>
              <w:rPr>
                <w:rFonts w:ascii="Arial" w:eastAsia="Times New Roman" w:hAnsi="Arial" w:cs="Arial"/>
                <w:sz w:val="20"/>
                <w:szCs w:val="20"/>
                <w:lang w:val="es-ES_tradnl"/>
              </w:rPr>
              <w:t>0.981</w:t>
            </w:r>
          </w:p>
        </w:tc>
        <w:tc>
          <w:tcPr>
            <w:tcW w:w="1620" w:type="dxa"/>
            <w:noWrap/>
            <w:vAlign w:val="center"/>
            <w:hideMark/>
          </w:tcPr>
          <w:p>
            <w:pPr>
              <w:spacing w:before="120" w:after="120"/>
              <w:ind w:hanging="31"/>
              <w:contextualSpacing/>
              <w:jc w:val="center"/>
              <w:rPr>
                <w:rFonts w:ascii="Arial" w:eastAsia="Times New Roman" w:hAnsi="Arial" w:cs="Arial"/>
                <w:sz w:val="20"/>
                <w:szCs w:val="20"/>
                <w:lang w:val="es-ES_tradnl"/>
              </w:rPr>
            </w:pPr>
            <w:r>
              <w:rPr>
                <w:rFonts w:ascii="Arial" w:eastAsia="Times New Roman" w:hAnsi="Arial" w:cs="Arial"/>
                <w:sz w:val="20"/>
                <w:szCs w:val="20"/>
                <w:lang w:val="es-ES_tradnl"/>
              </w:rPr>
              <w:t>0.980</w:t>
            </w:r>
          </w:p>
        </w:tc>
        <w:tc>
          <w:tcPr>
            <w:tcW w:w="1576" w:type="dxa"/>
            <w:noWrap/>
            <w:vAlign w:val="center"/>
            <w:hideMark/>
          </w:tcPr>
          <w:p>
            <w:pPr>
              <w:spacing w:before="120" w:after="120"/>
              <w:ind w:hanging="31"/>
              <w:contextualSpacing/>
              <w:jc w:val="center"/>
              <w:rPr>
                <w:rFonts w:ascii="Arial" w:eastAsia="Times New Roman" w:hAnsi="Arial" w:cs="Arial"/>
                <w:sz w:val="20"/>
                <w:szCs w:val="20"/>
                <w:lang w:val="es-ES_tradnl"/>
              </w:rPr>
            </w:pPr>
            <w:r>
              <w:rPr>
                <w:rFonts w:ascii="Arial" w:eastAsia="Times New Roman" w:hAnsi="Arial" w:cs="Arial"/>
                <w:sz w:val="20"/>
                <w:szCs w:val="20"/>
                <w:lang w:val="es-ES_tradnl"/>
              </w:rPr>
              <w:t>0.980</w:t>
            </w:r>
          </w:p>
        </w:tc>
      </w:tr>
      <w:tr>
        <w:trPr>
          <w:trHeight w:val="270"/>
        </w:trPr>
        <w:tc>
          <w:tcPr>
            <w:tcW w:w="3240" w:type="dxa"/>
            <w:hideMark/>
          </w:tcPr>
          <w:p>
            <w:pPr>
              <w:spacing w:before="120" w:after="120"/>
              <w:ind w:hanging="31"/>
              <w:contextualSpacing/>
              <w:jc w:val="both"/>
              <w:rPr>
                <w:rFonts w:ascii="Arial" w:eastAsia="Times New Roman" w:hAnsi="Arial" w:cs="Arial"/>
                <w:b/>
                <w:bCs/>
                <w:sz w:val="20"/>
                <w:szCs w:val="20"/>
                <w:lang w:val="es-ES_tradnl"/>
              </w:rPr>
            </w:pPr>
            <w:r>
              <w:rPr>
                <w:rFonts w:ascii="Arial" w:eastAsia="Times New Roman" w:hAnsi="Arial" w:cs="Arial"/>
                <w:b/>
                <w:bCs/>
                <w:sz w:val="20"/>
                <w:szCs w:val="20"/>
                <w:lang w:val="es-ES_tradnl"/>
              </w:rPr>
              <w:t>FCS medio</w:t>
            </w:r>
          </w:p>
        </w:tc>
        <w:tc>
          <w:tcPr>
            <w:tcW w:w="7966" w:type="dxa"/>
            <w:gridSpan w:val="5"/>
            <w:shd w:val="clear" w:color="auto" w:fill="FFFF00"/>
            <w:noWrap/>
            <w:hideMark/>
          </w:tcPr>
          <w:p>
            <w:pPr>
              <w:spacing w:before="120" w:after="120"/>
              <w:ind w:hanging="31"/>
              <w:contextualSpacing/>
              <w:jc w:val="center"/>
              <w:rPr>
                <w:rFonts w:ascii="Arial" w:eastAsia="Times New Roman" w:hAnsi="Arial" w:cs="Arial"/>
                <w:b/>
                <w:sz w:val="20"/>
                <w:szCs w:val="20"/>
                <w:lang w:val="es-ES_tradnl"/>
              </w:rPr>
            </w:pPr>
            <w:r>
              <w:rPr>
                <w:rFonts w:ascii="Arial" w:eastAsia="Times New Roman" w:hAnsi="Arial" w:cs="Arial"/>
                <w:b/>
                <w:sz w:val="20"/>
                <w:szCs w:val="20"/>
                <w:lang w:val="es-ES_tradnl"/>
              </w:rPr>
              <w:t>0.981</w:t>
            </w:r>
          </w:p>
        </w:tc>
      </w:tr>
      <w:tr>
        <w:trPr>
          <w:trHeight w:val="240"/>
        </w:trPr>
        <w:tc>
          <w:tcPr>
            <w:tcW w:w="11206" w:type="dxa"/>
            <w:gridSpan w:val="6"/>
            <w:hideMark/>
          </w:tcPr>
          <w:p>
            <w:pPr>
              <w:spacing w:before="120" w:after="120"/>
              <w:ind w:hanging="31"/>
              <w:contextualSpacing/>
              <w:jc w:val="both"/>
              <w:rPr>
                <w:rFonts w:ascii="Arial" w:eastAsia="Times New Roman" w:hAnsi="Arial" w:cs="Arial"/>
                <w:sz w:val="20"/>
                <w:szCs w:val="20"/>
                <w:lang w:val="es-ES_tradnl"/>
              </w:rPr>
            </w:pPr>
            <w:r>
              <w:rPr>
                <w:rFonts w:ascii="Arial" w:eastAsia="Times New Roman" w:hAnsi="Arial" w:cs="Arial"/>
                <w:sz w:val="20"/>
                <w:szCs w:val="20"/>
                <w:lang w:val="es-ES_tradnl"/>
              </w:rPr>
              <w:t>Fuente: Global Index Banco Mundial.</w:t>
            </w:r>
          </w:p>
        </w:tc>
      </w:tr>
    </w:tbl>
    <w:p>
      <w:pPr>
        <w:pStyle w:val="Paragraph"/>
        <w:numPr>
          <w:ilvl w:val="0"/>
          <w:numId w:val="4"/>
        </w:numPr>
        <w:ind w:left="900"/>
        <w:outlineLvl w:val="9"/>
        <w:rPr>
          <w:rFonts w:ascii="Arial" w:hAnsi="Arial" w:cs="Arial"/>
          <w:spacing w:val="-1"/>
          <w:sz w:val="22"/>
          <w:szCs w:val="22"/>
          <w:lang w:val="es-ES_tradnl"/>
        </w:rPr>
      </w:pPr>
      <w:r>
        <w:rPr>
          <w:rFonts w:ascii="Arial" w:hAnsi="Arial" w:cs="Arial"/>
          <w:spacing w:val="-1"/>
          <w:sz w:val="22"/>
          <w:szCs w:val="22"/>
          <w:lang w:val="es-ES_tradnl"/>
        </w:rPr>
        <w:t>Factor de conversión de productos y materiales de origen nacional: en este caso el factor utilizado ha sido 0.864 (0.982 – 18%), lo cual descuenta la aplicación directa del Impuesto a las Ventas (18%) que grava todos los productos que se transan en el país.</w:t>
      </w:r>
    </w:p>
    <w:p>
      <w:pPr>
        <w:pStyle w:val="Paragraph"/>
        <w:numPr>
          <w:ilvl w:val="0"/>
          <w:numId w:val="4"/>
        </w:numPr>
        <w:ind w:left="900"/>
        <w:outlineLvl w:val="9"/>
        <w:rPr>
          <w:rFonts w:ascii="Arial" w:hAnsi="Arial" w:cs="Arial"/>
          <w:spacing w:val="-1"/>
          <w:sz w:val="22"/>
          <w:szCs w:val="22"/>
          <w:lang w:val="es-ES_tradnl"/>
        </w:rPr>
      </w:pPr>
      <w:r>
        <w:rPr>
          <w:rFonts w:ascii="Arial" w:hAnsi="Arial" w:cs="Arial"/>
          <w:spacing w:val="-1"/>
          <w:sz w:val="22"/>
          <w:szCs w:val="22"/>
          <w:lang w:val="es-ES_tradnl"/>
        </w:rPr>
        <w:t>Factor de conversión de materiales y equipos de origen externo (transables): el factor de conversión descuenta expresamente el Impuesto a las Ventas y los aranceles aduaneros que aplican sobre las importaciones. Los datos relevantes se indican en la siguiente tabla:</w:t>
      </w:r>
    </w:p>
    <w:tbl>
      <w:tblPr>
        <w:tblStyle w:val="TableGrid"/>
        <w:tblW w:w="11206" w:type="dxa"/>
        <w:tblInd w:w="-905" w:type="dxa"/>
        <w:tblLook w:val="04A0" w:firstRow="1" w:lastRow="0" w:firstColumn="1" w:lastColumn="0" w:noHBand="0" w:noVBand="1"/>
      </w:tblPr>
      <w:tblGrid>
        <w:gridCol w:w="3240"/>
        <w:gridCol w:w="1576"/>
        <w:gridCol w:w="1576"/>
        <w:gridCol w:w="1618"/>
        <w:gridCol w:w="1620"/>
        <w:gridCol w:w="1576"/>
      </w:tblGrid>
      <w:tr>
        <w:trPr>
          <w:trHeight w:val="53"/>
        </w:trPr>
        <w:tc>
          <w:tcPr>
            <w:tcW w:w="11206" w:type="dxa"/>
            <w:gridSpan w:val="6"/>
            <w:shd w:val="clear" w:color="auto" w:fill="C6D9F1" w:themeFill="text2" w:themeFillTint="33"/>
            <w:vAlign w:val="center"/>
            <w:hideMark/>
          </w:tcPr>
          <w:p>
            <w:pPr>
              <w:spacing w:before="120" w:after="120"/>
              <w:ind w:hanging="31"/>
              <w:contextualSpacing/>
              <w:jc w:val="center"/>
              <w:rPr>
                <w:rFonts w:ascii="Arial" w:eastAsia="Times New Roman" w:hAnsi="Arial" w:cs="Arial"/>
                <w:b/>
                <w:bCs/>
                <w:sz w:val="20"/>
                <w:szCs w:val="20"/>
                <w:lang w:val="es-ES_tradnl"/>
              </w:rPr>
            </w:pPr>
            <w:r>
              <w:rPr>
                <w:rFonts w:ascii="Arial" w:eastAsia="Times New Roman" w:hAnsi="Arial" w:cs="Arial"/>
                <w:b/>
                <w:bCs/>
                <w:sz w:val="20"/>
                <w:szCs w:val="20"/>
                <w:lang w:val="es-ES_tradnl"/>
              </w:rPr>
              <w:t>Factor de Conversión Equipo de Origen Externo (FC)</w:t>
            </w:r>
          </w:p>
        </w:tc>
      </w:tr>
      <w:tr>
        <w:trPr>
          <w:trHeight w:val="53"/>
        </w:trPr>
        <w:tc>
          <w:tcPr>
            <w:tcW w:w="3240" w:type="dxa"/>
            <w:shd w:val="clear" w:color="auto" w:fill="FABF8F" w:themeFill="accent6" w:themeFillTint="99"/>
            <w:noWrap/>
            <w:hideMark/>
          </w:tcPr>
          <w:p>
            <w:pPr>
              <w:spacing w:before="120" w:after="120"/>
              <w:ind w:hanging="31"/>
              <w:contextualSpacing/>
              <w:jc w:val="center"/>
              <w:rPr>
                <w:rFonts w:ascii="Arial" w:eastAsia="Times New Roman" w:hAnsi="Arial" w:cs="Arial"/>
                <w:b/>
                <w:bCs/>
                <w:sz w:val="20"/>
                <w:szCs w:val="20"/>
                <w:lang w:val="es-ES_tradnl"/>
              </w:rPr>
            </w:pPr>
            <w:r>
              <w:rPr>
                <w:rFonts w:ascii="Arial" w:eastAsia="Times New Roman" w:hAnsi="Arial" w:cs="Arial"/>
                <w:b/>
                <w:bCs/>
                <w:sz w:val="20"/>
                <w:szCs w:val="20"/>
                <w:lang w:val="es-ES_tradnl"/>
              </w:rPr>
              <w:t>US$</w:t>
            </w:r>
          </w:p>
        </w:tc>
        <w:tc>
          <w:tcPr>
            <w:tcW w:w="1576" w:type="dxa"/>
            <w:shd w:val="clear" w:color="auto" w:fill="FABF8F" w:themeFill="accent6" w:themeFillTint="99"/>
            <w:noWrap/>
            <w:hideMark/>
          </w:tcPr>
          <w:p>
            <w:pPr>
              <w:spacing w:before="120" w:after="120"/>
              <w:ind w:hanging="31"/>
              <w:contextualSpacing/>
              <w:jc w:val="center"/>
              <w:rPr>
                <w:rFonts w:ascii="Arial" w:eastAsia="Times New Roman" w:hAnsi="Arial" w:cs="Arial"/>
                <w:b/>
                <w:bCs/>
                <w:sz w:val="20"/>
                <w:szCs w:val="20"/>
                <w:lang w:val="es-ES_tradnl"/>
              </w:rPr>
            </w:pPr>
            <w:r>
              <w:rPr>
                <w:rFonts w:ascii="Arial" w:eastAsia="Times New Roman" w:hAnsi="Arial" w:cs="Arial"/>
                <w:b/>
                <w:bCs/>
                <w:sz w:val="20"/>
                <w:szCs w:val="20"/>
                <w:lang w:val="es-ES_tradnl"/>
              </w:rPr>
              <w:t>2012</w:t>
            </w:r>
          </w:p>
        </w:tc>
        <w:tc>
          <w:tcPr>
            <w:tcW w:w="1576" w:type="dxa"/>
            <w:shd w:val="clear" w:color="auto" w:fill="FABF8F" w:themeFill="accent6" w:themeFillTint="99"/>
            <w:noWrap/>
            <w:hideMark/>
          </w:tcPr>
          <w:p>
            <w:pPr>
              <w:spacing w:before="120" w:after="120"/>
              <w:ind w:hanging="31"/>
              <w:contextualSpacing/>
              <w:jc w:val="center"/>
              <w:rPr>
                <w:rFonts w:ascii="Arial" w:eastAsia="Times New Roman" w:hAnsi="Arial" w:cs="Arial"/>
                <w:b/>
                <w:bCs/>
                <w:sz w:val="20"/>
                <w:szCs w:val="20"/>
                <w:lang w:val="es-ES_tradnl"/>
              </w:rPr>
            </w:pPr>
            <w:r>
              <w:rPr>
                <w:rFonts w:ascii="Arial" w:eastAsia="Times New Roman" w:hAnsi="Arial" w:cs="Arial"/>
                <w:b/>
                <w:bCs/>
                <w:sz w:val="20"/>
                <w:szCs w:val="20"/>
                <w:lang w:val="es-ES_tradnl"/>
              </w:rPr>
              <w:t>2013</w:t>
            </w:r>
          </w:p>
        </w:tc>
        <w:tc>
          <w:tcPr>
            <w:tcW w:w="1618" w:type="dxa"/>
            <w:shd w:val="clear" w:color="auto" w:fill="FABF8F" w:themeFill="accent6" w:themeFillTint="99"/>
            <w:noWrap/>
            <w:hideMark/>
          </w:tcPr>
          <w:p>
            <w:pPr>
              <w:spacing w:before="120" w:after="120"/>
              <w:ind w:hanging="31"/>
              <w:contextualSpacing/>
              <w:jc w:val="center"/>
              <w:rPr>
                <w:rFonts w:ascii="Arial" w:eastAsia="Times New Roman" w:hAnsi="Arial" w:cs="Arial"/>
                <w:b/>
                <w:bCs/>
                <w:sz w:val="20"/>
                <w:szCs w:val="20"/>
                <w:lang w:val="es-ES_tradnl"/>
              </w:rPr>
            </w:pPr>
            <w:r>
              <w:rPr>
                <w:rFonts w:ascii="Arial" w:eastAsia="Times New Roman" w:hAnsi="Arial" w:cs="Arial"/>
                <w:b/>
                <w:bCs/>
                <w:sz w:val="20"/>
                <w:szCs w:val="20"/>
                <w:lang w:val="es-ES_tradnl"/>
              </w:rPr>
              <w:t>2014</w:t>
            </w:r>
          </w:p>
        </w:tc>
        <w:tc>
          <w:tcPr>
            <w:tcW w:w="1620" w:type="dxa"/>
            <w:shd w:val="clear" w:color="auto" w:fill="FABF8F" w:themeFill="accent6" w:themeFillTint="99"/>
            <w:noWrap/>
            <w:hideMark/>
          </w:tcPr>
          <w:p>
            <w:pPr>
              <w:spacing w:before="120" w:after="120"/>
              <w:ind w:hanging="31"/>
              <w:contextualSpacing/>
              <w:jc w:val="center"/>
              <w:rPr>
                <w:rFonts w:ascii="Arial" w:eastAsia="Times New Roman" w:hAnsi="Arial" w:cs="Arial"/>
                <w:b/>
                <w:bCs/>
                <w:sz w:val="20"/>
                <w:szCs w:val="20"/>
                <w:lang w:val="es-ES_tradnl"/>
              </w:rPr>
            </w:pPr>
            <w:r>
              <w:rPr>
                <w:rFonts w:ascii="Arial" w:eastAsia="Times New Roman" w:hAnsi="Arial" w:cs="Arial"/>
                <w:b/>
                <w:bCs/>
                <w:sz w:val="20"/>
                <w:szCs w:val="20"/>
                <w:lang w:val="es-ES_tradnl"/>
              </w:rPr>
              <w:t>2015</w:t>
            </w:r>
          </w:p>
        </w:tc>
        <w:tc>
          <w:tcPr>
            <w:tcW w:w="1576" w:type="dxa"/>
            <w:shd w:val="clear" w:color="auto" w:fill="FABF8F" w:themeFill="accent6" w:themeFillTint="99"/>
            <w:noWrap/>
            <w:hideMark/>
          </w:tcPr>
          <w:p>
            <w:pPr>
              <w:spacing w:before="120" w:after="120"/>
              <w:ind w:hanging="31"/>
              <w:contextualSpacing/>
              <w:jc w:val="center"/>
              <w:rPr>
                <w:rFonts w:ascii="Arial" w:eastAsia="Times New Roman" w:hAnsi="Arial" w:cs="Arial"/>
                <w:b/>
                <w:bCs/>
                <w:sz w:val="20"/>
                <w:szCs w:val="20"/>
                <w:lang w:val="es-ES_tradnl"/>
              </w:rPr>
            </w:pPr>
            <w:r>
              <w:rPr>
                <w:rFonts w:ascii="Arial" w:eastAsia="Times New Roman" w:hAnsi="Arial" w:cs="Arial"/>
                <w:b/>
                <w:bCs/>
                <w:sz w:val="20"/>
                <w:szCs w:val="20"/>
                <w:lang w:val="es-ES_tradnl"/>
              </w:rPr>
              <w:t>2016</w:t>
            </w:r>
          </w:p>
        </w:tc>
      </w:tr>
      <w:tr>
        <w:trPr>
          <w:trHeight w:val="53"/>
        </w:trPr>
        <w:tc>
          <w:tcPr>
            <w:tcW w:w="3240" w:type="dxa"/>
            <w:noWrap/>
            <w:vAlign w:val="bottom"/>
            <w:hideMark/>
          </w:tcPr>
          <w:p>
            <w:pPr>
              <w:spacing w:before="120" w:after="120"/>
              <w:ind w:hanging="31"/>
              <w:contextualSpacing/>
              <w:jc w:val="both"/>
              <w:rPr>
                <w:rFonts w:ascii="Arial" w:eastAsia="Times New Roman" w:hAnsi="Arial" w:cs="Arial"/>
                <w:b/>
                <w:bCs/>
                <w:sz w:val="20"/>
                <w:szCs w:val="20"/>
                <w:lang w:val="es-ES_tradnl"/>
              </w:rPr>
            </w:pPr>
            <w:r>
              <w:rPr>
                <w:rFonts w:ascii="Arial" w:hAnsi="Arial" w:cs="Arial"/>
                <w:b/>
                <w:bCs/>
                <w:color w:val="000000"/>
                <w:sz w:val="20"/>
                <w:szCs w:val="20"/>
                <w:lang w:val="es-ES_tradnl"/>
              </w:rPr>
              <w:t>M  =   Importaciones</w:t>
            </w:r>
          </w:p>
        </w:tc>
        <w:tc>
          <w:tcPr>
            <w:tcW w:w="1576" w:type="dxa"/>
            <w:noWrap/>
            <w:hideMark/>
          </w:tcPr>
          <w:p>
            <w:pPr>
              <w:spacing w:before="120" w:after="120"/>
              <w:ind w:hanging="31"/>
              <w:contextualSpacing/>
              <w:jc w:val="right"/>
              <w:rPr>
                <w:rFonts w:ascii="Arial" w:eastAsia="Times New Roman" w:hAnsi="Arial" w:cs="Arial"/>
                <w:sz w:val="20"/>
                <w:szCs w:val="20"/>
                <w:lang w:val="es-ES_tradnl"/>
              </w:rPr>
            </w:pPr>
            <w:r>
              <w:rPr>
                <w:rFonts w:ascii="Arial" w:hAnsi="Arial" w:cs="Arial"/>
                <w:sz w:val="20"/>
                <w:szCs w:val="20"/>
              </w:rPr>
              <w:t>48,490,294,206</w:t>
            </w:r>
          </w:p>
        </w:tc>
        <w:tc>
          <w:tcPr>
            <w:tcW w:w="1576" w:type="dxa"/>
            <w:noWrap/>
            <w:hideMark/>
          </w:tcPr>
          <w:p>
            <w:pPr>
              <w:spacing w:before="120" w:after="120"/>
              <w:ind w:hanging="31"/>
              <w:contextualSpacing/>
              <w:jc w:val="right"/>
              <w:rPr>
                <w:rFonts w:ascii="Arial" w:eastAsia="Times New Roman" w:hAnsi="Arial" w:cs="Arial"/>
                <w:sz w:val="20"/>
                <w:szCs w:val="20"/>
                <w:lang w:val="es-ES_tradnl"/>
              </w:rPr>
            </w:pPr>
            <w:r>
              <w:rPr>
                <w:rFonts w:ascii="Arial" w:hAnsi="Arial" w:cs="Arial"/>
                <w:sz w:val="20"/>
                <w:szCs w:val="20"/>
              </w:rPr>
              <w:t>50,251,304,637</w:t>
            </w:r>
          </w:p>
        </w:tc>
        <w:tc>
          <w:tcPr>
            <w:tcW w:w="1618" w:type="dxa"/>
            <w:noWrap/>
            <w:hideMark/>
          </w:tcPr>
          <w:p>
            <w:pPr>
              <w:spacing w:before="120" w:after="120"/>
              <w:ind w:hanging="31"/>
              <w:contextualSpacing/>
              <w:jc w:val="right"/>
              <w:rPr>
                <w:rFonts w:ascii="Arial" w:eastAsia="Times New Roman" w:hAnsi="Arial" w:cs="Arial"/>
                <w:sz w:val="20"/>
                <w:szCs w:val="20"/>
                <w:lang w:val="es-ES_tradnl"/>
              </w:rPr>
            </w:pPr>
            <w:r>
              <w:rPr>
                <w:rFonts w:ascii="Arial" w:hAnsi="Arial" w:cs="Arial"/>
                <w:sz w:val="20"/>
                <w:szCs w:val="20"/>
              </w:rPr>
              <w:t>48,683,691,440</w:t>
            </w:r>
          </w:p>
        </w:tc>
        <w:tc>
          <w:tcPr>
            <w:tcW w:w="1620" w:type="dxa"/>
            <w:noWrap/>
            <w:hideMark/>
          </w:tcPr>
          <w:p>
            <w:pPr>
              <w:spacing w:before="120" w:after="120"/>
              <w:ind w:hanging="31"/>
              <w:contextualSpacing/>
              <w:jc w:val="right"/>
              <w:rPr>
                <w:rFonts w:ascii="Arial" w:eastAsia="Times New Roman" w:hAnsi="Arial" w:cs="Arial"/>
                <w:sz w:val="20"/>
                <w:szCs w:val="20"/>
                <w:lang w:val="es-ES_tradnl"/>
              </w:rPr>
            </w:pPr>
            <w:r>
              <w:rPr>
                <w:rFonts w:ascii="Arial" w:hAnsi="Arial" w:cs="Arial"/>
                <w:sz w:val="20"/>
                <w:szCs w:val="20"/>
              </w:rPr>
              <w:t>44,863,082,527</w:t>
            </w:r>
          </w:p>
        </w:tc>
        <w:tc>
          <w:tcPr>
            <w:tcW w:w="1576" w:type="dxa"/>
            <w:noWrap/>
            <w:hideMark/>
          </w:tcPr>
          <w:p>
            <w:pPr>
              <w:spacing w:before="120" w:after="120"/>
              <w:ind w:hanging="31"/>
              <w:contextualSpacing/>
              <w:jc w:val="right"/>
              <w:rPr>
                <w:rFonts w:ascii="Arial" w:eastAsia="Times New Roman" w:hAnsi="Arial" w:cs="Arial"/>
                <w:sz w:val="20"/>
                <w:szCs w:val="20"/>
                <w:lang w:val="es-ES_tradnl"/>
              </w:rPr>
            </w:pPr>
            <w:r>
              <w:rPr>
                <w:rFonts w:ascii="Arial" w:hAnsi="Arial" w:cs="Arial"/>
                <w:sz w:val="20"/>
                <w:szCs w:val="20"/>
              </w:rPr>
              <w:t>42,948,387,669</w:t>
            </w:r>
          </w:p>
        </w:tc>
      </w:tr>
      <w:tr>
        <w:trPr>
          <w:trHeight w:val="255"/>
        </w:trPr>
        <w:tc>
          <w:tcPr>
            <w:tcW w:w="3240" w:type="dxa"/>
            <w:vAlign w:val="bottom"/>
            <w:hideMark/>
          </w:tcPr>
          <w:p>
            <w:pPr>
              <w:spacing w:before="120" w:after="120"/>
              <w:ind w:hanging="31"/>
              <w:contextualSpacing/>
              <w:jc w:val="both"/>
              <w:rPr>
                <w:rFonts w:ascii="Arial" w:eastAsia="Times New Roman" w:hAnsi="Arial" w:cs="Arial"/>
                <w:b/>
                <w:bCs/>
                <w:sz w:val="20"/>
                <w:szCs w:val="20"/>
                <w:lang w:val="es-ES_tradnl"/>
              </w:rPr>
            </w:pPr>
            <w:r>
              <w:rPr>
                <w:rFonts w:ascii="Arial" w:hAnsi="Arial" w:cs="Arial"/>
                <w:b/>
                <w:bCs/>
                <w:color w:val="000000"/>
                <w:sz w:val="20"/>
                <w:szCs w:val="20"/>
                <w:lang w:val="es-ES_tradnl"/>
              </w:rPr>
              <w:t>T   =   Derechos Arancelares</w:t>
            </w:r>
          </w:p>
        </w:tc>
        <w:tc>
          <w:tcPr>
            <w:tcW w:w="1576" w:type="dxa"/>
            <w:noWrap/>
            <w:hideMark/>
          </w:tcPr>
          <w:p>
            <w:pPr>
              <w:spacing w:before="120" w:after="120"/>
              <w:ind w:hanging="31"/>
              <w:contextualSpacing/>
              <w:jc w:val="right"/>
              <w:rPr>
                <w:rFonts w:ascii="Arial" w:eastAsia="Times New Roman" w:hAnsi="Arial" w:cs="Arial"/>
                <w:sz w:val="20"/>
                <w:szCs w:val="20"/>
                <w:lang w:val="es-ES_tradnl"/>
              </w:rPr>
            </w:pPr>
            <w:r>
              <w:rPr>
                <w:rFonts w:ascii="Arial" w:hAnsi="Arial" w:cs="Arial"/>
                <w:sz w:val="20"/>
                <w:szCs w:val="20"/>
              </w:rPr>
              <w:t>2,909,417,652</w:t>
            </w:r>
          </w:p>
        </w:tc>
        <w:tc>
          <w:tcPr>
            <w:tcW w:w="1576" w:type="dxa"/>
            <w:noWrap/>
            <w:hideMark/>
          </w:tcPr>
          <w:p>
            <w:pPr>
              <w:spacing w:before="120" w:after="120"/>
              <w:ind w:hanging="31"/>
              <w:contextualSpacing/>
              <w:jc w:val="right"/>
              <w:rPr>
                <w:rFonts w:ascii="Arial" w:eastAsia="Times New Roman" w:hAnsi="Arial" w:cs="Arial"/>
                <w:sz w:val="20"/>
                <w:szCs w:val="20"/>
                <w:lang w:val="es-ES_tradnl"/>
              </w:rPr>
            </w:pPr>
            <w:r>
              <w:rPr>
                <w:rFonts w:ascii="Arial" w:hAnsi="Arial" w:cs="Arial"/>
                <w:sz w:val="20"/>
                <w:szCs w:val="20"/>
              </w:rPr>
              <w:t>3,015,078,278</w:t>
            </w:r>
          </w:p>
        </w:tc>
        <w:tc>
          <w:tcPr>
            <w:tcW w:w="1618" w:type="dxa"/>
            <w:noWrap/>
            <w:hideMark/>
          </w:tcPr>
          <w:p>
            <w:pPr>
              <w:spacing w:before="120" w:after="120"/>
              <w:ind w:hanging="31"/>
              <w:contextualSpacing/>
              <w:jc w:val="right"/>
              <w:rPr>
                <w:rFonts w:ascii="Arial" w:eastAsia="Times New Roman" w:hAnsi="Arial" w:cs="Arial"/>
                <w:sz w:val="20"/>
                <w:szCs w:val="20"/>
                <w:lang w:val="es-ES_tradnl"/>
              </w:rPr>
            </w:pPr>
            <w:r>
              <w:rPr>
                <w:rFonts w:ascii="Arial" w:hAnsi="Arial" w:cs="Arial"/>
                <w:sz w:val="20"/>
                <w:szCs w:val="20"/>
              </w:rPr>
              <w:t>2,921,021,486</w:t>
            </w:r>
          </w:p>
        </w:tc>
        <w:tc>
          <w:tcPr>
            <w:tcW w:w="1620" w:type="dxa"/>
            <w:noWrap/>
            <w:hideMark/>
          </w:tcPr>
          <w:p>
            <w:pPr>
              <w:spacing w:before="120" w:after="120"/>
              <w:ind w:hanging="31"/>
              <w:contextualSpacing/>
              <w:jc w:val="right"/>
              <w:rPr>
                <w:rFonts w:ascii="Arial" w:eastAsia="Times New Roman" w:hAnsi="Arial" w:cs="Arial"/>
                <w:sz w:val="20"/>
                <w:szCs w:val="20"/>
                <w:lang w:val="es-ES_tradnl"/>
              </w:rPr>
            </w:pPr>
            <w:r>
              <w:rPr>
                <w:rFonts w:ascii="Arial" w:hAnsi="Arial" w:cs="Arial"/>
                <w:sz w:val="20"/>
                <w:szCs w:val="20"/>
              </w:rPr>
              <w:t>2,691,784,952</w:t>
            </w:r>
          </w:p>
        </w:tc>
        <w:tc>
          <w:tcPr>
            <w:tcW w:w="1576" w:type="dxa"/>
            <w:noWrap/>
            <w:hideMark/>
          </w:tcPr>
          <w:p>
            <w:pPr>
              <w:spacing w:before="120" w:after="120"/>
              <w:ind w:hanging="31"/>
              <w:contextualSpacing/>
              <w:jc w:val="right"/>
              <w:rPr>
                <w:rFonts w:ascii="Arial" w:eastAsia="Times New Roman" w:hAnsi="Arial" w:cs="Arial"/>
                <w:sz w:val="20"/>
                <w:szCs w:val="20"/>
                <w:lang w:val="es-ES_tradnl"/>
              </w:rPr>
            </w:pPr>
            <w:r>
              <w:rPr>
                <w:rFonts w:ascii="Arial" w:hAnsi="Arial" w:cs="Arial"/>
                <w:sz w:val="20"/>
                <w:szCs w:val="20"/>
              </w:rPr>
              <w:t>2,576,903,260</w:t>
            </w:r>
          </w:p>
        </w:tc>
      </w:tr>
      <w:tr>
        <w:trPr>
          <w:trHeight w:val="255"/>
        </w:trPr>
        <w:tc>
          <w:tcPr>
            <w:tcW w:w="3240" w:type="dxa"/>
            <w:vAlign w:val="bottom"/>
            <w:hideMark/>
          </w:tcPr>
          <w:p>
            <w:pPr>
              <w:spacing w:before="120" w:after="120"/>
              <w:ind w:hanging="31"/>
              <w:contextualSpacing/>
              <w:jc w:val="both"/>
              <w:rPr>
                <w:rFonts w:ascii="Arial" w:eastAsia="Times New Roman" w:hAnsi="Arial" w:cs="Arial"/>
                <w:b/>
                <w:bCs/>
                <w:sz w:val="20"/>
                <w:szCs w:val="20"/>
                <w:lang w:val="es-ES_tradnl"/>
              </w:rPr>
            </w:pPr>
            <w:r>
              <w:rPr>
                <w:rFonts w:ascii="Arial" w:hAnsi="Arial" w:cs="Arial"/>
                <w:b/>
                <w:bCs/>
                <w:color w:val="000000"/>
                <w:sz w:val="20"/>
                <w:szCs w:val="20"/>
                <w:lang w:val="es-ES_tradnl"/>
              </w:rPr>
              <w:t>Factor de conversión estándar (FC) =M / (M+T)</w:t>
            </w:r>
          </w:p>
        </w:tc>
        <w:tc>
          <w:tcPr>
            <w:tcW w:w="1576" w:type="dxa"/>
            <w:noWrap/>
            <w:hideMark/>
          </w:tcPr>
          <w:p>
            <w:pPr>
              <w:spacing w:before="120" w:after="120"/>
              <w:ind w:hanging="31"/>
              <w:contextualSpacing/>
              <w:jc w:val="right"/>
              <w:rPr>
                <w:rFonts w:ascii="Arial" w:eastAsia="Times New Roman" w:hAnsi="Arial" w:cs="Arial"/>
                <w:sz w:val="20"/>
                <w:szCs w:val="20"/>
                <w:lang w:val="es-ES_tradnl"/>
              </w:rPr>
            </w:pPr>
            <w:r>
              <w:rPr>
                <w:rFonts w:ascii="Arial" w:hAnsi="Arial" w:cs="Arial"/>
                <w:sz w:val="20"/>
                <w:szCs w:val="20"/>
              </w:rPr>
              <w:t>0.943</w:t>
            </w:r>
          </w:p>
        </w:tc>
        <w:tc>
          <w:tcPr>
            <w:tcW w:w="1576" w:type="dxa"/>
            <w:noWrap/>
            <w:hideMark/>
          </w:tcPr>
          <w:p>
            <w:pPr>
              <w:spacing w:before="120" w:after="120"/>
              <w:ind w:hanging="31"/>
              <w:contextualSpacing/>
              <w:jc w:val="right"/>
              <w:rPr>
                <w:rFonts w:ascii="Arial" w:eastAsia="Times New Roman" w:hAnsi="Arial" w:cs="Arial"/>
                <w:sz w:val="20"/>
                <w:szCs w:val="20"/>
                <w:lang w:val="es-ES_tradnl"/>
              </w:rPr>
            </w:pPr>
            <w:r>
              <w:rPr>
                <w:rFonts w:ascii="Arial" w:hAnsi="Arial" w:cs="Arial"/>
                <w:sz w:val="20"/>
                <w:szCs w:val="20"/>
              </w:rPr>
              <w:t>0.943</w:t>
            </w:r>
          </w:p>
        </w:tc>
        <w:tc>
          <w:tcPr>
            <w:tcW w:w="1618" w:type="dxa"/>
            <w:noWrap/>
            <w:hideMark/>
          </w:tcPr>
          <w:p>
            <w:pPr>
              <w:spacing w:before="120" w:after="120"/>
              <w:ind w:hanging="31"/>
              <w:contextualSpacing/>
              <w:jc w:val="right"/>
              <w:rPr>
                <w:rFonts w:ascii="Arial" w:eastAsia="Times New Roman" w:hAnsi="Arial" w:cs="Arial"/>
                <w:sz w:val="20"/>
                <w:szCs w:val="20"/>
                <w:lang w:val="es-ES_tradnl"/>
              </w:rPr>
            </w:pPr>
            <w:r>
              <w:rPr>
                <w:rFonts w:ascii="Arial" w:hAnsi="Arial" w:cs="Arial"/>
                <w:sz w:val="20"/>
                <w:szCs w:val="20"/>
              </w:rPr>
              <w:t>0.943</w:t>
            </w:r>
          </w:p>
        </w:tc>
        <w:tc>
          <w:tcPr>
            <w:tcW w:w="1620" w:type="dxa"/>
            <w:noWrap/>
            <w:hideMark/>
          </w:tcPr>
          <w:p>
            <w:pPr>
              <w:spacing w:before="120" w:after="120"/>
              <w:ind w:hanging="31"/>
              <w:contextualSpacing/>
              <w:jc w:val="right"/>
              <w:rPr>
                <w:rFonts w:ascii="Arial" w:eastAsia="Times New Roman" w:hAnsi="Arial" w:cs="Arial"/>
                <w:sz w:val="20"/>
                <w:szCs w:val="20"/>
                <w:lang w:val="es-ES_tradnl"/>
              </w:rPr>
            </w:pPr>
            <w:r>
              <w:rPr>
                <w:rFonts w:ascii="Arial" w:hAnsi="Arial" w:cs="Arial"/>
                <w:sz w:val="20"/>
                <w:szCs w:val="20"/>
              </w:rPr>
              <w:t>0.943</w:t>
            </w:r>
          </w:p>
        </w:tc>
        <w:tc>
          <w:tcPr>
            <w:tcW w:w="1576" w:type="dxa"/>
            <w:noWrap/>
            <w:hideMark/>
          </w:tcPr>
          <w:p>
            <w:pPr>
              <w:spacing w:before="120" w:after="120"/>
              <w:ind w:hanging="31"/>
              <w:contextualSpacing/>
              <w:jc w:val="right"/>
              <w:rPr>
                <w:rFonts w:ascii="Arial" w:eastAsia="Times New Roman" w:hAnsi="Arial" w:cs="Arial"/>
                <w:sz w:val="20"/>
                <w:szCs w:val="20"/>
                <w:lang w:val="es-ES_tradnl"/>
              </w:rPr>
            </w:pPr>
            <w:r>
              <w:rPr>
                <w:rFonts w:ascii="Arial" w:hAnsi="Arial" w:cs="Arial"/>
                <w:sz w:val="20"/>
                <w:szCs w:val="20"/>
              </w:rPr>
              <w:t>0.943</w:t>
            </w:r>
          </w:p>
        </w:tc>
      </w:tr>
      <w:tr>
        <w:trPr>
          <w:trHeight w:val="270"/>
        </w:trPr>
        <w:tc>
          <w:tcPr>
            <w:tcW w:w="3240" w:type="dxa"/>
            <w:hideMark/>
          </w:tcPr>
          <w:p>
            <w:pPr>
              <w:spacing w:before="120" w:after="120"/>
              <w:ind w:hanging="31"/>
              <w:contextualSpacing/>
              <w:jc w:val="both"/>
              <w:rPr>
                <w:rFonts w:ascii="Arial" w:eastAsia="Times New Roman" w:hAnsi="Arial" w:cs="Arial"/>
                <w:b/>
                <w:bCs/>
                <w:sz w:val="20"/>
                <w:szCs w:val="20"/>
                <w:lang w:val="es-ES_tradnl"/>
              </w:rPr>
            </w:pPr>
            <w:r>
              <w:rPr>
                <w:rFonts w:ascii="Arial" w:eastAsia="Times New Roman" w:hAnsi="Arial" w:cs="Arial"/>
                <w:b/>
                <w:bCs/>
                <w:sz w:val="20"/>
                <w:szCs w:val="20"/>
                <w:lang w:val="es-ES_tradnl"/>
              </w:rPr>
              <w:t>FCS medio</w:t>
            </w:r>
          </w:p>
        </w:tc>
        <w:tc>
          <w:tcPr>
            <w:tcW w:w="7966" w:type="dxa"/>
            <w:gridSpan w:val="5"/>
            <w:shd w:val="clear" w:color="auto" w:fill="FFFF00"/>
            <w:noWrap/>
            <w:hideMark/>
          </w:tcPr>
          <w:p>
            <w:pPr>
              <w:spacing w:before="120" w:after="120"/>
              <w:ind w:hanging="31"/>
              <w:contextualSpacing/>
              <w:jc w:val="center"/>
              <w:rPr>
                <w:rFonts w:ascii="Arial" w:eastAsia="Times New Roman" w:hAnsi="Arial" w:cs="Arial"/>
                <w:b/>
                <w:sz w:val="20"/>
                <w:szCs w:val="20"/>
                <w:lang w:val="es-ES_tradnl"/>
              </w:rPr>
            </w:pPr>
            <w:r>
              <w:rPr>
                <w:rFonts w:ascii="Arial" w:eastAsia="Times New Roman" w:hAnsi="Arial" w:cs="Arial"/>
                <w:b/>
                <w:sz w:val="20"/>
                <w:szCs w:val="20"/>
                <w:lang w:val="es-ES_tradnl"/>
              </w:rPr>
              <w:t>0.943</w:t>
            </w:r>
          </w:p>
        </w:tc>
      </w:tr>
      <w:tr>
        <w:trPr>
          <w:trHeight w:val="240"/>
        </w:trPr>
        <w:tc>
          <w:tcPr>
            <w:tcW w:w="11206" w:type="dxa"/>
            <w:gridSpan w:val="6"/>
            <w:hideMark/>
          </w:tcPr>
          <w:p>
            <w:pPr>
              <w:spacing w:before="120" w:after="120"/>
              <w:ind w:hanging="31"/>
              <w:contextualSpacing/>
              <w:jc w:val="both"/>
              <w:rPr>
                <w:rFonts w:ascii="Arial" w:eastAsia="Times New Roman" w:hAnsi="Arial" w:cs="Arial"/>
                <w:sz w:val="20"/>
                <w:szCs w:val="20"/>
                <w:lang w:val="es-ES_tradnl"/>
              </w:rPr>
            </w:pPr>
            <w:r>
              <w:rPr>
                <w:rFonts w:ascii="Arial" w:eastAsia="Times New Roman" w:hAnsi="Arial" w:cs="Arial"/>
                <w:sz w:val="20"/>
                <w:szCs w:val="20"/>
                <w:lang w:val="es-ES_tradnl"/>
              </w:rPr>
              <w:t>Fuente: Global Index Banco Mundial.</w:t>
            </w:r>
          </w:p>
        </w:tc>
      </w:tr>
    </w:tbl>
    <w:p>
      <w:pPr>
        <w:pStyle w:val="BodyText"/>
        <w:spacing w:before="120" w:after="120"/>
        <w:ind w:right="119"/>
        <w:jc w:val="both"/>
        <w:rPr>
          <w:rFonts w:ascii="Arial" w:hAnsi="Arial" w:cs="Arial"/>
          <w:spacing w:val="-1"/>
          <w:sz w:val="22"/>
          <w:szCs w:val="22"/>
          <w:u w:color="000000"/>
          <w:lang w:val="es-ES_tradnl"/>
        </w:rPr>
      </w:pPr>
    </w:p>
    <w:p>
      <w:pPr>
        <w:pStyle w:val="Paragraph"/>
        <w:numPr>
          <w:ilvl w:val="0"/>
          <w:numId w:val="4"/>
        </w:numPr>
        <w:ind w:left="900"/>
        <w:outlineLvl w:val="9"/>
        <w:rPr>
          <w:rFonts w:ascii="Arial" w:hAnsi="Arial" w:cs="Arial"/>
          <w:spacing w:val="-1"/>
          <w:sz w:val="22"/>
          <w:szCs w:val="22"/>
          <w:lang w:val="es-ES_tradnl"/>
        </w:rPr>
      </w:pPr>
      <w:r>
        <w:rPr>
          <w:rFonts w:ascii="Arial" w:hAnsi="Arial" w:cs="Arial"/>
          <w:spacing w:val="-1"/>
          <w:sz w:val="22"/>
          <w:szCs w:val="22"/>
          <w:lang w:val="es-ES_tradnl"/>
        </w:rPr>
        <w:t>Mano de obra calificada: para este factor se deducen de las remuneraciones (a costo empresa) aquellos ítems de cargas salariales que representan básicamente transferencias, de acuerdo con la siguiente tabla:</w:t>
      </w:r>
    </w:p>
    <w:tbl>
      <w:tblPr>
        <w:tblpPr w:leftFromText="180" w:rightFromText="180" w:vertAnchor="text" w:tblpX="1165" w:tblpY="1"/>
        <w:tblOverlap w:val="never"/>
        <w:tblW w:w="6577" w:type="dxa"/>
        <w:tblCellMar>
          <w:top w:w="15" w:type="dxa"/>
          <w:bottom w:w="15" w:type="dxa"/>
        </w:tblCellMar>
        <w:tblLook w:val="04A0" w:firstRow="1" w:lastRow="0" w:firstColumn="1" w:lastColumn="0" w:noHBand="0" w:noVBand="1"/>
      </w:tblPr>
      <w:tblGrid>
        <w:gridCol w:w="5860"/>
        <w:gridCol w:w="717"/>
      </w:tblGrid>
      <w:tr>
        <w:trPr>
          <w:trHeight w:val="240"/>
        </w:trPr>
        <w:tc>
          <w:tcPr>
            <w:tcW w:w="6577"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pPr>
              <w:spacing w:after="0" w:line="240" w:lineRule="auto"/>
              <w:jc w:val="center"/>
              <w:rPr>
                <w:rFonts w:ascii="Arial" w:eastAsia="Times New Roman" w:hAnsi="Arial" w:cs="Arial"/>
                <w:b/>
                <w:bCs/>
                <w:color w:val="000000"/>
                <w:sz w:val="20"/>
                <w:szCs w:val="20"/>
                <w:lang w:val="es-ES_tradnl"/>
              </w:rPr>
            </w:pPr>
            <w:r>
              <w:rPr>
                <w:rFonts w:ascii="Arial" w:eastAsia="Times New Roman" w:hAnsi="Arial" w:cs="Arial"/>
                <w:b/>
                <w:bCs/>
                <w:color w:val="000000"/>
                <w:sz w:val="20"/>
                <w:szCs w:val="20"/>
                <w:lang w:val="es-ES_tradnl"/>
              </w:rPr>
              <w:t>Cargas Salariales sobre el Empleador (2017)</w:t>
            </w:r>
          </w:p>
        </w:tc>
      </w:tr>
      <w:tr>
        <w:trPr>
          <w:trHeight w:val="225"/>
        </w:trPr>
        <w:tc>
          <w:tcPr>
            <w:tcW w:w="5860" w:type="dxa"/>
            <w:tcBorders>
              <w:top w:val="single" w:sz="4" w:space="0" w:color="auto"/>
              <w:left w:val="single" w:sz="4" w:space="0" w:color="auto"/>
              <w:bottom w:val="single" w:sz="4" w:space="0" w:color="auto"/>
              <w:right w:val="single" w:sz="4" w:space="0" w:color="auto"/>
            </w:tcBorders>
            <w:noWrap/>
            <w:vAlign w:val="bottom"/>
            <w:hideMark/>
          </w:tcPr>
          <w:p>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Benefícios Laborales CTS</w:t>
            </w:r>
          </w:p>
        </w:tc>
        <w:tc>
          <w:tcPr>
            <w:tcW w:w="717" w:type="dxa"/>
            <w:tcBorders>
              <w:top w:val="single" w:sz="4" w:space="0" w:color="auto"/>
              <w:left w:val="single" w:sz="4" w:space="0" w:color="auto"/>
              <w:bottom w:val="single" w:sz="4" w:space="0" w:color="auto"/>
              <w:right w:val="single" w:sz="4" w:space="0" w:color="auto"/>
            </w:tcBorders>
            <w:noWrap/>
            <w:vAlign w:val="bottom"/>
            <w:hideMark/>
          </w:tcPr>
          <w:p>
            <w:pPr>
              <w:spacing w:after="0" w:line="240" w:lineRule="auto"/>
              <w:jc w:val="right"/>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9.72</w:t>
            </w:r>
          </w:p>
        </w:tc>
      </w:tr>
      <w:tr>
        <w:trPr>
          <w:trHeight w:val="225"/>
        </w:trPr>
        <w:tc>
          <w:tcPr>
            <w:tcW w:w="5860" w:type="dxa"/>
            <w:tcBorders>
              <w:top w:val="single" w:sz="4" w:space="0" w:color="auto"/>
              <w:left w:val="single" w:sz="4" w:space="0" w:color="auto"/>
              <w:bottom w:val="single" w:sz="4" w:space="0" w:color="auto"/>
              <w:right w:val="single" w:sz="4" w:space="0" w:color="auto"/>
            </w:tcBorders>
            <w:noWrap/>
            <w:vAlign w:val="bottom"/>
            <w:hideMark/>
          </w:tcPr>
          <w:p>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Aportes a Essalud</w:t>
            </w:r>
          </w:p>
        </w:tc>
        <w:tc>
          <w:tcPr>
            <w:tcW w:w="717" w:type="dxa"/>
            <w:tcBorders>
              <w:top w:val="single" w:sz="4" w:space="0" w:color="auto"/>
              <w:left w:val="single" w:sz="4" w:space="0" w:color="auto"/>
              <w:bottom w:val="single" w:sz="4" w:space="0" w:color="auto"/>
              <w:right w:val="single" w:sz="4" w:space="0" w:color="auto"/>
            </w:tcBorders>
            <w:noWrap/>
            <w:vAlign w:val="bottom"/>
            <w:hideMark/>
          </w:tcPr>
          <w:p>
            <w:pPr>
              <w:spacing w:after="0" w:line="240" w:lineRule="auto"/>
              <w:jc w:val="right"/>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9</w:t>
            </w:r>
          </w:p>
        </w:tc>
      </w:tr>
      <w:tr>
        <w:trPr>
          <w:trHeight w:val="225"/>
        </w:trPr>
        <w:tc>
          <w:tcPr>
            <w:tcW w:w="5860" w:type="dxa"/>
            <w:tcBorders>
              <w:top w:val="single" w:sz="4" w:space="0" w:color="auto"/>
              <w:left w:val="single" w:sz="4" w:space="0" w:color="auto"/>
              <w:bottom w:val="single" w:sz="4" w:space="0" w:color="auto"/>
              <w:right w:val="single" w:sz="4" w:space="0" w:color="auto"/>
            </w:tcBorders>
            <w:noWrap/>
            <w:vAlign w:val="bottom"/>
            <w:hideMark/>
          </w:tcPr>
          <w:p>
            <w:pPr>
              <w:spacing w:after="0" w:line="240" w:lineRule="auto"/>
              <w:jc w:val="right"/>
              <w:rPr>
                <w:rFonts w:ascii="Arial" w:eastAsia="Times New Roman" w:hAnsi="Arial" w:cs="Arial"/>
                <w:color w:val="000000"/>
                <w:sz w:val="20"/>
                <w:szCs w:val="20"/>
                <w:lang w:val="es-ES_tradnl"/>
              </w:rPr>
            </w:pPr>
          </w:p>
        </w:tc>
        <w:tc>
          <w:tcPr>
            <w:tcW w:w="717" w:type="dxa"/>
            <w:tcBorders>
              <w:top w:val="single" w:sz="4" w:space="0" w:color="auto"/>
              <w:left w:val="single" w:sz="4" w:space="0" w:color="auto"/>
              <w:bottom w:val="single" w:sz="4" w:space="0" w:color="auto"/>
              <w:right w:val="single" w:sz="4" w:space="0" w:color="auto"/>
            </w:tcBorders>
            <w:noWrap/>
            <w:vAlign w:val="bottom"/>
            <w:hideMark/>
          </w:tcPr>
          <w:p>
            <w:pPr>
              <w:spacing w:after="0" w:line="240" w:lineRule="auto"/>
              <w:rPr>
                <w:rFonts w:ascii="Arial" w:eastAsia="Times New Roman" w:hAnsi="Arial" w:cs="Arial"/>
                <w:sz w:val="20"/>
                <w:szCs w:val="20"/>
                <w:lang w:val="es-ES_tradnl"/>
              </w:rPr>
            </w:pPr>
          </w:p>
        </w:tc>
      </w:tr>
      <w:tr>
        <w:trPr>
          <w:trHeight w:val="240"/>
        </w:trPr>
        <w:tc>
          <w:tcPr>
            <w:tcW w:w="5860" w:type="dxa"/>
            <w:tcBorders>
              <w:top w:val="single" w:sz="4" w:space="0" w:color="auto"/>
              <w:left w:val="single" w:sz="4" w:space="0" w:color="auto"/>
              <w:bottom w:val="single" w:sz="4" w:space="0" w:color="auto"/>
              <w:right w:val="single" w:sz="4" w:space="0" w:color="auto"/>
            </w:tcBorders>
            <w:noWrap/>
            <w:vAlign w:val="bottom"/>
            <w:hideMark/>
          </w:tcPr>
          <w:p>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Total</w:t>
            </w:r>
          </w:p>
        </w:tc>
        <w:tc>
          <w:tcPr>
            <w:tcW w:w="717" w:type="dxa"/>
            <w:tcBorders>
              <w:top w:val="single" w:sz="4" w:space="0" w:color="auto"/>
              <w:left w:val="single" w:sz="4" w:space="0" w:color="auto"/>
              <w:bottom w:val="single" w:sz="4" w:space="0" w:color="auto"/>
              <w:right w:val="single" w:sz="4" w:space="0" w:color="auto"/>
            </w:tcBorders>
            <w:noWrap/>
            <w:vAlign w:val="bottom"/>
            <w:hideMark/>
          </w:tcPr>
          <w:p>
            <w:pPr>
              <w:spacing w:after="0" w:line="240" w:lineRule="auto"/>
              <w:jc w:val="right"/>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18.72</w:t>
            </w:r>
          </w:p>
        </w:tc>
      </w:tr>
      <w:tr>
        <w:trPr>
          <w:trHeight w:val="240"/>
        </w:trPr>
        <w:tc>
          <w:tcPr>
            <w:tcW w:w="5860" w:type="dxa"/>
            <w:tcBorders>
              <w:top w:val="single" w:sz="4" w:space="0" w:color="auto"/>
              <w:left w:val="single" w:sz="4" w:space="0" w:color="auto"/>
              <w:bottom w:val="single" w:sz="4" w:space="0" w:color="auto"/>
              <w:right w:val="single" w:sz="4" w:space="0" w:color="auto"/>
            </w:tcBorders>
            <w:noWrap/>
            <w:vAlign w:val="bottom"/>
            <w:hideMark/>
          </w:tcPr>
          <w:p>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Factor de Conversión</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b/>
                <w:color w:val="000000"/>
                <w:sz w:val="20"/>
                <w:szCs w:val="20"/>
                <w:lang w:val="es-ES_tradnl"/>
              </w:rPr>
            </w:pPr>
            <w:r>
              <w:rPr>
                <w:rFonts w:ascii="Arial" w:eastAsia="Times New Roman" w:hAnsi="Arial" w:cs="Arial"/>
                <w:b/>
                <w:color w:val="000000"/>
                <w:sz w:val="20"/>
                <w:szCs w:val="20"/>
                <w:lang w:val="es-ES_tradnl"/>
              </w:rPr>
              <w:t>0.873</w:t>
            </w:r>
          </w:p>
        </w:tc>
      </w:tr>
      <w:tr>
        <w:trPr>
          <w:trHeight w:val="240"/>
        </w:trPr>
        <w:tc>
          <w:tcPr>
            <w:tcW w:w="6577" w:type="dxa"/>
            <w:gridSpan w:val="2"/>
            <w:tcBorders>
              <w:top w:val="single" w:sz="4" w:space="0" w:color="auto"/>
              <w:left w:val="single" w:sz="4" w:space="0" w:color="auto"/>
              <w:bottom w:val="single" w:sz="4" w:space="0" w:color="auto"/>
              <w:right w:val="single" w:sz="4" w:space="0" w:color="auto"/>
            </w:tcBorders>
            <w:noWrap/>
            <w:vAlign w:val="bottom"/>
            <w:hideMark/>
          </w:tcPr>
          <w:p>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Fuente: Portal Capital Humano</w:t>
            </w:r>
          </w:p>
        </w:tc>
      </w:tr>
    </w:tbl>
    <w:p>
      <w:pPr>
        <w:pStyle w:val="BodyText"/>
        <w:spacing w:before="120" w:after="120"/>
        <w:ind w:right="119"/>
        <w:jc w:val="both"/>
        <w:rPr>
          <w:rFonts w:ascii="Arial" w:hAnsi="Arial" w:cs="Arial"/>
          <w:spacing w:val="-1"/>
          <w:sz w:val="22"/>
          <w:szCs w:val="22"/>
          <w:u w:color="000000"/>
          <w:lang w:val="es-ES"/>
        </w:rPr>
      </w:pPr>
    </w:p>
    <w:p>
      <w:pPr>
        <w:rPr>
          <w:rFonts w:ascii="Arial" w:hAnsi="Arial" w:cs="Arial"/>
          <w:lang w:val="es-ES"/>
        </w:rPr>
      </w:pPr>
    </w:p>
    <w:p>
      <w:pPr>
        <w:pStyle w:val="BodyText"/>
        <w:spacing w:before="120" w:after="120"/>
        <w:ind w:right="119"/>
        <w:jc w:val="both"/>
        <w:rPr>
          <w:rFonts w:ascii="Arial" w:hAnsi="Arial" w:cs="Arial"/>
          <w:spacing w:val="-1"/>
          <w:sz w:val="22"/>
          <w:szCs w:val="22"/>
          <w:u w:color="000000"/>
          <w:lang w:val="es-ES"/>
        </w:rPr>
      </w:pPr>
    </w:p>
    <w:p>
      <w:pPr>
        <w:pStyle w:val="BodyText"/>
        <w:spacing w:before="120" w:after="120"/>
        <w:ind w:left="900" w:right="119"/>
        <w:jc w:val="center"/>
        <w:rPr>
          <w:rFonts w:ascii="Arial" w:hAnsi="Arial" w:cs="Arial"/>
          <w:spacing w:val="-1"/>
          <w:sz w:val="22"/>
          <w:szCs w:val="22"/>
          <w:u w:color="000000"/>
          <w:lang w:val="es-ES"/>
        </w:rPr>
      </w:pPr>
      <w:r>
        <w:rPr>
          <w:rFonts w:ascii="Arial" w:hAnsi="Arial" w:cs="Arial"/>
          <w:spacing w:val="-1"/>
          <w:sz w:val="22"/>
          <w:szCs w:val="22"/>
          <w:u w:color="000000"/>
          <w:lang w:val="es-ES"/>
        </w:rPr>
        <w:br w:type="textWrapping" w:clear="all"/>
      </w:r>
    </w:p>
    <w:p>
      <w:pPr>
        <w:pStyle w:val="Paragraph"/>
        <w:numPr>
          <w:ilvl w:val="0"/>
          <w:numId w:val="4"/>
        </w:numPr>
        <w:ind w:left="900"/>
        <w:outlineLvl w:val="9"/>
        <w:rPr>
          <w:rFonts w:ascii="Arial" w:hAnsi="Arial" w:cs="Arial"/>
          <w:spacing w:val="-1"/>
          <w:sz w:val="22"/>
          <w:szCs w:val="22"/>
          <w:lang w:val="es-ES_tradnl"/>
        </w:rPr>
      </w:pPr>
      <w:r>
        <w:rPr>
          <w:rFonts w:ascii="Arial" w:hAnsi="Arial" w:cs="Arial"/>
          <w:spacing w:val="-1"/>
          <w:sz w:val="22"/>
          <w:szCs w:val="22"/>
          <w:lang w:val="es-ES_tradnl"/>
        </w:rPr>
        <w:lastRenderedPageBreak/>
        <w:t>A lo anterior se aplica el factor de conversión estándar para conservar el numerario del análisis, con lo cual:</w:t>
      </w:r>
    </w:p>
    <w:p>
      <w:pPr>
        <w:pStyle w:val="Paragraph"/>
        <w:numPr>
          <w:ilvl w:val="0"/>
          <w:numId w:val="0"/>
        </w:numPr>
        <w:ind w:left="1350"/>
        <w:outlineLvl w:val="9"/>
        <w:rPr>
          <w:rFonts w:ascii="Arial" w:hAnsi="Arial" w:cs="Arial"/>
          <w:spacing w:val="-1"/>
          <w:sz w:val="22"/>
          <w:szCs w:val="22"/>
          <w:u w:color="000000"/>
          <w:lang w:val="es-ES_tradnl"/>
        </w:rPr>
      </w:pPr>
      <w:r>
        <w:rPr>
          <w:rFonts w:ascii="Arial" w:hAnsi="Arial" w:cs="Arial"/>
          <w:spacing w:val="-1"/>
          <w:sz w:val="22"/>
          <w:szCs w:val="22"/>
          <w:u w:color="000000"/>
          <w:lang w:val="es-ES_tradnl"/>
        </w:rPr>
        <w:t xml:space="preserve">FCMOC = 0,873 * 0,981 = </w:t>
      </w:r>
      <w:r>
        <w:rPr>
          <w:rFonts w:ascii="Arial" w:hAnsi="Arial" w:cs="Arial"/>
          <w:b/>
          <w:spacing w:val="-1"/>
          <w:sz w:val="22"/>
          <w:szCs w:val="22"/>
          <w:u w:color="000000"/>
          <w:lang w:val="es-ES_tradnl"/>
        </w:rPr>
        <w:t>0,857</w:t>
      </w:r>
      <w:r>
        <w:rPr>
          <w:rFonts w:ascii="Arial" w:hAnsi="Arial" w:cs="Arial"/>
          <w:spacing w:val="-1"/>
          <w:sz w:val="22"/>
          <w:szCs w:val="22"/>
          <w:u w:color="000000"/>
          <w:lang w:val="es-ES_tradnl"/>
        </w:rPr>
        <w:tab/>
      </w:r>
    </w:p>
    <w:p>
      <w:pPr>
        <w:pStyle w:val="Paragraph"/>
        <w:numPr>
          <w:ilvl w:val="0"/>
          <w:numId w:val="4"/>
        </w:numPr>
        <w:ind w:left="900"/>
        <w:outlineLvl w:val="9"/>
        <w:rPr>
          <w:rFonts w:ascii="Arial" w:hAnsi="Arial" w:cs="Arial"/>
          <w:spacing w:val="-1"/>
          <w:sz w:val="22"/>
          <w:szCs w:val="22"/>
          <w:u w:color="000000"/>
          <w:lang w:val="es-ES_tradnl"/>
        </w:rPr>
      </w:pPr>
      <w:r>
        <w:rPr>
          <w:rFonts w:ascii="Arial" w:hAnsi="Arial" w:cs="Arial"/>
          <w:spacing w:val="-1"/>
          <w:sz w:val="22"/>
          <w:szCs w:val="22"/>
          <w:u w:color="000000"/>
          <w:lang w:val="es-ES_tradnl"/>
        </w:rPr>
        <w:t>Mano de obra no calificada: se adopta el mismo criterio que para el caso de mano de obra calificada, al excluirse aquellos conceptos de las remuneraciones que son efectivamente transferencias. En adición, se descuenta un factor asociado a la tasa de desempleo de este tipo de mano de obra, según la siguiente fórmula</w:t>
      </w:r>
      <w:r>
        <w:rPr>
          <w:rStyle w:val="FootnoteReference"/>
          <w:rFonts w:ascii="Arial" w:hAnsi="Arial" w:cs="Arial"/>
          <w:spacing w:val="-1"/>
          <w:sz w:val="22"/>
          <w:szCs w:val="22"/>
          <w:u w:color="000000"/>
          <w:lang w:val="es-ES_tradnl"/>
        </w:rPr>
        <w:footnoteReference w:id="26"/>
      </w:r>
      <w:r>
        <w:rPr>
          <w:rFonts w:ascii="Arial" w:hAnsi="Arial" w:cs="Arial"/>
          <w:spacing w:val="-1"/>
          <w:sz w:val="22"/>
          <w:szCs w:val="22"/>
          <w:u w:color="000000"/>
          <w:lang w:val="es-ES_tradnl"/>
        </w:rPr>
        <w:t>:</w:t>
      </w:r>
    </w:p>
    <w:p>
      <w:pPr>
        <w:pStyle w:val="Paragraph"/>
        <w:numPr>
          <w:ilvl w:val="0"/>
          <w:numId w:val="0"/>
        </w:numPr>
        <w:ind w:left="1350"/>
        <w:outlineLvl w:val="9"/>
        <w:rPr>
          <w:rFonts w:ascii="Arial" w:hAnsi="Arial" w:cs="Arial"/>
          <w:spacing w:val="-1"/>
          <w:sz w:val="22"/>
          <w:szCs w:val="22"/>
          <w:u w:color="000000"/>
          <w:lang w:val="es-ES_tradnl"/>
        </w:rPr>
      </w:pPr>
      <w:r>
        <w:rPr>
          <w:rFonts w:ascii="Arial" w:hAnsi="Arial" w:cs="Arial"/>
          <w:spacing w:val="-1"/>
          <w:sz w:val="22"/>
          <w:szCs w:val="22"/>
          <w:u w:color="000000"/>
          <w:lang w:val="es-ES_tradnl"/>
        </w:rPr>
        <w:t xml:space="preserve">FCMONC = W * FCMOC * (1 - U) = 1.0 * 0,857 * (1- 0,044) = </w:t>
      </w:r>
      <w:r>
        <w:rPr>
          <w:rFonts w:ascii="Arial" w:hAnsi="Arial" w:cs="Arial"/>
          <w:b/>
          <w:spacing w:val="-1"/>
          <w:sz w:val="22"/>
          <w:szCs w:val="22"/>
          <w:u w:color="000000"/>
          <w:lang w:val="es-ES_tradnl"/>
        </w:rPr>
        <w:t>0,819</w:t>
      </w:r>
    </w:p>
    <w:p>
      <w:pPr>
        <w:pStyle w:val="Paragraph"/>
        <w:numPr>
          <w:ilvl w:val="0"/>
          <w:numId w:val="0"/>
        </w:numPr>
        <w:ind w:left="1350"/>
        <w:outlineLvl w:val="9"/>
        <w:rPr>
          <w:rFonts w:ascii="Arial" w:hAnsi="Arial" w:cs="Arial"/>
          <w:spacing w:val="-1"/>
          <w:sz w:val="22"/>
          <w:szCs w:val="22"/>
          <w:u w:color="000000"/>
          <w:lang w:val="es-ES_tradnl"/>
        </w:rPr>
      </w:pPr>
      <w:bookmarkStart w:id="17" w:name="_bookmark1"/>
      <w:bookmarkEnd w:id="17"/>
      <w:r>
        <w:rPr>
          <w:rFonts w:ascii="Arial" w:hAnsi="Arial" w:cs="Arial"/>
          <w:spacing w:val="-1"/>
          <w:sz w:val="22"/>
          <w:szCs w:val="22"/>
          <w:u w:color="000000"/>
          <w:lang w:val="es-ES_tradnl"/>
        </w:rPr>
        <w:t>Donde:</w:t>
      </w:r>
    </w:p>
    <w:p>
      <w:pPr>
        <w:pStyle w:val="Paragraph"/>
        <w:numPr>
          <w:ilvl w:val="0"/>
          <w:numId w:val="0"/>
        </w:numPr>
        <w:ind w:left="1350"/>
        <w:outlineLvl w:val="9"/>
        <w:rPr>
          <w:rFonts w:ascii="Arial" w:hAnsi="Arial" w:cs="Arial"/>
          <w:spacing w:val="-1"/>
          <w:sz w:val="22"/>
          <w:szCs w:val="22"/>
          <w:u w:color="000000"/>
          <w:lang w:val="es-ES_tradnl"/>
        </w:rPr>
      </w:pPr>
      <w:r>
        <w:rPr>
          <w:rFonts w:ascii="Arial" w:hAnsi="Arial" w:cs="Arial"/>
          <w:spacing w:val="-1"/>
          <w:sz w:val="22"/>
          <w:szCs w:val="22"/>
          <w:u w:color="000000"/>
          <w:lang w:val="es-ES_tradnl"/>
        </w:rPr>
        <w:t>FCMONC: factor de conversión de la mano de obra no calificada</w:t>
      </w:r>
    </w:p>
    <w:p>
      <w:pPr>
        <w:pStyle w:val="Paragraph"/>
        <w:numPr>
          <w:ilvl w:val="0"/>
          <w:numId w:val="0"/>
        </w:numPr>
        <w:ind w:left="1350"/>
        <w:outlineLvl w:val="9"/>
        <w:rPr>
          <w:rFonts w:ascii="Arial" w:hAnsi="Arial" w:cs="Arial"/>
          <w:spacing w:val="-1"/>
          <w:sz w:val="22"/>
          <w:szCs w:val="22"/>
          <w:u w:color="000000"/>
          <w:lang w:val="es-ES_tradnl"/>
        </w:rPr>
      </w:pPr>
      <w:r>
        <w:rPr>
          <w:rFonts w:ascii="Arial" w:hAnsi="Arial" w:cs="Arial"/>
          <w:spacing w:val="-1"/>
          <w:sz w:val="22"/>
          <w:szCs w:val="22"/>
          <w:u w:color="000000"/>
          <w:lang w:val="es-ES_tradnl"/>
        </w:rPr>
        <w:t>W: es el salario costo empresa (índice 1.0)</w:t>
      </w:r>
    </w:p>
    <w:p>
      <w:pPr>
        <w:pStyle w:val="Paragraph"/>
        <w:numPr>
          <w:ilvl w:val="0"/>
          <w:numId w:val="0"/>
        </w:numPr>
        <w:ind w:left="1350"/>
        <w:outlineLvl w:val="9"/>
        <w:rPr>
          <w:rFonts w:ascii="Arial" w:hAnsi="Arial" w:cs="Arial"/>
          <w:spacing w:val="-1"/>
          <w:sz w:val="22"/>
          <w:szCs w:val="22"/>
          <w:u w:color="000000"/>
          <w:lang w:val="es-ES_tradnl"/>
        </w:rPr>
      </w:pPr>
      <w:r>
        <w:rPr>
          <w:rFonts w:ascii="Arial" w:hAnsi="Arial" w:cs="Arial"/>
          <w:spacing w:val="-1"/>
          <w:sz w:val="22"/>
          <w:szCs w:val="22"/>
          <w:u w:color="000000"/>
          <w:lang w:val="es-ES_tradnl"/>
        </w:rPr>
        <w:t>FCMOC: factor de conversión de la mano de obra calificada</w:t>
      </w:r>
    </w:p>
    <w:p>
      <w:pPr>
        <w:pStyle w:val="Paragraph"/>
        <w:numPr>
          <w:ilvl w:val="0"/>
          <w:numId w:val="0"/>
        </w:numPr>
        <w:ind w:left="1350"/>
        <w:outlineLvl w:val="9"/>
        <w:rPr>
          <w:rFonts w:ascii="Arial" w:hAnsi="Arial" w:cs="Arial"/>
          <w:spacing w:val="-1"/>
          <w:sz w:val="22"/>
          <w:szCs w:val="22"/>
          <w:u w:color="000000"/>
          <w:lang w:val="es-ES_tradnl"/>
        </w:rPr>
      </w:pPr>
      <w:r>
        <w:rPr>
          <w:rFonts w:ascii="Arial" w:hAnsi="Arial" w:cs="Arial"/>
          <w:spacing w:val="-1"/>
          <w:sz w:val="22"/>
          <w:szCs w:val="22"/>
          <w:u w:color="000000"/>
          <w:lang w:val="es-ES_tradnl"/>
        </w:rPr>
        <w:t>U: tasa de desempleo abierta.</w:t>
      </w:r>
    </w:p>
    <w:p>
      <w:pPr>
        <w:pStyle w:val="Paragraph"/>
        <w:numPr>
          <w:ilvl w:val="1"/>
          <w:numId w:val="3"/>
        </w:numPr>
        <w:ind w:left="540" w:hanging="540"/>
        <w:outlineLvl w:val="9"/>
        <w:rPr>
          <w:rFonts w:ascii="Arial" w:hAnsi="Arial" w:cs="Arial"/>
          <w:sz w:val="22"/>
          <w:szCs w:val="22"/>
          <w:lang w:val="es-ES_tradnl"/>
        </w:rPr>
      </w:pPr>
      <w:r>
        <w:rPr>
          <w:rFonts w:ascii="Arial" w:hAnsi="Arial" w:cs="Arial"/>
          <w:sz w:val="22"/>
          <w:szCs w:val="22"/>
          <w:lang w:val="es-ES_tradnl"/>
        </w:rPr>
        <w:t xml:space="preserve">Tomando en cuenta la composición de costos de cada categoría de gasto (ver Cuadro 4), se obtiene que luego de la aplicación de los factores de conversión para eliminar impuestos indirectos (Impuesto a las Ventas y aranceles) y otras distorsiones en el mercado laboral, la inversión total alcanza un 88% del valor a precios de mercado. </w:t>
      </w:r>
    </w:p>
    <w:p>
      <w:pPr>
        <w:pStyle w:val="Paragraph"/>
        <w:numPr>
          <w:ilvl w:val="0"/>
          <w:numId w:val="0"/>
        </w:numPr>
        <w:ind w:left="1296" w:hanging="1296"/>
        <w:outlineLvl w:val="9"/>
        <w:rPr>
          <w:rFonts w:ascii="Arial" w:hAnsi="Arial" w:cs="Arial"/>
          <w:sz w:val="22"/>
          <w:szCs w:val="22"/>
          <w:lang w:val="es-ES_tradnl"/>
        </w:rPr>
      </w:pPr>
    </w:p>
    <w:tbl>
      <w:tblPr>
        <w:tblW w:w="8040" w:type="dxa"/>
        <w:tblLayout w:type="fixed"/>
        <w:tblLook w:val="04A0" w:firstRow="1" w:lastRow="0" w:firstColumn="1" w:lastColumn="0" w:noHBand="0" w:noVBand="1"/>
      </w:tblPr>
      <w:tblGrid>
        <w:gridCol w:w="2785"/>
        <w:gridCol w:w="1837"/>
        <w:gridCol w:w="1780"/>
        <w:gridCol w:w="1638"/>
      </w:tblGrid>
      <w:tr>
        <w:trPr>
          <w:trHeight w:val="255"/>
        </w:trPr>
        <w:tc>
          <w:tcPr>
            <w:tcW w:w="8040" w:type="dxa"/>
            <w:gridSpan w:val="4"/>
            <w:tcBorders>
              <w:top w:val="single" w:sz="4" w:space="0" w:color="auto"/>
              <w:left w:val="single" w:sz="4" w:space="0" w:color="auto"/>
              <w:bottom w:val="single" w:sz="4" w:space="0" w:color="auto"/>
              <w:right w:val="single" w:sz="4" w:space="0" w:color="000000"/>
            </w:tcBorders>
            <w:shd w:val="clear" w:color="000000" w:fill="C0C0C0"/>
            <w:vAlign w:val="bottom"/>
            <w:hideMark/>
          </w:tcPr>
          <w:p>
            <w:pPr>
              <w:spacing w:after="0" w:line="240" w:lineRule="auto"/>
              <w:jc w:val="center"/>
              <w:rPr>
                <w:rFonts w:ascii="Arial" w:eastAsia="Times New Roman" w:hAnsi="Arial" w:cs="Arial"/>
                <w:b/>
                <w:bCs/>
                <w:color w:val="000000"/>
                <w:sz w:val="20"/>
                <w:szCs w:val="20"/>
                <w:lang w:val="es-ES_tradnl"/>
              </w:rPr>
            </w:pPr>
            <w:r>
              <w:rPr>
                <w:rFonts w:ascii="Arial" w:eastAsia="Times New Roman" w:hAnsi="Arial" w:cs="Arial"/>
                <w:b/>
                <w:bCs/>
                <w:color w:val="000000"/>
                <w:sz w:val="20"/>
                <w:szCs w:val="20"/>
                <w:lang w:val="es-ES_tradnl"/>
              </w:rPr>
              <w:t>Cuadro 4: Costos de inversión por insumo económico (en US$)</w:t>
            </w:r>
          </w:p>
        </w:tc>
      </w:tr>
      <w:tr>
        <w:trPr>
          <w:trHeight w:val="528"/>
        </w:trPr>
        <w:tc>
          <w:tcPr>
            <w:tcW w:w="2785" w:type="dxa"/>
            <w:tcBorders>
              <w:top w:val="nil"/>
              <w:left w:val="single" w:sz="4" w:space="0" w:color="auto"/>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Insumo económico</w:t>
            </w:r>
          </w:p>
        </w:tc>
        <w:tc>
          <w:tcPr>
            <w:tcW w:w="1837"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Costo financiero</w:t>
            </w:r>
          </w:p>
        </w:tc>
        <w:tc>
          <w:tcPr>
            <w:tcW w:w="1780"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Factor de corrección</w:t>
            </w:r>
          </w:p>
        </w:tc>
        <w:tc>
          <w:tcPr>
            <w:tcW w:w="1638"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Costo económico</w:t>
            </w:r>
          </w:p>
        </w:tc>
      </w:tr>
      <w:tr>
        <w:trPr>
          <w:trHeight w:val="528"/>
        </w:trPr>
        <w:tc>
          <w:tcPr>
            <w:tcW w:w="2785"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Sistemas de computador y aplicativos de origen nacional</w:t>
            </w:r>
          </w:p>
        </w:tc>
        <w:tc>
          <w:tcPr>
            <w:tcW w:w="1837" w:type="dxa"/>
            <w:tcBorders>
              <w:top w:val="nil"/>
              <w:left w:val="nil"/>
              <w:bottom w:val="single" w:sz="4" w:space="0" w:color="auto"/>
              <w:right w:val="single" w:sz="4" w:space="0" w:color="auto"/>
            </w:tcBorders>
            <w:shd w:val="clear" w:color="auto" w:fill="auto"/>
            <w:vAlign w:val="bottom"/>
            <w:hideMark/>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c>
          <w:tcPr>
            <w:tcW w:w="1780" w:type="dxa"/>
            <w:tcBorders>
              <w:top w:val="nil"/>
              <w:left w:val="nil"/>
              <w:bottom w:val="single" w:sz="4" w:space="0" w:color="auto"/>
              <w:right w:val="single" w:sz="4" w:space="0" w:color="auto"/>
            </w:tcBorders>
            <w:shd w:val="clear" w:color="auto" w:fill="auto"/>
            <w:vAlign w:val="bottom"/>
            <w:hideMark/>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c>
          <w:tcPr>
            <w:tcW w:w="1638" w:type="dxa"/>
            <w:tcBorders>
              <w:top w:val="nil"/>
              <w:left w:val="nil"/>
              <w:bottom w:val="single" w:sz="4" w:space="0" w:color="auto"/>
              <w:right w:val="single" w:sz="4" w:space="0" w:color="auto"/>
            </w:tcBorders>
            <w:shd w:val="clear" w:color="auto" w:fill="auto"/>
            <w:vAlign w:val="bottom"/>
            <w:hideMark/>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r>
      <w:tr>
        <w:trPr>
          <w:trHeight w:val="792"/>
        </w:trPr>
        <w:tc>
          <w:tcPr>
            <w:tcW w:w="2785"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Sistemas de computador y aplicativos de origen importado</w:t>
            </w:r>
          </w:p>
        </w:tc>
        <w:tc>
          <w:tcPr>
            <w:tcW w:w="1837"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6,970,000</w:t>
            </w:r>
          </w:p>
        </w:tc>
        <w:tc>
          <w:tcPr>
            <w:tcW w:w="1780"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0.943</w:t>
            </w:r>
          </w:p>
        </w:tc>
        <w:tc>
          <w:tcPr>
            <w:tcW w:w="1638"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6,575,472</w:t>
            </w:r>
          </w:p>
        </w:tc>
      </w:tr>
      <w:tr>
        <w:trPr>
          <w:trHeight w:val="264"/>
        </w:trPr>
        <w:tc>
          <w:tcPr>
            <w:tcW w:w="2785"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Equipos de origen nacional</w:t>
            </w:r>
          </w:p>
        </w:tc>
        <w:tc>
          <w:tcPr>
            <w:tcW w:w="1837"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c>
          <w:tcPr>
            <w:tcW w:w="1780"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c>
          <w:tcPr>
            <w:tcW w:w="1638"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r>
      <w:tr>
        <w:trPr>
          <w:trHeight w:val="264"/>
        </w:trPr>
        <w:tc>
          <w:tcPr>
            <w:tcW w:w="2785"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Equipos de origen importado</w:t>
            </w:r>
          </w:p>
        </w:tc>
        <w:tc>
          <w:tcPr>
            <w:tcW w:w="1837"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3,606,480</w:t>
            </w:r>
          </w:p>
        </w:tc>
        <w:tc>
          <w:tcPr>
            <w:tcW w:w="1780"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0.943</w:t>
            </w:r>
          </w:p>
        </w:tc>
        <w:tc>
          <w:tcPr>
            <w:tcW w:w="1638"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3,402,340</w:t>
            </w:r>
          </w:p>
        </w:tc>
      </w:tr>
      <w:tr>
        <w:trPr>
          <w:trHeight w:val="264"/>
        </w:trPr>
        <w:tc>
          <w:tcPr>
            <w:tcW w:w="2785"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Servicio de origen nacional</w:t>
            </w:r>
          </w:p>
        </w:tc>
        <w:tc>
          <w:tcPr>
            <w:tcW w:w="1837"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26,468,757</w:t>
            </w:r>
          </w:p>
        </w:tc>
        <w:tc>
          <w:tcPr>
            <w:tcW w:w="1780"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0.805</w:t>
            </w:r>
          </w:p>
        </w:tc>
        <w:tc>
          <w:tcPr>
            <w:tcW w:w="1638"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21,299,163</w:t>
            </w:r>
          </w:p>
        </w:tc>
      </w:tr>
      <w:tr>
        <w:trPr>
          <w:trHeight w:val="528"/>
        </w:trPr>
        <w:tc>
          <w:tcPr>
            <w:tcW w:w="2785"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Servicios de origen importado</w:t>
            </w:r>
          </w:p>
        </w:tc>
        <w:tc>
          <w:tcPr>
            <w:tcW w:w="1837"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17,645,838</w:t>
            </w:r>
          </w:p>
        </w:tc>
        <w:tc>
          <w:tcPr>
            <w:tcW w:w="1780"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0.981</w:t>
            </w:r>
          </w:p>
        </w:tc>
        <w:tc>
          <w:tcPr>
            <w:tcW w:w="1638"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17,316,393</w:t>
            </w:r>
          </w:p>
        </w:tc>
      </w:tr>
      <w:tr>
        <w:trPr>
          <w:trHeight w:val="264"/>
        </w:trPr>
        <w:tc>
          <w:tcPr>
            <w:tcW w:w="2785"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Mano de obra no calificada</w:t>
            </w:r>
          </w:p>
        </w:tc>
        <w:tc>
          <w:tcPr>
            <w:tcW w:w="1837"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c>
          <w:tcPr>
            <w:tcW w:w="1780"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0.819</w:t>
            </w:r>
          </w:p>
        </w:tc>
        <w:tc>
          <w:tcPr>
            <w:tcW w:w="1638"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r>
      <w:tr>
        <w:trPr>
          <w:trHeight w:val="264"/>
        </w:trPr>
        <w:tc>
          <w:tcPr>
            <w:tcW w:w="2785"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Mano de obra calificada</w:t>
            </w:r>
          </w:p>
        </w:tc>
        <w:tc>
          <w:tcPr>
            <w:tcW w:w="1837"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19,058,925</w:t>
            </w:r>
          </w:p>
        </w:tc>
        <w:tc>
          <w:tcPr>
            <w:tcW w:w="1780"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0.857</w:t>
            </w:r>
          </w:p>
        </w:tc>
        <w:tc>
          <w:tcPr>
            <w:tcW w:w="1638"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16,327,804</w:t>
            </w:r>
          </w:p>
        </w:tc>
      </w:tr>
      <w:tr>
        <w:trPr>
          <w:trHeight w:val="264"/>
        </w:trPr>
        <w:tc>
          <w:tcPr>
            <w:tcW w:w="2785"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Imprevistos</w:t>
            </w:r>
          </w:p>
        </w:tc>
        <w:tc>
          <w:tcPr>
            <w:tcW w:w="1837"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c>
          <w:tcPr>
            <w:tcW w:w="1780"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w:t>
            </w:r>
          </w:p>
        </w:tc>
        <w:tc>
          <w:tcPr>
            <w:tcW w:w="1638"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r>
      <w:tr>
        <w:trPr>
          <w:trHeight w:val="264"/>
        </w:trPr>
        <w:tc>
          <w:tcPr>
            <w:tcW w:w="2785"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Total</w:t>
            </w:r>
          </w:p>
        </w:tc>
        <w:tc>
          <w:tcPr>
            <w:tcW w:w="1837"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73,750,000</w:t>
            </w:r>
          </w:p>
        </w:tc>
        <w:tc>
          <w:tcPr>
            <w:tcW w:w="1780"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0.89</w:t>
            </w:r>
          </w:p>
        </w:tc>
        <w:tc>
          <w:tcPr>
            <w:tcW w:w="1638"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64,921,171</w:t>
            </w:r>
          </w:p>
        </w:tc>
      </w:tr>
    </w:tbl>
    <w:p>
      <w:pPr>
        <w:pStyle w:val="Paragraph"/>
        <w:numPr>
          <w:ilvl w:val="0"/>
          <w:numId w:val="0"/>
        </w:numPr>
        <w:ind w:left="810"/>
        <w:outlineLvl w:val="9"/>
        <w:rPr>
          <w:rFonts w:ascii="Arial" w:hAnsi="Arial" w:cs="Arial"/>
          <w:sz w:val="22"/>
          <w:szCs w:val="22"/>
          <w:lang w:val="es-ES_tradnl"/>
        </w:rPr>
      </w:pPr>
    </w:p>
    <w:p>
      <w:pPr>
        <w:pStyle w:val="Heading2"/>
        <w:numPr>
          <w:ilvl w:val="0"/>
          <w:numId w:val="6"/>
        </w:numPr>
        <w:ind w:left="360"/>
        <w:rPr>
          <w:rFonts w:ascii="Arial" w:hAnsi="Arial" w:cs="Arial"/>
          <w:sz w:val="22"/>
          <w:szCs w:val="22"/>
          <w:lang w:val="es-ES_tradnl"/>
        </w:rPr>
      </w:pPr>
      <w:bookmarkStart w:id="18" w:name="_Toc479116399"/>
      <w:bookmarkStart w:id="19" w:name="_Toc490641737"/>
      <w:r>
        <w:rPr>
          <w:rFonts w:ascii="Arial" w:hAnsi="Arial" w:cs="Arial"/>
          <w:sz w:val="22"/>
          <w:szCs w:val="22"/>
          <w:lang w:val="es-ES_tradnl"/>
        </w:rPr>
        <w:t>Costos de Mantenimiento</w:t>
      </w:r>
      <w:bookmarkEnd w:id="18"/>
      <w:bookmarkEnd w:id="19"/>
    </w:p>
    <w:p>
      <w:pPr>
        <w:pStyle w:val="Paragraph"/>
        <w:numPr>
          <w:ilvl w:val="1"/>
          <w:numId w:val="3"/>
        </w:numPr>
        <w:ind w:left="540" w:hanging="540"/>
        <w:outlineLvl w:val="9"/>
        <w:rPr>
          <w:rFonts w:ascii="Arial" w:hAnsi="Arial" w:cs="Arial"/>
          <w:sz w:val="22"/>
          <w:szCs w:val="22"/>
          <w:lang w:val="es-ES_tradnl"/>
        </w:rPr>
      </w:pPr>
      <w:r>
        <w:rPr>
          <w:rFonts w:ascii="Arial" w:hAnsi="Arial" w:cs="Arial"/>
          <w:sz w:val="22"/>
          <w:szCs w:val="22"/>
          <w:lang w:val="es-ES_tradnl"/>
        </w:rPr>
        <w:t>La vida útil de los componentes de inversión más importantes se ilustra en el Cuadro 5:</w:t>
      </w:r>
      <w:r>
        <w:rPr>
          <w:rFonts w:ascii="Arial" w:hAnsi="Arial" w:cs="Arial"/>
          <w:sz w:val="22"/>
          <w:szCs w:val="22"/>
          <w:lang w:val="es-ES_tradnl"/>
        </w:rPr>
        <w:fldChar w:fldCharType="begin"/>
      </w:r>
      <w:r>
        <w:rPr>
          <w:rFonts w:ascii="Arial" w:hAnsi="Arial" w:cs="Arial"/>
          <w:sz w:val="22"/>
          <w:szCs w:val="22"/>
          <w:lang w:val="es-ES_tradnl"/>
        </w:rPr>
        <w:instrText xml:space="preserve"> LINK Excel.Sheet.12 "C:\\Users\\Familia Cracel\\Desktop\\Desktop 3\\Dominicana CCSD\\Evaluación Económica\\calculo precio sombra.xlsx" Sheet1!R37C4:R43C7 \a \f 4 \h  \* MERGEFORMAT </w:instrText>
      </w:r>
      <w:r>
        <w:rPr>
          <w:rFonts w:ascii="Arial" w:hAnsi="Arial" w:cs="Arial"/>
          <w:sz w:val="22"/>
          <w:szCs w:val="22"/>
          <w:lang w:val="es-ES_tradnl"/>
        </w:rPr>
        <w:fldChar w:fldCharType="separate"/>
      </w:r>
    </w:p>
    <w:p>
      <w:pPr>
        <w:pStyle w:val="Paragraph"/>
        <w:keepNext/>
        <w:numPr>
          <w:ilvl w:val="0"/>
          <w:numId w:val="0"/>
        </w:numPr>
        <w:ind w:left="810"/>
        <w:outlineLvl w:val="9"/>
        <w:rPr>
          <w:rFonts w:ascii="Arial" w:eastAsia="Times New Roman" w:hAnsi="Arial" w:cs="Arial"/>
          <w:b/>
          <w:bCs/>
          <w:sz w:val="22"/>
          <w:szCs w:val="22"/>
          <w:lang w:val="es-ES_tradnl"/>
        </w:rPr>
      </w:pPr>
      <w:r>
        <w:rPr>
          <w:rFonts w:ascii="Arial" w:hAnsi="Arial" w:cs="Arial"/>
          <w:spacing w:val="-1"/>
          <w:sz w:val="22"/>
          <w:szCs w:val="22"/>
          <w:lang w:val="es-ES_tradnl"/>
        </w:rPr>
        <w:fldChar w:fldCharType="end"/>
      </w:r>
      <w:r>
        <w:rPr>
          <w:rFonts w:ascii="Arial" w:eastAsia="Times New Roman" w:hAnsi="Arial" w:cs="Arial"/>
          <w:b/>
          <w:bCs/>
          <w:sz w:val="22"/>
          <w:szCs w:val="22"/>
          <w:lang w:val="es-ES_tradnl"/>
        </w:rPr>
        <w:t xml:space="preserve"> </w:t>
      </w:r>
    </w:p>
    <w:tbl>
      <w:tblPr>
        <w:tblW w:w="8040" w:type="dxa"/>
        <w:tblLook w:val="04A0" w:firstRow="1" w:lastRow="0" w:firstColumn="1" w:lastColumn="0" w:noHBand="0" w:noVBand="1"/>
      </w:tblPr>
      <w:tblGrid>
        <w:gridCol w:w="2780"/>
        <w:gridCol w:w="1540"/>
        <w:gridCol w:w="1960"/>
        <w:gridCol w:w="1760"/>
      </w:tblGrid>
      <w:tr>
        <w:trPr>
          <w:trHeight w:val="285"/>
        </w:trPr>
        <w:tc>
          <w:tcPr>
            <w:tcW w:w="8040" w:type="dxa"/>
            <w:gridSpan w:val="4"/>
            <w:tcBorders>
              <w:top w:val="single" w:sz="4" w:space="0" w:color="auto"/>
              <w:left w:val="single" w:sz="4" w:space="0" w:color="auto"/>
              <w:bottom w:val="single" w:sz="4" w:space="0" w:color="auto"/>
              <w:right w:val="single" w:sz="4" w:space="0" w:color="000000"/>
            </w:tcBorders>
            <w:shd w:val="clear" w:color="000000" w:fill="C0C0C0"/>
            <w:vAlign w:val="bottom"/>
            <w:hideMark/>
          </w:tcPr>
          <w:p>
            <w:pPr>
              <w:spacing w:after="0" w:line="240" w:lineRule="auto"/>
              <w:jc w:val="center"/>
              <w:rPr>
                <w:rFonts w:ascii="Arial" w:eastAsia="Times New Roman" w:hAnsi="Arial" w:cs="Arial"/>
                <w:b/>
                <w:bCs/>
                <w:color w:val="000000"/>
                <w:sz w:val="20"/>
                <w:szCs w:val="20"/>
                <w:lang w:val="es-ES_tradnl"/>
              </w:rPr>
            </w:pPr>
            <w:r>
              <w:rPr>
                <w:rFonts w:ascii="Arial" w:eastAsia="Times New Roman" w:hAnsi="Arial" w:cs="Arial"/>
                <w:b/>
                <w:bCs/>
                <w:color w:val="000000"/>
                <w:sz w:val="20"/>
                <w:szCs w:val="20"/>
                <w:lang w:val="es-ES_tradnl"/>
              </w:rPr>
              <w:t>Cuadro 5 - Costos de mantenimiento (US$)</w:t>
            </w:r>
          </w:p>
        </w:tc>
      </w:tr>
      <w:tr>
        <w:trPr>
          <w:trHeight w:val="264"/>
        </w:trPr>
        <w:tc>
          <w:tcPr>
            <w:tcW w:w="2780" w:type="dxa"/>
            <w:tcBorders>
              <w:top w:val="nil"/>
              <w:left w:val="single" w:sz="4" w:space="0" w:color="auto"/>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Activos</w:t>
            </w:r>
          </w:p>
        </w:tc>
        <w:tc>
          <w:tcPr>
            <w:tcW w:w="1540"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Anos</w:t>
            </w:r>
          </w:p>
        </w:tc>
        <w:tc>
          <w:tcPr>
            <w:tcW w:w="1960"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Inv. Fin.</w:t>
            </w:r>
          </w:p>
        </w:tc>
        <w:tc>
          <w:tcPr>
            <w:tcW w:w="1760"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Inv. Social</w:t>
            </w:r>
          </w:p>
        </w:tc>
      </w:tr>
      <w:tr>
        <w:trPr>
          <w:trHeight w:val="264"/>
        </w:trPr>
        <w:tc>
          <w:tcPr>
            <w:tcW w:w="2780"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Servicios</w:t>
            </w:r>
          </w:p>
        </w:tc>
        <w:tc>
          <w:tcPr>
            <w:tcW w:w="1540"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10 años</w:t>
            </w:r>
          </w:p>
        </w:tc>
        <w:tc>
          <w:tcPr>
            <w:tcW w:w="1960"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17,645,838</w:t>
            </w:r>
          </w:p>
        </w:tc>
        <w:tc>
          <w:tcPr>
            <w:tcW w:w="1760"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17,316,393</w:t>
            </w:r>
          </w:p>
        </w:tc>
      </w:tr>
      <w:tr>
        <w:trPr>
          <w:trHeight w:val="264"/>
        </w:trPr>
        <w:tc>
          <w:tcPr>
            <w:tcW w:w="2780"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Sistemas de Computador</w:t>
            </w:r>
          </w:p>
        </w:tc>
        <w:tc>
          <w:tcPr>
            <w:tcW w:w="1540"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 años</w:t>
            </w:r>
          </w:p>
        </w:tc>
        <w:tc>
          <w:tcPr>
            <w:tcW w:w="1960"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6,970,000</w:t>
            </w:r>
          </w:p>
        </w:tc>
        <w:tc>
          <w:tcPr>
            <w:tcW w:w="1760"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6,575,472</w:t>
            </w:r>
          </w:p>
        </w:tc>
      </w:tr>
      <w:tr>
        <w:trPr>
          <w:trHeight w:val="264"/>
        </w:trPr>
        <w:tc>
          <w:tcPr>
            <w:tcW w:w="2780"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Equipos Informáticos</w:t>
            </w:r>
          </w:p>
        </w:tc>
        <w:tc>
          <w:tcPr>
            <w:tcW w:w="1540"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 años</w:t>
            </w:r>
          </w:p>
        </w:tc>
        <w:tc>
          <w:tcPr>
            <w:tcW w:w="1960"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3,606,480</w:t>
            </w:r>
          </w:p>
        </w:tc>
        <w:tc>
          <w:tcPr>
            <w:tcW w:w="1760" w:type="dxa"/>
            <w:tcBorders>
              <w:top w:val="nil"/>
              <w:left w:val="nil"/>
              <w:bottom w:val="single" w:sz="4" w:space="0" w:color="auto"/>
              <w:right w:val="single" w:sz="4" w:space="0" w:color="auto"/>
            </w:tcBorders>
            <w:shd w:val="clear" w:color="auto" w:fill="auto"/>
            <w:vAlign w:val="bottom"/>
          </w:tcPr>
          <w:p>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3,402,340</w:t>
            </w:r>
          </w:p>
        </w:tc>
      </w:tr>
    </w:tbl>
    <w:p>
      <w:pPr>
        <w:pStyle w:val="Paragraph"/>
        <w:numPr>
          <w:ilvl w:val="1"/>
          <w:numId w:val="3"/>
        </w:numPr>
        <w:ind w:left="540" w:hanging="540"/>
        <w:outlineLvl w:val="9"/>
        <w:rPr>
          <w:rFonts w:ascii="Arial" w:hAnsi="Arial" w:cs="Arial"/>
          <w:sz w:val="22"/>
          <w:szCs w:val="22"/>
          <w:lang w:val="es-ES_tradnl"/>
        </w:rPr>
      </w:pPr>
      <w:r>
        <w:rPr>
          <w:rFonts w:ascii="Arial" w:hAnsi="Arial" w:cs="Arial"/>
          <w:sz w:val="22"/>
          <w:szCs w:val="22"/>
          <w:lang w:val="es-ES_tradnl"/>
        </w:rPr>
        <w:lastRenderedPageBreak/>
        <w:t xml:space="preserve">El horizonte de análisis de la evaluación costo-beneficio es de 10 años. El mantenimiento será distribuido cronológicamente de la siguiente forma: (i) Los costos de servicios serán incluidos en los años 2023 y 2028; y (ii) los costos de sistemas de computación y equipos informáticos serán incluidos en el año 2024. </w:t>
      </w:r>
    </w:p>
    <w:p>
      <w:pPr>
        <w:pStyle w:val="Paragraph"/>
        <w:numPr>
          <w:ilvl w:val="1"/>
          <w:numId w:val="3"/>
        </w:numPr>
        <w:ind w:left="540" w:hanging="540"/>
        <w:outlineLvl w:val="9"/>
        <w:rPr>
          <w:rFonts w:ascii="Arial" w:hAnsi="Arial" w:cs="Arial"/>
          <w:sz w:val="22"/>
          <w:szCs w:val="22"/>
          <w:lang w:val="es-ES_tradnl"/>
        </w:rPr>
      </w:pPr>
      <w:r>
        <w:rPr>
          <w:rFonts w:ascii="Arial" w:hAnsi="Arial" w:cs="Arial"/>
          <w:sz w:val="22"/>
          <w:szCs w:val="22"/>
          <w:lang w:val="es-ES_tradnl"/>
        </w:rPr>
        <w:t>El Cuadro 6 presenta la distribución de los costos financieros y económicos del proyecto.</w:t>
      </w:r>
    </w:p>
    <w:p>
      <w:pPr>
        <w:pStyle w:val="Paragraph"/>
        <w:numPr>
          <w:ilvl w:val="0"/>
          <w:numId w:val="0"/>
        </w:numPr>
        <w:ind w:left="1296" w:hanging="1296"/>
        <w:outlineLvl w:val="9"/>
        <w:rPr>
          <w:rFonts w:ascii="Arial" w:hAnsi="Arial" w:cs="Arial"/>
          <w:sz w:val="22"/>
          <w:szCs w:val="22"/>
          <w:lang w:val="es-ES_tradnl"/>
        </w:rPr>
      </w:pPr>
    </w:p>
    <w:tbl>
      <w:tblPr>
        <w:tblW w:w="10075" w:type="dxa"/>
        <w:tblLayout w:type="fixed"/>
        <w:tblLook w:val="04A0" w:firstRow="1" w:lastRow="0" w:firstColumn="1" w:lastColumn="0" w:noHBand="0" w:noVBand="1"/>
      </w:tblPr>
      <w:tblGrid>
        <w:gridCol w:w="1139"/>
        <w:gridCol w:w="1196"/>
        <w:gridCol w:w="1170"/>
        <w:gridCol w:w="1260"/>
        <w:gridCol w:w="1260"/>
        <w:gridCol w:w="1260"/>
        <w:gridCol w:w="1530"/>
        <w:gridCol w:w="1260"/>
      </w:tblGrid>
      <w:tr>
        <w:trPr>
          <w:trHeight w:val="290"/>
        </w:trPr>
        <w:tc>
          <w:tcPr>
            <w:tcW w:w="10075"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Cuadro 6 - Costos del proyecto</w:t>
            </w:r>
          </w:p>
        </w:tc>
      </w:tr>
      <w:tr>
        <w:trPr>
          <w:trHeight w:val="245"/>
        </w:trPr>
        <w:tc>
          <w:tcPr>
            <w:tcW w:w="1139" w:type="dxa"/>
            <w:tcBorders>
              <w:top w:val="nil"/>
              <w:left w:val="single" w:sz="4" w:space="0" w:color="auto"/>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Categoría</w:t>
            </w:r>
          </w:p>
        </w:tc>
        <w:tc>
          <w:tcPr>
            <w:tcW w:w="1196"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2018</w:t>
            </w:r>
          </w:p>
        </w:tc>
        <w:tc>
          <w:tcPr>
            <w:tcW w:w="1170"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2019</w:t>
            </w:r>
          </w:p>
        </w:tc>
        <w:tc>
          <w:tcPr>
            <w:tcW w:w="1260"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2020</w:t>
            </w:r>
          </w:p>
        </w:tc>
        <w:tc>
          <w:tcPr>
            <w:tcW w:w="1260"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2021</w:t>
            </w:r>
          </w:p>
        </w:tc>
        <w:tc>
          <w:tcPr>
            <w:tcW w:w="1260"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2022</w:t>
            </w:r>
          </w:p>
        </w:tc>
        <w:tc>
          <w:tcPr>
            <w:tcW w:w="1530"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2023</w:t>
            </w:r>
          </w:p>
        </w:tc>
        <w:tc>
          <w:tcPr>
            <w:tcW w:w="1260" w:type="dxa"/>
            <w:tcBorders>
              <w:top w:val="nil"/>
              <w:left w:val="nil"/>
              <w:bottom w:val="single" w:sz="4" w:space="0" w:color="auto"/>
              <w:right w:val="single" w:sz="4" w:space="0" w:color="auto"/>
            </w:tcBorders>
            <w:shd w:val="clear" w:color="000000" w:fill="C0C0C0"/>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Total</w:t>
            </w:r>
          </w:p>
        </w:tc>
      </w:tr>
      <w:tr>
        <w:trPr>
          <w:trHeight w:val="245"/>
        </w:trPr>
        <w:tc>
          <w:tcPr>
            <w:tcW w:w="1139"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Costo de inversión </w:t>
            </w:r>
          </w:p>
        </w:tc>
        <w:tc>
          <w:tcPr>
            <w:tcW w:w="1196"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3,687,500</w:t>
            </w:r>
          </w:p>
        </w:tc>
        <w:tc>
          <w:tcPr>
            <w:tcW w:w="1170"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7,375,000</w:t>
            </w:r>
          </w:p>
        </w:tc>
        <w:tc>
          <w:tcPr>
            <w:tcW w:w="1260"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14,750,000</w:t>
            </w:r>
          </w:p>
        </w:tc>
        <w:tc>
          <w:tcPr>
            <w:tcW w:w="1260"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18,437,500</w:t>
            </w:r>
          </w:p>
        </w:tc>
        <w:tc>
          <w:tcPr>
            <w:tcW w:w="1260"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18,437,500</w:t>
            </w:r>
          </w:p>
        </w:tc>
        <w:tc>
          <w:tcPr>
            <w:tcW w:w="1530"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hAnsi="Arial" w:cs="Arial"/>
                <w:color w:val="000000"/>
                <w:sz w:val="20"/>
                <w:szCs w:val="20"/>
              </w:rPr>
            </w:pPr>
            <w:r>
              <w:rPr>
                <w:rFonts w:ascii="Arial" w:hAnsi="Arial" w:cs="Arial"/>
                <w:color w:val="000000"/>
                <w:sz w:val="20"/>
                <w:szCs w:val="20"/>
              </w:rPr>
              <w:t>11,062,</w:t>
            </w:r>
            <w:r>
              <w:rPr>
                <w:rFonts w:ascii="Arial" w:eastAsia="Times New Roman" w:hAnsi="Arial" w:cs="Arial"/>
                <w:color w:val="000000"/>
                <w:sz w:val="20"/>
                <w:szCs w:val="20"/>
              </w:rPr>
              <w:t>500</w:t>
            </w:r>
          </w:p>
        </w:tc>
        <w:tc>
          <w:tcPr>
            <w:tcW w:w="1260" w:type="dxa"/>
            <w:tcBorders>
              <w:top w:val="nil"/>
              <w:left w:val="nil"/>
              <w:bottom w:val="single" w:sz="4" w:space="0" w:color="auto"/>
              <w:right w:val="single" w:sz="4" w:space="0" w:color="auto"/>
            </w:tcBorders>
            <w:shd w:val="clear" w:color="000000" w:fill="BFBFBF"/>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73,750,000</w:t>
            </w:r>
          </w:p>
        </w:tc>
      </w:tr>
      <w:tr>
        <w:trPr>
          <w:trHeight w:val="245"/>
        </w:trPr>
        <w:tc>
          <w:tcPr>
            <w:tcW w:w="1139" w:type="dxa"/>
            <w:tcBorders>
              <w:top w:val="nil"/>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Costo de inversión social</w:t>
            </w:r>
          </w:p>
        </w:tc>
        <w:tc>
          <w:tcPr>
            <w:tcW w:w="1196"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3,246,059</w:t>
            </w:r>
          </w:p>
        </w:tc>
        <w:tc>
          <w:tcPr>
            <w:tcW w:w="1170"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6,492,117</w:t>
            </w:r>
          </w:p>
        </w:tc>
        <w:tc>
          <w:tcPr>
            <w:tcW w:w="1260"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12,984,234</w:t>
            </w:r>
          </w:p>
        </w:tc>
        <w:tc>
          <w:tcPr>
            <w:tcW w:w="1260"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16,230,293</w:t>
            </w:r>
          </w:p>
        </w:tc>
        <w:tc>
          <w:tcPr>
            <w:tcW w:w="1260"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16,230,293</w:t>
            </w:r>
          </w:p>
        </w:tc>
        <w:tc>
          <w:tcPr>
            <w:tcW w:w="1530"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9,738,176</w:t>
            </w:r>
          </w:p>
        </w:tc>
        <w:tc>
          <w:tcPr>
            <w:tcW w:w="1260" w:type="dxa"/>
            <w:tcBorders>
              <w:top w:val="nil"/>
              <w:left w:val="nil"/>
              <w:bottom w:val="single" w:sz="4" w:space="0" w:color="auto"/>
              <w:right w:val="single" w:sz="4" w:space="0" w:color="auto"/>
            </w:tcBorders>
            <w:shd w:val="clear" w:color="000000" w:fill="BFBFBF"/>
            <w:vAlign w:val="center"/>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64,921,171</w:t>
            </w:r>
          </w:p>
        </w:tc>
      </w:tr>
      <w:tr>
        <w:trPr>
          <w:trHeight w:val="245"/>
        </w:trPr>
        <w:tc>
          <w:tcPr>
            <w:tcW w:w="1139" w:type="dxa"/>
            <w:tcBorders>
              <w:top w:val="nil"/>
              <w:left w:val="single" w:sz="4" w:space="0" w:color="auto"/>
              <w:bottom w:val="single" w:sz="4" w:space="0" w:color="auto"/>
              <w:right w:val="single" w:sz="4" w:space="0" w:color="auto"/>
            </w:tcBorders>
            <w:shd w:val="clear" w:color="000000" w:fill="A6A6A6"/>
            <w:vAlign w:val="bottom"/>
            <w:hideMark/>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1196" w:type="dxa"/>
            <w:tcBorders>
              <w:top w:val="nil"/>
              <w:left w:val="nil"/>
              <w:bottom w:val="single" w:sz="4" w:space="0" w:color="auto"/>
              <w:right w:val="single" w:sz="4" w:space="0" w:color="auto"/>
            </w:tcBorders>
            <w:shd w:val="clear" w:color="000000" w:fill="BFBFBF"/>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w:t>
            </w:r>
          </w:p>
        </w:tc>
        <w:tc>
          <w:tcPr>
            <w:tcW w:w="1170" w:type="dxa"/>
            <w:tcBorders>
              <w:top w:val="nil"/>
              <w:left w:val="nil"/>
              <w:bottom w:val="single" w:sz="4" w:space="0" w:color="auto"/>
              <w:right w:val="single" w:sz="4" w:space="0" w:color="auto"/>
            </w:tcBorders>
            <w:shd w:val="clear" w:color="000000" w:fill="BFBFBF"/>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10</w:t>
            </w:r>
          </w:p>
        </w:tc>
        <w:tc>
          <w:tcPr>
            <w:tcW w:w="1260" w:type="dxa"/>
            <w:tcBorders>
              <w:top w:val="nil"/>
              <w:left w:val="nil"/>
              <w:bottom w:val="single" w:sz="4" w:space="0" w:color="auto"/>
              <w:right w:val="single" w:sz="4" w:space="0" w:color="auto"/>
            </w:tcBorders>
            <w:shd w:val="clear" w:color="000000" w:fill="BFBFBF"/>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w:t>
            </w:r>
          </w:p>
        </w:tc>
        <w:tc>
          <w:tcPr>
            <w:tcW w:w="1260" w:type="dxa"/>
            <w:tcBorders>
              <w:top w:val="nil"/>
              <w:left w:val="nil"/>
              <w:bottom w:val="single" w:sz="4" w:space="0" w:color="auto"/>
              <w:right w:val="single" w:sz="4" w:space="0" w:color="auto"/>
            </w:tcBorders>
            <w:shd w:val="clear" w:color="000000" w:fill="BFBFBF"/>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25</w:t>
            </w:r>
          </w:p>
        </w:tc>
        <w:tc>
          <w:tcPr>
            <w:tcW w:w="1260" w:type="dxa"/>
            <w:tcBorders>
              <w:top w:val="nil"/>
              <w:left w:val="nil"/>
              <w:bottom w:val="single" w:sz="4" w:space="0" w:color="auto"/>
              <w:right w:val="single" w:sz="4" w:space="0" w:color="auto"/>
            </w:tcBorders>
            <w:shd w:val="clear" w:color="000000" w:fill="BFBFBF"/>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25</w:t>
            </w:r>
          </w:p>
        </w:tc>
        <w:tc>
          <w:tcPr>
            <w:tcW w:w="1530" w:type="dxa"/>
            <w:tcBorders>
              <w:top w:val="nil"/>
              <w:left w:val="nil"/>
              <w:bottom w:val="single" w:sz="4" w:space="0" w:color="auto"/>
              <w:right w:val="single" w:sz="4" w:space="0" w:color="auto"/>
            </w:tcBorders>
            <w:shd w:val="clear" w:color="000000" w:fill="BFBFBF"/>
            <w:vAlign w:val="bottom"/>
            <w:hideMark/>
          </w:tcPr>
          <w:p>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15</w:t>
            </w:r>
          </w:p>
        </w:tc>
        <w:tc>
          <w:tcPr>
            <w:tcW w:w="1260" w:type="dxa"/>
            <w:tcBorders>
              <w:top w:val="nil"/>
              <w:left w:val="nil"/>
              <w:bottom w:val="single" w:sz="4" w:space="0" w:color="auto"/>
              <w:right w:val="single" w:sz="4" w:space="0" w:color="auto"/>
            </w:tcBorders>
            <w:shd w:val="clear" w:color="000000" w:fill="A6A6A6"/>
            <w:vAlign w:val="bottom"/>
            <w:hideMark/>
          </w:tcPr>
          <w:p>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r>
    </w:tbl>
    <w:p>
      <w:pPr>
        <w:pStyle w:val="Paragraph"/>
        <w:numPr>
          <w:ilvl w:val="0"/>
          <w:numId w:val="0"/>
        </w:numPr>
        <w:ind w:left="1296" w:hanging="1296"/>
        <w:outlineLvl w:val="9"/>
        <w:rPr>
          <w:rFonts w:ascii="Arial" w:hAnsi="Arial" w:cs="Arial"/>
          <w:sz w:val="20"/>
          <w:szCs w:val="20"/>
          <w:lang w:val="es-ES_tradnl"/>
        </w:rPr>
      </w:pPr>
    </w:p>
    <w:p>
      <w:pPr>
        <w:pStyle w:val="Paragraph"/>
        <w:numPr>
          <w:ilvl w:val="0"/>
          <w:numId w:val="0"/>
        </w:numPr>
        <w:ind w:left="-446"/>
        <w:outlineLvl w:val="9"/>
        <w:rPr>
          <w:rFonts w:ascii="Arial" w:hAnsi="Arial" w:cs="Arial"/>
          <w:spacing w:val="-2"/>
          <w:sz w:val="22"/>
          <w:szCs w:val="22"/>
          <w:lang w:val="es-ES_tradnl"/>
        </w:rPr>
      </w:pPr>
    </w:p>
    <w:p>
      <w:pPr>
        <w:rPr>
          <w:rFonts w:ascii="Arial" w:hAnsi="Arial" w:cs="Arial"/>
          <w:lang w:val="es-ES_tradnl"/>
        </w:rPr>
      </w:pPr>
    </w:p>
    <w:p>
      <w:pPr>
        <w:jc w:val="center"/>
        <w:rPr>
          <w:rFonts w:ascii="Arial" w:hAnsi="Arial" w:cs="Arial"/>
          <w:b/>
          <w:lang w:val="es-ES_tradnl"/>
        </w:rPr>
      </w:pPr>
    </w:p>
    <w:sectPr>
      <w:pgSz w:w="11906" w:h="16838"/>
      <w:pgMar w:top="994" w:right="1440" w:bottom="1166"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70" w:hanging="270"/>
        <w:contextualSpacing/>
        <w:jc w:val="both"/>
        <w:rPr>
          <w:rFonts w:ascii="Arial" w:hAnsi="Arial" w:cs="Arial"/>
          <w:sz w:val="18"/>
          <w:szCs w:val="18"/>
          <w:lang w:val="es-ES"/>
        </w:rPr>
      </w:pPr>
      <w:r>
        <w:rPr>
          <w:rStyle w:val="FootnoteReference"/>
          <w:rFonts w:ascii="Arial" w:hAnsi="Arial" w:cs="Arial"/>
        </w:rPr>
        <w:footnoteRef/>
      </w:r>
      <w:r>
        <w:rPr>
          <w:rFonts w:ascii="Arial" w:hAnsi="Arial" w:cs="Arial"/>
          <w:lang w:val="es-ES_tradnl"/>
        </w:rPr>
        <w:t xml:space="preserve"> </w:t>
      </w:r>
      <w:r>
        <w:rPr>
          <w:rFonts w:ascii="Arial" w:hAnsi="Arial" w:cs="Arial"/>
          <w:lang w:val="es-ES_tradnl"/>
        </w:rPr>
        <w:tab/>
      </w:r>
      <w:r>
        <w:rPr>
          <w:rFonts w:ascii="Arial" w:hAnsi="Arial" w:cs="Arial"/>
          <w:sz w:val="18"/>
          <w:szCs w:val="18"/>
          <w:lang w:val="es-ES"/>
        </w:rPr>
        <w:t>La media de retraso es de aproximadamente 2 años (Fuente: MEF).</w:t>
      </w:r>
    </w:p>
  </w:footnote>
  <w:footnote w:id="2">
    <w:p>
      <w:pPr>
        <w:pStyle w:val="FootnoteText"/>
        <w:ind w:left="270" w:hanging="270"/>
        <w:contextualSpacing/>
        <w:jc w:val="both"/>
        <w:rPr>
          <w:rFonts w:ascii="Arial" w:hAnsi="Arial" w:cs="Arial"/>
          <w:sz w:val="18"/>
          <w:szCs w:val="18"/>
          <w:lang w:val="es-ES_tradnl"/>
        </w:rPr>
      </w:pPr>
      <w:r>
        <w:rPr>
          <w:rStyle w:val="FootnoteReference"/>
          <w:rFonts w:ascii="Arial" w:hAnsi="Arial" w:cs="Arial"/>
          <w:sz w:val="18"/>
          <w:szCs w:val="18"/>
        </w:rPr>
        <w:footnoteRef/>
      </w:r>
      <w:r>
        <w:rPr>
          <w:rFonts w:ascii="Arial" w:hAnsi="Arial" w:cs="Arial"/>
          <w:sz w:val="18"/>
          <w:szCs w:val="18"/>
          <w:lang w:val="es-ES_tradnl"/>
        </w:rPr>
        <w:t xml:space="preserve"> </w:t>
      </w:r>
      <w:r>
        <w:rPr>
          <w:rFonts w:ascii="Arial" w:hAnsi="Arial" w:cs="Arial"/>
          <w:sz w:val="18"/>
          <w:szCs w:val="18"/>
          <w:lang w:val="es-ES_tradnl"/>
        </w:rPr>
        <w:tab/>
        <w:t>Período 2006-2015.</w:t>
      </w:r>
    </w:p>
  </w:footnote>
  <w:footnote w:id="3">
    <w:p>
      <w:pPr>
        <w:pStyle w:val="FootnoteText"/>
        <w:ind w:left="270" w:hanging="270"/>
        <w:contextualSpacing/>
        <w:jc w:val="both"/>
        <w:rPr>
          <w:rFonts w:ascii="Arial" w:hAnsi="Arial" w:cs="Arial"/>
          <w:sz w:val="18"/>
          <w:szCs w:val="18"/>
          <w:lang w:val="es-ES"/>
        </w:rPr>
      </w:pPr>
      <w:r>
        <w:rPr>
          <w:rStyle w:val="FootnoteReference"/>
          <w:rFonts w:ascii="Arial" w:hAnsi="Arial" w:cs="Arial"/>
          <w:sz w:val="18"/>
          <w:szCs w:val="18"/>
        </w:rPr>
        <w:footnoteRef/>
      </w:r>
      <w:r>
        <w:rPr>
          <w:rFonts w:ascii="Arial" w:hAnsi="Arial" w:cs="Arial"/>
          <w:sz w:val="18"/>
          <w:szCs w:val="18"/>
          <w:lang w:val="es-ES"/>
        </w:rPr>
        <w:t xml:space="preserve"> </w:t>
      </w:r>
      <w:r>
        <w:rPr>
          <w:rFonts w:ascii="Arial" w:hAnsi="Arial" w:cs="Arial"/>
          <w:sz w:val="18"/>
          <w:szCs w:val="18"/>
          <w:lang w:val="es-ES"/>
        </w:rPr>
        <w:tab/>
        <w:t>Banco Central de Reserva del Perú (BCRP). Cuadros anuales históricos. Disponibles en: http://www. bcrp.gob.pe/estadísticas/cuadros-anuales-historicos.html</w:t>
      </w:r>
    </w:p>
  </w:footnote>
  <w:footnote w:id="4">
    <w:p>
      <w:pPr>
        <w:pStyle w:val="FootnoteText"/>
        <w:ind w:left="270" w:hanging="270"/>
        <w:contextualSpacing/>
        <w:jc w:val="both"/>
        <w:rPr>
          <w:rFonts w:ascii="Arial" w:hAnsi="Arial" w:cs="Arial"/>
          <w:sz w:val="18"/>
          <w:szCs w:val="18"/>
          <w:lang w:val="es-ES"/>
        </w:rPr>
      </w:pPr>
      <w:r>
        <w:rPr>
          <w:rStyle w:val="FootnoteReference"/>
          <w:rFonts w:ascii="Arial" w:hAnsi="Arial" w:cs="Arial"/>
          <w:sz w:val="18"/>
          <w:szCs w:val="18"/>
        </w:rPr>
        <w:footnoteRef/>
      </w:r>
      <w:r>
        <w:rPr>
          <w:rFonts w:ascii="Arial" w:hAnsi="Arial" w:cs="Arial"/>
          <w:sz w:val="18"/>
          <w:szCs w:val="18"/>
          <w:lang w:val="es-ES"/>
        </w:rPr>
        <w:t xml:space="preserve"> </w:t>
      </w:r>
      <w:r>
        <w:rPr>
          <w:rFonts w:ascii="Arial" w:hAnsi="Arial" w:cs="Arial"/>
          <w:sz w:val="18"/>
          <w:szCs w:val="18"/>
          <w:lang w:val="es-ES"/>
        </w:rPr>
        <w:tab/>
        <w:t xml:space="preserve">Comisión Económica para América Latina y el Caribe (CEPAL). Crecimiento anual (variación porcentual). Disponible en: http://estadisticas.cepal.org/cepalstat/WEB_CEPALSTAT/estadisticasIndicadores.asp?idioma=e </w:t>
      </w:r>
    </w:p>
  </w:footnote>
  <w:footnote w:id="5">
    <w:p>
      <w:pPr>
        <w:pStyle w:val="FootnoteText"/>
        <w:ind w:left="270" w:hanging="270"/>
        <w:contextualSpacing/>
        <w:jc w:val="both"/>
        <w:rPr>
          <w:rFonts w:ascii="Arial" w:hAnsi="Arial" w:cs="Arial"/>
          <w:sz w:val="18"/>
          <w:szCs w:val="18"/>
          <w:lang w:val="es-ES_tradnl"/>
        </w:rPr>
      </w:pPr>
      <w:r>
        <w:rPr>
          <w:rStyle w:val="FootnoteReference"/>
          <w:rFonts w:ascii="Arial" w:hAnsi="Arial" w:cs="Arial"/>
          <w:sz w:val="18"/>
          <w:szCs w:val="18"/>
        </w:rPr>
        <w:footnoteRef/>
      </w:r>
      <w:r>
        <w:rPr>
          <w:rFonts w:ascii="Arial" w:hAnsi="Arial" w:cs="Arial"/>
          <w:sz w:val="18"/>
          <w:szCs w:val="18"/>
          <w:lang w:val="es-ES_tradnl"/>
        </w:rPr>
        <w:t xml:space="preserve"> </w:t>
      </w:r>
      <w:r>
        <w:rPr>
          <w:rFonts w:ascii="Arial" w:hAnsi="Arial" w:cs="Arial"/>
          <w:sz w:val="18"/>
          <w:szCs w:val="18"/>
          <w:lang w:val="es-ES_tradnl"/>
        </w:rPr>
        <w:tab/>
        <w:t>El Producto Interno Bruto (PIB) per cápita real creció 75% entre los años 2000 (US$2.527) y 2016 (US$4.418).</w:t>
      </w:r>
    </w:p>
  </w:footnote>
  <w:footnote w:id="6">
    <w:p>
      <w:pPr>
        <w:pStyle w:val="FootnoteText"/>
        <w:ind w:left="270" w:hanging="270"/>
        <w:contextualSpacing/>
        <w:jc w:val="both"/>
        <w:rPr>
          <w:rFonts w:ascii="Arial" w:hAnsi="Arial" w:cs="Arial"/>
          <w:sz w:val="18"/>
          <w:szCs w:val="18"/>
          <w:lang w:val="es-ES"/>
        </w:rPr>
      </w:pPr>
      <w:r>
        <w:rPr>
          <w:rStyle w:val="FootnoteReference"/>
          <w:rFonts w:ascii="Arial" w:hAnsi="Arial" w:cs="Arial"/>
          <w:sz w:val="18"/>
          <w:szCs w:val="18"/>
        </w:rPr>
        <w:footnoteRef/>
      </w:r>
      <w:r>
        <w:rPr>
          <w:rFonts w:ascii="Arial" w:hAnsi="Arial" w:cs="Arial"/>
          <w:sz w:val="18"/>
          <w:szCs w:val="18"/>
          <w:lang w:val="es-ES"/>
        </w:rPr>
        <w:t xml:space="preserve"> </w:t>
      </w:r>
      <w:r>
        <w:rPr>
          <w:rFonts w:ascii="Arial" w:hAnsi="Arial" w:cs="Arial"/>
          <w:sz w:val="18"/>
          <w:szCs w:val="18"/>
          <w:lang w:val="es-ES"/>
        </w:rPr>
        <w:tab/>
        <w:t>Presidencia del Consejo de Ministros (PCM) y Ministerio de Economía y Finanzas (MEF). Informe Pre Electoral, Administración 2011-2016. 2016.</w:t>
      </w:r>
    </w:p>
  </w:footnote>
  <w:footnote w:id="7">
    <w:p>
      <w:pPr>
        <w:pStyle w:val="FootnoteText"/>
        <w:ind w:left="270" w:hanging="270"/>
        <w:contextualSpacing/>
        <w:jc w:val="both"/>
        <w:rPr>
          <w:rFonts w:ascii="Arial" w:hAnsi="Arial" w:cs="Arial"/>
          <w:sz w:val="18"/>
          <w:szCs w:val="18"/>
          <w:lang w:val="es-ES"/>
        </w:rPr>
      </w:pPr>
      <w:r>
        <w:rPr>
          <w:rStyle w:val="FootnoteReference"/>
          <w:rFonts w:ascii="Arial" w:hAnsi="Arial" w:cs="Arial"/>
          <w:sz w:val="18"/>
          <w:szCs w:val="18"/>
        </w:rPr>
        <w:footnoteRef/>
      </w:r>
      <w:r>
        <w:rPr>
          <w:rFonts w:ascii="Arial" w:hAnsi="Arial" w:cs="Arial"/>
          <w:sz w:val="18"/>
          <w:szCs w:val="18"/>
          <w:lang w:val="es-ES"/>
        </w:rPr>
        <w:t xml:space="preserve">   </w:t>
      </w:r>
      <w:r>
        <w:rPr>
          <w:rFonts w:ascii="Arial" w:hAnsi="Arial" w:cs="Arial"/>
          <w:sz w:val="18"/>
          <w:szCs w:val="18"/>
          <w:lang w:val="es-ES"/>
        </w:rPr>
        <w:tab/>
        <w:t>Artículo IV Perú – Junio 2017 – Fondo Monetario Internacional (FMI).</w:t>
      </w:r>
    </w:p>
  </w:footnote>
  <w:footnote w:id="8">
    <w:p>
      <w:pPr>
        <w:pStyle w:val="FootnoteText"/>
        <w:ind w:left="270" w:hanging="270"/>
        <w:contextualSpacing/>
        <w:jc w:val="both"/>
        <w:rPr>
          <w:rFonts w:ascii="Arial" w:hAnsi="Arial" w:cs="Arial"/>
          <w:sz w:val="18"/>
          <w:szCs w:val="18"/>
          <w:lang w:val="es-ES_tradnl"/>
        </w:rPr>
      </w:pPr>
      <w:r>
        <w:rPr>
          <w:rStyle w:val="FootnoteReference"/>
          <w:rFonts w:ascii="Arial" w:hAnsi="Arial" w:cs="Arial"/>
          <w:sz w:val="18"/>
          <w:szCs w:val="18"/>
        </w:rPr>
        <w:footnoteRef/>
      </w:r>
      <w:r>
        <w:rPr>
          <w:rFonts w:ascii="Arial" w:hAnsi="Arial" w:cs="Arial"/>
          <w:sz w:val="18"/>
          <w:szCs w:val="18"/>
          <w:lang w:val="es-ES_tradnl"/>
        </w:rPr>
        <w:t xml:space="preserve"> </w:t>
      </w:r>
      <w:r>
        <w:rPr>
          <w:rFonts w:ascii="Arial" w:hAnsi="Arial" w:cs="Arial"/>
          <w:sz w:val="18"/>
          <w:szCs w:val="18"/>
          <w:lang w:val="es-ES"/>
        </w:rPr>
        <w:tab/>
        <w:t>A pesar de que la inversión pública en Perú se ubica por encima del promedio de la Organización para la Cooperación y el Desarrollo Económicos (OCDE) (3.5% del PIB), los montos invertidos son similares a los observados en los países de la Asociación de Naciones del Sudeste Asiático (ASEAN, por sus siglas en inglés) y se encuentran por debajo del promedio de África (8% del PIB).</w:t>
      </w:r>
      <w:r>
        <w:rPr>
          <w:rFonts w:ascii="Arial" w:hAnsi="Arial" w:cs="Arial"/>
          <w:sz w:val="18"/>
          <w:szCs w:val="18"/>
          <w:lang w:val="es-ES_tradnl"/>
        </w:rPr>
        <w:t xml:space="preserve"> </w:t>
      </w:r>
    </w:p>
  </w:footnote>
  <w:footnote w:id="9">
    <w:p>
      <w:pPr>
        <w:pStyle w:val="FootnoteText"/>
        <w:ind w:left="270" w:hanging="270"/>
        <w:contextualSpacing/>
        <w:jc w:val="both"/>
        <w:rPr>
          <w:rFonts w:ascii="Arial" w:hAnsi="Arial" w:cs="Arial"/>
          <w:sz w:val="18"/>
          <w:szCs w:val="18"/>
          <w:lang w:val="es-ES"/>
        </w:rPr>
      </w:pPr>
      <w:r>
        <w:rPr>
          <w:rStyle w:val="FootnoteReference"/>
          <w:rFonts w:ascii="Arial" w:hAnsi="Arial" w:cs="Arial"/>
          <w:sz w:val="18"/>
          <w:szCs w:val="18"/>
        </w:rPr>
        <w:footnoteRef/>
      </w:r>
      <w:r>
        <w:rPr>
          <w:rFonts w:ascii="Arial" w:hAnsi="Arial" w:cs="Arial"/>
          <w:sz w:val="18"/>
          <w:szCs w:val="18"/>
          <w:lang w:val="es-ES"/>
        </w:rPr>
        <w:t xml:space="preserve"> </w:t>
      </w:r>
      <w:r>
        <w:rPr>
          <w:rFonts w:ascii="Arial" w:hAnsi="Arial" w:cs="Arial"/>
          <w:sz w:val="18"/>
          <w:szCs w:val="18"/>
          <w:lang w:val="es-ES"/>
        </w:rPr>
        <w:tab/>
        <w:t>Creado en el año 2000 y vigente hasta noviembre de 2016. Este sistema tenía como rector a la Dirección General de Inversión Pública (DGIP) y órganos desconcentrados en gobiernos regionales, locales y ministerios de línea. Son más de 6.500 entidades: 834 a nivel de gobierno nacional, 541 regionales, 5.046 locales y 99 en empresas públicas.</w:t>
      </w:r>
    </w:p>
  </w:footnote>
  <w:footnote w:id="10">
    <w:p>
      <w:pPr>
        <w:pStyle w:val="FootnoteText"/>
        <w:ind w:left="270" w:hanging="270"/>
        <w:contextualSpacing/>
        <w:jc w:val="both"/>
        <w:rPr>
          <w:rFonts w:ascii="Arial" w:hAnsi="Arial" w:cs="Arial"/>
          <w:lang w:val="es-ES_tradnl"/>
        </w:rPr>
      </w:pPr>
      <w:r>
        <w:rPr>
          <w:rStyle w:val="FootnoteReference"/>
          <w:rFonts w:ascii="Arial" w:hAnsi="Arial" w:cs="Arial"/>
          <w:sz w:val="18"/>
          <w:szCs w:val="18"/>
        </w:rPr>
        <w:footnoteRef/>
      </w:r>
      <w:r>
        <w:rPr>
          <w:rFonts w:ascii="Arial" w:hAnsi="Arial" w:cs="Arial"/>
          <w:sz w:val="18"/>
          <w:szCs w:val="18"/>
          <w:lang w:val="es-ES_tradnl"/>
        </w:rPr>
        <w:t xml:space="preserve"> </w:t>
      </w:r>
      <w:r>
        <w:rPr>
          <w:rFonts w:ascii="Arial" w:hAnsi="Arial" w:cs="Arial"/>
          <w:sz w:val="18"/>
          <w:szCs w:val="18"/>
          <w:lang w:val="es-ES_tradnl"/>
        </w:rPr>
        <w:tab/>
      </w:r>
      <w:r>
        <w:rPr>
          <w:rFonts w:ascii="Arial" w:hAnsi="Arial" w:cs="Arial"/>
          <w:sz w:val="18"/>
          <w:szCs w:val="18"/>
          <w:lang w:val="es-ES"/>
        </w:rPr>
        <w:t>Como se verá más adelante, el tiempo hasta la declaración de la viabilidad puede tomar hasta dos años y el monto viable promedio fluctúa entre US$ 0.4 millones (para gobiernos locales) y US$ 1.84 millones (para gobiernos regionales).</w:t>
      </w:r>
    </w:p>
  </w:footnote>
  <w:footnote w:id="11">
    <w:p>
      <w:pPr>
        <w:pStyle w:val="FootnoteText"/>
        <w:ind w:left="270" w:hanging="270"/>
        <w:contextualSpacing/>
        <w:jc w:val="both"/>
        <w:rPr>
          <w:rFonts w:ascii="Arial" w:hAnsi="Arial" w:cs="Arial"/>
          <w:sz w:val="18"/>
          <w:szCs w:val="18"/>
          <w:lang w:val="es-ES_tradnl"/>
        </w:rPr>
      </w:pPr>
      <w:r>
        <w:rPr>
          <w:rStyle w:val="FootnoteReference"/>
          <w:rFonts w:ascii="Arial" w:hAnsi="Arial" w:cs="Arial"/>
          <w:sz w:val="18"/>
          <w:szCs w:val="18"/>
        </w:rPr>
        <w:footnoteRef/>
      </w:r>
      <w:r>
        <w:rPr>
          <w:rFonts w:ascii="Arial" w:hAnsi="Arial" w:cs="Arial"/>
          <w:sz w:val="18"/>
          <w:szCs w:val="18"/>
          <w:lang w:val="es-ES_tradnl"/>
        </w:rPr>
        <w:t xml:space="preserve"> Marco Macroeconómico Multianual (MMM) Revisado 2017-2019 (MEF, 2016).</w:t>
      </w:r>
    </w:p>
  </w:footnote>
  <w:footnote w:id="12">
    <w:p>
      <w:pPr>
        <w:pStyle w:val="FootnoteText"/>
        <w:contextualSpacing/>
        <w:jc w:val="both"/>
        <w:rPr>
          <w:rFonts w:ascii="Arial" w:hAnsi="Arial" w:cs="Arial"/>
          <w:sz w:val="18"/>
          <w:szCs w:val="18"/>
          <w:lang w:val="es-ES_tradnl"/>
        </w:rPr>
      </w:pPr>
      <w:r>
        <w:rPr>
          <w:rStyle w:val="FootnoteReference"/>
          <w:rFonts w:ascii="Arial" w:hAnsi="Arial" w:cs="Arial"/>
          <w:sz w:val="18"/>
          <w:szCs w:val="18"/>
        </w:rPr>
        <w:footnoteRef/>
      </w:r>
      <w:r>
        <w:rPr>
          <w:rFonts w:ascii="Arial" w:hAnsi="Arial" w:cs="Arial"/>
          <w:sz w:val="18"/>
          <w:szCs w:val="18"/>
          <w:lang w:val="es-ES_tradnl"/>
        </w:rPr>
        <w:t xml:space="preserve"> Universidad del </w:t>
      </w:r>
      <w:r>
        <w:rPr>
          <w:rFonts w:ascii="Arial" w:hAnsi="Arial" w:cs="Arial"/>
          <w:sz w:val="18"/>
          <w:szCs w:val="18"/>
          <w:lang w:val="es-ES"/>
        </w:rPr>
        <w:t>Pacífico</w:t>
      </w:r>
      <w:r>
        <w:rPr>
          <w:rFonts w:ascii="Arial" w:hAnsi="Arial" w:cs="Arial"/>
          <w:sz w:val="18"/>
          <w:szCs w:val="18"/>
          <w:lang w:val="es-ES_tradnl"/>
        </w:rPr>
        <w:t>. 2010. “Balance de la Inversión Pública: Avances y Desafíos para Consolidar la Competitividad y el Bienestar de la Población”. Lima, Perú.</w:t>
      </w:r>
    </w:p>
  </w:footnote>
  <w:footnote w:id="13">
    <w:p>
      <w:pPr>
        <w:pStyle w:val="FootnoteText"/>
        <w:rPr>
          <w:rFonts w:ascii="Arial" w:hAnsi="Arial" w:cs="Arial"/>
          <w:sz w:val="18"/>
          <w:szCs w:val="18"/>
          <w:lang w:val="es-ES_tradnl"/>
        </w:rPr>
      </w:pPr>
      <w:r>
        <w:rPr>
          <w:rStyle w:val="FootnoteReference"/>
          <w:rFonts w:ascii="Arial" w:hAnsi="Arial" w:cs="Arial"/>
          <w:sz w:val="18"/>
          <w:szCs w:val="18"/>
        </w:rPr>
        <w:footnoteRef/>
      </w:r>
      <w:r>
        <w:rPr>
          <w:rFonts w:ascii="Arial" w:hAnsi="Arial" w:cs="Arial"/>
          <w:sz w:val="18"/>
          <w:szCs w:val="18"/>
          <w:lang w:val="es-ES_tradnl"/>
        </w:rPr>
        <w:t xml:space="preserve"> Para cuantificar el grado de eficiencia (técnica) del gasto en inversión pública, se utilizó el método del Análisis Envolvente de Datos (DEA, por sus siglas en inglés) que consiste en definir la eficiencia a partir de la distancia relativa entre el desempeño actual y una frontera que recoge las combinaciones óptimas entre insumos y productos. En dicha </w:t>
      </w:r>
      <w:r>
        <w:rPr>
          <w:rFonts w:ascii="Arial" w:hAnsi="Arial" w:cs="Arial"/>
          <w:sz w:val="18"/>
          <w:szCs w:val="18"/>
          <w:lang w:val="es-PE"/>
        </w:rPr>
        <w:t>estimación</w:t>
      </w:r>
      <w:r>
        <w:rPr>
          <w:rFonts w:ascii="Arial" w:hAnsi="Arial" w:cs="Arial"/>
          <w:sz w:val="18"/>
          <w:szCs w:val="18"/>
          <w:lang w:val="es-ES_tradnl"/>
        </w:rPr>
        <w:t xml:space="preserve"> se utiliza como insumo el gasto en inversión pública (como porcentaje del PIB) y como resultado el índice de c</w:t>
      </w:r>
      <w:r>
        <w:rPr>
          <w:rFonts w:ascii="Arial" w:hAnsi="Arial" w:cs="Arial"/>
          <w:sz w:val="18"/>
          <w:szCs w:val="18"/>
          <w:lang w:val="es-ES"/>
        </w:rPr>
        <w:t xml:space="preserve">alidad de la infraestructura en general del Informe de Competitividad Global del Foro Económico Mundial. </w:t>
      </w:r>
    </w:p>
  </w:footnote>
  <w:footnote w:id="14">
    <w:p>
      <w:pPr>
        <w:pStyle w:val="FootnoteText"/>
        <w:contextualSpacing/>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Ver </w:t>
      </w:r>
      <w:r>
        <w:rPr>
          <w:rFonts w:ascii="Arial" w:hAnsi="Arial" w:cs="Arial"/>
          <w:i/>
          <w:noProof/>
          <w:sz w:val="18"/>
          <w:szCs w:val="18"/>
        </w:rPr>
        <w:t>Recommendation of the Council on Effective Public Investment Across Levels of Government</w:t>
      </w:r>
      <w:r>
        <w:rPr>
          <w:rFonts w:ascii="Arial" w:hAnsi="Arial" w:cs="Arial"/>
          <w:sz w:val="18"/>
          <w:szCs w:val="18"/>
        </w:rPr>
        <w:t xml:space="preserve"> (OCDE, 2014).</w:t>
      </w:r>
    </w:p>
  </w:footnote>
  <w:footnote w:id="15">
    <w:p>
      <w:pPr>
        <w:pStyle w:val="FootnoteText"/>
        <w:contextualSpacing/>
        <w:rPr>
          <w:rFonts w:ascii="Arial" w:hAnsi="Arial" w:cs="Arial"/>
          <w:sz w:val="18"/>
          <w:szCs w:val="18"/>
          <w:lang w:val="es-ES_tradnl"/>
        </w:rPr>
      </w:pPr>
      <w:r>
        <w:rPr>
          <w:rStyle w:val="FootnoteReference"/>
          <w:rFonts w:ascii="Arial" w:hAnsi="Arial" w:cs="Arial"/>
          <w:sz w:val="18"/>
          <w:szCs w:val="18"/>
        </w:rPr>
        <w:footnoteRef/>
      </w:r>
      <w:r>
        <w:rPr>
          <w:rFonts w:ascii="Arial" w:hAnsi="Arial" w:cs="Arial"/>
          <w:sz w:val="18"/>
          <w:szCs w:val="18"/>
          <w:lang w:val="es-ES_tradnl"/>
        </w:rPr>
        <w:t xml:space="preserve"> Alrededor de 12 aplicativos informáticos (MEF, 2017).</w:t>
      </w:r>
    </w:p>
  </w:footnote>
  <w:footnote w:id="16">
    <w:p>
      <w:pPr>
        <w:pStyle w:val="FootnoteText"/>
        <w:contextualSpacing/>
        <w:jc w:val="both"/>
        <w:rPr>
          <w:rFonts w:ascii="Arial" w:hAnsi="Arial" w:cs="Arial"/>
          <w:sz w:val="18"/>
          <w:szCs w:val="18"/>
          <w:lang w:val="es-ES_tradnl"/>
        </w:rPr>
      </w:pPr>
      <w:r>
        <w:rPr>
          <w:rStyle w:val="FootnoteReference"/>
          <w:rFonts w:ascii="Arial" w:hAnsi="Arial" w:cs="Arial"/>
          <w:sz w:val="18"/>
          <w:szCs w:val="18"/>
        </w:rPr>
        <w:footnoteRef/>
      </w:r>
      <w:r>
        <w:rPr>
          <w:rFonts w:ascii="Arial" w:hAnsi="Arial" w:cs="Arial"/>
          <w:sz w:val="18"/>
          <w:szCs w:val="18"/>
          <w:lang w:val="es-ES_tradnl"/>
        </w:rPr>
        <w:t xml:space="preserve"> Como, por ejemplo: administración financiera, compras y contrataciones, sistema de información y seguimiento de la ejecución de obras públicas a nivel nacional (INFOBRAS - Contraloría General de la República), sistemas de información geográfica (GIS), y bienes públicos. Misión de Análisis PE-L1231.</w:t>
      </w:r>
    </w:p>
  </w:footnote>
  <w:footnote w:id="17">
    <w:p>
      <w:pPr>
        <w:pStyle w:val="FootnoteText"/>
        <w:jc w:val="both"/>
        <w:rPr>
          <w:rFonts w:ascii="Arial" w:hAnsi="Arial" w:cs="Arial"/>
          <w:sz w:val="18"/>
          <w:szCs w:val="18"/>
          <w:lang w:val="es-ES_tradnl"/>
        </w:rPr>
      </w:pPr>
      <w:r>
        <w:rPr>
          <w:rStyle w:val="FootnoteReference"/>
          <w:rFonts w:ascii="Arial" w:hAnsi="Arial" w:cs="Arial"/>
          <w:sz w:val="18"/>
          <w:szCs w:val="18"/>
        </w:rPr>
        <w:footnoteRef/>
      </w:r>
      <w:r>
        <w:rPr>
          <w:rFonts w:ascii="Arial" w:hAnsi="Arial" w:cs="Arial"/>
          <w:sz w:val="18"/>
          <w:szCs w:val="18"/>
          <w:lang w:val="es-ES_tradnl"/>
        </w:rPr>
        <w:t xml:space="preserve"> El SNIP fue concebido como un sistema descentralizado, con transferencias de competencias en la formulación y otorgamiento de viabilidad en los proyectos, pero esta transferencia de competencias no fue acompañada de mayores capacidades que permitan a los organismos desconcentrados - principalmente entidades programadoras y formuladoras – identificar, programar y formular la pre-inversión con calidad.</w:t>
      </w:r>
    </w:p>
  </w:footnote>
  <w:footnote w:id="18">
    <w:p>
      <w:pPr>
        <w:pStyle w:val="FootnoteText"/>
        <w:jc w:val="both"/>
        <w:rPr>
          <w:rFonts w:ascii="Arial" w:hAnsi="Arial" w:cs="Arial"/>
          <w:sz w:val="18"/>
          <w:szCs w:val="18"/>
          <w:lang w:val="es-ES_tradnl"/>
        </w:rPr>
      </w:pPr>
      <w:r>
        <w:rPr>
          <w:rStyle w:val="FootnoteReference"/>
          <w:rFonts w:ascii="Arial" w:hAnsi="Arial" w:cs="Arial"/>
          <w:sz w:val="18"/>
          <w:szCs w:val="18"/>
        </w:rPr>
        <w:footnoteRef/>
      </w:r>
      <w:r>
        <w:rPr>
          <w:rFonts w:ascii="Arial" w:hAnsi="Arial" w:cs="Arial"/>
          <w:sz w:val="18"/>
          <w:szCs w:val="18"/>
          <w:lang w:val="es-ES_tradnl"/>
        </w:rPr>
        <w:t xml:space="preserve"> El porcentaje de funcionarios con puntajes aprobatorios en la evaluación realizada por SERVIR a nivel nacional, regional, provincial y distrital es de 64%, 58%, 41% y 32%, respectivamente. Por su parte, en el GN, la dotación de formuladores y evaluadores es de 45% y 23% respecto al total de operadores, en GRs es de 46% y 24%, en gobiernos provinciales es de 34% y 17%, y en gobiernos distritales es de 28% y 8%. Ver: Autoridad Nacional del Servicio Civil (SERVIR). “Informe de Resultados del Diagnóstico de Conocimientos al Sistema Nacional de Inversión Pública. Segunda Evaluación – 2013”. 2013.</w:t>
      </w:r>
    </w:p>
  </w:footnote>
  <w:footnote w:id="19">
    <w:p>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Calderón y Servén. 2004. The Effects of Infrastructure Development on Growth and Income </w:t>
      </w:r>
    </w:p>
    <w:p>
      <w:pPr>
        <w:pStyle w:val="FootnoteText"/>
        <w:jc w:val="both"/>
        <w:rPr>
          <w:rFonts w:ascii="Arial" w:hAnsi="Arial" w:cs="Arial"/>
          <w:sz w:val="18"/>
          <w:szCs w:val="18"/>
        </w:rPr>
      </w:pPr>
      <w:r>
        <w:rPr>
          <w:rFonts w:ascii="Arial" w:hAnsi="Arial" w:cs="Arial"/>
          <w:sz w:val="18"/>
          <w:szCs w:val="18"/>
        </w:rPr>
        <w:t>Distribution; Gupta et al. 2014. Efficiency-Adjusted Public Capital and Growth; FMI 2014. Is It Time for an Infrastructure Push? The Macroeconomic Effects of Public Investment.</w:t>
      </w:r>
    </w:p>
  </w:footnote>
  <w:footnote w:id="20">
    <w:p>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FMI (2015): Making public investment more efficient</w:t>
      </w:r>
    </w:p>
  </w:footnote>
  <w:footnote w:id="21">
    <w:p>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Rajaram et al. (2014) </w:t>
      </w:r>
      <w:r>
        <w:rPr>
          <w:rFonts w:ascii="Arial" w:hAnsi="Arial" w:cs="Arial"/>
          <w:i/>
          <w:iCs/>
          <w:sz w:val="18"/>
          <w:szCs w:val="18"/>
        </w:rPr>
        <w:t>The Power of Public Investment Management: Transforming Resources into Assets for Growth</w:t>
      </w:r>
      <w:r>
        <w:rPr>
          <w:rFonts w:ascii="Arial" w:hAnsi="Arial" w:cs="Arial"/>
          <w:sz w:val="18"/>
          <w:szCs w:val="18"/>
        </w:rPr>
        <w:t>,</w:t>
      </w:r>
    </w:p>
  </w:footnote>
  <w:footnote w:id="22">
    <w:p>
      <w:pPr>
        <w:pStyle w:val="FootnoteText"/>
        <w:jc w:val="both"/>
        <w:rPr>
          <w:rFonts w:ascii="Arial" w:hAnsi="Arial" w:cs="Arial"/>
          <w:color w:val="131413"/>
          <w:sz w:val="18"/>
          <w:szCs w:val="18"/>
          <w:lang w:val="es-ES_tradnl"/>
        </w:rPr>
      </w:pPr>
      <w:r>
        <w:rPr>
          <w:rStyle w:val="FootnoteReference"/>
          <w:rFonts w:ascii="Arial" w:hAnsi="Arial" w:cs="Arial"/>
          <w:sz w:val="18"/>
          <w:szCs w:val="18"/>
        </w:rPr>
        <w:footnoteRef/>
      </w:r>
      <w:r>
        <w:rPr>
          <w:rFonts w:ascii="Arial" w:hAnsi="Arial" w:cs="Arial"/>
          <w:sz w:val="18"/>
          <w:szCs w:val="18"/>
          <w:lang w:val="es-ES_tradnl"/>
        </w:rPr>
        <w:t xml:space="preserve"> De otra manera, los aumentos de gasto de capital corren el riesgo de que sean desperdiciados, ya sea por ineficiencias o corrupción. Sobre la relación negativa entre los niveles de inversión pública y la calidad institucional, véase Keefer y Knack 2007 </w:t>
      </w:r>
      <w:r>
        <w:rPr>
          <w:rFonts w:ascii="Arial" w:hAnsi="Arial" w:cs="Arial"/>
          <w:i/>
          <w:color w:val="131413"/>
          <w:sz w:val="18"/>
          <w:szCs w:val="18"/>
          <w:lang w:val="es-ES_tradnl"/>
        </w:rPr>
        <w:t>Boondoggles, rent-seeking, and political checks and balances: public investment under unaccountable governments</w:t>
      </w:r>
      <w:r>
        <w:rPr>
          <w:rFonts w:ascii="Arial" w:hAnsi="Arial" w:cs="Arial"/>
          <w:color w:val="131413"/>
          <w:sz w:val="18"/>
          <w:szCs w:val="18"/>
          <w:lang w:val="es-ES_tradnl"/>
        </w:rPr>
        <w:t>;</w:t>
      </w:r>
      <w:r>
        <w:rPr>
          <w:rFonts w:ascii="Arial" w:hAnsi="Arial" w:cs="Arial"/>
          <w:sz w:val="18"/>
          <w:szCs w:val="18"/>
          <w:lang w:val="es-ES_tradnl"/>
        </w:rPr>
        <w:t xml:space="preserve"> Grigoli y Mils (2014): </w:t>
      </w:r>
      <w:r>
        <w:rPr>
          <w:rFonts w:ascii="Arial" w:hAnsi="Arial" w:cs="Arial"/>
          <w:i/>
          <w:sz w:val="18"/>
          <w:szCs w:val="18"/>
          <w:lang w:val="es-ES_tradnl"/>
        </w:rPr>
        <w:t>Institutions and public investment: an empirical analysis</w:t>
      </w:r>
      <w:r>
        <w:rPr>
          <w:rFonts w:ascii="Arial" w:hAnsi="Arial" w:cs="Arial"/>
          <w:sz w:val="18"/>
          <w:szCs w:val="18"/>
          <w:lang w:val="es-ES_tradnl"/>
        </w:rPr>
        <w:t>. Estos últimos enseñan en una muestra de 144 países, que a mayor fortaleza del marco institucional, la calidad de la inversión pública es más alta.</w:t>
      </w:r>
    </w:p>
  </w:footnote>
  <w:footnote w:id="23">
    <w:p>
      <w:pPr>
        <w:pStyle w:val="FootnoteText"/>
        <w:jc w:val="both"/>
        <w:rPr>
          <w:rFonts w:ascii="Arial" w:hAnsi="Arial" w:cs="Arial"/>
          <w:sz w:val="18"/>
          <w:szCs w:val="18"/>
          <w:lang w:val="es-ES_tradnl"/>
        </w:rPr>
      </w:pPr>
      <w:r>
        <w:rPr>
          <w:rStyle w:val="FootnoteReference"/>
          <w:rFonts w:ascii="Arial" w:hAnsi="Arial" w:cs="Arial"/>
          <w:sz w:val="18"/>
          <w:szCs w:val="18"/>
        </w:rPr>
        <w:footnoteRef/>
      </w:r>
      <w:r>
        <w:rPr>
          <w:rFonts w:ascii="Arial" w:hAnsi="Arial" w:cs="Arial"/>
          <w:sz w:val="18"/>
          <w:szCs w:val="18"/>
          <w:lang w:val="es-ES_tradnl"/>
        </w:rPr>
        <w:t xml:space="preserve"> Un experimento aleatorio consistió en aumentar el monitoreo de los gastos relacionados con proyectos de transporte y encontró que el tratamiento disminuye en 8 puntos porcentuales (30%) los “gastos perdidos” (una medida directa de corrupción), definidos como las discrepancias entre los costos oficiales de los proyectos y el estimado por una encuesta independiente (Olken 2007 </w:t>
      </w:r>
      <w:r>
        <w:rPr>
          <w:rFonts w:ascii="Arial" w:hAnsi="Arial" w:cs="Arial"/>
          <w:i/>
          <w:sz w:val="18"/>
          <w:szCs w:val="18"/>
          <w:lang w:val="es-ES_tradnl"/>
        </w:rPr>
        <w:t>Monitoring Corruption</w:t>
      </w:r>
      <w:r>
        <w:rPr>
          <w:rFonts w:ascii="Arial" w:hAnsi="Arial" w:cs="Arial"/>
          <w:sz w:val="18"/>
          <w:szCs w:val="18"/>
          <w:lang w:val="es-ES_tradnl"/>
        </w:rPr>
        <w:t xml:space="preserve">). La evaluación de impacto del programa de auditorías en Brasil muestra efectos significativos sobre los niveles de transparencia en la ejecución de transferencias (incluyendo gastos de capital): los municipios en el grupo de tratamiento reducen el nivel de irregularidades ex-post en 8 por ciento después de ser sujetos a mayor monitoreo por parte del gobierno federal (Avis, Ferraz, y Finan, 2017, </w:t>
      </w:r>
      <w:r>
        <w:rPr>
          <w:rFonts w:ascii="Arial" w:hAnsi="Arial" w:cs="Arial"/>
          <w:i/>
          <w:sz w:val="18"/>
          <w:szCs w:val="18"/>
          <w:lang w:val="es-ES_tradnl"/>
        </w:rPr>
        <w:t>Do Government Audits reduce corruption?.</w:t>
      </w:r>
      <w:r>
        <w:rPr>
          <w:rFonts w:ascii="Arial" w:hAnsi="Arial" w:cs="Arial"/>
          <w:sz w:val="18"/>
          <w:szCs w:val="18"/>
          <w:lang w:val="es-ES_tradnl"/>
        </w:rPr>
        <w:t xml:space="preserve"> Ver el Plan de Monitoreo y Evaluación para una revisión de esta literatura. </w:t>
      </w:r>
    </w:p>
  </w:footnote>
  <w:footnote w:id="24">
    <w:p>
      <w:pPr>
        <w:pStyle w:val="FootnoteText"/>
        <w:jc w:val="both"/>
        <w:rPr>
          <w:rFonts w:ascii="Arial" w:hAnsi="Arial" w:cs="Arial"/>
        </w:rPr>
      </w:pPr>
      <w:r>
        <w:rPr>
          <w:rStyle w:val="FootnoteReference"/>
          <w:rFonts w:ascii="Arial" w:hAnsi="Arial" w:cs="Arial"/>
          <w:sz w:val="18"/>
          <w:szCs w:val="18"/>
        </w:rPr>
        <w:footnoteRef/>
      </w:r>
      <w:r>
        <w:rPr>
          <w:rFonts w:ascii="Arial" w:hAnsi="Arial" w:cs="Arial"/>
          <w:sz w:val="18"/>
          <w:szCs w:val="18"/>
          <w:lang w:val="es-ES_tradnl"/>
        </w:rPr>
        <w:t xml:space="preserve"> </w:t>
      </w:r>
      <w:r>
        <w:rPr>
          <w:rFonts w:ascii="Arial" w:hAnsi="Arial" w:cs="Arial"/>
          <w:sz w:val="18"/>
          <w:szCs w:val="18"/>
          <w:lang w:val="es-ES"/>
        </w:rPr>
        <w:t xml:space="preserve">Los resultados de una evaluación cuasi experimental del sistema de </w:t>
      </w:r>
      <w:r>
        <w:rPr>
          <w:rFonts w:ascii="Arial" w:hAnsi="Arial" w:cs="Arial"/>
          <w:i/>
          <w:sz w:val="18"/>
          <w:szCs w:val="18"/>
          <w:lang w:val="es-ES"/>
        </w:rPr>
        <w:t>e-compras</w:t>
      </w:r>
      <w:r>
        <w:rPr>
          <w:rFonts w:ascii="Arial" w:hAnsi="Arial" w:cs="Arial"/>
          <w:sz w:val="18"/>
          <w:szCs w:val="18"/>
          <w:lang w:val="es-ES"/>
        </w:rPr>
        <w:t xml:space="preserve"> en India e Indonesia muestran que, si bien no se observaron reducciones significativas en los niveles de precios en ambos países, sí se encontraron impactos sobre la oportunidad y calidad de los proyectos de infraestructura. Por ejemplo, el porcentaje de proyectos tardíos se redujo en 20% después de la adopción de </w:t>
      </w:r>
      <w:r>
        <w:rPr>
          <w:rFonts w:ascii="Arial" w:hAnsi="Arial" w:cs="Arial"/>
          <w:i/>
          <w:sz w:val="18"/>
          <w:szCs w:val="18"/>
          <w:lang w:val="es-ES"/>
        </w:rPr>
        <w:t>e-compras</w:t>
      </w:r>
      <w:r>
        <w:rPr>
          <w:rFonts w:ascii="Arial" w:hAnsi="Arial" w:cs="Arial"/>
          <w:sz w:val="18"/>
          <w:szCs w:val="18"/>
          <w:lang w:val="es-ES"/>
        </w:rPr>
        <w:t xml:space="preserve"> en Indonesia, y la calidad física de las rutas (medida a través de reportes independientes del sistema nacional de monitoreo) aumentó en 12% para proyectos gestionados a través de dicha plataforma en India (Lewis. </w:t>
      </w:r>
      <w:r>
        <w:rPr>
          <w:rFonts w:ascii="Arial" w:hAnsi="Arial" w:cs="Arial"/>
          <w:sz w:val="18"/>
          <w:szCs w:val="18"/>
        </w:rPr>
        <w:t xml:space="preserve">Faupel et. al. 2016. </w:t>
      </w:r>
      <w:r>
        <w:rPr>
          <w:rFonts w:ascii="Arial" w:hAnsi="Arial" w:cs="Arial"/>
          <w:i/>
          <w:sz w:val="18"/>
          <w:szCs w:val="18"/>
        </w:rPr>
        <w:t>Can Electronic Procurement Improve Infrastructure Provision? Evidence from Public Works in India and Indonesia</w:t>
      </w:r>
      <w:r>
        <w:rPr>
          <w:rFonts w:ascii="Arial" w:hAnsi="Arial" w:cs="Arial"/>
          <w:sz w:val="18"/>
          <w:szCs w:val="18"/>
        </w:rPr>
        <w:t>).</w:t>
      </w:r>
    </w:p>
  </w:footnote>
  <w:footnote w:id="25">
    <w:p>
      <w:pPr>
        <w:pStyle w:val="FootnoteText"/>
        <w:rPr>
          <w:rFonts w:ascii="Arial" w:hAnsi="Arial" w:cs="Arial"/>
          <w:lang w:val="es-ES"/>
        </w:rPr>
      </w:pPr>
      <w:r>
        <w:rPr>
          <w:rStyle w:val="FootnoteReference"/>
          <w:rFonts w:ascii="Arial" w:hAnsi="Arial" w:cs="Arial"/>
          <w:sz w:val="18"/>
          <w:szCs w:val="18"/>
        </w:rPr>
        <w:footnoteRef/>
      </w:r>
      <w:r>
        <w:rPr>
          <w:rFonts w:ascii="Arial" w:hAnsi="Arial" w:cs="Arial"/>
          <w:sz w:val="18"/>
          <w:szCs w:val="18"/>
          <w:lang w:val="es-ES"/>
        </w:rPr>
        <w:t xml:space="preserve"> Fuente: Diario El Comercio. Ver: </w:t>
      </w:r>
      <w:hyperlink r:id="rId1" w:history="1">
        <w:r>
          <w:rPr>
            <w:rStyle w:val="Hyperlink"/>
            <w:rFonts w:ascii="Arial" w:hAnsi="Arial" w:cs="Arial"/>
            <w:sz w:val="18"/>
            <w:szCs w:val="18"/>
            <w:lang w:val="es-ES"/>
          </w:rPr>
          <w:t>http://elcomercio.pe/economia/peru/bancos-ofrecen-tasas-interes-7-ahorros-213670</w:t>
        </w:r>
      </w:hyperlink>
      <w:r>
        <w:rPr>
          <w:rFonts w:ascii="Arial" w:hAnsi="Arial" w:cs="Arial"/>
          <w:sz w:val="18"/>
          <w:szCs w:val="18"/>
          <w:lang w:val="es-ES"/>
        </w:rPr>
        <w:t xml:space="preserve">  </w:t>
      </w:r>
      <w:r>
        <w:rPr>
          <w:rStyle w:val="Hyperlink"/>
          <w:rFonts w:ascii="Arial" w:hAnsi="Arial" w:cs="Arial"/>
          <w:sz w:val="18"/>
          <w:szCs w:val="18"/>
          <w:lang w:val="es-ES"/>
        </w:rPr>
        <w:t xml:space="preserve"> </w:t>
      </w:r>
    </w:p>
  </w:footnote>
  <w:footnote w:id="26">
    <w:p>
      <w:pPr>
        <w:pStyle w:val="FootnoteText"/>
        <w:ind w:left="270" w:hanging="270"/>
        <w:jc w:val="both"/>
        <w:rPr>
          <w:rFonts w:ascii="Arial" w:hAnsi="Arial" w:cs="Arial"/>
          <w:sz w:val="18"/>
          <w:szCs w:val="18"/>
          <w:lang w:val="es-ES"/>
        </w:rPr>
      </w:pPr>
      <w:r>
        <w:rPr>
          <w:rStyle w:val="FootnoteReference"/>
          <w:rFonts w:ascii="Arial" w:hAnsi="Arial" w:cs="Arial"/>
          <w:sz w:val="18"/>
          <w:szCs w:val="18"/>
        </w:rPr>
        <w:footnoteRef/>
      </w:r>
      <w:r>
        <w:rPr>
          <w:rFonts w:ascii="Arial" w:hAnsi="Arial" w:cs="Arial"/>
          <w:sz w:val="18"/>
          <w:szCs w:val="18"/>
          <w:lang w:val="es-ES"/>
        </w:rPr>
        <w:t xml:space="preserve"> La fórmula presupone que la mano de obra al proyecto proviene según la proporción actual de empleados en otras actividades (al mismo salario) y los desempleados para los cuales el costo de oportunidad es cero.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415447330"/>
      <w:docPartObj>
        <w:docPartGallery w:val="Page Numbers (Top of Page)"/>
        <w:docPartUnique/>
      </w:docPartObj>
    </w:sdtPr>
    <w:sdtEndPr>
      <w:rPr>
        <w:noProof/>
      </w:rPr>
    </w:sdtEndPr>
    <w:sdtContent>
      <w:p>
        <w:pPr>
          <w:pStyle w:val="Header"/>
          <w:ind w:left="900"/>
          <w:jc w:val="cente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15</w:t>
        </w:r>
        <w:r>
          <w:rPr>
            <w:rFonts w:ascii="Arial" w:hAnsi="Arial" w:cs="Arial"/>
            <w:noProof/>
            <w:sz w:val="18"/>
            <w:szCs w:val="18"/>
          </w:rPr>
          <w:fldChar w:fldCharType="end"/>
        </w:r>
        <w:r>
          <w:rPr>
            <w:rFonts w:ascii="Arial" w:hAnsi="Arial" w:cs="Arial"/>
            <w:noProof/>
            <w:sz w:val="18"/>
            <w:szCs w:val="18"/>
          </w:rPr>
          <w:t xml:space="preserve"> -</w:t>
        </w:r>
      </w:p>
    </w:sdtContent>
  </w:sdt>
  <w:p>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7E6"/>
    <w:multiLevelType w:val="multilevel"/>
    <w:tmpl w:val="4FC6DC7C"/>
    <w:lvl w:ilvl="0">
      <w:start w:val="1"/>
      <w:numFmt w:val="upperRoman"/>
      <w:lvlText w:val="%1."/>
      <w:lvlJc w:val="center"/>
      <w:pPr>
        <w:tabs>
          <w:tab w:val="num" w:pos="1800"/>
        </w:tabs>
        <w:ind w:left="1152" w:firstLine="288"/>
      </w:pPr>
      <w:rPr>
        <w:b/>
        <w:i w:val="0"/>
      </w:rPr>
    </w:lvl>
    <w:lvl w:ilvl="1">
      <w:start w:val="1"/>
      <w:numFmt w:val="decimal"/>
      <w:isLgl/>
      <w:lvlText w:val="%1.%2"/>
      <w:lvlJc w:val="left"/>
      <w:pPr>
        <w:tabs>
          <w:tab w:val="num" w:pos="1296"/>
        </w:tabs>
        <w:ind w:left="1296" w:hanging="1296"/>
      </w:pPr>
      <w:rPr>
        <w:rFonts w:ascii="Arial" w:hAnsi="Arial" w:cs="Arial" w:hint="default"/>
        <w:b w:val="0"/>
        <w:sz w:val="22"/>
        <w:szCs w:val="22"/>
      </w:rPr>
    </w:lvl>
    <w:lvl w:ilvl="2">
      <w:start w:val="1"/>
      <w:numFmt w:val="lowerLetter"/>
      <w:lvlText w:val="%3."/>
      <w:lvlJc w:val="left"/>
      <w:pPr>
        <w:tabs>
          <w:tab w:val="num" w:pos="2304"/>
        </w:tabs>
        <w:ind w:left="2304" w:hanging="432"/>
      </w:pPr>
      <w:rPr>
        <w:rFonts w:ascii="Arial" w:eastAsiaTheme="minorEastAsia" w:hAnsi="Arial" w:cs="Arial" w:hint="default"/>
        <w:b w:val="0"/>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 w15:restartNumberingAfterBreak="0">
    <w:nsid w:val="19A4540C"/>
    <w:multiLevelType w:val="hybridMultilevel"/>
    <w:tmpl w:val="199A85DA"/>
    <w:lvl w:ilvl="0" w:tplc="E1DA1BE8">
      <w:start w:val="83"/>
      <w:numFmt w:val="bullet"/>
      <w:lvlText w:val="-"/>
      <w:lvlJc w:val="left"/>
      <w:pPr>
        <w:ind w:left="720" w:hanging="360"/>
      </w:pPr>
      <w:rPr>
        <w:rFonts w:ascii="Arial" w:eastAsiaTheme="minorEastAsia"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D75505B"/>
    <w:multiLevelType w:val="hybridMultilevel"/>
    <w:tmpl w:val="8EDADE66"/>
    <w:lvl w:ilvl="0" w:tplc="59A0D64A">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1E903921"/>
    <w:multiLevelType w:val="multilevel"/>
    <w:tmpl w:val="4FC6DC7C"/>
    <w:lvl w:ilvl="0">
      <w:start w:val="1"/>
      <w:numFmt w:val="upperRoman"/>
      <w:lvlText w:val="%1."/>
      <w:lvlJc w:val="center"/>
      <w:pPr>
        <w:tabs>
          <w:tab w:val="num" w:pos="1800"/>
        </w:tabs>
        <w:ind w:left="1152" w:firstLine="288"/>
      </w:pPr>
      <w:rPr>
        <w:b/>
        <w:i w:val="0"/>
      </w:rPr>
    </w:lvl>
    <w:lvl w:ilvl="1">
      <w:start w:val="1"/>
      <w:numFmt w:val="decimal"/>
      <w:isLgl/>
      <w:lvlText w:val="%1.%2"/>
      <w:lvlJc w:val="left"/>
      <w:pPr>
        <w:tabs>
          <w:tab w:val="num" w:pos="1296"/>
        </w:tabs>
        <w:ind w:left="1296" w:hanging="1296"/>
      </w:pPr>
      <w:rPr>
        <w:rFonts w:ascii="Arial" w:hAnsi="Arial" w:cs="Arial" w:hint="default"/>
        <w:b w:val="0"/>
        <w:sz w:val="22"/>
        <w:szCs w:val="22"/>
      </w:rPr>
    </w:lvl>
    <w:lvl w:ilvl="2">
      <w:start w:val="1"/>
      <w:numFmt w:val="lowerLetter"/>
      <w:lvlText w:val="%3."/>
      <w:lvlJc w:val="left"/>
      <w:pPr>
        <w:tabs>
          <w:tab w:val="num" w:pos="2304"/>
        </w:tabs>
        <w:ind w:left="2304" w:hanging="432"/>
      </w:pPr>
      <w:rPr>
        <w:rFonts w:ascii="Arial" w:eastAsiaTheme="minorEastAsia" w:hAnsi="Arial" w:cs="Arial" w:hint="default"/>
        <w:b w:val="0"/>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4" w15:restartNumberingAfterBreak="0">
    <w:nsid w:val="359B4991"/>
    <w:multiLevelType w:val="multilevel"/>
    <w:tmpl w:val="33000364"/>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b w:val="0"/>
        <w:sz w:val="22"/>
        <w:szCs w:val="22"/>
      </w:rPr>
    </w:lvl>
    <w:lvl w:ilvl="2">
      <w:start w:val="1"/>
      <w:numFmt w:val="lowerLetter"/>
      <w:lvlText w:val="%3."/>
      <w:lvlJc w:val="left"/>
      <w:pPr>
        <w:tabs>
          <w:tab w:val="num" w:pos="2304"/>
        </w:tabs>
        <w:ind w:left="2304" w:hanging="432"/>
      </w:pPr>
      <w:rPr>
        <w:rFonts w:ascii="Arial" w:hAnsi="Arial" w:cs="Arial" w:hint="default"/>
        <w:b w:val="0"/>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5" w15:restartNumberingAfterBreak="0">
    <w:nsid w:val="36B45500"/>
    <w:multiLevelType w:val="multilevel"/>
    <w:tmpl w:val="E6A29658"/>
    <w:lvl w:ilvl="0">
      <w:start w:val="1"/>
      <w:numFmt w:val="upperRoman"/>
      <w:lvlText w:val="%1."/>
      <w:lvlJc w:val="left"/>
      <w:pPr>
        <w:ind w:left="720" w:hanging="720"/>
      </w:pPr>
      <w:rPr>
        <w:rFonts w:hint="default"/>
        <w:b/>
      </w:rPr>
    </w:lvl>
    <w:lvl w:ilvl="1">
      <w:start w:val="1"/>
      <w:numFmt w:val="decimalZero"/>
      <w:isLgl/>
      <w:lvlText w:val="%1.%2"/>
      <w:lvlJc w:val="left"/>
      <w:pPr>
        <w:ind w:left="700" w:hanging="70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5FF1C38"/>
    <w:multiLevelType w:val="hybridMultilevel"/>
    <w:tmpl w:val="A6A69E94"/>
    <w:lvl w:ilvl="0" w:tplc="04090019">
      <w:start w:val="1"/>
      <w:numFmt w:val="lowerLetter"/>
      <w:lvlText w:val="%1."/>
      <w:lvlJc w:val="left"/>
      <w:pPr>
        <w:ind w:left="1080" w:hanging="360"/>
      </w:pPr>
      <w:rPr>
        <w:rFonts w:hint="default"/>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51167283"/>
    <w:multiLevelType w:val="multilevel"/>
    <w:tmpl w:val="D7EE6046"/>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8" w15:restartNumberingAfterBreak="0">
    <w:nsid w:val="51E337D3"/>
    <w:multiLevelType w:val="multilevel"/>
    <w:tmpl w:val="4FC6DC7C"/>
    <w:lvl w:ilvl="0">
      <w:start w:val="1"/>
      <w:numFmt w:val="upperRoman"/>
      <w:lvlText w:val="%1."/>
      <w:lvlJc w:val="center"/>
      <w:pPr>
        <w:tabs>
          <w:tab w:val="num" w:pos="1800"/>
        </w:tabs>
        <w:ind w:left="1152" w:firstLine="288"/>
      </w:pPr>
      <w:rPr>
        <w:b/>
        <w:i w:val="0"/>
      </w:rPr>
    </w:lvl>
    <w:lvl w:ilvl="1">
      <w:start w:val="1"/>
      <w:numFmt w:val="decimal"/>
      <w:isLgl/>
      <w:lvlText w:val="%1.%2"/>
      <w:lvlJc w:val="left"/>
      <w:pPr>
        <w:tabs>
          <w:tab w:val="num" w:pos="1296"/>
        </w:tabs>
        <w:ind w:left="1296" w:hanging="1296"/>
      </w:pPr>
      <w:rPr>
        <w:rFonts w:ascii="Arial" w:hAnsi="Arial" w:cs="Arial" w:hint="default"/>
        <w:b w:val="0"/>
        <w:sz w:val="22"/>
        <w:szCs w:val="22"/>
      </w:rPr>
    </w:lvl>
    <w:lvl w:ilvl="2">
      <w:start w:val="1"/>
      <w:numFmt w:val="lowerLetter"/>
      <w:lvlText w:val="%3."/>
      <w:lvlJc w:val="left"/>
      <w:pPr>
        <w:tabs>
          <w:tab w:val="num" w:pos="2304"/>
        </w:tabs>
        <w:ind w:left="2304" w:hanging="432"/>
      </w:pPr>
      <w:rPr>
        <w:rFonts w:ascii="Arial" w:eastAsiaTheme="minorEastAsia" w:hAnsi="Arial" w:cs="Arial" w:hint="default"/>
        <w:b w:val="0"/>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9" w15:restartNumberingAfterBreak="0">
    <w:nsid w:val="569905A8"/>
    <w:multiLevelType w:val="multilevel"/>
    <w:tmpl w:val="D18C68B2"/>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6066"/>
        </w:tabs>
        <w:ind w:left="6066" w:hanging="1296"/>
      </w:pPr>
      <w:rPr>
        <w:b w:val="0"/>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10" w15:restartNumberingAfterBreak="0">
    <w:nsid w:val="56A94CA8"/>
    <w:multiLevelType w:val="hybridMultilevel"/>
    <w:tmpl w:val="86DAFEF0"/>
    <w:lvl w:ilvl="0" w:tplc="C120A2A0">
      <w:start w:val="83"/>
      <w:numFmt w:val="bullet"/>
      <w:lvlText w:val="-"/>
      <w:lvlJc w:val="left"/>
      <w:pPr>
        <w:ind w:left="1260" w:hanging="360"/>
      </w:pPr>
      <w:rPr>
        <w:rFonts w:ascii="Arial" w:eastAsiaTheme="minorEastAsia" w:hAnsi="Arial" w:cs="Arial" w:hint="default"/>
      </w:rPr>
    </w:lvl>
    <w:lvl w:ilvl="1" w:tplc="040A0003" w:tentative="1">
      <w:start w:val="1"/>
      <w:numFmt w:val="bullet"/>
      <w:lvlText w:val="o"/>
      <w:lvlJc w:val="left"/>
      <w:pPr>
        <w:ind w:left="1980" w:hanging="360"/>
      </w:pPr>
      <w:rPr>
        <w:rFonts w:ascii="Courier New" w:hAnsi="Courier New" w:cs="Courier New" w:hint="default"/>
      </w:rPr>
    </w:lvl>
    <w:lvl w:ilvl="2" w:tplc="040A0005" w:tentative="1">
      <w:start w:val="1"/>
      <w:numFmt w:val="bullet"/>
      <w:lvlText w:val=""/>
      <w:lvlJc w:val="left"/>
      <w:pPr>
        <w:ind w:left="2700" w:hanging="360"/>
      </w:pPr>
      <w:rPr>
        <w:rFonts w:ascii="Wingdings" w:hAnsi="Wingdings" w:hint="default"/>
      </w:rPr>
    </w:lvl>
    <w:lvl w:ilvl="3" w:tplc="040A0001" w:tentative="1">
      <w:start w:val="1"/>
      <w:numFmt w:val="bullet"/>
      <w:lvlText w:val=""/>
      <w:lvlJc w:val="left"/>
      <w:pPr>
        <w:ind w:left="3420" w:hanging="360"/>
      </w:pPr>
      <w:rPr>
        <w:rFonts w:ascii="Symbol" w:hAnsi="Symbol" w:hint="default"/>
      </w:rPr>
    </w:lvl>
    <w:lvl w:ilvl="4" w:tplc="040A0003" w:tentative="1">
      <w:start w:val="1"/>
      <w:numFmt w:val="bullet"/>
      <w:lvlText w:val="o"/>
      <w:lvlJc w:val="left"/>
      <w:pPr>
        <w:ind w:left="4140" w:hanging="360"/>
      </w:pPr>
      <w:rPr>
        <w:rFonts w:ascii="Courier New" w:hAnsi="Courier New" w:cs="Courier New" w:hint="default"/>
      </w:rPr>
    </w:lvl>
    <w:lvl w:ilvl="5" w:tplc="040A0005" w:tentative="1">
      <w:start w:val="1"/>
      <w:numFmt w:val="bullet"/>
      <w:lvlText w:val=""/>
      <w:lvlJc w:val="left"/>
      <w:pPr>
        <w:ind w:left="4860" w:hanging="360"/>
      </w:pPr>
      <w:rPr>
        <w:rFonts w:ascii="Wingdings" w:hAnsi="Wingdings" w:hint="default"/>
      </w:rPr>
    </w:lvl>
    <w:lvl w:ilvl="6" w:tplc="040A0001" w:tentative="1">
      <w:start w:val="1"/>
      <w:numFmt w:val="bullet"/>
      <w:lvlText w:val=""/>
      <w:lvlJc w:val="left"/>
      <w:pPr>
        <w:ind w:left="5580" w:hanging="360"/>
      </w:pPr>
      <w:rPr>
        <w:rFonts w:ascii="Symbol" w:hAnsi="Symbol" w:hint="default"/>
      </w:rPr>
    </w:lvl>
    <w:lvl w:ilvl="7" w:tplc="040A0003" w:tentative="1">
      <w:start w:val="1"/>
      <w:numFmt w:val="bullet"/>
      <w:lvlText w:val="o"/>
      <w:lvlJc w:val="left"/>
      <w:pPr>
        <w:ind w:left="6300" w:hanging="360"/>
      </w:pPr>
      <w:rPr>
        <w:rFonts w:ascii="Courier New" w:hAnsi="Courier New" w:cs="Courier New" w:hint="default"/>
      </w:rPr>
    </w:lvl>
    <w:lvl w:ilvl="8" w:tplc="040A0005" w:tentative="1">
      <w:start w:val="1"/>
      <w:numFmt w:val="bullet"/>
      <w:lvlText w:val=""/>
      <w:lvlJc w:val="left"/>
      <w:pPr>
        <w:ind w:left="7020" w:hanging="360"/>
      </w:pPr>
      <w:rPr>
        <w:rFonts w:ascii="Wingdings" w:hAnsi="Wingdings" w:hint="default"/>
      </w:rPr>
    </w:lvl>
  </w:abstractNum>
  <w:abstractNum w:abstractNumId="11" w15:restartNumberingAfterBreak="0">
    <w:nsid w:val="570636BA"/>
    <w:multiLevelType w:val="multilevel"/>
    <w:tmpl w:val="4FC6DC7C"/>
    <w:lvl w:ilvl="0">
      <w:start w:val="1"/>
      <w:numFmt w:val="upperRoman"/>
      <w:lvlText w:val="%1."/>
      <w:lvlJc w:val="center"/>
      <w:pPr>
        <w:tabs>
          <w:tab w:val="num" w:pos="1800"/>
        </w:tabs>
        <w:ind w:left="1152" w:firstLine="288"/>
      </w:pPr>
      <w:rPr>
        <w:b/>
        <w:i w:val="0"/>
      </w:rPr>
    </w:lvl>
    <w:lvl w:ilvl="1">
      <w:start w:val="1"/>
      <w:numFmt w:val="decimal"/>
      <w:isLgl/>
      <w:lvlText w:val="%1.%2"/>
      <w:lvlJc w:val="left"/>
      <w:pPr>
        <w:tabs>
          <w:tab w:val="num" w:pos="1296"/>
        </w:tabs>
        <w:ind w:left="1296" w:hanging="1296"/>
      </w:pPr>
      <w:rPr>
        <w:rFonts w:ascii="Arial" w:hAnsi="Arial" w:cs="Arial" w:hint="default"/>
        <w:b w:val="0"/>
        <w:sz w:val="22"/>
        <w:szCs w:val="22"/>
      </w:rPr>
    </w:lvl>
    <w:lvl w:ilvl="2">
      <w:start w:val="1"/>
      <w:numFmt w:val="lowerLetter"/>
      <w:lvlText w:val="%3."/>
      <w:lvlJc w:val="left"/>
      <w:pPr>
        <w:tabs>
          <w:tab w:val="num" w:pos="2304"/>
        </w:tabs>
        <w:ind w:left="2304" w:hanging="432"/>
      </w:pPr>
      <w:rPr>
        <w:rFonts w:ascii="Arial" w:eastAsiaTheme="minorEastAsia" w:hAnsi="Arial" w:cs="Arial" w:hint="default"/>
        <w:b w:val="0"/>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2" w15:restartNumberingAfterBreak="0">
    <w:nsid w:val="58115A13"/>
    <w:multiLevelType w:val="multilevel"/>
    <w:tmpl w:val="4FC6DC7C"/>
    <w:lvl w:ilvl="0">
      <w:start w:val="1"/>
      <w:numFmt w:val="upperRoman"/>
      <w:lvlText w:val="%1."/>
      <w:lvlJc w:val="center"/>
      <w:pPr>
        <w:tabs>
          <w:tab w:val="num" w:pos="1800"/>
        </w:tabs>
        <w:ind w:left="1152" w:firstLine="288"/>
      </w:pPr>
      <w:rPr>
        <w:b/>
        <w:i w:val="0"/>
      </w:rPr>
    </w:lvl>
    <w:lvl w:ilvl="1">
      <w:start w:val="1"/>
      <w:numFmt w:val="decimal"/>
      <w:isLgl/>
      <w:lvlText w:val="%1.%2"/>
      <w:lvlJc w:val="left"/>
      <w:pPr>
        <w:tabs>
          <w:tab w:val="num" w:pos="1296"/>
        </w:tabs>
        <w:ind w:left="1296" w:hanging="1296"/>
      </w:pPr>
      <w:rPr>
        <w:rFonts w:ascii="Arial" w:hAnsi="Arial" w:cs="Arial" w:hint="default"/>
        <w:b w:val="0"/>
        <w:sz w:val="22"/>
        <w:szCs w:val="22"/>
      </w:rPr>
    </w:lvl>
    <w:lvl w:ilvl="2">
      <w:start w:val="1"/>
      <w:numFmt w:val="lowerLetter"/>
      <w:lvlText w:val="%3."/>
      <w:lvlJc w:val="left"/>
      <w:pPr>
        <w:tabs>
          <w:tab w:val="num" w:pos="2304"/>
        </w:tabs>
        <w:ind w:left="2304" w:hanging="432"/>
      </w:pPr>
      <w:rPr>
        <w:rFonts w:ascii="Arial" w:eastAsiaTheme="minorEastAsia" w:hAnsi="Arial" w:cs="Arial" w:hint="default"/>
        <w:b w:val="0"/>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3" w15:restartNumberingAfterBreak="0">
    <w:nsid w:val="5FB5776F"/>
    <w:multiLevelType w:val="multilevel"/>
    <w:tmpl w:val="4FC6DC7C"/>
    <w:lvl w:ilvl="0">
      <w:start w:val="1"/>
      <w:numFmt w:val="upperRoman"/>
      <w:lvlText w:val="%1."/>
      <w:lvlJc w:val="center"/>
      <w:pPr>
        <w:tabs>
          <w:tab w:val="num" w:pos="1800"/>
        </w:tabs>
        <w:ind w:left="1152" w:firstLine="288"/>
      </w:pPr>
      <w:rPr>
        <w:b/>
        <w:i w:val="0"/>
      </w:rPr>
    </w:lvl>
    <w:lvl w:ilvl="1">
      <w:start w:val="1"/>
      <w:numFmt w:val="decimal"/>
      <w:isLgl/>
      <w:lvlText w:val="%1.%2"/>
      <w:lvlJc w:val="left"/>
      <w:pPr>
        <w:tabs>
          <w:tab w:val="num" w:pos="1296"/>
        </w:tabs>
        <w:ind w:left="1296" w:hanging="1296"/>
      </w:pPr>
      <w:rPr>
        <w:rFonts w:ascii="Arial" w:hAnsi="Arial" w:cs="Arial" w:hint="default"/>
        <w:b w:val="0"/>
        <w:sz w:val="22"/>
        <w:szCs w:val="22"/>
      </w:rPr>
    </w:lvl>
    <w:lvl w:ilvl="2">
      <w:start w:val="1"/>
      <w:numFmt w:val="lowerLetter"/>
      <w:lvlText w:val="%3."/>
      <w:lvlJc w:val="left"/>
      <w:pPr>
        <w:tabs>
          <w:tab w:val="num" w:pos="2304"/>
        </w:tabs>
        <w:ind w:left="2304" w:hanging="432"/>
      </w:pPr>
      <w:rPr>
        <w:rFonts w:ascii="Arial" w:eastAsiaTheme="minorEastAsia" w:hAnsi="Arial" w:cs="Arial" w:hint="default"/>
        <w:b w:val="0"/>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4" w15:restartNumberingAfterBreak="0">
    <w:nsid w:val="603A55FF"/>
    <w:multiLevelType w:val="multilevel"/>
    <w:tmpl w:val="AE0E00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4C5303E"/>
    <w:multiLevelType w:val="multilevel"/>
    <w:tmpl w:val="78EEA9D4"/>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1296"/>
        </w:tabs>
        <w:ind w:left="1296" w:hanging="1296"/>
      </w:pPr>
      <w:rPr>
        <w:b w:val="0"/>
      </w:rPr>
    </w:lvl>
    <w:lvl w:ilvl="2">
      <w:start w:val="1"/>
      <w:numFmt w:val="lowerLetter"/>
      <w:pStyle w:val="subpa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87D5B10"/>
    <w:multiLevelType w:val="hybridMultilevel"/>
    <w:tmpl w:val="1B1670D8"/>
    <w:lvl w:ilvl="0" w:tplc="59C0AA3A">
      <w:start w:val="83"/>
      <w:numFmt w:val="bullet"/>
      <w:lvlText w:val="-"/>
      <w:lvlJc w:val="left"/>
      <w:pPr>
        <w:ind w:left="1080" w:hanging="360"/>
      </w:pPr>
      <w:rPr>
        <w:rFonts w:ascii="Arial" w:eastAsiaTheme="minorEastAsia" w:hAnsi="Arial"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7"/>
  </w:num>
  <w:num w:numId="6">
    <w:abstractNumId w:val="2"/>
  </w:num>
  <w:num w:numId="7">
    <w:abstractNumId w:val="0"/>
  </w:num>
  <w:num w:numId="8">
    <w:abstractNumId w:val="13"/>
  </w:num>
  <w:num w:numId="9">
    <w:abstractNumId w:val="8"/>
  </w:num>
  <w:num w:numId="10">
    <w:abstractNumId w:val="12"/>
  </w:num>
  <w:num w:numId="11">
    <w:abstractNumId w:val="11"/>
  </w:num>
  <w:num w:numId="12">
    <w:abstractNumId w:val="4"/>
  </w:num>
  <w:num w:numId="13">
    <w:abstractNumId w:val="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6"/>
  </w:num>
  <w:num w:numId="20">
    <w:abstractNumId w:val="1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82557FF-E494-43AC-8A38-6985ABD1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tabs>
        <w:tab w:val="num" w:pos="360"/>
      </w:tabs>
      <w:spacing w:before="240" w:after="60" w:line="240" w:lineRule="auto"/>
      <w:outlineLvl w:val="0"/>
    </w:pPr>
    <w:rPr>
      <w:rFonts w:ascii="Arial" w:eastAsia="Times New Roman" w:hAnsi="Arial" w:cs="Times New Roman"/>
      <w:b/>
      <w:kern w:val="28"/>
      <w:sz w:val="28"/>
      <w:szCs w:val="20"/>
      <w:lang w:val="es-ES"/>
    </w:rPr>
  </w:style>
  <w:style w:type="paragraph" w:styleId="Heading2">
    <w:name w:val="heading 2"/>
    <w:basedOn w:val="Normal"/>
    <w:link w:val="Heading2Char"/>
    <w:qFormat/>
    <w:pPr>
      <w:widowControl w:val="0"/>
      <w:spacing w:after="0" w:line="240" w:lineRule="auto"/>
      <w:ind w:left="820"/>
      <w:outlineLvl w:val="1"/>
    </w:pPr>
    <w:rPr>
      <w:rFonts w:ascii="Times New Roman" w:eastAsia="Times New Roman" w:hAnsi="Times New Roman"/>
      <w:b/>
      <w:bCs/>
      <w:sz w:val="24"/>
      <w:szCs w:val="24"/>
    </w:rPr>
  </w:style>
  <w:style w:type="paragraph" w:styleId="Heading3">
    <w:name w:val="heading 3"/>
    <w:basedOn w:val="Normal"/>
    <w:link w:val="Heading3Char"/>
    <w:qFormat/>
    <w:pPr>
      <w:widowControl w:val="0"/>
      <w:spacing w:after="0" w:line="240" w:lineRule="auto"/>
      <w:ind w:left="820" w:hanging="720"/>
      <w:outlineLvl w:val="2"/>
    </w:pPr>
    <w:rPr>
      <w:rFonts w:ascii="Times New Roman" w:eastAsia="Times New Roman" w:hAnsi="Times New Roman"/>
      <w:b/>
      <w:bCs/>
      <w:i/>
      <w:sz w:val="24"/>
      <w:szCs w:val="24"/>
    </w:rPr>
  </w:style>
  <w:style w:type="paragraph" w:styleId="Heading4">
    <w:name w:val="heading 4"/>
    <w:basedOn w:val="Normal"/>
    <w:next w:val="Normal"/>
    <w:link w:val="Heading4Char"/>
    <w:qFormat/>
    <w:pPr>
      <w:keepNext/>
      <w:tabs>
        <w:tab w:val="num" w:pos="2520"/>
      </w:tabs>
      <w:spacing w:before="240" w:after="60" w:line="240" w:lineRule="auto"/>
      <w:ind w:left="2160"/>
      <w:outlineLvl w:val="3"/>
    </w:pPr>
    <w:rPr>
      <w:rFonts w:ascii="Arial" w:eastAsia="Times New Roman" w:hAnsi="Arial" w:cs="Times New Roman"/>
      <w:b/>
      <w:sz w:val="24"/>
      <w:szCs w:val="20"/>
      <w:lang w:val="es-ES"/>
    </w:rPr>
  </w:style>
  <w:style w:type="paragraph" w:styleId="Heading5">
    <w:name w:val="heading 5"/>
    <w:basedOn w:val="Normal"/>
    <w:next w:val="Normal"/>
    <w:link w:val="Heading5Char"/>
    <w:qFormat/>
    <w:pPr>
      <w:numPr>
        <w:ilvl w:val="4"/>
        <w:numId w:val="5"/>
      </w:numPr>
      <w:spacing w:before="240" w:after="60" w:line="240" w:lineRule="auto"/>
      <w:outlineLvl w:val="4"/>
    </w:pPr>
    <w:rPr>
      <w:rFonts w:ascii="Times New Roman" w:eastAsia="Times New Roman" w:hAnsi="Times New Roman" w:cs="Times New Roman"/>
      <w:szCs w:val="20"/>
      <w:lang w:val="es-ES"/>
    </w:rPr>
  </w:style>
  <w:style w:type="paragraph" w:styleId="Heading6">
    <w:name w:val="heading 6"/>
    <w:basedOn w:val="Normal"/>
    <w:next w:val="Normal"/>
    <w:link w:val="Heading6Char"/>
    <w:qFormat/>
    <w:pPr>
      <w:numPr>
        <w:ilvl w:val="5"/>
        <w:numId w:val="5"/>
      </w:numPr>
      <w:spacing w:before="240" w:after="60" w:line="240" w:lineRule="auto"/>
      <w:outlineLvl w:val="5"/>
    </w:pPr>
    <w:rPr>
      <w:rFonts w:ascii="Times New Roman" w:eastAsia="Times New Roman" w:hAnsi="Times New Roman" w:cs="Times New Roman"/>
      <w:i/>
      <w:szCs w:val="20"/>
      <w:lang w:val="es-ES"/>
    </w:rPr>
  </w:style>
  <w:style w:type="paragraph" w:styleId="Heading7">
    <w:name w:val="heading 7"/>
    <w:basedOn w:val="Normal"/>
    <w:next w:val="Normal"/>
    <w:link w:val="Heading7Char"/>
    <w:qFormat/>
    <w:pPr>
      <w:numPr>
        <w:ilvl w:val="6"/>
        <w:numId w:val="5"/>
      </w:numPr>
      <w:spacing w:before="240" w:after="60" w:line="240" w:lineRule="auto"/>
      <w:outlineLvl w:val="6"/>
    </w:pPr>
    <w:rPr>
      <w:rFonts w:ascii="Arial" w:eastAsia="Times New Roman" w:hAnsi="Arial" w:cs="Times New Roman"/>
      <w:sz w:val="24"/>
      <w:szCs w:val="20"/>
      <w:lang w:val="es-ES"/>
    </w:rPr>
  </w:style>
  <w:style w:type="paragraph" w:styleId="Heading8">
    <w:name w:val="heading 8"/>
    <w:basedOn w:val="Normal"/>
    <w:next w:val="Normal"/>
    <w:link w:val="Heading8Char"/>
    <w:qFormat/>
    <w:pPr>
      <w:numPr>
        <w:ilvl w:val="7"/>
        <w:numId w:val="5"/>
      </w:numPr>
      <w:spacing w:before="240" w:after="60" w:line="240" w:lineRule="auto"/>
      <w:outlineLvl w:val="7"/>
    </w:pPr>
    <w:rPr>
      <w:rFonts w:ascii="Arial" w:eastAsia="Times New Roman" w:hAnsi="Arial" w:cs="Times New Roman"/>
      <w:i/>
      <w:sz w:val="24"/>
      <w:szCs w:val="20"/>
      <w:lang w:val="es-ES"/>
    </w:rPr>
  </w:style>
  <w:style w:type="paragraph" w:styleId="Heading9">
    <w:name w:val="heading 9"/>
    <w:basedOn w:val="Normal"/>
    <w:next w:val="Normal"/>
    <w:link w:val="Heading9Char"/>
    <w:qFormat/>
    <w:pPr>
      <w:numPr>
        <w:ilvl w:val="8"/>
        <w:numId w:val="5"/>
      </w:numPr>
      <w:spacing w:before="240" w:after="60" w:line="240" w:lineRule="auto"/>
      <w:outlineLvl w:val="8"/>
    </w:pPr>
    <w:rPr>
      <w:rFonts w:ascii="Arial" w:eastAsia="Times New Roman" w:hAnsi="Arial" w:cs="Times New Roman"/>
      <w:b/>
      <w:i/>
      <w:sz w:val="18"/>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link w:val="ChapterChar"/>
    <w:pPr>
      <w:keepNext/>
      <w:numPr>
        <w:numId w:val="1"/>
      </w:numPr>
      <w:tabs>
        <w:tab w:val="left" w:pos="1440"/>
      </w:tabs>
      <w:spacing w:before="240" w:after="240" w:line="240" w:lineRule="auto"/>
      <w:jc w:val="center"/>
    </w:pPr>
    <w:rPr>
      <w:rFonts w:ascii="Times New Roman" w:hAnsi="Times New Roman" w:cs="Times New Roman"/>
      <w:b/>
      <w:smallCaps/>
      <w:sz w:val="24"/>
      <w:szCs w:val="24"/>
      <w:lang w:val="es-ES"/>
    </w:rPr>
  </w:style>
  <w:style w:type="paragraph" w:customStyle="1" w:styleId="subpar">
    <w:name w:val="subpar"/>
    <w:basedOn w:val="Normal"/>
    <w:pPr>
      <w:numPr>
        <w:ilvl w:val="2"/>
        <w:numId w:val="1"/>
      </w:numPr>
      <w:spacing w:before="120" w:after="120" w:line="240" w:lineRule="auto"/>
      <w:jc w:val="both"/>
      <w:outlineLvl w:val="2"/>
    </w:pPr>
    <w:rPr>
      <w:rFonts w:ascii="Times New Roman" w:hAnsi="Times New Roman" w:cs="Times New Roman"/>
      <w:sz w:val="24"/>
      <w:szCs w:val="24"/>
      <w:lang w:val="es-ES"/>
    </w:rPr>
  </w:style>
  <w:style w:type="paragraph" w:customStyle="1" w:styleId="SubSubPar">
    <w:name w:val="SubSubPar"/>
    <w:basedOn w:val="subpar"/>
    <w:pPr>
      <w:numPr>
        <w:ilvl w:val="0"/>
        <w:numId w:val="0"/>
      </w:numPr>
      <w:tabs>
        <w:tab w:val="left" w:pos="0"/>
        <w:tab w:val="num" w:pos="1152"/>
        <w:tab w:val="num" w:pos="1296"/>
        <w:tab w:val="num" w:pos="1584"/>
      </w:tabs>
    </w:pPr>
  </w:style>
  <w:style w:type="paragraph" w:customStyle="1" w:styleId="Paragraph">
    <w:name w:val="Paragraph"/>
    <w:aliases w:val="paragraph,p,PARAGRAPH,PG,pa,at"/>
    <w:basedOn w:val="Normal"/>
    <w:link w:val="ParagraphChar"/>
    <w:qFormat/>
    <w:pPr>
      <w:numPr>
        <w:ilvl w:val="1"/>
        <w:numId w:val="1"/>
      </w:numPr>
      <w:spacing w:before="120" w:after="120" w:line="240" w:lineRule="auto"/>
      <w:jc w:val="both"/>
      <w:outlineLvl w:val="1"/>
    </w:pPr>
    <w:rPr>
      <w:rFonts w:ascii="Times New Roman" w:hAnsi="Times New Roman" w:cs="Times New Roman"/>
      <w:sz w:val="24"/>
      <w:szCs w:val="24"/>
      <w:lang w:val="es-ES"/>
    </w:rPr>
  </w:style>
  <w:style w:type="character" w:customStyle="1" w:styleId="ParagraphChar">
    <w:name w:val="Paragraph Char"/>
    <w:aliases w:val="p Char,PARAGRAPH Char,PG Char,pa Char,at Char,paragraph Char"/>
    <w:basedOn w:val="DefaultParagraphFont"/>
    <w:link w:val="Paragraph"/>
    <w:locked/>
    <w:rPr>
      <w:rFonts w:ascii="Times New Roman" w:hAnsi="Times New Roman" w:cs="Times New Roman"/>
      <w:sz w:val="24"/>
      <w:szCs w:val="24"/>
      <w:lang w:val="es-ES"/>
    </w:rPr>
  </w:style>
  <w:style w:type="character" w:customStyle="1" w:styleId="ChapterChar">
    <w:name w:val="Chapter Char"/>
    <w:basedOn w:val="DefaultParagraphFont"/>
    <w:link w:val="Chapter"/>
    <w:locked/>
    <w:rPr>
      <w:rFonts w:ascii="Times New Roman" w:hAnsi="Times New Roman" w:cs="Times New Roman"/>
      <w:b/>
      <w:smallCaps/>
      <w:sz w:val="24"/>
      <w:szCs w:val="24"/>
      <w:lang w:val="es-ES"/>
    </w:rPr>
  </w:style>
  <w:style w:type="character" w:customStyle="1" w:styleId="Refdenotaderodap1">
    <w:name w:val="Ref. de nota de rodapé1"/>
    <w:aliases w:val="referencia nota al pie,Fußnotenzeichen DISS,16 Point,Superscript 6 Point,ftref,FC,Style 24,titulo 2,pie pddes,Ref,de nota al pie,Ref. de nota al pie.,Ref. de nota al pie EDEP,Footnote Reference Number,Footnote Reference_LVL6,fr"/>
    <w:basedOn w:val="DefaultParagraphFont"/>
    <w:uiPriority w:val="99"/>
    <w:qFormat/>
    <w:rPr>
      <w:vertAlign w:val="superscript"/>
    </w:rPr>
  </w:style>
  <w:style w:type="paragraph" w:styleId="FootnoteText">
    <w:name w:val="footnote text"/>
    <w:aliases w:val="foottextfra,footnote,F,Texto nota pie Car Car,Texto de rodapé,nota_rodapé,nota de rodapé,FOOTNOTES,single space,footnote text,Footnote Text Char Char,ADB,texto de nota al pie,Nota a pie/Bibliog,Texto nota pie Car Car Car,f,ft,single spac"/>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textfra Char1,footnote Char1,F Char1,Texto nota pie Car Car Char1,Texto de rodapé Char1,nota_rodapé Char1,nota de rodapé Char1,FOOTNOTES Char1,single space Char1,footnote text Char1,Footnote Text Char Char Char,ADB Char1,f Char1"/>
    <w:basedOn w:val="DefaultParagraphFont"/>
    <w:link w:val="FootnoteText"/>
    <w:uiPriority w:val="99"/>
    <w:rPr>
      <w:sz w:val="20"/>
      <w:szCs w:val="20"/>
      <w:lang w:val="es-ES_tradnl"/>
    </w:rPr>
  </w:style>
  <w:style w:type="character" w:styleId="FootnoteReference">
    <w:name w:val="footnote reference"/>
    <w:aliases w:val="Referência de rodapé,SUPERS"/>
    <w:basedOn w:val="DefaultParagraphFo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rPr>
  </w:style>
  <w:style w:type="character" w:customStyle="1" w:styleId="TextodenotaderodapChar">
    <w:name w:val="Texto de nota de rodapé Char"/>
    <w:aliases w:val="fn Char,Footnote Text Char1,foottextfra Char,footnote Char,F Char,Texto nota pie Car Car Char,Texto de rodapé Char,nota_rodapé Char,nota de rodapé Char,FOOTNOTES Char,single space Char,footnote text Char,ADB Char,f Char"/>
    <w:basedOn w:val="DefaultParagraphFont"/>
    <w:link w:val="Textodenotaderodap1"/>
    <w:uiPriority w:val="99"/>
    <w:locked/>
    <w:rPr>
      <w:spacing w:val="-3"/>
      <w:lang w:val="x-none" w:eastAsia="x-none"/>
    </w:rPr>
  </w:style>
  <w:style w:type="paragraph" w:customStyle="1" w:styleId="Textodenotaderodap1">
    <w:name w:val="Texto de nota de rodapé1"/>
    <w:aliases w:val="fn"/>
    <w:basedOn w:val="Normal"/>
    <w:link w:val="TextodenotaderodapChar"/>
    <w:pPr>
      <w:keepNext/>
      <w:keepLines/>
      <w:spacing w:after="120" w:line="240" w:lineRule="auto"/>
      <w:ind w:left="288" w:hanging="288"/>
      <w:jc w:val="both"/>
    </w:pPr>
    <w:rPr>
      <w:spacing w:val="-3"/>
      <w:lang w:val="x-none" w:eastAsia="x-non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_tradnl"/>
    </w:rPr>
  </w:style>
  <w:style w:type="character" w:styleId="CommentReference">
    <w:name w:val="annotation reference"/>
    <w:basedOn w:val="DefaultParagraphFont"/>
    <w:uiPriority w:val="99"/>
    <w:unhideWhenUsed/>
    <w:rPr>
      <w:sz w:val="18"/>
      <w:szCs w:val="18"/>
    </w:r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character" w:customStyle="1" w:styleId="Heading2Char">
    <w:name w:val="Heading 2 Char"/>
    <w:basedOn w:val="DefaultParagraphFont"/>
    <w:link w:val="Heading2"/>
    <w:uiPriority w:val="1"/>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Pr>
      <w:rFonts w:ascii="Times New Roman" w:eastAsia="Times New Roman" w:hAnsi="Times New Roman"/>
      <w:b/>
      <w:bCs/>
      <w:i/>
      <w:sz w:val="24"/>
      <w:szCs w:val="24"/>
    </w:rPr>
  </w:style>
  <w:style w:type="table" w:customStyle="1" w:styleId="TableNormal1">
    <w:name w:val="Table Normal1"/>
    <w:uiPriority w:val="2"/>
    <w:semiHidden/>
    <w:unhideWhenUsed/>
    <w:qFormat/>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Pr>
      <w:rFonts w:ascii="Times New Roman" w:eastAsia="Times New Roman" w:hAnsi="Times New Roman"/>
      <w:sz w:val="24"/>
      <w:szCs w:val="24"/>
    </w:rPr>
  </w:style>
  <w:style w:type="paragraph" w:customStyle="1" w:styleId="TableParagraph">
    <w:name w:val="Table Paragraph"/>
    <w:basedOn w:val="Normal"/>
    <w:uiPriority w:val="1"/>
    <w:qFormat/>
    <w:pPr>
      <w:widowControl w:val="0"/>
      <w:spacing w:after="0" w:line="240" w:lineRule="auto"/>
    </w:pPr>
    <w:rPr>
      <w:rFonts w:eastAsiaTheme="minorHAnsi"/>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eading1Char">
    <w:name w:val="Heading 1 Char"/>
    <w:basedOn w:val="DefaultParagraphFont"/>
    <w:link w:val="Heading1"/>
    <w:rPr>
      <w:rFonts w:ascii="Arial" w:eastAsia="Times New Roman" w:hAnsi="Arial" w:cs="Times New Roman"/>
      <w:b/>
      <w:kern w:val="28"/>
      <w:sz w:val="28"/>
      <w:szCs w:val="20"/>
      <w:lang w:val="es-ES"/>
    </w:rPr>
  </w:style>
  <w:style w:type="character" w:customStyle="1" w:styleId="Heading4Char">
    <w:name w:val="Heading 4 Char"/>
    <w:basedOn w:val="DefaultParagraphFont"/>
    <w:link w:val="Heading4"/>
    <w:rPr>
      <w:rFonts w:ascii="Arial" w:eastAsia="Times New Roman" w:hAnsi="Arial" w:cs="Times New Roman"/>
      <w:b/>
      <w:sz w:val="24"/>
      <w:szCs w:val="20"/>
      <w:lang w:val="es-ES"/>
    </w:rPr>
  </w:style>
  <w:style w:type="character" w:customStyle="1" w:styleId="Heading5Char">
    <w:name w:val="Heading 5 Char"/>
    <w:basedOn w:val="DefaultParagraphFont"/>
    <w:link w:val="Heading5"/>
    <w:rPr>
      <w:rFonts w:ascii="Times New Roman" w:eastAsia="Times New Roman" w:hAnsi="Times New Roman" w:cs="Times New Roman"/>
      <w:szCs w:val="20"/>
      <w:lang w:val="es-ES"/>
    </w:rPr>
  </w:style>
  <w:style w:type="character" w:customStyle="1" w:styleId="Heading6Char">
    <w:name w:val="Heading 6 Char"/>
    <w:basedOn w:val="DefaultParagraphFont"/>
    <w:link w:val="Heading6"/>
    <w:rPr>
      <w:rFonts w:ascii="Times New Roman" w:eastAsia="Times New Roman" w:hAnsi="Times New Roman" w:cs="Times New Roman"/>
      <w:i/>
      <w:szCs w:val="20"/>
      <w:lang w:val="es-ES"/>
    </w:rPr>
  </w:style>
  <w:style w:type="character" w:customStyle="1" w:styleId="Heading7Char">
    <w:name w:val="Heading 7 Char"/>
    <w:basedOn w:val="DefaultParagraphFont"/>
    <w:link w:val="Heading7"/>
    <w:rPr>
      <w:rFonts w:ascii="Arial" w:eastAsia="Times New Roman" w:hAnsi="Arial" w:cs="Times New Roman"/>
      <w:sz w:val="24"/>
      <w:szCs w:val="20"/>
      <w:lang w:val="es-ES"/>
    </w:rPr>
  </w:style>
  <w:style w:type="character" w:customStyle="1" w:styleId="Heading8Char">
    <w:name w:val="Heading 8 Char"/>
    <w:basedOn w:val="DefaultParagraphFont"/>
    <w:link w:val="Heading8"/>
    <w:rPr>
      <w:rFonts w:ascii="Arial" w:eastAsia="Times New Roman" w:hAnsi="Arial" w:cs="Times New Roman"/>
      <w:i/>
      <w:sz w:val="24"/>
      <w:szCs w:val="20"/>
      <w:lang w:val="es-ES"/>
    </w:rPr>
  </w:style>
  <w:style w:type="character" w:customStyle="1" w:styleId="Heading9Char">
    <w:name w:val="Heading 9 Char"/>
    <w:basedOn w:val="DefaultParagraphFont"/>
    <w:link w:val="Heading9"/>
    <w:rPr>
      <w:rFonts w:ascii="Arial" w:eastAsia="Times New Roman" w:hAnsi="Arial" w:cs="Times New Roman"/>
      <w:b/>
      <w:i/>
      <w:sz w:val="18"/>
      <w:szCs w:val="20"/>
      <w:lang w:val="es-ES"/>
    </w:rPr>
  </w:style>
  <w:style w:type="paragraph" w:customStyle="1" w:styleId="FirstHeading">
    <w:name w:val="FirstHeading"/>
    <w:basedOn w:val="Normal"/>
    <w:next w:val="Normal"/>
    <w:pPr>
      <w:keepNext/>
      <w:numPr>
        <w:numId w:val="5"/>
      </w:numPr>
      <w:tabs>
        <w:tab w:val="left" w:pos="0"/>
        <w:tab w:val="left" w:pos="86"/>
      </w:tabs>
      <w:spacing w:before="120" w:after="120" w:line="240" w:lineRule="auto"/>
    </w:pPr>
    <w:rPr>
      <w:rFonts w:ascii="Times New Roman" w:eastAsia="Times New Roman" w:hAnsi="Times New Roman" w:cs="Times New Roman"/>
      <w:b/>
      <w:sz w:val="24"/>
      <w:szCs w:val="20"/>
      <w:lang w:val="es-ES"/>
    </w:rPr>
  </w:style>
  <w:style w:type="paragraph" w:customStyle="1" w:styleId="SecHeading">
    <w:name w:val="SecHeading"/>
    <w:basedOn w:val="Normal"/>
    <w:next w:val="Paragraph"/>
    <w:pPr>
      <w:keepNext/>
      <w:numPr>
        <w:ilvl w:val="1"/>
        <w:numId w:val="5"/>
      </w:numPr>
      <w:tabs>
        <w:tab w:val="clear" w:pos="5400"/>
        <w:tab w:val="num" w:pos="1296"/>
      </w:tabs>
      <w:spacing w:before="120" w:after="120" w:line="240" w:lineRule="auto"/>
      <w:ind w:left="1296"/>
    </w:pPr>
    <w:rPr>
      <w:rFonts w:ascii="Times New Roman" w:eastAsia="Times New Roman" w:hAnsi="Times New Roman" w:cs="Times New Roman"/>
      <w:b/>
      <w:sz w:val="24"/>
      <w:szCs w:val="20"/>
      <w:lang w:val="es-ES"/>
    </w:rPr>
  </w:style>
  <w:style w:type="paragraph" w:customStyle="1" w:styleId="SubHeading1">
    <w:name w:val="SubHeading1"/>
    <w:basedOn w:val="SecHeading"/>
    <w:pPr>
      <w:numPr>
        <w:ilvl w:val="2"/>
      </w:numPr>
      <w:tabs>
        <w:tab w:val="clear" w:pos="5976"/>
        <w:tab w:val="num" w:pos="1872"/>
      </w:tabs>
      <w:ind w:left="1872"/>
    </w:pPr>
  </w:style>
  <w:style w:type="paragraph" w:customStyle="1" w:styleId="Subheading2">
    <w:name w:val="Subheading2"/>
    <w:basedOn w:val="SecHeading"/>
    <w:pPr>
      <w:numPr>
        <w:ilvl w:val="3"/>
      </w:numPr>
      <w:tabs>
        <w:tab w:val="clear" w:pos="6480"/>
        <w:tab w:val="num" w:pos="2376"/>
      </w:tabs>
      <w:ind w:left="2376"/>
    </w:pPr>
  </w:style>
  <w:style w:type="character" w:customStyle="1" w:styleId="Mention1">
    <w:name w:val="Mention1"/>
    <w:basedOn w:val="DefaultParagraphFont"/>
    <w:uiPriority w:val="99"/>
    <w:semiHidden/>
    <w:unhideWhenUsed/>
    <w:rPr>
      <w:color w:val="2B579A"/>
      <w:shd w:val="clear" w:color="auto" w:fill="E6E6E6"/>
    </w:rPr>
  </w:style>
  <w:style w:type="paragraph" w:styleId="TOCHeading">
    <w:name w:val="TOC Heading"/>
    <w:basedOn w:val="Heading1"/>
    <w:next w:val="Normal"/>
    <w:uiPriority w:val="39"/>
    <w:unhideWhenUsed/>
    <w:qFormat/>
    <w:pPr>
      <w:keepLines/>
      <w:tabs>
        <w:tab w:val="clear" w:pos="360"/>
      </w:tabs>
      <w:spacing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 w:type="paragraph" w:styleId="TOC3">
    <w:name w:val="toc 3"/>
    <w:basedOn w:val="Normal"/>
    <w:next w:val="Normal"/>
    <w:autoRedefine/>
    <w:uiPriority w:val="39"/>
    <w:unhideWhenUsed/>
    <w:pPr>
      <w:spacing w:after="100"/>
      <w:ind w:left="440"/>
    </w:pPr>
  </w:style>
  <w:style w:type="paragraph" w:styleId="TOC1">
    <w:name w:val="toc 1"/>
    <w:basedOn w:val="Normal"/>
    <w:next w:val="Normal"/>
    <w:autoRedefine/>
    <w:uiPriority w:val="39"/>
    <w:unhideWhenUsed/>
    <w:pPr>
      <w:tabs>
        <w:tab w:val="left" w:pos="440"/>
        <w:tab w:val="right" w:leader="dot" w:pos="9016"/>
      </w:tabs>
      <w:spacing w:after="100"/>
      <w:jc w:val="center"/>
    </w:pPr>
  </w:style>
  <w:style w:type="paragraph" w:styleId="TOC2">
    <w:name w:val="toc 2"/>
    <w:basedOn w:val="Normal"/>
    <w:next w:val="Normal"/>
    <w:autoRedefine/>
    <w:uiPriority w:val="39"/>
    <w:unhideWhenUsed/>
    <w:pPr>
      <w:spacing w:after="100"/>
      <w:ind w:left="220"/>
    </w:pPr>
  </w:style>
  <w:style w:type="paragraph" w:styleId="Caption">
    <w:name w:val="caption"/>
    <w:basedOn w:val="Normal"/>
    <w:next w:val="Normal"/>
    <w:semiHidden/>
    <w:unhideWhenUsed/>
    <w:qFormat/>
    <w:pPr>
      <w:spacing w:after="0" w:line="240" w:lineRule="auto"/>
    </w:pPr>
    <w:rPr>
      <w:rFonts w:ascii="Times New Roman" w:eastAsia="Times New Roman" w:hAnsi="Times New Roman" w:cs="Times New Roman"/>
      <w:b/>
      <w:bCs/>
      <w:noProof/>
      <w:sz w:val="20"/>
      <w:szCs w:val="20"/>
      <w:lang w:val="es-ES" w:eastAsia="es-ES"/>
    </w:r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semiHidden/>
    <w:unhideWhenUsed/>
    <w:rPr>
      <w:color w:val="2B579A"/>
      <w:shd w:val="clear" w:color="auto" w:fill="E6E6E6"/>
    </w:rPr>
  </w:style>
  <w:style w:type="character"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8139">
      <w:bodyDiv w:val="1"/>
      <w:marLeft w:val="0"/>
      <w:marRight w:val="0"/>
      <w:marTop w:val="0"/>
      <w:marBottom w:val="0"/>
      <w:divBdr>
        <w:top w:val="none" w:sz="0" w:space="0" w:color="auto"/>
        <w:left w:val="none" w:sz="0" w:space="0" w:color="auto"/>
        <w:bottom w:val="none" w:sz="0" w:space="0" w:color="auto"/>
        <w:right w:val="none" w:sz="0" w:space="0" w:color="auto"/>
      </w:divBdr>
    </w:div>
    <w:div w:id="161243374">
      <w:bodyDiv w:val="1"/>
      <w:marLeft w:val="0"/>
      <w:marRight w:val="0"/>
      <w:marTop w:val="0"/>
      <w:marBottom w:val="0"/>
      <w:divBdr>
        <w:top w:val="none" w:sz="0" w:space="0" w:color="auto"/>
        <w:left w:val="none" w:sz="0" w:space="0" w:color="auto"/>
        <w:bottom w:val="none" w:sz="0" w:space="0" w:color="auto"/>
        <w:right w:val="none" w:sz="0" w:space="0" w:color="auto"/>
      </w:divBdr>
    </w:div>
    <w:div w:id="198327114">
      <w:bodyDiv w:val="1"/>
      <w:marLeft w:val="0"/>
      <w:marRight w:val="0"/>
      <w:marTop w:val="0"/>
      <w:marBottom w:val="0"/>
      <w:divBdr>
        <w:top w:val="none" w:sz="0" w:space="0" w:color="auto"/>
        <w:left w:val="none" w:sz="0" w:space="0" w:color="auto"/>
        <w:bottom w:val="none" w:sz="0" w:space="0" w:color="auto"/>
        <w:right w:val="none" w:sz="0" w:space="0" w:color="auto"/>
      </w:divBdr>
    </w:div>
    <w:div w:id="201749992">
      <w:bodyDiv w:val="1"/>
      <w:marLeft w:val="0"/>
      <w:marRight w:val="0"/>
      <w:marTop w:val="0"/>
      <w:marBottom w:val="0"/>
      <w:divBdr>
        <w:top w:val="none" w:sz="0" w:space="0" w:color="auto"/>
        <w:left w:val="none" w:sz="0" w:space="0" w:color="auto"/>
        <w:bottom w:val="none" w:sz="0" w:space="0" w:color="auto"/>
        <w:right w:val="none" w:sz="0" w:space="0" w:color="auto"/>
      </w:divBdr>
    </w:div>
    <w:div w:id="244724763">
      <w:bodyDiv w:val="1"/>
      <w:marLeft w:val="0"/>
      <w:marRight w:val="0"/>
      <w:marTop w:val="0"/>
      <w:marBottom w:val="0"/>
      <w:divBdr>
        <w:top w:val="none" w:sz="0" w:space="0" w:color="auto"/>
        <w:left w:val="none" w:sz="0" w:space="0" w:color="auto"/>
        <w:bottom w:val="none" w:sz="0" w:space="0" w:color="auto"/>
        <w:right w:val="none" w:sz="0" w:space="0" w:color="auto"/>
      </w:divBdr>
    </w:div>
    <w:div w:id="270011840">
      <w:bodyDiv w:val="1"/>
      <w:marLeft w:val="0"/>
      <w:marRight w:val="0"/>
      <w:marTop w:val="0"/>
      <w:marBottom w:val="0"/>
      <w:divBdr>
        <w:top w:val="none" w:sz="0" w:space="0" w:color="auto"/>
        <w:left w:val="none" w:sz="0" w:space="0" w:color="auto"/>
        <w:bottom w:val="none" w:sz="0" w:space="0" w:color="auto"/>
        <w:right w:val="none" w:sz="0" w:space="0" w:color="auto"/>
      </w:divBdr>
    </w:div>
    <w:div w:id="275674487">
      <w:bodyDiv w:val="1"/>
      <w:marLeft w:val="0"/>
      <w:marRight w:val="0"/>
      <w:marTop w:val="0"/>
      <w:marBottom w:val="0"/>
      <w:divBdr>
        <w:top w:val="none" w:sz="0" w:space="0" w:color="auto"/>
        <w:left w:val="none" w:sz="0" w:space="0" w:color="auto"/>
        <w:bottom w:val="none" w:sz="0" w:space="0" w:color="auto"/>
        <w:right w:val="none" w:sz="0" w:space="0" w:color="auto"/>
      </w:divBdr>
    </w:div>
    <w:div w:id="311561256">
      <w:bodyDiv w:val="1"/>
      <w:marLeft w:val="0"/>
      <w:marRight w:val="0"/>
      <w:marTop w:val="0"/>
      <w:marBottom w:val="0"/>
      <w:divBdr>
        <w:top w:val="none" w:sz="0" w:space="0" w:color="auto"/>
        <w:left w:val="none" w:sz="0" w:space="0" w:color="auto"/>
        <w:bottom w:val="none" w:sz="0" w:space="0" w:color="auto"/>
        <w:right w:val="none" w:sz="0" w:space="0" w:color="auto"/>
      </w:divBdr>
    </w:div>
    <w:div w:id="383649291">
      <w:bodyDiv w:val="1"/>
      <w:marLeft w:val="0"/>
      <w:marRight w:val="0"/>
      <w:marTop w:val="0"/>
      <w:marBottom w:val="0"/>
      <w:divBdr>
        <w:top w:val="none" w:sz="0" w:space="0" w:color="auto"/>
        <w:left w:val="none" w:sz="0" w:space="0" w:color="auto"/>
        <w:bottom w:val="none" w:sz="0" w:space="0" w:color="auto"/>
        <w:right w:val="none" w:sz="0" w:space="0" w:color="auto"/>
      </w:divBdr>
    </w:div>
    <w:div w:id="414017489">
      <w:bodyDiv w:val="1"/>
      <w:marLeft w:val="0"/>
      <w:marRight w:val="0"/>
      <w:marTop w:val="0"/>
      <w:marBottom w:val="0"/>
      <w:divBdr>
        <w:top w:val="none" w:sz="0" w:space="0" w:color="auto"/>
        <w:left w:val="none" w:sz="0" w:space="0" w:color="auto"/>
        <w:bottom w:val="none" w:sz="0" w:space="0" w:color="auto"/>
        <w:right w:val="none" w:sz="0" w:space="0" w:color="auto"/>
      </w:divBdr>
    </w:div>
    <w:div w:id="487869132">
      <w:bodyDiv w:val="1"/>
      <w:marLeft w:val="0"/>
      <w:marRight w:val="0"/>
      <w:marTop w:val="0"/>
      <w:marBottom w:val="0"/>
      <w:divBdr>
        <w:top w:val="none" w:sz="0" w:space="0" w:color="auto"/>
        <w:left w:val="none" w:sz="0" w:space="0" w:color="auto"/>
        <w:bottom w:val="none" w:sz="0" w:space="0" w:color="auto"/>
        <w:right w:val="none" w:sz="0" w:space="0" w:color="auto"/>
      </w:divBdr>
    </w:div>
    <w:div w:id="488523229">
      <w:bodyDiv w:val="1"/>
      <w:marLeft w:val="0"/>
      <w:marRight w:val="0"/>
      <w:marTop w:val="0"/>
      <w:marBottom w:val="0"/>
      <w:divBdr>
        <w:top w:val="none" w:sz="0" w:space="0" w:color="auto"/>
        <w:left w:val="none" w:sz="0" w:space="0" w:color="auto"/>
        <w:bottom w:val="none" w:sz="0" w:space="0" w:color="auto"/>
        <w:right w:val="none" w:sz="0" w:space="0" w:color="auto"/>
      </w:divBdr>
    </w:div>
    <w:div w:id="498467950">
      <w:bodyDiv w:val="1"/>
      <w:marLeft w:val="0"/>
      <w:marRight w:val="0"/>
      <w:marTop w:val="0"/>
      <w:marBottom w:val="0"/>
      <w:divBdr>
        <w:top w:val="none" w:sz="0" w:space="0" w:color="auto"/>
        <w:left w:val="none" w:sz="0" w:space="0" w:color="auto"/>
        <w:bottom w:val="none" w:sz="0" w:space="0" w:color="auto"/>
        <w:right w:val="none" w:sz="0" w:space="0" w:color="auto"/>
      </w:divBdr>
    </w:div>
    <w:div w:id="522745445">
      <w:bodyDiv w:val="1"/>
      <w:marLeft w:val="0"/>
      <w:marRight w:val="0"/>
      <w:marTop w:val="0"/>
      <w:marBottom w:val="0"/>
      <w:divBdr>
        <w:top w:val="none" w:sz="0" w:space="0" w:color="auto"/>
        <w:left w:val="none" w:sz="0" w:space="0" w:color="auto"/>
        <w:bottom w:val="none" w:sz="0" w:space="0" w:color="auto"/>
        <w:right w:val="none" w:sz="0" w:space="0" w:color="auto"/>
      </w:divBdr>
    </w:div>
    <w:div w:id="541212734">
      <w:bodyDiv w:val="1"/>
      <w:marLeft w:val="0"/>
      <w:marRight w:val="0"/>
      <w:marTop w:val="0"/>
      <w:marBottom w:val="0"/>
      <w:divBdr>
        <w:top w:val="none" w:sz="0" w:space="0" w:color="auto"/>
        <w:left w:val="none" w:sz="0" w:space="0" w:color="auto"/>
        <w:bottom w:val="none" w:sz="0" w:space="0" w:color="auto"/>
        <w:right w:val="none" w:sz="0" w:space="0" w:color="auto"/>
      </w:divBdr>
    </w:div>
    <w:div w:id="547104417">
      <w:bodyDiv w:val="1"/>
      <w:marLeft w:val="0"/>
      <w:marRight w:val="0"/>
      <w:marTop w:val="0"/>
      <w:marBottom w:val="0"/>
      <w:divBdr>
        <w:top w:val="none" w:sz="0" w:space="0" w:color="auto"/>
        <w:left w:val="none" w:sz="0" w:space="0" w:color="auto"/>
        <w:bottom w:val="none" w:sz="0" w:space="0" w:color="auto"/>
        <w:right w:val="none" w:sz="0" w:space="0" w:color="auto"/>
      </w:divBdr>
    </w:div>
    <w:div w:id="564413563">
      <w:bodyDiv w:val="1"/>
      <w:marLeft w:val="0"/>
      <w:marRight w:val="0"/>
      <w:marTop w:val="0"/>
      <w:marBottom w:val="0"/>
      <w:divBdr>
        <w:top w:val="none" w:sz="0" w:space="0" w:color="auto"/>
        <w:left w:val="none" w:sz="0" w:space="0" w:color="auto"/>
        <w:bottom w:val="none" w:sz="0" w:space="0" w:color="auto"/>
        <w:right w:val="none" w:sz="0" w:space="0" w:color="auto"/>
      </w:divBdr>
    </w:div>
    <w:div w:id="612901326">
      <w:bodyDiv w:val="1"/>
      <w:marLeft w:val="0"/>
      <w:marRight w:val="0"/>
      <w:marTop w:val="0"/>
      <w:marBottom w:val="0"/>
      <w:divBdr>
        <w:top w:val="none" w:sz="0" w:space="0" w:color="auto"/>
        <w:left w:val="none" w:sz="0" w:space="0" w:color="auto"/>
        <w:bottom w:val="none" w:sz="0" w:space="0" w:color="auto"/>
        <w:right w:val="none" w:sz="0" w:space="0" w:color="auto"/>
      </w:divBdr>
    </w:div>
    <w:div w:id="627206383">
      <w:bodyDiv w:val="1"/>
      <w:marLeft w:val="0"/>
      <w:marRight w:val="0"/>
      <w:marTop w:val="0"/>
      <w:marBottom w:val="0"/>
      <w:divBdr>
        <w:top w:val="none" w:sz="0" w:space="0" w:color="auto"/>
        <w:left w:val="none" w:sz="0" w:space="0" w:color="auto"/>
        <w:bottom w:val="none" w:sz="0" w:space="0" w:color="auto"/>
        <w:right w:val="none" w:sz="0" w:space="0" w:color="auto"/>
      </w:divBdr>
    </w:div>
    <w:div w:id="631639082">
      <w:bodyDiv w:val="1"/>
      <w:marLeft w:val="0"/>
      <w:marRight w:val="0"/>
      <w:marTop w:val="0"/>
      <w:marBottom w:val="0"/>
      <w:divBdr>
        <w:top w:val="none" w:sz="0" w:space="0" w:color="auto"/>
        <w:left w:val="none" w:sz="0" w:space="0" w:color="auto"/>
        <w:bottom w:val="none" w:sz="0" w:space="0" w:color="auto"/>
        <w:right w:val="none" w:sz="0" w:space="0" w:color="auto"/>
      </w:divBdr>
    </w:div>
    <w:div w:id="637498391">
      <w:bodyDiv w:val="1"/>
      <w:marLeft w:val="0"/>
      <w:marRight w:val="0"/>
      <w:marTop w:val="0"/>
      <w:marBottom w:val="0"/>
      <w:divBdr>
        <w:top w:val="none" w:sz="0" w:space="0" w:color="auto"/>
        <w:left w:val="none" w:sz="0" w:space="0" w:color="auto"/>
        <w:bottom w:val="none" w:sz="0" w:space="0" w:color="auto"/>
        <w:right w:val="none" w:sz="0" w:space="0" w:color="auto"/>
      </w:divBdr>
    </w:div>
    <w:div w:id="663433244">
      <w:bodyDiv w:val="1"/>
      <w:marLeft w:val="0"/>
      <w:marRight w:val="0"/>
      <w:marTop w:val="0"/>
      <w:marBottom w:val="0"/>
      <w:divBdr>
        <w:top w:val="none" w:sz="0" w:space="0" w:color="auto"/>
        <w:left w:val="none" w:sz="0" w:space="0" w:color="auto"/>
        <w:bottom w:val="none" w:sz="0" w:space="0" w:color="auto"/>
        <w:right w:val="none" w:sz="0" w:space="0" w:color="auto"/>
      </w:divBdr>
    </w:div>
    <w:div w:id="664865875">
      <w:bodyDiv w:val="1"/>
      <w:marLeft w:val="0"/>
      <w:marRight w:val="0"/>
      <w:marTop w:val="0"/>
      <w:marBottom w:val="0"/>
      <w:divBdr>
        <w:top w:val="none" w:sz="0" w:space="0" w:color="auto"/>
        <w:left w:val="none" w:sz="0" w:space="0" w:color="auto"/>
        <w:bottom w:val="none" w:sz="0" w:space="0" w:color="auto"/>
        <w:right w:val="none" w:sz="0" w:space="0" w:color="auto"/>
      </w:divBdr>
    </w:div>
    <w:div w:id="683820382">
      <w:bodyDiv w:val="1"/>
      <w:marLeft w:val="0"/>
      <w:marRight w:val="0"/>
      <w:marTop w:val="0"/>
      <w:marBottom w:val="0"/>
      <w:divBdr>
        <w:top w:val="none" w:sz="0" w:space="0" w:color="auto"/>
        <w:left w:val="none" w:sz="0" w:space="0" w:color="auto"/>
        <w:bottom w:val="none" w:sz="0" w:space="0" w:color="auto"/>
        <w:right w:val="none" w:sz="0" w:space="0" w:color="auto"/>
      </w:divBdr>
    </w:div>
    <w:div w:id="690839964">
      <w:bodyDiv w:val="1"/>
      <w:marLeft w:val="0"/>
      <w:marRight w:val="0"/>
      <w:marTop w:val="0"/>
      <w:marBottom w:val="0"/>
      <w:divBdr>
        <w:top w:val="none" w:sz="0" w:space="0" w:color="auto"/>
        <w:left w:val="none" w:sz="0" w:space="0" w:color="auto"/>
        <w:bottom w:val="none" w:sz="0" w:space="0" w:color="auto"/>
        <w:right w:val="none" w:sz="0" w:space="0" w:color="auto"/>
      </w:divBdr>
    </w:div>
    <w:div w:id="702825551">
      <w:bodyDiv w:val="1"/>
      <w:marLeft w:val="0"/>
      <w:marRight w:val="0"/>
      <w:marTop w:val="0"/>
      <w:marBottom w:val="0"/>
      <w:divBdr>
        <w:top w:val="none" w:sz="0" w:space="0" w:color="auto"/>
        <w:left w:val="none" w:sz="0" w:space="0" w:color="auto"/>
        <w:bottom w:val="none" w:sz="0" w:space="0" w:color="auto"/>
        <w:right w:val="none" w:sz="0" w:space="0" w:color="auto"/>
      </w:divBdr>
    </w:div>
    <w:div w:id="714355040">
      <w:bodyDiv w:val="1"/>
      <w:marLeft w:val="0"/>
      <w:marRight w:val="0"/>
      <w:marTop w:val="0"/>
      <w:marBottom w:val="0"/>
      <w:divBdr>
        <w:top w:val="none" w:sz="0" w:space="0" w:color="auto"/>
        <w:left w:val="none" w:sz="0" w:space="0" w:color="auto"/>
        <w:bottom w:val="none" w:sz="0" w:space="0" w:color="auto"/>
        <w:right w:val="none" w:sz="0" w:space="0" w:color="auto"/>
      </w:divBdr>
    </w:div>
    <w:div w:id="716590910">
      <w:bodyDiv w:val="1"/>
      <w:marLeft w:val="0"/>
      <w:marRight w:val="0"/>
      <w:marTop w:val="0"/>
      <w:marBottom w:val="0"/>
      <w:divBdr>
        <w:top w:val="none" w:sz="0" w:space="0" w:color="auto"/>
        <w:left w:val="none" w:sz="0" w:space="0" w:color="auto"/>
        <w:bottom w:val="none" w:sz="0" w:space="0" w:color="auto"/>
        <w:right w:val="none" w:sz="0" w:space="0" w:color="auto"/>
      </w:divBdr>
    </w:div>
    <w:div w:id="720904336">
      <w:bodyDiv w:val="1"/>
      <w:marLeft w:val="0"/>
      <w:marRight w:val="0"/>
      <w:marTop w:val="0"/>
      <w:marBottom w:val="0"/>
      <w:divBdr>
        <w:top w:val="none" w:sz="0" w:space="0" w:color="auto"/>
        <w:left w:val="none" w:sz="0" w:space="0" w:color="auto"/>
        <w:bottom w:val="none" w:sz="0" w:space="0" w:color="auto"/>
        <w:right w:val="none" w:sz="0" w:space="0" w:color="auto"/>
      </w:divBdr>
    </w:div>
    <w:div w:id="750472730">
      <w:bodyDiv w:val="1"/>
      <w:marLeft w:val="0"/>
      <w:marRight w:val="0"/>
      <w:marTop w:val="0"/>
      <w:marBottom w:val="0"/>
      <w:divBdr>
        <w:top w:val="none" w:sz="0" w:space="0" w:color="auto"/>
        <w:left w:val="none" w:sz="0" w:space="0" w:color="auto"/>
        <w:bottom w:val="none" w:sz="0" w:space="0" w:color="auto"/>
        <w:right w:val="none" w:sz="0" w:space="0" w:color="auto"/>
      </w:divBdr>
    </w:div>
    <w:div w:id="763309610">
      <w:bodyDiv w:val="1"/>
      <w:marLeft w:val="0"/>
      <w:marRight w:val="0"/>
      <w:marTop w:val="0"/>
      <w:marBottom w:val="0"/>
      <w:divBdr>
        <w:top w:val="none" w:sz="0" w:space="0" w:color="auto"/>
        <w:left w:val="none" w:sz="0" w:space="0" w:color="auto"/>
        <w:bottom w:val="none" w:sz="0" w:space="0" w:color="auto"/>
        <w:right w:val="none" w:sz="0" w:space="0" w:color="auto"/>
      </w:divBdr>
    </w:div>
    <w:div w:id="795762257">
      <w:bodyDiv w:val="1"/>
      <w:marLeft w:val="0"/>
      <w:marRight w:val="0"/>
      <w:marTop w:val="0"/>
      <w:marBottom w:val="0"/>
      <w:divBdr>
        <w:top w:val="none" w:sz="0" w:space="0" w:color="auto"/>
        <w:left w:val="none" w:sz="0" w:space="0" w:color="auto"/>
        <w:bottom w:val="none" w:sz="0" w:space="0" w:color="auto"/>
        <w:right w:val="none" w:sz="0" w:space="0" w:color="auto"/>
      </w:divBdr>
    </w:div>
    <w:div w:id="799112992">
      <w:bodyDiv w:val="1"/>
      <w:marLeft w:val="0"/>
      <w:marRight w:val="0"/>
      <w:marTop w:val="0"/>
      <w:marBottom w:val="0"/>
      <w:divBdr>
        <w:top w:val="none" w:sz="0" w:space="0" w:color="auto"/>
        <w:left w:val="none" w:sz="0" w:space="0" w:color="auto"/>
        <w:bottom w:val="none" w:sz="0" w:space="0" w:color="auto"/>
        <w:right w:val="none" w:sz="0" w:space="0" w:color="auto"/>
      </w:divBdr>
    </w:div>
    <w:div w:id="840855124">
      <w:bodyDiv w:val="1"/>
      <w:marLeft w:val="0"/>
      <w:marRight w:val="0"/>
      <w:marTop w:val="0"/>
      <w:marBottom w:val="0"/>
      <w:divBdr>
        <w:top w:val="none" w:sz="0" w:space="0" w:color="auto"/>
        <w:left w:val="none" w:sz="0" w:space="0" w:color="auto"/>
        <w:bottom w:val="none" w:sz="0" w:space="0" w:color="auto"/>
        <w:right w:val="none" w:sz="0" w:space="0" w:color="auto"/>
      </w:divBdr>
    </w:div>
    <w:div w:id="841703978">
      <w:bodyDiv w:val="1"/>
      <w:marLeft w:val="0"/>
      <w:marRight w:val="0"/>
      <w:marTop w:val="0"/>
      <w:marBottom w:val="0"/>
      <w:divBdr>
        <w:top w:val="none" w:sz="0" w:space="0" w:color="auto"/>
        <w:left w:val="none" w:sz="0" w:space="0" w:color="auto"/>
        <w:bottom w:val="none" w:sz="0" w:space="0" w:color="auto"/>
        <w:right w:val="none" w:sz="0" w:space="0" w:color="auto"/>
      </w:divBdr>
    </w:div>
    <w:div w:id="864683091">
      <w:bodyDiv w:val="1"/>
      <w:marLeft w:val="0"/>
      <w:marRight w:val="0"/>
      <w:marTop w:val="0"/>
      <w:marBottom w:val="0"/>
      <w:divBdr>
        <w:top w:val="none" w:sz="0" w:space="0" w:color="auto"/>
        <w:left w:val="none" w:sz="0" w:space="0" w:color="auto"/>
        <w:bottom w:val="none" w:sz="0" w:space="0" w:color="auto"/>
        <w:right w:val="none" w:sz="0" w:space="0" w:color="auto"/>
      </w:divBdr>
    </w:div>
    <w:div w:id="901214189">
      <w:bodyDiv w:val="1"/>
      <w:marLeft w:val="0"/>
      <w:marRight w:val="0"/>
      <w:marTop w:val="0"/>
      <w:marBottom w:val="0"/>
      <w:divBdr>
        <w:top w:val="none" w:sz="0" w:space="0" w:color="auto"/>
        <w:left w:val="none" w:sz="0" w:space="0" w:color="auto"/>
        <w:bottom w:val="none" w:sz="0" w:space="0" w:color="auto"/>
        <w:right w:val="none" w:sz="0" w:space="0" w:color="auto"/>
      </w:divBdr>
    </w:div>
    <w:div w:id="915481042">
      <w:bodyDiv w:val="1"/>
      <w:marLeft w:val="0"/>
      <w:marRight w:val="0"/>
      <w:marTop w:val="0"/>
      <w:marBottom w:val="0"/>
      <w:divBdr>
        <w:top w:val="none" w:sz="0" w:space="0" w:color="auto"/>
        <w:left w:val="none" w:sz="0" w:space="0" w:color="auto"/>
        <w:bottom w:val="none" w:sz="0" w:space="0" w:color="auto"/>
        <w:right w:val="none" w:sz="0" w:space="0" w:color="auto"/>
      </w:divBdr>
    </w:div>
    <w:div w:id="1014770923">
      <w:bodyDiv w:val="1"/>
      <w:marLeft w:val="0"/>
      <w:marRight w:val="0"/>
      <w:marTop w:val="0"/>
      <w:marBottom w:val="0"/>
      <w:divBdr>
        <w:top w:val="none" w:sz="0" w:space="0" w:color="auto"/>
        <w:left w:val="none" w:sz="0" w:space="0" w:color="auto"/>
        <w:bottom w:val="none" w:sz="0" w:space="0" w:color="auto"/>
        <w:right w:val="none" w:sz="0" w:space="0" w:color="auto"/>
      </w:divBdr>
    </w:div>
    <w:div w:id="1069887070">
      <w:bodyDiv w:val="1"/>
      <w:marLeft w:val="0"/>
      <w:marRight w:val="0"/>
      <w:marTop w:val="0"/>
      <w:marBottom w:val="0"/>
      <w:divBdr>
        <w:top w:val="none" w:sz="0" w:space="0" w:color="auto"/>
        <w:left w:val="none" w:sz="0" w:space="0" w:color="auto"/>
        <w:bottom w:val="none" w:sz="0" w:space="0" w:color="auto"/>
        <w:right w:val="none" w:sz="0" w:space="0" w:color="auto"/>
      </w:divBdr>
    </w:div>
    <w:div w:id="1102337644">
      <w:bodyDiv w:val="1"/>
      <w:marLeft w:val="0"/>
      <w:marRight w:val="0"/>
      <w:marTop w:val="0"/>
      <w:marBottom w:val="0"/>
      <w:divBdr>
        <w:top w:val="none" w:sz="0" w:space="0" w:color="auto"/>
        <w:left w:val="none" w:sz="0" w:space="0" w:color="auto"/>
        <w:bottom w:val="none" w:sz="0" w:space="0" w:color="auto"/>
        <w:right w:val="none" w:sz="0" w:space="0" w:color="auto"/>
      </w:divBdr>
    </w:div>
    <w:div w:id="1128858007">
      <w:bodyDiv w:val="1"/>
      <w:marLeft w:val="0"/>
      <w:marRight w:val="0"/>
      <w:marTop w:val="0"/>
      <w:marBottom w:val="0"/>
      <w:divBdr>
        <w:top w:val="none" w:sz="0" w:space="0" w:color="auto"/>
        <w:left w:val="none" w:sz="0" w:space="0" w:color="auto"/>
        <w:bottom w:val="none" w:sz="0" w:space="0" w:color="auto"/>
        <w:right w:val="none" w:sz="0" w:space="0" w:color="auto"/>
      </w:divBdr>
    </w:div>
    <w:div w:id="1168715484">
      <w:bodyDiv w:val="1"/>
      <w:marLeft w:val="0"/>
      <w:marRight w:val="0"/>
      <w:marTop w:val="0"/>
      <w:marBottom w:val="0"/>
      <w:divBdr>
        <w:top w:val="none" w:sz="0" w:space="0" w:color="auto"/>
        <w:left w:val="none" w:sz="0" w:space="0" w:color="auto"/>
        <w:bottom w:val="none" w:sz="0" w:space="0" w:color="auto"/>
        <w:right w:val="none" w:sz="0" w:space="0" w:color="auto"/>
      </w:divBdr>
    </w:div>
    <w:div w:id="1171988000">
      <w:bodyDiv w:val="1"/>
      <w:marLeft w:val="0"/>
      <w:marRight w:val="0"/>
      <w:marTop w:val="0"/>
      <w:marBottom w:val="0"/>
      <w:divBdr>
        <w:top w:val="none" w:sz="0" w:space="0" w:color="auto"/>
        <w:left w:val="none" w:sz="0" w:space="0" w:color="auto"/>
        <w:bottom w:val="none" w:sz="0" w:space="0" w:color="auto"/>
        <w:right w:val="none" w:sz="0" w:space="0" w:color="auto"/>
      </w:divBdr>
    </w:div>
    <w:div w:id="1209956406">
      <w:bodyDiv w:val="1"/>
      <w:marLeft w:val="0"/>
      <w:marRight w:val="0"/>
      <w:marTop w:val="0"/>
      <w:marBottom w:val="0"/>
      <w:divBdr>
        <w:top w:val="none" w:sz="0" w:space="0" w:color="auto"/>
        <w:left w:val="none" w:sz="0" w:space="0" w:color="auto"/>
        <w:bottom w:val="none" w:sz="0" w:space="0" w:color="auto"/>
        <w:right w:val="none" w:sz="0" w:space="0" w:color="auto"/>
      </w:divBdr>
    </w:div>
    <w:div w:id="1212158166">
      <w:bodyDiv w:val="1"/>
      <w:marLeft w:val="0"/>
      <w:marRight w:val="0"/>
      <w:marTop w:val="0"/>
      <w:marBottom w:val="0"/>
      <w:divBdr>
        <w:top w:val="none" w:sz="0" w:space="0" w:color="auto"/>
        <w:left w:val="none" w:sz="0" w:space="0" w:color="auto"/>
        <w:bottom w:val="none" w:sz="0" w:space="0" w:color="auto"/>
        <w:right w:val="none" w:sz="0" w:space="0" w:color="auto"/>
      </w:divBdr>
    </w:div>
    <w:div w:id="1259748791">
      <w:bodyDiv w:val="1"/>
      <w:marLeft w:val="0"/>
      <w:marRight w:val="0"/>
      <w:marTop w:val="0"/>
      <w:marBottom w:val="0"/>
      <w:divBdr>
        <w:top w:val="none" w:sz="0" w:space="0" w:color="auto"/>
        <w:left w:val="none" w:sz="0" w:space="0" w:color="auto"/>
        <w:bottom w:val="none" w:sz="0" w:space="0" w:color="auto"/>
        <w:right w:val="none" w:sz="0" w:space="0" w:color="auto"/>
      </w:divBdr>
    </w:div>
    <w:div w:id="1284194260">
      <w:bodyDiv w:val="1"/>
      <w:marLeft w:val="0"/>
      <w:marRight w:val="0"/>
      <w:marTop w:val="0"/>
      <w:marBottom w:val="0"/>
      <w:divBdr>
        <w:top w:val="none" w:sz="0" w:space="0" w:color="auto"/>
        <w:left w:val="none" w:sz="0" w:space="0" w:color="auto"/>
        <w:bottom w:val="none" w:sz="0" w:space="0" w:color="auto"/>
        <w:right w:val="none" w:sz="0" w:space="0" w:color="auto"/>
      </w:divBdr>
    </w:div>
    <w:div w:id="1288897474">
      <w:bodyDiv w:val="1"/>
      <w:marLeft w:val="0"/>
      <w:marRight w:val="0"/>
      <w:marTop w:val="0"/>
      <w:marBottom w:val="0"/>
      <w:divBdr>
        <w:top w:val="none" w:sz="0" w:space="0" w:color="auto"/>
        <w:left w:val="none" w:sz="0" w:space="0" w:color="auto"/>
        <w:bottom w:val="none" w:sz="0" w:space="0" w:color="auto"/>
        <w:right w:val="none" w:sz="0" w:space="0" w:color="auto"/>
      </w:divBdr>
    </w:div>
    <w:div w:id="1290549818">
      <w:bodyDiv w:val="1"/>
      <w:marLeft w:val="0"/>
      <w:marRight w:val="0"/>
      <w:marTop w:val="0"/>
      <w:marBottom w:val="0"/>
      <w:divBdr>
        <w:top w:val="none" w:sz="0" w:space="0" w:color="auto"/>
        <w:left w:val="none" w:sz="0" w:space="0" w:color="auto"/>
        <w:bottom w:val="none" w:sz="0" w:space="0" w:color="auto"/>
        <w:right w:val="none" w:sz="0" w:space="0" w:color="auto"/>
      </w:divBdr>
    </w:div>
    <w:div w:id="1322584520">
      <w:bodyDiv w:val="1"/>
      <w:marLeft w:val="0"/>
      <w:marRight w:val="0"/>
      <w:marTop w:val="0"/>
      <w:marBottom w:val="0"/>
      <w:divBdr>
        <w:top w:val="none" w:sz="0" w:space="0" w:color="auto"/>
        <w:left w:val="none" w:sz="0" w:space="0" w:color="auto"/>
        <w:bottom w:val="none" w:sz="0" w:space="0" w:color="auto"/>
        <w:right w:val="none" w:sz="0" w:space="0" w:color="auto"/>
      </w:divBdr>
    </w:div>
    <w:div w:id="1324241474">
      <w:bodyDiv w:val="1"/>
      <w:marLeft w:val="0"/>
      <w:marRight w:val="0"/>
      <w:marTop w:val="0"/>
      <w:marBottom w:val="0"/>
      <w:divBdr>
        <w:top w:val="none" w:sz="0" w:space="0" w:color="auto"/>
        <w:left w:val="none" w:sz="0" w:space="0" w:color="auto"/>
        <w:bottom w:val="none" w:sz="0" w:space="0" w:color="auto"/>
        <w:right w:val="none" w:sz="0" w:space="0" w:color="auto"/>
      </w:divBdr>
    </w:div>
    <w:div w:id="1326206789">
      <w:bodyDiv w:val="1"/>
      <w:marLeft w:val="0"/>
      <w:marRight w:val="0"/>
      <w:marTop w:val="0"/>
      <w:marBottom w:val="0"/>
      <w:divBdr>
        <w:top w:val="none" w:sz="0" w:space="0" w:color="auto"/>
        <w:left w:val="none" w:sz="0" w:space="0" w:color="auto"/>
        <w:bottom w:val="none" w:sz="0" w:space="0" w:color="auto"/>
        <w:right w:val="none" w:sz="0" w:space="0" w:color="auto"/>
      </w:divBdr>
    </w:div>
    <w:div w:id="1351420434">
      <w:bodyDiv w:val="1"/>
      <w:marLeft w:val="0"/>
      <w:marRight w:val="0"/>
      <w:marTop w:val="0"/>
      <w:marBottom w:val="0"/>
      <w:divBdr>
        <w:top w:val="none" w:sz="0" w:space="0" w:color="auto"/>
        <w:left w:val="none" w:sz="0" w:space="0" w:color="auto"/>
        <w:bottom w:val="none" w:sz="0" w:space="0" w:color="auto"/>
        <w:right w:val="none" w:sz="0" w:space="0" w:color="auto"/>
      </w:divBdr>
    </w:div>
    <w:div w:id="1369262736">
      <w:bodyDiv w:val="1"/>
      <w:marLeft w:val="0"/>
      <w:marRight w:val="0"/>
      <w:marTop w:val="0"/>
      <w:marBottom w:val="0"/>
      <w:divBdr>
        <w:top w:val="none" w:sz="0" w:space="0" w:color="auto"/>
        <w:left w:val="none" w:sz="0" w:space="0" w:color="auto"/>
        <w:bottom w:val="none" w:sz="0" w:space="0" w:color="auto"/>
        <w:right w:val="none" w:sz="0" w:space="0" w:color="auto"/>
      </w:divBdr>
    </w:div>
    <w:div w:id="1381594619">
      <w:bodyDiv w:val="1"/>
      <w:marLeft w:val="0"/>
      <w:marRight w:val="0"/>
      <w:marTop w:val="0"/>
      <w:marBottom w:val="0"/>
      <w:divBdr>
        <w:top w:val="none" w:sz="0" w:space="0" w:color="auto"/>
        <w:left w:val="none" w:sz="0" w:space="0" w:color="auto"/>
        <w:bottom w:val="none" w:sz="0" w:space="0" w:color="auto"/>
        <w:right w:val="none" w:sz="0" w:space="0" w:color="auto"/>
      </w:divBdr>
    </w:div>
    <w:div w:id="1384595666">
      <w:bodyDiv w:val="1"/>
      <w:marLeft w:val="0"/>
      <w:marRight w:val="0"/>
      <w:marTop w:val="0"/>
      <w:marBottom w:val="0"/>
      <w:divBdr>
        <w:top w:val="none" w:sz="0" w:space="0" w:color="auto"/>
        <w:left w:val="none" w:sz="0" w:space="0" w:color="auto"/>
        <w:bottom w:val="none" w:sz="0" w:space="0" w:color="auto"/>
        <w:right w:val="none" w:sz="0" w:space="0" w:color="auto"/>
      </w:divBdr>
    </w:div>
    <w:div w:id="1400908581">
      <w:bodyDiv w:val="1"/>
      <w:marLeft w:val="0"/>
      <w:marRight w:val="0"/>
      <w:marTop w:val="0"/>
      <w:marBottom w:val="0"/>
      <w:divBdr>
        <w:top w:val="none" w:sz="0" w:space="0" w:color="auto"/>
        <w:left w:val="none" w:sz="0" w:space="0" w:color="auto"/>
        <w:bottom w:val="none" w:sz="0" w:space="0" w:color="auto"/>
        <w:right w:val="none" w:sz="0" w:space="0" w:color="auto"/>
      </w:divBdr>
    </w:div>
    <w:div w:id="1419866774">
      <w:bodyDiv w:val="1"/>
      <w:marLeft w:val="0"/>
      <w:marRight w:val="0"/>
      <w:marTop w:val="0"/>
      <w:marBottom w:val="0"/>
      <w:divBdr>
        <w:top w:val="none" w:sz="0" w:space="0" w:color="auto"/>
        <w:left w:val="none" w:sz="0" w:space="0" w:color="auto"/>
        <w:bottom w:val="none" w:sz="0" w:space="0" w:color="auto"/>
        <w:right w:val="none" w:sz="0" w:space="0" w:color="auto"/>
      </w:divBdr>
    </w:div>
    <w:div w:id="1430271842">
      <w:bodyDiv w:val="1"/>
      <w:marLeft w:val="0"/>
      <w:marRight w:val="0"/>
      <w:marTop w:val="0"/>
      <w:marBottom w:val="0"/>
      <w:divBdr>
        <w:top w:val="none" w:sz="0" w:space="0" w:color="auto"/>
        <w:left w:val="none" w:sz="0" w:space="0" w:color="auto"/>
        <w:bottom w:val="none" w:sz="0" w:space="0" w:color="auto"/>
        <w:right w:val="none" w:sz="0" w:space="0" w:color="auto"/>
      </w:divBdr>
    </w:div>
    <w:div w:id="1525286566">
      <w:bodyDiv w:val="1"/>
      <w:marLeft w:val="0"/>
      <w:marRight w:val="0"/>
      <w:marTop w:val="0"/>
      <w:marBottom w:val="0"/>
      <w:divBdr>
        <w:top w:val="none" w:sz="0" w:space="0" w:color="auto"/>
        <w:left w:val="none" w:sz="0" w:space="0" w:color="auto"/>
        <w:bottom w:val="none" w:sz="0" w:space="0" w:color="auto"/>
        <w:right w:val="none" w:sz="0" w:space="0" w:color="auto"/>
      </w:divBdr>
    </w:div>
    <w:div w:id="1539778885">
      <w:bodyDiv w:val="1"/>
      <w:marLeft w:val="0"/>
      <w:marRight w:val="0"/>
      <w:marTop w:val="0"/>
      <w:marBottom w:val="0"/>
      <w:divBdr>
        <w:top w:val="none" w:sz="0" w:space="0" w:color="auto"/>
        <w:left w:val="none" w:sz="0" w:space="0" w:color="auto"/>
        <w:bottom w:val="none" w:sz="0" w:space="0" w:color="auto"/>
        <w:right w:val="none" w:sz="0" w:space="0" w:color="auto"/>
      </w:divBdr>
    </w:div>
    <w:div w:id="1642465888">
      <w:bodyDiv w:val="1"/>
      <w:marLeft w:val="0"/>
      <w:marRight w:val="0"/>
      <w:marTop w:val="0"/>
      <w:marBottom w:val="0"/>
      <w:divBdr>
        <w:top w:val="none" w:sz="0" w:space="0" w:color="auto"/>
        <w:left w:val="none" w:sz="0" w:space="0" w:color="auto"/>
        <w:bottom w:val="none" w:sz="0" w:space="0" w:color="auto"/>
        <w:right w:val="none" w:sz="0" w:space="0" w:color="auto"/>
      </w:divBdr>
    </w:div>
    <w:div w:id="1684818057">
      <w:bodyDiv w:val="1"/>
      <w:marLeft w:val="0"/>
      <w:marRight w:val="0"/>
      <w:marTop w:val="0"/>
      <w:marBottom w:val="0"/>
      <w:divBdr>
        <w:top w:val="none" w:sz="0" w:space="0" w:color="auto"/>
        <w:left w:val="none" w:sz="0" w:space="0" w:color="auto"/>
        <w:bottom w:val="none" w:sz="0" w:space="0" w:color="auto"/>
        <w:right w:val="none" w:sz="0" w:space="0" w:color="auto"/>
      </w:divBdr>
    </w:div>
    <w:div w:id="1698121789">
      <w:bodyDiv w:val="1"/>
      <w:marLeft w:val="0"/>
      <w:marRight w:val="0"/>
      <w:marTop w:val="0"/>
      <w:marBottom w:val="0"/>
      <w:divBdr>
        <w:top w:val="none" w:sz="0" w:space="0" w:color="auto"/>
        <w:left w:val="none" w:sz="0" w:space="0" w:color="auto"/>
        <w:bottom w:val="none" w:sz="0" w:space="0" w:color="auto"/>
        <w:right w:val="none" w:sz="0" w:space="0" w:color="auto"/>
      </w:divBdr>
    </w:div>
    <w:div w:id="1801535905">
      <w:bodyDiv w:val="1"/>
      <w:marLeft w:val="0"/>
      <w:marRight w:val="0"/>
      <w:marTop w:val="0"/>
      <w:marBottom w:val="0"/>
      <w:divBdr>
        <w:top w:val="none" w:sz="0" w:space="0" w:color="auto"/>
        <w:left w:val="none" w:sz="0" w:space="0" w:color="auto"/>
        <w:bottom w:val="none" w:sz="0" w:space="0" w:color="auto"/>
        <w:right w:val="none" w:sz="0" w:space="0" w:color="auto"/>
      </w:divBdr>
    </w:div>
    <w:div w:id="1864198313">
      <w:bodyDiv w:val="1"/>
      <w:marLeft w:val="0"/>
      <w:marRight w:val="0"/>
      <w:marTop w:val="0"/>
      <w:marBottom w:val="0"/>
      <w:divBdr>
        <w:top w:val="none" w:sz="0" w:space="0" w:color="auto"/>
        <w:left w:val="none" w:sz="0" w:space="0" w:color="auto"/>
        <w:bottom w:val="none" w:sz="0" w:space="0" w:color="auto"/>
        <w:right w:val="none" w:sz="0" w:space="0" w:color="auto"/>
      </w:divBdr>
    </w:div>
    <w:div w:id="1926835939">
      <w:bodyDiv w:val="1"/>
      <w:marLeft w:val="0"/>
      <w:marRight w:val="0"/>
      <w:marTop w:val="0"/>
      <w:marBottom w:val="0"/>
      <w:divBdr>
        <w:top w:val="none" w:sz="0" w:space="0" w:color="auto"/>
        <w:left w:val="none" w:sz="0" w:space="0" w:color="auto"/>
        <w:bottom w:val="none" w:sz="0" w:space="0" w:color="auto"/>
        <w:right w:val="none" w:sz="0" w:space="0" w:color="auto"/>
      </w:divBdr>
    </w:div>
    <w:div w:id="1954555506">
      <w:bodyDiv w:val="1"/>
      <w:marLeft w:val="0"/>
      <w:marRight w:val="0"/>
      <w:marTop w:val="0"/>
      <w:marBottom w:val="0"/>
      <w:divBdr>
        <w:top w:val="none" w:sz="0" w:space="0" w:color="auto"/>
        <w:left w:val="none" w:sz="0" w:space="0" w:color="auto"/>
        <w:bottom w:val="none" w:sz="0" w:space="0" w:color="auto"/>
        <w:right w:val="none" w:sz="0" w:space="0" w:color="auto"/>
      </w:divBdr>
    </w:div>
    <w:div w:id="1975789078">
      <w:bodyDiv w:val="1"/>
      <w:marLeft w:val="0"/>
      <w:marRight w:val="0"/>
      <w:marTop w:val="0"/>
      <w:marBottom w:val="0"/>
      <w:divBdr>
        <w:top w:val="none" w:sz="0" w:space="0" w:color="auto"/>
        <w:left w:val="none" w:sz="0" w:space="0" w:color="auto"/>
        <w:bottom w:val="none" w:sz="0" w:space="0" w:color="auto"/>
        <w:right w:val="none" w:sz="0" w:space="0" w:color="auto"/>
      </w:divBdr>
    </w:div>
    <w:div w:id="1979338845">
      <w:bodyDiv w:val="1"/>
      <w:marLeft w:val="0"/>
      <w:marRight w:val="0"/>
      <w:marTop w:val="0"/>
      <w:marBottom w:val="0"/>
      <w:divBdr>
        <w:top w:val="none" w:sz="0" w:space="0" w:color="auto"/>
        <w:left w:val="none" w:sz="0" w:space="0" w:color="auto"/>
        <w:bottom w:val="none" w:sz="0" w:space="0" w:color="auto"/>
        <w:right w:val="none" w:sz="0" w:space="0" w:color="auto"/>
      </w:divBdr>
    </w:div>
    <w:div w:id="2007587277">
      <w:bodyDiv w:val="1"/>
      <w:marLeft w:val="0"/>
      <w:marRight w:val="0"/>
      <w:marTop w:val="0"/>
      <w:marBottom w:val="0"/>
      <w:divBdr>
        <w:top w:val="none" w:sz="0" w:space="0" w:color="auto"/>
        <w:left w:val="none" w:sz="0" w:space="0" w:color="auto"/>
        <w:bottom w:val="none" w:sz="0" w:space="0" w:color="auto"/>
        <w:right w:val="none" w:sz="0" w:space="0" w:color="auto"/>
      </w:divBdr>
    </w:div>
    <w:div w:id="2017805155">
      <w:bodyDiv w:val="1"/>
      <w:marLeft w:val="0"/>
      <w:marRight w:val="0"/>
      <w:marTop w:val="0"/>
      <w:marBottom w:val="0"/>
      <w:divBdr>
        <w:top w:val="none" w:sz="0" w:space="0" w:color="auto"/>
        <w:left w:val="none" w:sz="0" w:space="0" w:color="auto"/>
        <w:bottom w:val="none" w:sz="0" w:space="0" w:color="auto"/>
        <w:right w:val="none" w:sz="0" w:space="0" w:color="auto"/>
      </w:divBdr>
    </w:div>
    <w:div w:id="2018998233">
      <w:bodyDiv w:val="1"/>
      <w:marLeft w:val="0"/>
      <w:marRight w:val="0"/>
      <w:marTop w:val="0"/>
      <w:marBottom w:val="0"/>
      <w:divBdr>
        <w:top w:val="none" w:sz="0" w:space="0" w:color="auto"/>
        <w:left w:val="none" w:sz="0" w:space="0" w:color="auto"/>
        <w:bottom w:val="none" w:sz="0" w:space="0" w:color="auto"/>
        <w:right w:val="none" w:sz="0" w:space="0" w:color="auto"/>
      </w:divBdr>
    </w:div>
    <w:div w:id="2028367912">
      <w:bodyDiv w:val="1"/>
      <w:marLeft w:val="0"/>
      <w:marRight w:val="0"/>
      <w:marTop w:val="0"/>
      <w:marBottom w:val="0"/>
      <w:divBdr>
        <w:top w:val="none" w:sz="0" w:space="0" w:color="auto"/>
        <w:left w:val="none" w:sz="0" w:space="0" w:color="auto"/>
        <w:bottom w:val="none" w:sz="0" w:space="0" w:color="auto"/>
        <w:right w:val="none" w:sz="0" w:space="0" w:color="auto"/>
      </w:divBdr>
    </w:div>
    <w:div w:id="2065912002">
      <w:bodyDiv w:val="1"/>
      <w:marLeft w:val="0"/>
      <w:marRight w:val="0"/>
      <w:marTop w:val="0"/>
      <w:marBottom w:val="0"/>
      <w:divBdr>
        <w:top w:val="none" w:sz="0" w:space="0" w:color="auto"/>
        <w:left w:val="none" w:sz="0" w:space="0" w:color="auto"/>
        <w:bottom w:val="none" w:sz="0" w:space="0" w:color="auto"/>
        <w:right w:val="none" w:sz="0" w:space="0" w:color="auto"/>
      </w:divBdr>
    </w:div>
    <w:div w:id="207889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header" Target="header1.xml"/><Relationship Id="rId9"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elcomercio.pe/economia/peru/bancos-ofrecen-tasas-interes-7-ahorros-21367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7C25F54E5A7C1C4AB202542EE5197DAC" ma:contentTypeVersion="27" ma:contentTypeDescription="A content type to manage public (operations) IDB documents" ma:contentTypeScope="" ma:versionID="7e10df52c0c87ef3c521e445b78a5189">
  <xsd:schema xmlns:xsd="http://www.w3.org/2001/XMLSchema" xmlns:xs="http://www.w3.org/2001/XMLSchema" xmlns:p="http://schemas.microsoft.com/office/2006/metadata/properties" xmlns:ns2="cdc7663a-08f0-4737-9e8c-148ce897a09c" targetNamespace="http://schemas.microsoft.com/office/2006/metadata/properties" ma:root="true" ma:fieldsID="bcea056ba81274f896f5e7327bdd1ee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z-Operations" ma:contentTypeID="0x010100ACF722E9F6B0B149B0CD8BE2560A667200E39533A06A738047A12EA0C3BB3D9444" ma:contentTypeVersion="21" ma:contentTypeDescription="The base project type from which other project content types inherit their information." ma:contentTypeScope="" ma:versionID="0876967ad16416ffc773c2b400afccd8">
  <xsd:schema xmlns:xsd="http://www.w3.org/2001/XMLSchema" xmlns:xs="http://www.w3.org/2001/XMLSchema" xmlns:p="http://schemas.microsoft.com/office/2006/metadata/properties" xmlns:ns2="cdc7663a-08f0-4737-9e8c-148ce897a09c" targetNamespace="http://schemas.microsoft.com/office/2006/metadata/properties" ma:root="true" ma:fieldsID="f999e881e15e4ad31e626ab70ba37c3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Peru</TermName>
          <TermId xmlns="http://schemas.microsoft.com/office/infopath/2007/PartnerControls">c988f60b-81f1-4c24-8da7-d5473741c5b0</TermId>
        </TermInfo>
      </Terms>
    </ic46d7e087fd4a108fb86518ca413cc6>
    <IDBDocs_x0020_Number xmlns="cdc7663a-08f0-4737-9e8c-148ce897a09c" xsi:nil="true"/>
    <Division_x0020_or_x0020_Unit xmlns="cdc7663a-08f0-4737-9e8c-148ce897a09c">IFD/FMM</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ACTIVE</Phase>
    <Document_x0020_Author xmlns="cdc7663a-08f0-4737-9e8c-148ce897a09c">Larios, Jose I.</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FISCAL POLICY FOR SUSTAINABILITY AND GROWTH</TermName>
          <TermId xmlns="http://schemas.microsoft.com/office/infopath/2007/PartnerControls">6e15b5e0-ae82-4b06-920a-eef6dd27cc8b</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TaxCatchAll xmlns="cdc7663a-08f0-4737-9e8c-148ce897a09c">
      <Value>34</Value>
      <Value>3</Value>
      <Value>44</Value>
      <Value>31</Value>
      <Value>45</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PE-L1231</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Record_x0020_Number xmlns="cdc7663a-08f0-4737-9e8c-148ce897a09c">R0001315774</Record_x0020_Number>
    <_dlc_DocId xmlns="cdc7663a-08f0-4737-9e8c-148ce897a09c">EZSHARE-239516867-70</_dlc_DocId>
    <_dlc_DocIdUrl xmlns="cdc7663a-08f0-4737-9e8c-148ce897a09c">
      <Url>https://idbg.sharepoint.com/teams/EZ-PE-LON/PE-L1231/_layouts/15/DocIdRedir.aspx?ID=EZSHARE-239516867-70</Url>
      <Description>EZSHARE-239516867-70</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63DD8-B04E-4A67-B6D7-BB931BB99A44}">
  <ds:schemaRefs>
    <ds:schemaRef ds:uri="http://schemas.microsoft.com/sharepoint/events"/>
  </ds:schemaRefs>
</ds:datastoreItem>
</file>

<file path=customXml/itemProps2.xml><?xml version="1.0" encoding="utf-8"?>
<ds:datastoreItem xmlns:ds="http://schemas.openxmlformats.org/officeDocument/2006/customXml" ds:itemID="{2C901851-9AFF-4207-B976-B8E9C8AB1316}">
  <ds:schemaRefs>
    <ds:schemaRef ds:uri="http://schemas.microsoft.com/sharepoint/v3/contenttype/forms"/>
  </ds:schemaRefs>
</ds:datastoreItem>
</file>

<file path=customXml/itemProps3.xml><?xml version="1.0" encoding="utf-8"?>
<ds:datastoreItem xmlns:ds="http://schemas.openxmlformats.org/officeDocument/2006/customXml" ds:itemID="{29E362FC-35CD-4807-8902-68B42D565275}"/>
</file>

<file path=customXml/itemProps4.xml><?xml version="1.0" encoding="utf-8"?>
<ds:datastoreItem xmlns:ds="http://schemas.openxmlformats.org/officeDocument/2006/customXml" ds:itemID="{F71CBC62-88C0-4681-AC1B-CFC22863D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8DE44B-E94A-48D8-9E71-D233007B179A}">
  <ds:schemaRefs>
    <ds:schemaRef ds:uri="http://schemas.microsoft.com/office/2006/documentManagement/types"/>
    <ds:schemaRef ds:uri="http://www.w3.org/XML/1998/namespace"/>
    <ds:schemaRef ds:uri="http://purl.org/dc/elements/1.1/"/>
    <ds:schemaRef ds:uri="cdc7663a-08f0-4737-9e8c-148ce897a09c"/>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5B975819-6AB5-424E-9007-A4F56BD41C0D}"/>
</file>

<file path=customXml/itemProps7.xml><?xml version="1.0" encoding="utf-8"?>
<ds:datastoreItem xmlns:ds="http://schemas.openxmlformats.org/officeDocument/2006/customXml" ds:itemID="{E12E970D-A90D-4B23-8E46-F89DA545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17</Pages>
  <Words>4801</Words>
  <Characters>26408</Characters>
  <Application>Microsoft Office Word</Application>
  <DocSecurity>0</DocSecurity>
  <Lines>220</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31147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Cracel</dc:creator>
  <cp:keywords/>
  <dc:description/>
  <cp:lastModifiedBy>Canillas Gomez, Mariana Belen</cp:lastModifiedBy>
  <cp:revision>42</cp:revision>
  <cp:lastPrinted>2016-09-21T14:03:00Z</cp:lastPrinted>
  <dcterms:created xsi:type="dcterms:W3CDTF">2017-11-09T14:21:00Z</dcterms:created>
  <dcterms:modified xsi:type="dcterms:W3CDTF">2017-11-20T16:31:00Z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Function Operations IDB">
    <vt:lpwstr>3;#Monitoring and Reporting|df3c2aa1-d63e-41aa-b1f5-bb15dee691ca</vt:lpwstr>
  </property>
  <property fmtid="{D5CDD505-2E9C-101B-9397-08002B2CF9AE}" pid="4" name="TaxKeyword">
    <vt:lpwstr/>
  </property>
  <property fmtid="{D5CDD505-2E9C-101B-9397-08002B2CF9AE}" pid="5" name="TaxKeywordTaxHTField">
    <vt:lpwstr/>
  </property>
  <property fmtid="{D5CDD505-2E9C-101B-9397-08002B2CF9AE}" pid="6" name="Series Operations IDB">
    <vt:lpwstr/>
  </property>
  <property fmtid="{D5CDD505-2E9C-101B-9397-08002B2CF9AE}" pid="7" name="Sub-Sector">
    <vt:lpwstr>45;#FISCAL POLICY FOR SUSTAINABILITY AND GROWTH|6e15b5e0-ae82-4b06-920a-eef6dd27cc8b</vt:lpwstr>
  </property>
  <property fmtid="{D5CDD505-2E9C-101B-9397-08002B2CF9AE}" pid="8" name="Fund IDB">
    <vt:lpwstr>34;#ORC|c028a4b2-ad8b-4cf4-9cac-a2ae6a778e23</vt:lpwstr>
  </property>
  <property fmtid="{D5CDD505-2E9C-101B-9397-08002B2CF9AE}" pid="9" name="Country">
    <vt:lpwstr>31;#Peru|c988f60b-81f1-4c24-8da7-d5473741c5b0</vt:lpwstr>
  </property>
  <property fmtid="{D5CDD505-2E9C-101B-9397-08002B2CF9AE}" pid="10" name="Sector IDB">
    <vt:lpwstr>44;#REFORM / MODERNIZATION OF THE STATE|c8fda4a7-691a-4c65-b227-9825197b5cd2</vt:lpwstr>
  </property>
  <property fmtid="{D5CDD505-2E9C-101B-9397-08002B2CF9AE}" pid="11" name="_dlc_DocIdItemGuid">
    <vt:lpwstr>0bb938fa-db0d-4f25-ab03-158bd8883262</vt:lpwstr>
  </property>
  <property fmtid="{D5CDD505-2E9C-101B-9397-08002B2CF9AE}" pid="12" name="RecordPoint_ActiveItemMoved">
    <vt:lpwstr>/teams/EZ-PE-LON/PE-L1231/15 LifeCycle Milestones/Draft Area/PE-L1231. EEO - Analisis Economico - Post Neg.docx</vt:lpwstr>
  </property>
  <property fmtid="{D5CDD505-2E9C-101B-9397-08002B2CF9AE}" pid="13" name="RecordStorageActiveId">
    <vt:lpwstr>76dc952e-d363-4f52-a28f-3ef21a7caa12</vt:lpwstr>
  </property>
  <property fmtid="{D5CDD505-2E9C-101B-9397-08002B2CF9AE}" pid="14" name="Disclosure Activity">
    <vt:lpwstr>Loan Proposal</vt:lpwstr>
  </property>
  <property fmtid="{D5CDD505-2E9C-101B-9397-08002B2CF9AE}" pid="15" name="ContentTypeId">
    <vt:lpwstr>0x0101001A458A224826124E8B45B1D613300CFC007C25F54E5A7C1C4AB202542EE5197DAC</vt:lpwstr>
  </property>
</Properties>
</file>