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C7BD" w14:textId="3DD70460" w:rsidR="00813650" w:rsidRDefault="00120449" w:rsidP="00B033D2">
      <w:pPr>
        <w:autoSpaceDE w:val="0"/>
        <w:autoSpaceDN w:val="0"/>
        <w:adjustRightInd w:val="0"/>
        <w:jc w:val="center"/>
        <w:rPr>
          <w:b/>
          <w:lang w:val="es-ES_tradnl"/>
        </w:rPr>
      </w:pPr>
      <w:bookmarkStart w:id="0" w:name="_GoBack"/>
      <w:bookmarkEnd w:id="0"/>
      <w:r w:rsidRPr="002D5CE0">
        <w:rPr>
          <w:b/>
          <w:lang w:val="es-ES_tradnl"/>
        </w:rPr>
        <w:t xml:space="preserve">Análisis </w:t>
      </w:r>
      <w:r w:rsidR="00BD0CCA" w:rsidRPr="002D5CE0">
        <w:rPr>
          <w:b/>
          <w:lang w:val="es-ES_tradnl"/>
        </w:rPr>
        <w:t xml:space="preserve">del cumplimiento </w:t>
      </w:r>
      <w:r w:rsidR="00B033D2" w:rsidRPr="002D5CE0">
        <w:rPr>
          <w:b/>
          <w:lang w:val="es-ES_tradnl"/>
        </w:rPr>
        <w:t>del</w:t>
      </w:r>
      <w:r w:rsidR="00B033D2">
        <w:rPr>
          <w:b/>
          <w:lang w:val="es-ES_tradnl"/>
        </w:rPr>
        <w:t xml:space="preserve"> Programa </w:t>
      </w:r>
      <w:r w:rsidR="008B7880">
        <w:rPr>
          <w:b/>
          <w:lang w:val="es-ES_tradnl"/>
        </w:rPr>
        <w:t xml:space="preserve">Integral </w:t>
      </w:r>
      <w:r w:rsidR="00B033D2">
        <w:rPr>
          <w:b/>
          <w:lang w:val="es-ES_tradnl"/>
        </w:rPr>
        <w:t>de Agua y Saneamiento Rural</w:t>
      </w:r>
      <w:r w:rsidR="008B7880">
        <w:rPr>
          <w:b/>
          <w:lang w:val="es-ES_tradnl"/>
        </w:rPr>
        <w:t xml:space="preserve"> – PIASAR- (PE</w:t>
      </w:r>
      <w:r w:rsidR="00511032">
        <w:rPr>
          <w:b/>
          <w:lang w:val="es-ES_tradnl"/>
        </w:rPr>
        <w:t>-L1</w:t>
      </w:r>
      <w:r w:rsidR="008B7880">
        <w:rPr>
          <w:b/>
          <w:lang w:val="es-ES_tradnl"/>
        </w:rPr>
        <w:t>226</w:t>
      </w:r>
      <w:r w:rsidR="00511032">
        <w:rPr>
          <w:b/>
          <w:lang w:val="es-ES_tradnl"/>
        </w:rPr>
        <w:t>)</w:t>
      </w:r>
      <w:r w:rsidR="00B033D2">
        <w:rPr>
          <w:b/>
          <w:lang w:val="es-ES_tradnl"/>
        </w:rPr>
        <w:t xml:space="preserve"> con la </w:t>
      </w:r>
      <w:r w:rsidR="00601DF8">
        <w:rPr>
          <w:b/>
          <w:lang w:val="es-ES_tradnl"/>
        </w:rPr>
        <w:t>P</w:t>
      </w:r>
      <w:r w:rsidR="00601DF8" w:rsidRPr="00601DF8">
        <w:rPr>
          <w:b/>
          <w:lang w:val="es-ES_tradnl"/>
        </w:rPr>
        <w:t xml:space="preserve">olítica de </w:t>
      </w:r>
      <w:r w:rsidR="00601DF8">
        <w:rPr>
          <w:b/>
          <w:lang w:val="es-ES_tradnl"/>
        </w:rPr>
        <w:t xml:space="preserve">Servicios Públicos Domiciliarios </w:t>
      </w:r>
      <w:r w:rsidR="000E0118">
        <w:rPr>
          <w:b/>
          <w:lang w:val="es-ES_tradnl"/>
        </w:rPr>
        <w:br/>
      </w:r>
      <w:r w:rsidR="00601DF8">
        <w:rPr>
          <w:b/>
          <w:lang w:val="es-ES_tradnl"/>
        </w:rPr>
        <w:t>(GN</w:t>
      </w:r>
      <w:r w:rsidR="00601DF8" w:rsidRPr="00601DF8">
        <w:rPr>
          <w:b/>
          <w:lang w:val="es-ES_tradnl"/>
        </w:rPr>
        <w:t>-271</w:t>
      </w:r>
      <w:r w:rsidRPr="002D5CE0">
        <w:rPr>
          <w:b/>
          <w:lang w:val="es-ES"/>
        </w:rPr>
        <w:t>6-6</w:t>
      </w:r>
      <w:r w:rsidRPr="002D5CE0">
        <w:rPr>
          <w:b/>
          <w:lang w:val="es-ES_tradnl"/>
        </w:rPr>
        <w:t>)</w:t>
      </w:r>
    </w:p>
    <w:p w14:paraId="2B907B3F" w14:textId="77777777" w:rsidR="00813650" w:rsidRDefault="00813650" w:rsidP="00BD68A5">
      <w:pPr>
        <w:jc w:val="center"/>
        <w:rPr>
          <w:b/>
          <w:lang w:val="es-ES_tradnl"/>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3129"/>
        <w:gridCol w:w="4140"/>
      </w:tblGrid>
      <w:tr w:rsidR="00813650" w:rsidRPr="00D06EBC" w14:paraId="4CC46EA6" w14:textId="77777777" w:rsidTr="0082251B">
        <w:trPr>
          <w:jc w:val="center"/>
        </w:trPr>
        <w:tc>
          <w:tcPr>
            <w:tcW w:w="1929" w:type="dxa"/>
            <w:shd w:val="clear" w:color="auto" w:fill="C0C0C0"/>
            <w:vAlign w:val="center"/>
          </w:tcPr>
          <w:p w14:paraId="60D4F4B4" w14:textId="77777777" w:rsidR="00813650" w:rsidRPr="00D06EBC" w:rsidRDefault="00813650" w:rsidP="00D06EBC">
            <w:pPr>
              <w:spacing w:before="120" w:after="120"/>
              <w:jc w:val="center"/>
              <w:rPr>
                <w:b/>
                <w:sz w:val="18"/>
                <w:szCs w:val="18"/>
                <w:lang w:val="es-ES_tradnl"/>
              </w:rPr>
            </w:pPr>
            <w:r w:rsidRPr="00D06EBC">
              <w:rPr>
                <w:b/>
                <w:sz w:val="18"/>
                <w:szCs w:val="18"/>
                <w:lang w:val="es-ES_tradnl"/>
              </w:rPr>
              <w:t>Condiciones de la Política</w:t>
            </w:r>
          </w:p>
        </w:tc>
        <w:tc>
          <w:tcPr>
            <w:tcW w:w="3129" w:type="dxa"/>
            <w:shd w:val="clear" w:color="auto" w:fill="C0C0C0"/>
            <w:vAlign w:val="center"/>
          </w:tcPr>
          <w:p w14:paraId="64BC8EE8" w14:textId="77777777" w:rsidR="00813650" w:rsidRPr="00D06EBC" w:rsidRDefault="00813650" w:rsidP="00D06EBC">
            <w:pPr>
              <w:spacing w:before="120" w:after="120"/>
              <w:jc w:val="center"/>
              <w:rPr>
                <w:b/>
                <w:sz w:val="18"/>
                <w:szCs w:val="18"/>
                <w:lang w:val="es-ES_tradnl"/>
              </w:rPr>
            </w:pPr>
            <w:r w:rsidRPr="00D06EBC">
              <w:rPr>
                <w:b/>
                <w:sz w:val="18"/>
                <w:szCs w:val="18"/>
                <w:lang w:val="es-ES_tradnl"/>
              </w:rPr>
              <w:t>Descripción</w:t>
            </w:r>
          </w:p>
        </w:tc>
        <w:tc>
          <w:tcPr>
            <w:tcW w:w="4140" w:type="dxa"/>
            <w:shd w:val="clear" w:color="auto" w:fill="C0C0C0"/>
            <w:vAlign w:val="center"/>
          </w:tcPr>
          <w:p w14:paraId="30C33B3D" w14:textId="77777777" w:rsidR="00813650" w:rsidRPr="00D06EBC" w:rsidRDefault="00813650" w:rsidP="00D06EBC">
            <w:pPr>
              <w:spacing w:before="120" w:after="120"/>
              <w:jc w:val="center"/>
              <w:rPr>
                <w:b/>
                <w:sz w:val="18"/>
                <w:szCs w:val="18"/>
                <w:lang w:val="es-ES_tradnl"/>
              </w:rPr>
            </w:pPr>
            <w:r w:rsidRPr="00D06EBC">
              <w:rPr>
                <w:b/>
                <w:sz w:val="18"/>
                <w:szCs w:val="18"/>
                <w:lang w:val="es-ES_tradnl"/>
              </w:rPr>
              <w:t>Comentarios</w:t>
            </w:r>
          </w:p>
        </w:tc>
      </w:tr>
      <w:tr w:rsidR="00813650" w:rsidRPr="000E0118" w14:paraId="065ECDF8" w14:textId="77777777" w:rsidTr="0082251B">
        <w:trPr>
          <w:jc w:val="center"/>
        </w:trPr>
        <w:tc>
          <w:tcPr>
            <w:tcW w:w="1929" w:type="dxa"/>
            <w:shd w:val="clear" w:color="auto" w:fill="auto"/>
          </w:tcPr>
          <w:p w14:paraId="26D5A7D4" w14:textId="77777777" w:rsidR="00813650" w:rsidRPr="00D06EBC" w:rsidRDefault="00813650" w:rsidP="00CE33C6">
            <w:pPr>
              <w:rPr>
                <w:sz w:val="18"/>
                <w:szCs w:val="18"/>
                <w:lang w:val="es-ES_tradnl"/>
              </w:rPr>
            </w:pPr>
            <w:r w:rsidRPr="00D06EBC">
              <w:rPr>
                <w:bCs/>
                <w:sz w:val="18"/>
                <w:szCs w:val="18"/>
                <w:lang w:val="es-ES_tradnl"/>
              </w:rPr>
              <w:t>1. Sostenibilidad Financiera</w:t>
            </w:r>
          </w:p>
        </w:tc>
        <w:tc>
          <w:tcPr>
            <w:tcW w:w="3129" w:type="dxa"/>
            <w:shd w:val="clear" w:color="auto" w:fill="auto"/>
          </w:tcPr>
          <w:p w14:paraId="262DFDAE" w14:textId="77777777" w:rsidR="00813650" w:rsidRDefault="00813650" w:rsidP="009D1F89">
            <w:pPr>
              <w:autoSpaceDE w:val="0"/>
              <w:autoSpaceDN w:val="0"/>
              <w:adjustRightInd w:val="0"/>
              <w:jc w:val="both"/>
              <w:rPr>
                <w:rFonts w:eastAsiaTheme="minorHAnsi"/>
                <w:sz w:val="18"/>
                <w:szCs w:val="18"/>
                <w:lang w:val="es-ES_tradnl"/>
              </w:rPr>
            </w:pPr>
            <w:r w:rsidRPr="00870BB4">
              <w:rPr>
                <w:rFonts w:eastAsiaTheme="minorHAnsi"/>
                <w:sz w:val="18"/>
                <w:szCs w:val="18"/>
                <w:lang w:val="es-ES_tradnl"/>
              </w:rPr>
              <w:t>Para cada operación se deberá verificar que el servicio correspondiente generará o recibirá fondos suficientes para atender sus compromisos financieros y sufragar los costos de operación y mantenimiento de los sistemas relacionados con la operación.</w:t>
            </w:r>
          </w:p>
          <w:p w14:paraId="0F46A326" w14:textId="77777777" w:rsidR="000C253B" w:rsidRDefault="000C253B" w:rsidP="009D1F89">
            <w:pPr>
              <w:autoSpaceDE w:val="0"/>
              <w:autoSpaceDN w:val="0"/>
              <w:adjustRightInd w:val="0"/>
              <w:jc w:val="both"/>
              <w:rPr>
                <w:rFonts w:eastAsiaTheme="minorHAnsi"/>
                <w:sz w:val="18"/>
                <w:szCs w:val="18"/>
                <w:lang w:val="es-ES_tradnl"/>
              </w:rPr>
            </w:pPr>
          </w:p>
          <w:p w14:paraId="6D943B77" w14:textId="17658894" w:rsidR="000C253B" w:rsidRPr="00870BB4" w:rsidRDefault="000C253B" w:rsidP="009D1F89">
            <w:pPr>
              <w:autoSpaceDE w:val="0"/>
              <w:autoSpaceDN w:val="0"/>
              <w:adjustRightInd w:val="0"/>
              <w:jc w:val="both"/>
              <w:rPr>
                <w:sz w:val="18"/>
                <w:szCs w:val="18"/>
                <w:lang w:val="es-ES_tradnl"/>
              </w:rPr>
            </w:pPr>
            <w:r>
              <w:rPr>
                <w:rFonts w:eastAsiaTheme="minorHAnsi"/>
                <w:sz w:val="18"/>
                <w:szCs w:val="18"/>
                <w:lang w:val="es-ES_tradnl"/>
              </w:rPr>
              <w:t>test</w:t>
            </w:r>
          </w:p>
        </w:tc>
        <w:tc>
          <w:tcPr>
            <w:tcW w:w="4140" w:type="dxa"/>
            <w:shd w:val="clear" w:color="auto" w:fill="auto"/>
          </w:tcPr>
          <w:p w14:paraId="6ABA410F" w14:textId="61A0B663" w:rsidR="008163DB" w:rsidRPr="008B7880" w:rsidRDefault="008B7880" w:rsidP="0035101F">
            <w:pPr>
              <w:spacing w:before="100" w:beforeAutospacing="1" w:after="100" w:afterAutospacing="1"/>
              <w:jc w:val="both"/>
              <w:rPr>
                <w:rFonts w:eastAsiaTheme="minorHAnsi"/>
                <w:sz w:val="18"/>
                <w:szCs w:val="18"/>
                <w:lang w:val="es-ES_tradnl"/>
              </w:rPr>
            </w:pPr>
            <w:r w:rsidRPr="008B7880">
              <w:rPr>
                <w:rFonts w:eastAsiaTheme="minorHAnsi"/>
                <w:sz w:val="18"/>
                <w:szCs w:val="18"/>
                <w:lang w:val="es-ES_tradnl"/>
              </w:rPr>
              <w:t xml:space="preserve">Para el análisis de viabilidad financiera se analizó la muestra representativa de proyectos que incluyen JASS ya establecidas que son elegibles para recibir financiamiento del presente programa. El análisis de viabilidad financiera permitió constatar que las cuotas familiares establecidas en esas JASS permitirán cubrir los costos de </w:t>
            </w:r>
            <w:r>
              <w:rPr>
                <w:rFonts w:eastAsiaTheme="minorHAnsi"/>
                <w:sz w:val="18"/>
                <w:szCs w:val="18"/>
                <w:lang w:val="es-ES_tradnl"/>
              </w:rPr>
              <w:t>Administración, Operación y Mantenimiento (</w:t>
            </w:r>
            <w:r w:rsidRPr="008B7880">
              <w:rPr>
                <w:rFonts w:eastAsiaTheme="minorHAnsi"/>
                <w:sz w:val="18"/>
                <w:szCs w:val="18"/>
                <w:lang w:val="es-ES_tradnl"/>
              </w:rPr>
              <w:t>AOM</w:t>
            </w:r>
            <w:r>
              <w:rPr>
                <w:rFonts w:eastAsiaTheme="minorHAnsi"/>
                <w:sz w:val="18"/>
                <w:szCs w:val="18"/>
                <w:lang w:val="es-ES_tradnl"/>
              </w:rPr>
              <w:t>)</w:t>
            </w:r>
            <w:r w:rsidRPr="008B7880">
              <w:rPr>
                <w:rFonts w:eastAsiaTheme="minorHAnsi"/>
                <w:sz w:val="18"/>
                <w:szCs w:val="18"/>
                <w:lang w:val="es-ES_tradnl"/>
              </w:rPr>
              <w:t xml:space="preserve"> de los sistemas del proyecto. Para cada caso, se constató que la factura mensual se encuentre dentro de los parámetros de capacidad de pago considerados por la Organización Mundial de la Salud y la Organización Panamericana de la Salud, que establece como límite máximo para el pago de los servicios de agua entre el 3% y el 5% de los ingresos familiares. Asimismo, se verificó que en los casos analizados se hayan realizado asambleas con participación de la población, en las que se acordó que los beneficiarios asuman el compromiso de realizar los pagos mensuales, que financiarán los gastos de AOM de los sistemas de agua potable y saneamiento. Además, con recursos del programa, se incluyen actividades de fortalecimiento para apoyar la sostenibilidad operativa y financiera de las JASS, así como para que las ATM presten una adecuada asist</w:t>
            </w:r>
            <w:r>
              <w:rPr>
                <w:rFonts w:eastAsiaTheme="minorHAnsi"/>
                <w:sz w:val="18"/>
                <w:szCs w:val="18"/>
                <w:lang w:val="es-ES_tradnl"/>
              </w:rPr>
              <w:t>encia técnica a las JASS</w:t>
            </w:r>
            <w:r w:rsidRPr="008B7880">
              <w:rPr>
                <w:rFonts w:eastAsiaTheme="minorHAnsi"/>
                <w:sz w:val="18"/>
                <w:szCs w:val="18"/>
                <w:lang w:val="es-ES_tradnl"/>
              </w:rPr>
              <w:t>. Será condición que en los convenios de</w:t>
            </w:r>
            <w:r>
              <w:rPr>
                <w:rFonts w:eastAsiaTheme="minorHAnsi"/>
                <w:sz w:val="18"/>
                <w:szCs w:val="18"/>
                <w:lang w:val="es-ES_tradnl"/>
              </w:rPr>
              <w:t xml:space="preserve"> cooperación interinstitucional </w:t>
            </w:r>
            <w:r w:rsidRPr="008B7880">
              <w:rPr>
                <w:rFonts w:eastAsiaTheme="minorHAnsi"/>
                <w:sz w:val="18"/>
                <w:szCs w:val="18"/>
                <w:lang w:val="es-ES_tradnl"/>
              </w:rPr>
              <w:t>a</w:t>
            </w:r>
            <w:r>
              <w:rPr>
                <w:rFonts w:eastAsiaTheme="minorHAnsi"/>
                <w:sz w:val="18"/>
                <w:szCs w:val="18"/>
                <w:lang w:val="es-ES_tradnl"/>
              </w:rPr>
              <w:t xml:space="preserve"> </w:t>
            </w:r>
            <w:r w:rsidRPr="008B7880">
              <w:rPr>
                <w:rFonts w:eastAsiaTheme="minorHAnsi"/>
                <w:sz w:val="18"/>
                <w:szCs w:val="18"/>
                <w:lang w:val="es-ES_tradnl"/>
              </w:rPr>
              <w:t>suscribirse entre las Municipalidades y el MCVS, se incorpore el requisito de que los ingresos operativos de las respectivos JASS sean suficientes para cubrir sus costos de AOM, y que, de no ser así, las municipalidades se comprometerán a adoptar las medidas necesarias, aceptables para el Banco, para garantizar la sostenibilidad financiera de dichos operadores. Durante el periodo post construcción, y para asegurar que las JASS realicen sus funciones de AOM de los sistemas de manera adecuada, se ha previsto que los contratistas de obra realicen una operación asistida hasta tres meses, así como que se realicen actividades de seguimiento y consolida</w:t>
            </w:r>
            <w:r>
              <w:rPr>
                <w:rFonts w:eastAsiaTheme="minorHAnsi"/>
                <w:sz w:val="18"/>
                <w:szCs w:val="18"/>
                <w:lang w:val="es-ES_tradnl"/>
              </w:rPr>
              <w:t>ción de la sostenibilidad</w:t>
            </w:r>
            <w:r w:rsidRPr="008B7880">
              <w:rPr>
                <w:rFonts w:eastAsiaTheme="minorHAnsi"/>
                <w:sz w:val="18"/>
                <w:szCs w:val="18"/>
                <w:lang w:val="es-ES_tradnl"/>
              </w:rPr>
              <w:t>.</w:t>
            </w:r>
          </w:p>
        </w:tc>
      </w:tr>
      <w:tr w:rsidR="009834A9" w:rsidRPr="000E0118" w14:paraId="7BCB9F95" w14:textId="77777777" w:rsidTr="0082251B">
        <w:trPr>
          <w:jc w:val="center"/>
        </w:trPr>
        <w:tc>
          <w:tcPr>
            <w:tcW w:w="1929" w:type="dxa"/>
            <w:shd w:val="clear" w:color="auto" w:fill="auto"/>
          </w:tcPr>
          <w:p w14:paraId="7E105DAF" w14:textId="77777777" w:rsidR="00813650" w:rsidRPr="009834A9" w:rsidRDefault="00813650" w:rsidP="00CE33C6">
            <w:pPr>
              <w:rPr>
                <w:sz w:val="18"/>
                <w:szCs w:val="18"/>
                <w:lang w:val="es-ES_tradnl"/>
              </w:rPr>
            </w:pPr>
            <w:r w:rsidRPr="009834A9">
              <w:rPr>
                <w:bCs/>
                <w:sz w:val="18"/>
                <w:szCs w:val="18"/>
                <w:lang w:val="es-ES_tradnl"/>
              </w:rPr>
              <w:t>2. Evaluación Económica</w:t>
            </w:r>
          </w:p>
        </w:tc>
        <w:tc>
          <w:tcPr>
            <w:tcW w:w="3129" w:type="dxa"/>
            <w:shd w:val="clear" w:color="auto" w:fill="auto"/>
          </w:tcPr>
          <w:p w14:paraId="54E7046D" w14:textId="77777777" w:rsidR="00813650" w:rsidRPr="009834A9" w:rsidRDefault="00813650" w:rsidP="009D1F89">
            <w:pPr>
              <w:jc w:val="both"/>
              <w:rPr>
                <w:sz w:val="18"/>
                <w:szCs w:val="18"/>
                <w:lang w:val="es-ES_tradnl"/>
              </w:rPr>
            </w:pPr>
            <w:r w:rsidRPr="009834A9">
              <w:rPr>
                <w:sz w:val="18"/>
                <w:szCs w:val="18"/>
                <w:lang w:val="es-ES_tradnl"/>
              </w:rPr>
              <w:t>Los proyectos de servicios públicos domiciliarios deberán ser económicamente rentables [de acuerdo a las metodologías de evaluación costo beneficio y costo efectividad utilizadas y aceptadas por el Banco.]</w:t>
            </w:r>
          </w:p>
        </w:tc>
        <w:tc>
          <w:tcPr>
            <w:tcW w:w="4140" w:type="dxa"/>
            <w:shd w:val="clear" w:color="auto" w:fill="auto"/>
          </w:tcPr>
          <w:p w14:paraId="3DA19B32" w14:textId="0CD97A7C" w:rsidR="00813650" w:rsidRPr="001351B0" w:rsidRDefault="00EF35AB" w:rsidP="00A86105">
            <w:pPr>
              <w:spacing w:before="120" w:after="120"/>
              <w:jc w:val="both"/>
              <w:rPr>
                <w:rFonts w:eastAsiaTheme="minorHAnsi"/>
                <w:sz w:val="18"/>
                <w:szCs w:val="18"/>
                <w:lang w:val="es-ES_tradnl"/>
              </w:rPr>
            </w:pPr>
            <w:r w:rsidRPr="00EF35AB">
              <w:rPr>
                <w:rFonts w:eastAsiaTheme="minorHAnsi"/>
                <w:sz w:val="18"/>
                <w:szCs w:val="18"/>
                <w:lang w:val="es-ES_tradnl"/>
              </w:rPr>
              <w:t xml:space="preserve">El programa será desarrollado como un programa de obras múltiples de agua potable y saneamiento. Para las obras de agua potable se realizó un análisis costo-beneficio de una muestra representativa de 44 proyectos de agua potable. De los 44 proyectos evaluados, 77% son económicamente viables con Tasa Interna de Retorno Económico (TIRE) de entre 12% y 31%. Los proyectos que no fueron viables deberán ser revisados en sus soluciones técnicas. La tarifa que deberán pagar los usuarios de los sistemas de agua potable que se incluirán en el programa varía entre PEN1,56 y PEN12,23 mensuales (US$0,5 y US$3,7) por conexión. Según la información </w:t>
            </w:r>
            <w:r w:rsidRPr="00EF35AB">
              <w:rPr>
                <w:rFonts w:eastAsiaTheme="minorHAnsi"/>
                <w:sz w:val="18"/>
                <w:szCs w:val="18"/>
                <w:lang w:val="es-ES_tradnl"/>
              </w:rPr>
              <w:lastRenderedPageBreak/>
              <w:t>reportada en los análisis financieros y de acuerdo al ingreso promedio rural de Perú, las tarifas asociadas a los sistemas a financiar con el programa representan en promedio un 0,7% del ingreso familiar mensual, los cuales son valores aceptables. Para los proyectos de saneamiento se realizó un análisis costo-efectividad de una muestra representativa de 45 proyectos. Se consideraron al menos dos alternativas para cada uno de los proyectos de las UBS, las cuales varían dependiendo de los materiales a ser utilizados. El indicador de efectividad utilizado fue el de personas beneficiadas por las UBS. Los costos utilizados tanto en los proyectos de agua como de saneamiento son los costos sociales de inversión y de AOM. Para los proyectos de saneamiento no evaluados se realizará un análisis costo-efectividad de las alternativas y se deberá seleccionar la que sea más costo-efectiva. Ambos análisis fueron complementados por el correspondiente análisis de sensibilidad, confirmando la robustez de los resultados</w:t>
            </w:r>
            <w:r>
              <w:rPr>
                <w:rFonts w:eastAsiaTheme="minorHAnsi"/>
                <w:sz w:val="18"/>
                <w:szCs w:val="18"/>
                <w:lang w:val="es-ES_tradnl"/>
              </w:rPr>
              <w:t>.</w:t>
            </w:r>
          </w:p>
        </w:tc>
      </w:tr>
      <w:tr w:rsidR="000F1306" w:rsidRPr="0039287D" w14:paraId="4EF8BD65" w14:textId="77777777" w:rsidTr="0082251B">
        <w:trPr>
          <w:jc w:val="center"/>
        </w:trPr>
        <w:tc>
          <w:tcPr>
            <w:tcW w:w="1929" w:type="dxa"/>
            <w:shd w:val="clear" w:color="auto" w:fill="C0C0C0"/>
          </w:tcPr>
          <w:p w14:paraId="4DB60FD6" w14:textId="77777777" w:rsidR="000F1306" w:rsidRPr="00D06EBC" w:rsidRDefault="000F1306" w:rsidP="000F1306">
            <w:pPr>
              <w:rPr>
                <w:sz w:val="18"/>
                <w:szCs w:val="18"/>
                <w:lang w:val="es-ES_tradnl"/>
              </w:rPr>
            </w:pPr>
            <w:r w:rsidRPr="00D06EBC">
              <w:rPr>
                <w:sz w:val="18"/>
                <w:szCs w:val="18"/>
                <w:lang w:val="es-ES_tradnl"/>
              </w:rPr>
              <w:lastRenderedPageBreak/>
              <w:t>Objetivos de la Política</w:t>
            </w:r>
          </w:p>
          <w:p w14:paraId="5C8A768F" w14:textId="77777777" w:rsidR="000F1306" w:rsidRPr="00D06EBC" w:rsidRDefault="000F1306" w:rsidP="000F1306">
            <w:pPr>
              <w:rPr>
                <w:sz w:val="18"/>
                <w:szCs w:val="18"/>
                <w:lang w:val="es-ES_tradnl"/>
              </w:rPr>
            </w:pPr>
          </w:p>
        </w:tc>
        <w:tc>
          <w:tcPr>
            <w:tcW w:w="3129" w:type="dxa"/>
            <w:shd w:val="clear" w:color="auto" w:fill="C0C0C0"/>
          </w:tcPr>
          <w:p w14:paraId="46F3226B" w14:textId="77777777" w:rsidR="000F1306" w:rsidRPr="009876DD" w:rsidRDefault="000F1306" w:rsidP="000F1306">
            <w:pPr>
              <w:rPr>
                <w:b/>
                <w:sz w:val="18"/>
                <w:szCs w:val="18"/>
                <w:lang w:val="es-ES_tradnl"/>
              </w:rPr>
            </w:pPr>
            <w:r w:rsidRPr="009876DD">
              <w:rPr>
                <w:b/>
                <w:sz w:val="18"/>
                <w:szCs w:val="18"/>
                <w:lang w:val="es-ES_tradnl"/>
              </w:rPr>
              <w:t xml:space="preserve">Descripción </w:t>
            </w:r>
          </w:p>
        </w:tc>
        <w:tc>
          <w:tcPr>
            <w:tcW w:w="4140" w:type="dxa"/>
            <w:shd w:val="clear" w:color="auto" w:fill="C0C0C0"/>
          </w:tcPr>
          <w:p w14:paraId="787C2DDF" w14:textId="77777777" w:rsidR="000F1306" w:rsidRPr="009876DD" w:rsidRDefault="000F1306" w:rsidP="000F1306">
            <w:pPr>
              <w:rPr>
                <w:b/>
                <w:sz w:val="18"/>
                <w:szCs w:val="18"/>
                <w:lang w:val="es-ES_tradnl"/>
              </w:rPr>
            </w:pPr>
            <w:r w:rsidRPr="009876DD">
              <w:rPr>
                <w:b/>
                <w:sz w:val="18"/>
                <w:szCs w:val="18"/>
                <w:lang w:val="es-ES_tradnl"/>
              </w:rPr>
              <w:t>Comentarios</w:t>
            </w:r>
          </w:p>
        </w:tc>
      </w:tr>
      <w:tr w:rsidR="009834A9" w:rsidRPr="000E0118" w14:paraId="41CA3770" w14:textId="77777777" w:rsidTr="0082251B">
        <w:trPr>
          <w:jc w:val="center"/>
        </w:trPr>
        <w:tc>
          <w:tcPr>
            <w:tcW w:w="1929" w:type="dxa"/>
            <w:shd w:val="clear" w:color="auto" w:fill="auto"/>
          </w:tcPr>
          <w:p w14:paraId="3786AF6C" w14:textId="77777777" w:rsidR="000F1306" w:rsidRPr="009834A9" w:rsidRDefault="000F1306" w:rsidP="000F1306">
            <w:pPr>
              <w:rPr>
                <w:sz w:val="18"/>
                <w:szCs w:val="18"/>
                <w:lang w:val="es-ES_tradnl"/>
              </w:rPr>
            </w:pPr>
            <w:r w:rsidRPr="009834A9">
              <w:rPr>
                <w:bCs/>
                <w:sz w:val="18"/>
                <w:szCs w:val="18"/>
                <w:lang w:val="es-ES_tradnl"/>
              </w:rPr>
              <w:t>1. Fomentar el Acceso</w:t>
            </w:r>
          </w:p>
        </w:tc>
        <w:tc>
          <w:tcPr>
            <w:tcW w:w="3129" w:type="dxa"/>
            <w:shd w:val="clear" w:color="auto" w:fill="auto"/>
          </w:tcPr>
          <w:p w14:paraId="45049302" w14:textId="77777777" w:rsidR="000F1306" w:rsidRPr="009834A9" w:rsidRDefault="000F1306" w:rsidP="000F1306">
            <w:pPr>
              <w:rPr>
                <w:sz w:val="18"/>
                <w:szCs w:val="18"/>
                <w:lang w:val="es-ES_tradnl"/>
              </w:rPr>
            </w:pPr>
            <w:r w:rsidRPr="009834A9">
              <w:rPr>
                <w:sz w:val="18"/>
                <w:szCs w:val="18"/>
                <w:lang w:val="es-ES_tradnl"/>
              </w:rPr>
              <w:t>Las políticas deben promover el acceso a todos los usuarios, especialme</w:t>
            </w:r>
            <w:r w:rsidR="0020426B">
              <w:rPr>
                <w:sz w:val="18"/>
                <w:szCs w:val="18"/>
                <w:lang w:val="es-ES_tradnl"/>
              </w:rPr>
              <w:t xml:space="preserve">nte a las comunidades y grupos </w:t>
            </w:r>
            <w:r w:rsidRPr="009834A9">
              <w:rPr>
                <w:sz w:val="18"/>
                <w:szCs w:val="18"/>
                <w:lang w:val="es-ES_tradnl"/>
              </w:rPr>
              <w:t xml:space="preserve">más desfavorecidos. </w:t>
            </w:r>
          </w:p>
        </w:tc>
        <w:tc>
          <w:tcPr>
            <w:tcW w:w="4140" w:type="dxa"/>
            <w:shd w:val="clear" w:color="auto" w:fill="auto"/>
          </w:tcPr>
          <w:p w14:paraId="1F921206" w14:textId="2AA6BE7A" w:rsidR="000F1306" w:rsidRPr="009834A9" w:rsidRDefault="00D275F4" w:rsidP="00641521">
            <w:pPr>
              <w:jc w:val="both"/>
              <w:rPr>
                <w:sz w:val="18"/>
                <w:szCs w:val="18"/>
                <w:lang w:val="es-ES_tradnl"/>
              </w:rPr>
            </w:pPr>
            <w:r>
              <w:rPr>
                <w:sz w:val="18"/>
                <w:szCs w:val="18"/>
                <w:lang w:val="es-ES_tradnl"/>
              </w:rPr>
              <w:t>E</w:t>
            </w:r>
            <w:r w:rsidRPr="00D275F4">
              <w:rPr>
                <w:sz w:val="18"/>
                <w:szCs w:val="18"/>
                <w:lang w:val="es-ES_tradnl"/>
              </w:rPr>
              <w:t>l objetivo principal de la Política Nacional</w:t>
            </w:r>
            <w:r>
              <w:rPr>
                <w:sz w:val="18"/>
                <w:szCs w:val="18"/>
                <w:lang w:val="es-ES_tradnl"/>
              </w:rPr>
              <w:t xml:space="preserve"> de Agua Potable y Saneamiento del país </w:t>
            </w:r>
            <w:r w:rsidRPr="00D275F4">
              <w:rPr>
                <w:sz w:val="18"/>
                <w:szCs w:val="18"/>
                <w:lang w:val="es-ES_tradnl"/>
              </w:rPr>
              <w:t>busca “lograr coberturas universales y sostenibles mediante la ampliación y la mejora de los niveles de cobertura y eficiencia con que se brindan los servicios de agua, saneamiento y el tratamiento de aguas residuales”; en este sentido, el Gobierno del Perú se ha propuesto alcanzar coberturas universales al año 2021 en el ámbito urbano y al año 2030 en el ámbito rural.</w:t>
            </w:r>
            <w:r w:rsidR="00641521">
              <w:rPr>
                <w:sz w:val="18"/>
                <w:szCs w:val="18"/>
                <w:lang w:val="es-ES_tradnl"/>
              </w:rPr>
              <w:t xml:space="preserve"> </w:t>
            </w:r>
            <w:r w:rsidR="00641521" w:rsidRPr="00C80BA1">
              <w:rPr>
                <w:sz w:val="18"/>
                <w:szCs w:val="18"/>
                <w:lang w:val="es-AR"/>
              </w:rPr>
              <w:t>En el marco de las Políticas de Inclusión Social del Gobierno y del Ministerio de Vivienda, Construcción y Saneamiento (MVCS), se priorizó la atención de las poblaciones más pobres y excluidas, con el objeto de mejorar su salud y, en particular, combatir las Enfermedades Diarreicas Agudas (EDA) y contribuir de esta manera con la reducción de la desnutrición infantil.</w:t>
            </w:r>
            <w:r w:rsidR="00641521">
              <w:rPr>
                <w:sz w:val="18"/>
                <w:szCs w:val="18"/>
                <w:lang w:val="es-AR"/>
              </w:rPr>
              <w:t xml:space="preserve"> </w:t>
            </w:r>
            <w:r w:rsidR="00641521" w:rsidRPr="00C80BA1">
              <w:rPr>
                <w:sz w:val="18"/>
                <w:szCs w:val="18"/>
                <w:lang w:val="es-AR"/>
              </w:rPr>
              <w:t>El Programa Nacional de Saneamiento Rural (PNSR) es una de las acciones emprendidas para dar cuenta de este compromiso. Creado en enero de 2012, el programa no sólo busca mejorar el acceso de la población del ámbito rural a servicios de agua y saneamiento de calidad y sostenibles, sino contribuir con la mejora de la salud, la calidad de vida y las oportunidades de desarrollo de las comunidades rurales del Perú, prestando especial atención a los aspectos sociales, el fortalecimiento institucional, la capacidad de gestión y el cuidado ambiental de la población del ámbito rural.</w:t>
            </w:r>
            <w:r w:rsidR="00641521">
              <w:rPr>
                <w:sz w:val="18"/>
                <w:szCs w:val="18"/>
                <w:lang w:val="es-AR"/>
              </w:rPr>
              <w:t xml:space="preserve"> </w:t>
            </w:r>
            <w:r w:rsidR="00641521" w:rsidRPr="00C80BA1">
              <w:rPr>
                <w:sz w:val="18"/>
                <w:szCs w:val="18"/>
                <w:lang w:val="es-AR"/>
              </w:rPr>
              <w:t>Para lograr sus objetivos, el Programa Nacional de Saneamiento Rural (PNSR) concentra sus esfuerzos y recursos en disminuir la brecha de provisión de servicios básicos de agua y saneamiento en las zonas rurales del país, en comparación con las zonas urbanas. Con ese propósito el PNSR trabaja con el 60% de las comunidades rurales con mayores necesidades.</w:t>
            </w:r>
            <w:r w:rsidRPr="00D275F4">
              <w:rPr>
                <w:lang w:val="es-ES_tradnl"/>
              </w:rPr>
              <w:t xml:space="preserve"> </w:t>
            </w:r>
            <w:r>
              <w:rPr>
                <w:sz w:val="18"/>
                <w:szCs w:val="18"/>
                <w:lang w:val="es-ES_tradnl"/>
              </w:rPr>
              <w:t>Con el programa de préstamo actual</w:t>
            </w:r>
            <w:r w:rsidRPr="00D275F4">
              <w:rPr>
                <w:sz w:val="18"/>
                <w:szCs w:val="18"/>
                <w:lang w:val="es-ES_tradnl"/>
              </w:rPr>
              <w:t xml:space="preserve"> </w:t>
            </w:r>
            <w:r>
              <w:rPr>
                <w:sz w:val="18"/>
                <w:szCs w:val="18"/>
                <w:lang w:val="es-ES_tradnl"/>
              </w:rPr>
              <w:t xml:space="preserve">se espera que </w:t>
            </w:r>
            <w:r w:rsidRPr="00D275F4">
              <w:rPr>
                <w:sz w:val="18"/>
                <w:szCs w:val="18"/>
                <w:lang w:val="es-ES_tradnl"/>
              </w:rPr>
              <w:t xml:space="preserve">100 centros poblados rurales cuenten con sistemas de abastecimiento de agua potable y soluciones </w:t>
            </w:r>
            <w:r w:rsidRPr="00D275F4">
              <w:rPr>
                <w:sz w:val="18"/>
                <w:szCs w:val="18"/>
                <w:lang w:val="es-ES_tradnl"/>
              </w:rPr>
              <w:lastRenderedPageBreak/>
              <w:t xml:space="preserve">individuales de saneamiento, beneficiando en torno a 10.000 hogares. </w:t>
            </w:r>
          </w:p>
        </w:tc>
      </w:tr>
      <w:tr w:rsidR="000F1306" w:rsidRPr="000E0118" w14:paraId="09921C46" w14:textId="77777777" w:rsidTr="0082251B">
        <w:trPr>
          <w:jc w:val="center"/>
        </w:trPr>
        <w:tc>
          <w:tcPr>
            <w:tcW w:w="1929" w:type="dxa"/>
            <w:shd w:val="clear" w:color="auto" w:fill="auto"/>
          </w:tcPr>
          <w:p w14:paraId="05BD9391" w14:textId="77777777" w:rsidR="000F1306" w:rsidRPr="00D06EBC" w:rsidRDefault="000F1306" w:rsidP="00776571">
            <w:pPr>
              <w:jc w:val="both"/>
              <w:rPr>
                <w:sz w:val="18"/>
                <w:szCs w:val="18"/>
                <w:lang w:val="es-ES_tradnl"/>
              </w:rPr>
            </w:pPr>
            <w:r w:rsidRPr="00D06EBC">
              <w:rPr>
                <w:bCs/>
                <w:sz w:val="18"/>
                <w:szCs w:val="18"/>
                <w:lang w:val="es-ES_tradnl"/>
              </w:rPr>
              <w:lastRenderedPageBreak/>
              <w:t>2. Suministrar el acceso al servicio en condiciones de confiabilidad y calidad adecuadas</w:t>
            </w:r>
          </w:p>
        </w:tc>
        <w:tc>
          <w:tcPr>
            <w:tcW w:w="3129" w:type="dxa"/>
            <w:shd w:val="clear" w:color="auto" w:fill="auto"/>
          </w:tcPr>
          <w:p w14:paraId="54D2C6EA" w14:textId="77777777" w:rsidR="000F1306" w:rsidRPr="009876DD" w:rsidRDefault="000F1306" w:rsidP="00776571">
            <w:pPr>
              <w:jc w:val="both"/>
              <w:rPr>
                <w:sz w:val="18"/>
                <w:szCs w:val="18"/>
                <w:lang w:val="es-ES_tradnl"/>
              </w:rPr>
            </w:pPr>
            <w:r w:rsidRPr="009876DD">
              <w:rPr>
                <w:sz w:val="18"/>
                <w:szCs w:val="18"/>
                <w:lang w:val="es-ES_tradnl"/>
              </w:rPr>
              <w:t>Es importante asegurar que las variaciones de costo guarden un equilibrio apropiado con los cambios en la calidad del servicio. Este equilibrio sólo puede obtenerse mediante una estricta reglamentación de la calidad del servicio. El marco reglamentario debe contener procedimientos mediante los cuales se definan claramente las normas de calidad y se controlen y hagan cumplir por medio de un sistema de sanciones e incentivos.</w:t>
            </w:r>
          </w:p>
        </w:tc>
        <w:tc>
          <w:tcPr>
            <w:tcW w:w="4140" w:type="dxa"/>
            <w:shd w:val="clear" w:color="auto" w:fill="auto"/>
          </w:tcPr>
          <w:p w14:paraId="3525E36A" w14:textId="77089CEA" w:rsidR="00294D87" w:rsidRPr="00B53A4A" w:rsidRDefault="00271371" w:rsidP="00926BBA">
            <w:pPr>
              <w:spacing w:before="120" w:after="120"/>
              <w:jc w:val="both"/>
              <w:rPr>
                <w:sz w:val="18"/>
                <w:szCs w:val="18"/>
                <w:lang w:val="es-ES_tradnl"/>
              </w:rPr>
            </w:pPr>
            <w:r w:rsidRPr="00271371">
              <w:rPr>
                <w:sz w:val="18"/>
                <w:szCs w:val="18"/>
                <w:lang w:val="es-ES_tradnl"/>
              </w:rPr>
              <w:t>La regulación y fiscalización de los servicios de AyS se ejerce a través de la Superintendencia Nacional de Se</w:t>
            </w:r>
            <w:r w:rsidR="00376912">
              <w:rPr>
                <w:sz w:val="18"/>
                <w:szCs w:val="18"/>
                <w:lang w:val="es-ES_tradnl"/>
              </w:rPr>
              <w:t>rvicios de Saneamiento (SUNASS</w:t>
            </w:r>
            <w:r w:rsidRPr="00271371">
              <w:rPr>
                <w:sz w:val="18"/>
                <w:szCs w:val="18"/>
                <w:lang w:val="es-ES_tradnl"/>
              </w:rPr>
              <w:t>) correspondiéndole garantizar a los usuarios la prestación de los servicios de AyS en el ámbito urbano y rural.</w:t>
            </w:r>
            <w:r w:rsidRPr="00271371">
              <w:rPr>
                <w:color w:val="000000"/>
                <w:sz w:val="27"/>
                <w:szCs w:val="27"/>
                <w:lang w:val="es-ES_tradnl"/>
              </w:rPr>
              <w:t xml:space="preserve"> </w:t>
            </w:r>
            <w:r w:rsidRPr="00271371">
              <w:rPr>
                <w:sz w:val="18"/>
                <w:szCs w:val="18"/>
                <w:lang w:val="es-ES_tradnl"/>
              </w:rPr>
              <w:t xml:space="preserve">La SUNASS es organismo público descentralizado, creado por Decreto Ley N° 25965, adscrito a la Presidencia del Consejo de Ministros, con personería de derecho público y con autonomía administrativa, funcional, técnica, económica y financiera; cuya función es normar, regular, supervisar y fiscalizar la prestación de los servicios de saneamiento, cautelando en forma imparcial y objetiva los intereses del Estado, de los inversionistas y del usuario. También el Ministerio de Salud (MINSA), norma los parámetros de calidad del agua de consumo humano y vigila que estos se cumplan; por otra parte, corresponde al Ministerio del Ambiente (MINAM) fijar los estándares de calidad ambiental para agua, como referente obligatorio en el diseño y aplicación de los instrumentos de gestión ambiental. </w:t>
            </w:r>
          </w:p>
        </w:tc>
      </w:tr>
      <w:tr w:rsidR="009834A9" w:rsidRPr="000E0118" w14:paraId="3975EBB5" w14:textId="77777777" w:rsidTr="0082251B">
        <w:trPr>
          <w:jc w:val="center"/>
        </w:trPr>
        <w:tc>
          <w:tcPr>
            <w:tcW w:w="1929" w:type="dxa"/>
            <w:shd w:val="clear" w:color="auto" w:fill="auto"/>
          </w:tcPr>
          <w:p w14:paraId="455356D6" w14:textId="77777777" w:rsidR="000F1306" w:rsidRPr="009834A9" w:rsidRDefault="000F1306" w:rsidP="000F1306">
            <w:pPr>
              <w:rPr>
                <w:bCs/>
                <w:sz w:val="18"/>
                <w:szCs w:val="18"/>
                <w:lang w:val="es-ES_tradnl"/>
              </w:rPr>
            </w:pPr>
            <w:r w:rsidRPr="009834A9">
              <w:rPr>
                <w:bCs/>
                <w:sz w:val="18"/>
                <w:szCs w:val="18"/>
                <w:lang w:val="es-ES_tradnl"/>
              </w:rPr>
              <w:t>3. Suministrar un servicio en condiciones de eficiencia</w:t>
            </w:r>
          </w:p>
        </w:tc>
        <w:tc>
          <w:tcPr>
            <w:tcW w:w="3129" w:type="dxa"/>
            <w:shd w:val="clear" w:color="auto" w:fill="auto"/>
          </w:tcPr>
          <w:p w14:paraId="29372C6E" w14:textId="77777777" w:rsidR="000F1306" w:rsidRPr="009834A9" w:rsidRDefault="000F1306" w:rsidP="000F1306">
            <w:pPr>
              <w:rPr>
                <w:sz w:val="18"/>
                <w:szCs w:val="18"/>
                <w:lang w:val="es-ES_tradnl"/>
              </w:rPr>
            </w:pPr>
            <w:r w:rsidRPr="009834A9">
              <w:rPr>
                <w:sz w:val="18"/>
                <w:szCs w:val="18"/>
                <w:lang w:val="es-ES_tradnl"/>
              </w:rPr>
              <w:t>Debe asegurarse que, desde el punto de vista de la oferta, los servicios se proveen con los menores costos posibles.</w:t>
            </w:r>
          </w:p>
        </w:tc>
        <w:tc>
          <w:tcPr>
            <w:tcW w:w="4140" w:type="dxa"/>
            <w:shd w:val="clear" w:color="auto" w:fill="auto"/>
          </w:tcPr>
          <w:p w14:paraId="7AA26ECE" w14:textId="77777777" w:rsidR="00647C13" w:rsidRPr="00647C13" w:rsidRDefault="00647C13" w:rsidP="00647C13">
            <w:pPr>
              <w:pStyle w:val="Default"/>
              <w:jc w:val="both"/>
              <w:rPr>
                <w:sz w:val="18"/>
                <w:szCs w:val="18"/>
                <w:lang w:val="es-ES_tradnl"/>
              </w:rPr>
            </w:pPr>
            <w:r w:rsidRPr="00647C13">
              <w:rPr>
                <w:sz w:val="18"/>
                <w:szCs w:val="18"/>
                <w:lang w:val="es-ES_tradnl"/>
              </w:rPr>
              <w:t xml:space="preserve">Los componentes del programa resultaron de un análisis comparativo de los costos de las diversas alternativas u opciones de proveer el servicio, incluyendo los costos de operación y mantenimiento. </w:t>
            </w:r>
          </w:p>
          <w:p w14:paraId="44B045E3" w14:textId="2EAC6A22" w:rsidR="000F1306" w:rsidRPr="00322542" w:rsidRDefault="00153CB8" w:rsidP="00153CB8">
            <w:pPr>
              <w:jc w:val="both"/>
              <w:rPr>
                <w:b/>
                <w:sz w:val="18"/>
                <w:szCs w:val="18"/>
                <w:lang w:val="es-ES_tradnl"/>
              </w:rPr>
            </w:pPr>
            <w:r w:rsidRPr="00464179">
              <w:rPr>
                <w:rFonts w:eastAsiaTheme="minorHAnsi"/>
                <w:sz w:val="18"/>
                <w:szCs w:val="18"/>
                <w:lang w:val="es-ES_tradnl"/>
              </w:rPr>
              <w:t>Los proyectos han sido desarrollados de acuerdo con las normas y principios de la ingeniería generalmente aceptados y aprovechando las experiencias adquiridas durante la ejecución de proyectos similares en otros programas. Los estudios realizados han permitido estimar los costos de inversión de cada proyecto y establecer los cronogramas de ejecución de las obras.</w:t>
            </w:r>
            <w:r>
              <w:rPr>
                <w:rFonts w:eastAsiaTheme="minorHAnsi"/>
                <w:sz w:val="18"/>
                <w:szCs w:val="18"/>
                <w:lang w:val="es-ES_tradnl"/>
              </w:rPr>
              <w:t xml:space="preserve"> </w:t>
            </w:r>
          </w:p>
        </w:tc>
      </w:tr>
      <w:tr w:rsidR="009834A9" w:rsidRPr="000E0118" w14:paraId="1F7F8D8A" w14:textId="77777777" w:rsidTr="0082251B">
        <w:trPr>
          <w:jc w:val="center"/>
        </w:trPr>
        <w:tc>
          <w:tcPr>
            <w:tcW w:w="1929" w:type="dxa"/>
            <w:tcBorders>
              <w:bottom w:val="single" w:sz="4" w:space="0" w:color="auto"/>
            </w:tcBorders>
            <w:shd w:val="clear" w:color="auto" w:fill="auto"/>
          </w:tcPr>
          <w:p w14:paraId="7BE05B36" w14:textId="77777777" w:rsidR="000F1306" w:rsidRPr="009834A9" w:rsidRDefault="000F1306" w:rsidP="000F1306">
            <w:pPr>
              <w:rPr>
                <w:bCs/>
                <w:sz w:val="18"/>
                <w:szCs w:val="18"/>
                <w:lang w:val="es-ES_tradnl"/>
              </w:rPr>
            </w:pPr>
            <w:r w:rsidRPr="009834A9">
              <w:rPr>
                <w:bCs/>
                <w:sz w:val="18"/>
                <w:szCs w:val="18"/>
                <w:lang w:val="es-ES_tradnl"/>
              </w:rPr>
              <w:t>4. Generar incentivos adecuados a la demanda de servicios.</w:t>
            </w:r>
          </w:p>
        </w:tc>
        <w:tc>
          <w:tcPr>
            <w:tcW w:w="3129" w:type="dxa"/>
            <w:tcBorders>
              <w:bottom w:val="single" w:sz="4" w:space="0" w:color="auto"/>
            </w:tcBorders>
            <w:shd w:val="clear" w:color="auto" w:fill="auto"/>
          </w:tcPr>
          <w:p w14:paraId="69182C5D" w14:textId="77777777" w:rsidR="000F1306" w:rsidRPr="009834A9" w:rsidRDefault="000F1306" w:rsidP="000F1306">
            <w:pPr>
              <w:rPr>
                <w:sz w:val="18"/>
                <w:szCs w:val="18"/>
                <w:lang w:val="es-ES_tradnl"/>
              </w:rPr>
            </w:pPr>
            <w:r w:rsidRPr="009834A9">
              <w:rPr>
                <w:sz w:val="18"/>
                <w:szCs w:val="18"/>
                <w:lang w:val="es-ES_tradnl"/>
              </w:rPr>
              <w:t>Debe velarse porque existan los incentivos adecuados para que los usuarios hagan un uso de estos servicios compatible con su sostenibilidad económica, financiera y ambiental</w:t>
            </w:r>
          </w:p>
        </w:tc>
        <w:tc>
          <w:tcPr>
            <w:tcW w:w="4140" w:type="dxa"/>
            <w:tcBorders>
              <w:bottom w:val="single" w:sz="4" w:space="0" w:color="auto"/>
            </w:tcBorders>
            <w:shd w:val="clear" w:color="auto" w:fill="auto"/>
          </w:tcPr>
          <w:p w14:paraId="5F6ACE77" w14:textId="7996BD2E" w:rsidR="000F1306" w:rsidRPr="004820DC" w:rsidRDefault="004820DC" w:rsidP="005D189D">
            <w:pPr>
              <w:jc w:val="both"/>
              <w:rPr>
                <w:sz w:val="18"/>
                <w:szCs w:val="18"/>
                <w:lang w:val="es-ES_tradnl"/>
              </w:rPr>
            </w:pPr>
            <w:r w:rsidRPr="004820DC">
              <w:rPr>
                <w:sz w:val="18"/>
                <w:szCs w:val="18"/>
                <w:lang w:val="es-ES_tradnl"/>
              </w:rPr>
              <w:t xml:space="preserve"> </w:t>
            </w:r>
            <w:r w:rsidR="0082251B">
              <w:rPr>
                <w:sz w:val="18"/>
                <w:szCs w:val="18"/>
                <w:lang w:val="es-ES_tradnl"/>
              </w:rPr>
              <w:t>L</w:t>
            </w:r>
            <w:r w:rsidRPr="004820DC">
              <w:rPr>
                <w:sz w:val="18"/>
                <w:szCs w:val="18"/>
                <w:lang w:val="es-ES_tradnl"/>
              </w:rPr>
              <w:t>os proyectos de la muestra</w:t>
            </w:r>
            <w:r w:rsidR="0082251B">
              <w:rPr>
                <w:sz w:val="18"/>
                <w:szCs w:val="18"/>
                <w:lang w:val="es-ES_tradnl"/>
              </w:rPr>
              <w:t xml:space="preserve"> del programa </w:t>
            </w:r>
            <w:r w:rsidR="00A429E3">
              <w:rPr>
                <w:sz w:val="18"/>
                <w:szCs w:val="18"/>
                <w:lang w:val="es-ES_tradnl"/>
              </w:rPr>
              <w:t>actual</w:t>
            </w:r>
            <w:r w:rsidR="0082251B">
              <w:rPr>
                <w:sz w:val="18"/>
                <w:szCs w:val="18"/>
                <w:lang w:val="es-ES_tradnl"/>
              </w:rPr>
              <w:t xml:space="preserve"> </w:t>
            </w:r>
            <w:r w:rsidRPr="004820DC">
              <w:rPr>
                <w:sz w:val="18"/>
                <w:szCs w:val="18"/>
                <w:lang w:val="es-ES_tradnl"/>
              </w:rPr>
              <w:t xml:space="preserve">definen y presupuestan actividades en materia de educación sanitaria, las cuales se orientan a toda la población beneficiaria. El objetivo de estas actividades es generar condiciones de sostenibilidad y buen uso de la infraestructura construida. Las mismas representan, en promedio, un 5% del costo total de infraestructura, y se implementan en las tres etapas del ciclo de proyecto (antes, durante y después de las obras). Antes del inicio de las obras, se incluyen actividades de socialización del proyecto, verificación del padrón de usuarios y desarrollo del diagnóstico situación de la población beneficiaria. Durante la ejecución de las obras, se incluyen sesiones educativas sobre vigilancia ciudadana y transparencia, funciones y responsabilidades de las JASS, vivienda y entornos saludables; talleres sobre pago y establecimiento de una cuota de reserva de la JASS y una cuota familiar mensual para la sostenibilidad del servicio; asambleas para la aprobación y firma de compromisos para el aporte de la cuota de reserva y la cuota familiar mensual; campañas de lavado de manos y actividades radiales y teatrales sobre consumo de agua segura y cuidado del medio ambiente; sesiones demostrativas sobre O&amp;M de la unidades básicas de saneamiento; y visitas domiciliares sobre </w:t>
            </w:r>
            <w:r w:rsidRPr="004820DC">
              <w:rPr>
                <w:sz w:val="18"/>
                <w:szCs w:val="18"/>
                <w:lang w:val="es-ES_tradnl"/>
              </w:rPr>
              <w:lastRenderedPageBreak/>
              <w:t xml:space="preserve">almacenamiento, tratamiento, cuidado y uso racional del agua en el hogar. Antes de la entrega definitiva de las obras, se llevan adelante talleres de reforzamiento sobre pago oportuno de la cuota familiar y cuota de reserva; sesiones educativas sobre derechos, obligaciones y sanciones establecidas en el reglamento de las JASS; asambleas informativas sobre la puesta en marcha del sistema de AyS en el centro poblado; y el cierre de la ejecución de las obras. Por último, con posterioridad a la ejecución de las obras se realizan asambleas, visitas domiciliarias y sesiones educativas y demostrativas que refuerzan las temáticas abordadas con anterioridad. </w:t>
            </w:r>
            <w:r w:rsidR="005D189D">
              <w:rPr>
                <w:sz w:val="18"/>
                <w:szCs w:val="18"/>
                <w:lang w:val="es-ES_tradnl"/>
              </w:rPr>
              <w:t xml:space="preserve"> L</w:t>
            </w:r>
            <w:r w:rsidR="005D189D" w:rsidRPr="00AE6BFB">
              <w:rPr>
                <w:sz w:val="18"/>
                <w:szCs w:val="18"/>
                <w:lang w:val="es-ES_tradnl"/>
              </w:rPr>
              <w:t>as tarifas</w:t>
            </w:r>
            <w:r w:rsidR="00E6766B">
              <w:rPr>
                <w:sz w:val="18"/>
                <w:szCs w:val="18"/>
                <w:lang w:val="es-ES_tradnl"/>
              </w:rPr>
              <w:t xml:space="preserve"> </w:t>
            </w:r>
            <w:r w:rsidR="005D189D">
              <w:rPr>
                <w:sz w:val="18"/>
                <w:szCs w:val="18"/>
                <w:lang w:val="es-ES_tradnl"/>
              </w:rPr>
              <w:t>(cuota familiar) de los proyectos del programa</w:t>
            </w:r>
            <w:r w:rsidR="00A429E3">
              <w:rPr>
                <w:sz w:val="18"/>
                <w:szCs w:val="18"/>
                <w:lang w:val="es-ES_tradnl"/>
              </w:rPr>
              <w:t xml:space="preserve"> son establecidas siguiendo la </w:t>
            </w:r>
            <w:r w:rsidR="005D189D" w:rsidRPr="00AE6BFB">
              <w:rPr>
                <w:sz w:val="18"/>
                <w:szCs w:val="18"/>
                <w:lang w:val="es-ES_tradnl"/>
              </w:rPr>
              <w:t>metodología de costo marginal de largo plazo, que considera los costos de operación y mantenimiento en función de los volúmenes de agua comercializada para el horizonte del proyecto.</w:t>
            </w:r>
            <w:r w:rsidR="005D189D">
              <w:rPr>
                <w:sz w:val="18"/>
                <w:szCs w:val="18"/>
                <w:lang w:val="es-ES_tradnl"/>
              </w:rPr>
              <w:t xml:space="preserve"> De esta forma se determina</w:t>
            </w:r>
            <w:r w:rsidR="005D189D" w:rsidRPr="00AE6BFB">
              <w:rPr>
                <w:sz w:val="18"/>
                <w:szCs w:val="18"/>
                <w:lang w:val="es-ES_tradnl"/>
              </w:rPr>
              <w:t xml:space="preserve"> un precio</w:t>
            </w:r>
            <w:r w:rsidR="005D189D">
              <w:rPr>
                <w:sz w:val="18"/>
                <w:szCs w:val="18"/>
                <w:lang w:val="es-ES_tradnl"/>
              </w:rPr>
              <w:t xml:space="preserve"> por m3</w:t>
            </w:r>
            <w:r w:rsidR="005D189D" w:rsidRPr="00AE6BFB">
              <w:rPr>
                <w:sz w:val="18"/>
                <w:szCs w:val="18"/>
                <w:lang w:val="es-ES_tradnl"/>
              </w:rPr>
              <w:t xml:space="preserve"> </w:t>
            </w:r>
            <w:r w:rsidR="005D189D">
              <w:rPr>
                <w:sz w:val="18"/>
                <w:szCs w:val="18"/>
                <w:lang w:val="es-ES_tradnl"/>
              </w:rPr>
              <w:t xml:space="preserve">de consumo </w:t>
            </w:r>
            <w:r w:rsidR="005D189D" w:rsidRPr="00AE6BFB">
              <w:rPr>
                <w:sz w:val="18"/>
                <w:szCs w:val="18"/>
                <w:lang w:val="es-ES_tradnl"/>
              </w:rPr>
              <w:t>que cubr</w:t>
            </w:r>
            <w:r w:rsidR="005D189D">
              <w:rPr>
                <w:sz w:val="18"/>
                <w:szCs w:val="18"/>
                <w:lang w:val="es-ES_tradnl"/>
              </w:rPr>
              <w:t>e</w:t>
            </w:r>
            <w:r w:rsidR="005D189D" w:rsidRPr="00AE6BFB">
              <w:rPr>
                <w:sz w:val="18"/>
                <w:szCs w:val="18"/>
                <w:lang w:val="es-ES_tradnl"/>
              </w:rPr>
              <w:t xml:space="preserve"> los costos derivados de la operación y mantenimiento del sistema de agua y/o saneamiento.</w:t>
            </w:r>
            <w:r w:rsidR="005D189D">
              <w:rPr>
                <w:sz w:val="18"/>
                <w:szCs w:val="18"/>
                <w:lang w:val="es-ES_tradnl"/>
              </w:rPr>
              <w:t xml:space="preserve"> Al establecerse tarifas que guardan relación con el uso del servicio, mediante tarifas por consumo medido, se generan incentivos en la demanda a un uso racional del servicio y de los recursos. </w:t>
            </w:r>
            <w:r w:rsidR="005D189D" w:rsidRPr="00AE6BFB">
              <w:rPr>
                <w:sz w:val="18"/>
                <w:szCs w:val="18"/>
                <w:lang w:val="es-ES_tradnl"/>
              </w:rPr>
              <w:t xml:space="preserve">La sostenibilidad </w:t>
            </w:r>
            <w:r w:rsidR="005D189D">
              <w:rPr>
                <w:sz w:val="18"/>
                <w:szCs w:val="18"/>
                <w:lang w:val="es-ES_tradnl"/>
              </w:rPr>
              <w:t xml:space="preserve">económica y </w:t>
            </w:r>
            <w:r w:rsidR="005D189D" w:rsidRPr="00AE6BFB">
              <w:rPr>
                <w:sz w:val="18"/>
                <w:szCs w:val="18"/>
                <w:lang w:val="es-ES_tradnl"/>
              </w:rPr>
              <w:t>financiera se alcanza mediante el cobro de</w:t>
            </w:r>
            <w:r w:rsidR="005D189D">
              <w:rPr>
                <w:sz w:val="18"/>
                <w:szCs w:val="18"/>
                <w:lang w:val="es-ES_tradnl"/>
              </w:rPr>
              <w:t xml:space="preserve"> las</w:t>
            </w:r>
            <w:r w:rsidR="005D189D" w:rsidRPr="00AE6BFB">
              <w:rPr>
                <w:sz w:val="18"/>
                <w:szCs w:val="18"/>
                <w:lang w:val="es-ES_tradnl"/>
              </w:rPr>
              <w:t xml:space="preserve"> </w:t>
            </w:r>
            <w:r w:rsidR="005D189D">
              <w:rPr>
                <w:sz w:val="18"/>
                <w:szCs w:val="18"/>
                <w:lang w:val="es-ES_tradnl"/>
              </w:rPr>
              <w:t>cuotas familiares correspondientes</w:t>
            </w:r>
            <w:r w:rsidR="005D189D" w:rsidRPr="00AE6BFB">
              <w:rPr>
                <w:sz w:val="18"/>
                <w:szCs w:val="18"/>
                <w:lang w:val="es-ES_tradnl"/>
              </w:rPr>
              <w:t xml:space="preserve"> que permitirá</w:t>
            </w:r>
            <w:r w:rsidR="005D189D">
              <w:rPr>
                <w:sz w:val="18"/>
                <w:szCs w:val="18"/>
                <w:lang w:val="es-ES_tradnl"/>
              </w:rPr>
              <w:t>n</w:t>
            </w:r>
            <w:r w:rsidR="005D189D" w:rsidRPr="00AE6BFB">
              <w:rPr>
                <w:sz w:val="18"/>
                <w:szCs w:val="18"/>
                <w:lang w:val="es-ES_tradnl"/>
              </w:rPr>
              <w:t xml:space="preserve"> </w:t>
            </w:r>
            <w:r w:rsidR="005D189D">
              <w:rPr>
                <w:sz w:val="18"/>
                <w:szCs w:val="18"/>
                <w:lang w:val="es-ES_tradnl"/>
              </w:rPr>
              <w:t>cubrir</w:t>
            </w:r>
            <w:r w:rsidR="005D189D" w:rsidRPr="00AE6BFB">
              <w:rPr>
                <w:sz w:val="18"/>
                <w:szCs w:val="18"/>
                <w:lang w:val="es-ES_tradnl"/>
              </w:rPr>
              <w:t xml:space="preserve"> los costos derivados de la operación y mantenimiento de los sistemas</w:t>
            </w:r>
            <w:r w:rsidR="005D189D">
              <w:rPr>
                <w:sz w:val="18"/>
                <w:szCs w:val="18"/>
                <w:lang w:val="es-ES_tradnl"/>
              </w:rPr>
              <w:t>.</w:t>
            </w:r>
          </w:p>
        </w:tc>
      </w:tr>
      <w:tr w:rsidR="0035101F" w:rsidRPr="000E0118" w14:paraId="6E9B720C" w14:textId="77777777" w:rsidTr="0082251B">
        <w:trPr>
          <w:jc w:val="center"/>
        </w:trPr>
        <w:tc>
          <w:tcPr>
            <w:tcW w:w="1929" w:type="dxa"/>
            <w:tcBorders>
              <w:bottom w:val="single" w:sz="4" w:space="0" w:color="auto"/>
            </w:tcBorders>
            <w:shd w:val="clear" w:color="auto" w:fill="auto"/>
          </w:tcPr>
          <w:p w14:paraId="7B65A698" w14:textId="77777777" w:rsidR="0035101F" w:rsidRPr="008A429E" w:rsidRDefault="0035101F" w:rsidP="0035101F">
            <w:pPr>
              <w:rPr>
                <w:rFonts w:eastAsiaTheme="minorHAnsi"/>
                <w:sz w:val="18"/>
                <w:szCs w:val="18"/>
                <w:lang w:val="es-ES_tradnl"/>
              </w:rPr>
            </w:pPr>
            <w:r w:rsidRPr="008A429E">
              <w:rPr>
                <w:rFonts w:eastAsiaTheme="minorHAnsi"/>
                <w:sz w:val="18"/>
                <w:szCs w:val="18"/>
                <w:lang w:val="es-ES_tradnl"/>
              </w:rPr>
              <w:lastRenderedPageBreak/>
              <w:t>5. Promover la sostenibilidad de los servicios públicos domiciliarios</w:t>
            </w:r>
          </w:p>
        </w:tc>
        <w:tc>
          <w:tcPr>
            <w:tcW w:w="3129" w:type="dxa"/>
            <w:tcBorders>
              <w:bottom w:val="single" w:sz="4" w:space="0" w:color="auto"/>
            </w:tcBorders>
            <w:shd w:val="clear" w:color="auto" w:fill="auto"/>
          </w:tcPr>
          <w:p w14:paraId="05B50FA8" w14:textId="77777777" w:rsidR="0035101F" w:rsidRPr="008A429E" w:rsidRDefault="0035101F" w:rsidP="0035101F">
            <w:pPr>
              <w:rPr>
                <w:rFonts w:eastAsiaTheme="minorHAnsi"/>
                <w:sz w:val="18"/>
                <w:szCs w:val="18"/>
                <w:lang w:val="es-ES_tradnl"/>
              </w:rPr>
            </w:pPr>
            <w:r w:rsidRPr="008A429E">
              <w:rPr>
                <w:rFonts w:eastAsiaTheme="minorHAnsi"/>
                <w:sz w:val="18"/>
                <w:szCs w:val="18"/>
                <w:lang w:val="es-ES_tradnl"/>
              </w:rPr>
              <w:t>El alcance de la sostenibilidad de los servicios públicos domiciliarios se promoverá en función de tres pilares:</w:t>
            </w:r>
          </w:p>
          <w:p w14:paraId="0E264C04" w14:textId="77777777" w:rsidR="0035101F" w:rsidRPr="008A429E" w:rsidRDefault="0035101F" w:rsidP="0035101F">
            <w:pPr>
              <w:rPr>
                <w:rFonts w:eastAsiaTheme="minorHAnsi"/>
                <w:sz w:val="18"/>
                <w:szCs w:val="18"/>
                <w:lang w:val="es-ES_tradnl"/>
              </w:rPr>
            </w:pPr>
          </w:p>
          <w:p w14:paraId="6E3F00D4" w14:textId="77777777" w:rsidR="0035101F" w:rsidRPr="008A429E" w:rsidRDefault="0035101F" w:rsidP="0035101F">
            <w:pPr>
              <w:rPr>
                <w:rFonts w:eastAsiaTheme="minorHAnsi"/>
                <w:sz w:val="18"/>
                <w:szCs w:val="18"/>
                <w:lang w:val="es-ES_tradnl"/>
              </w:rPr>
            </w:pPr>
            <w:r w:rsidRPr="008A429E">
              <w:rPr>
                <w:rFonts w:eastAsiaTheme="minorHAnsi"/>
                <w:sz w:val="18"/>
                <w:szCs w:val="18"/>
                <w:lang w:val="es-ES_tradnl"/>
              </w:rPr>
              <w:t>a. Sostenibilidad financiera: procurando contar con suficientes ingresos por la prestación del servicio al usuario, con los aportes de la comunidad y con los aportes directos del gobierno que permitan cubrir los costos eficientes de prestación del servicio.</w:t>
            </w:r>
          </w:p>
          <w:p w14:paraId="020FBAE2" w14:textId="77777777" w:rsidR="0035101F" w:rsidRPr="008A429E" w:rsidRDefault="0035101F" w:rsidP="0035101F">
            <w:pPr>
              <w:rPr>
                <w:rFonts w:eastAsiaTheme="minorHAnsi"/>
                <w:sz w:val="18"/>
                <w:szCs w:val="18"/>
                <w:lang w:val="es-ES_tradnl"/>
              </w:rPr>
            </w:pPr>
          </w:p>
          <w:p w14:paraId="308118F0" w14:textId="77777777" w:rsidR="0035101F" w:rsidRPr="008A429E" w:rsidRDefault="0035101F" w:rsidP="0035101F">
            <w:pPr>
              <w:rPr>
                <w:rFonts w:eastAsiaTheme="minorHAnsi"/>
                <w:sz w:val="18"/>
                <w:szCs w:val="18"/>
                <w:lang w:val="es-ES_tradnl"/>
              </w:rPr>
            </w:pPr>
            <w:r w:rsidRPr="008A429E">
              <w:rPr>
                <w:rFonts w:eastAsiaTheme="minorHAnsi"/>
                <w:sz w:val="18"/>
                <w:szCs w:val="18"/>
                <w:lang w:val="es-ES_tradnl"/>
              </w:rPr>
              <w:t>b. Sostenibilidad ambiental: apoyando que la selección, ejecución, operación y mantenimiento de los proyectos para prestar el servicio cumplan con las salvaguardias ambientales del Banco y contribuyan al desarrollo de una infraestructura con mayor resiliencia, considerando alternativas viables para mitigar el cambio climático.</w:t>
            </w:r>
          </w:p>
          <w:p w14:paraId="63A688CD" w14:textId="77777777" w:rsidR="0035101F" w:rsidRPr="008A429E" w:rsidRDefault="0035101F" w:rsidP="0035101F">
            <w:pPr>
              <w:rPr>
                <w:rFonts w:eastAsiaTheme="minorHAnsi"/>
                <w:sz w:val="18"/>
                <w:szCs w:val="18"/>
                <w:lang w:val="es-ES_tradnl"/>
              </w:rPr>
            </w:pPr>
          </w:p>
          <w:p w14:paraId="06DB1A9C" w14:textId="77777777" w:rsidR="0035101F" w:rsidRPr="008A429E" w:rsidRDefault="0035101F" w:rsidP="0035101F">
            <w:pPr>
              <w:rPr>
                <w:rFonts w:eastAsiaTheme="minorHAnsi"/>
                <w:sz w:val="18"/>
                <w:szCs w:val="18"/>
                <w:lang w:val="es-ES_tradnl"/>
              </w:rPr>
            </w:pPr>
            <w:r w:rsidRPr="008A429E">
              <w:rPr>
                <w:rFonts w:eastAsiaTheme="minorHAnsi"/>
                <w:sz w:val="18"/>
                <w:szCs w:val="18"/>
                <w:lang w:val="es-ES_tradnl"/>
              </w:rPr>
              <w:t>c. Sostenibilidad social: contribuyendo a incrementar el acceso al servicio y previendo mecanismos de consulta con la comunidad sobre los aspectos relevantes de la provisión del servicio.</w:t>
            </w:r>
          </w:p>
        </w:tc>
        <w:tc>
          <w:tcPr>
            <w:tcW w:w="4140" w:type="dxa"/>
            <w:tcBorders>
              <w:bottom w:val="single" w:sz="4" w:space="0" w:color="auto"/>
            </w:tcBorders>
            <w:shd w:val="clear" w:color="auto" w:fill="auto"/>
          </w:tcPr>
          <w:p w14:paraId="06C725A8" w14:textId="3B9F145D" w:rsidR="0035101F" w:rsidRDefault="0035101F" w:rsidP="0035101F">
            <w:pPr>
              <w:spacing w:before="120" w:after="120"/>
              <w:jc w:val="both"/>
              <w:rPr>
                <w:rFonts w:eastAsiaTheme="minorHAnsi"/>
                <w:sz w:val="18"/>
                <w:szCs w:val="18"/>
                <w:lang w:val="es-ES_tradnl"/>
              </w:rPr>
            </w:pPr>
            <w:r w:rsidRPr="008A429E">
              <w:rPr>
                <w:rFonts w:eastAsiaTheme="minorHAnsi"/>
                <w:i/>
                <w:sz w:val="18"/>
                <w:szCs w:val="18"/>
                <w:lang w:val="es-ES_tradnl"/>
              </w:rPr>
              <w:t>Sostenibilidad financiera</w:t>
            </w:r>
            <w:r w:rsidRPr="008A429E">
              <w:rPr>
                <w:rFonts w:eastAsiaTheme="minorHAnsi"/>
                <w:sz w:val="18"/>
                <w:szCs w:val="18"/>
                <w:lang w:val="es-ES_tradnl"/>
              </w:rPr>
              <w:t>.</w:t>
            </w:r>
            <w:r>
              <w:rPr>
                <w:rFonts w:eastAsiaTheme="minorHAnsi"/>
                <w:sz w:val="18"/>
                <w:szCs w:val="18"/>
                <w:lang w:val="es-ES_tradnl"/>
              </w:rPr>
              <w:t xml:space="preserve"> </w:t>
            </w:r>
            <w:r w:rsidRPr="008B7880">
              <w:rPr>
                <w:rFonts w:eastAsiaTheme="minorHAnsi"/>
                <w:sz w:val="18"/>
                <w:szCs w:val="18"/>
                <w:lang w:val="es-ES_tradnl"/>
              </w:rPr>
              <w:t xml:space="preserve">Para el análisis de viabilidad financiera se analizó la muestra representativa de proyectos que incluyen JASS ya establecidas que son elegibles para recibir financiamiento del presente programa. El análisis de viabilidad financiera permitió constatar que las cuotas familiares establecidas en esas JASS permitirán cubrir los costos de </w:t>
            </w:r>
            <w:r>
              <w:rPr>
                <w:rFonts w:eastAsiaTheme="minorHAnsi"/>
                <w:sz w:val="18"/>
                <w:szCs w:val="18"/>
                <w:lang w:val="es-ES_tradnl"/>
              </w:rPr>
              <w:t>Administración, Operación y Mantenimiento (</w:t>
            </w:r>
            <w:r w:rsidRPr="008B7880">
              <w:rPr>
                <w:rFonts w:eastAsiaTheme="minorHAnsi"/>
                <w:sz w:val="18"/>
                <w:szCs w:val="18"/>
                <w:lang w:val="es-ES_tradnl"/>
              </w:rPr>
              <w:t>AOM</w:t>
            </w:r>
            <w:r>
              <w:rPr>
                <w:rFonts w:eastAsiaTheme="minorHAnsi"/>
                <w:sz w:val="18"/>
                <w:szCs w:val="18"/>
                <w:lang w:val="es-ES_tradnl"/>
              </w:rPr>
              <w:t>)</w:t>
            </w:r>
            <w:r w:rsidRPr="008B7880">
              <w:rPr>
                <w:rFonts w:eastAsiaTheme="minorHAnsi"/>
                <w:sz w:val="18"/>
                <w:szCs w:val="18"/>
                <w:lang w:val="es-ES_tradnl"/>
              </w:rPr>
              <w:t xml:space="preserve"> de los sistemas del proyecto. Para cada caso, se constató que la factura mensual se encuentre dentro de los parámetros de capacidad de pago considerados por la Organización Mundial de la Salud y la Organización Panamericana de la Salud, que establece como límite máximo para el pago de los servicios de agua entre el 3% y el 5% de los ingresos familiares. Asimismo, se verificó que en los casos analizados se hayan realizado asambleas con participación de la población, en las que se acordó que los beneficiarios asuman el compromiso de realizar los pagos mensuales, que financiarán los gastos de AOM de los sistemas de agua potable y saneamiento. Además, con recursos del programa, se incluyen actividades de fortalecimiento para apoyar la sostenibilidad operativa y financiera de las JASS, así como para que las ATM presten una adecuada asist</w:t>
            </w:r>
            <w:r>
              <w:rPr>
                <w:rFonts w:eastAsiaTheme="minorHAnsi"/>
                <w:sz w:val="18"/>
                <w:szCs w:val="18"/>
                <w:lang w:val="es-ES_tradnl"/>
              </w:rPr>
              <w:t>encia técnica a las JASS</w:t>
            </w:r>
            <w:r w:rsidRPr="008B7880">
              <w:rPr>
                <w:rFonts w:eastAsiaTheme="minorHAnsi"/>
                <w:sz w:val="18"/>
                <w:szCs w:val="18"/>
                <w:lang w:val="es-ES_tradnl"/>
              </w:rPr>
              <w:t>. Será condición que en los convenios de</w:t>
            </w:r>
            <w:r>
              <w:rPr>
                <w:rFonts w:eastAsiaTheme="minorHAnsi"/>
                <w:sz w:val="18"/>
                <w:szCs w:val="18"/>
                <w:lang w:val="es-ES_tradnl"/>
              </w:rPr>
              <w:t xml:space="preserve"> cooperación interinstitucional </w:t>
            </w:r>
            <w:r w:rsidRPr="008B7880">
              <w:rPr>
                <w:rFonts w:eastAsiaTheme="minorHAnsi"/>
                <w:sz w:val="18"/>
                <w:szCs w:val="18"/>
                <w:lang w:val="es-ES_tradnl"/>
              </w:rPr>
              <w:t>a</w:t>
            </w:r>
            <w:r>
              <w:rPr>
                <w:rFonts w:eastAsiaTheme="minorHAnsi"/>
                <w:sz w:val="18"/>
                <w:szCs w:val="18"/>
                <w:lang w:val="es-ES_tradnl"/>
              </w:rPr>
              <w:t xml:space="preserve"> </w:t>
            </w:r>
            <w:r w:rsidRPr="008B7880">
              <w:rPr>
                <w:rFonts w:eastAsiaTheme="minorHAnsi"/>
                <w:sz w:val="18"/>
                <w:szCs w:val="18"/>
                <w:lang w:val="es-ES_tradnl"/>
              </w:rPr>
              <w:t xml:space="preserve">suscribirse entre las Municipalidades y el MCVS, se incorpore el requisito de que los ingresos operativos de las respectivos JASS sean suficientes para cubrir sus costos de AOM, y que, de no ser así, las </w:t>
            </w:r>
            <w:r w:rsidRPr="008B7880">
              <w:rPr>
                <w:rFonts w:eastAsiaTheme="minorHAnsi"/>
                <w:sz w:val="18"/>
                <w:szCs w:val="18"/>
                <w:lang w:val="es-ES_tradnl"/>
              </w:rPr>
              <w:lastRenderedPageBreak/>
              <w:t>municipalidades se comprometerán a adoptar las medidas necesarias, aceptables para el Banco, para garantizar la sostenibilidad financiera de dichos operadores. Durante el periodo post construcción, y para asegurar que las JASS realicen sus funciones de AOM de los sistemas de manera adecuada, se ha previsto que los contratistas de obra realicen una operación asistida hasta tres meses, así como que se realicen actividades de seguimiento y consolida</w:t>
            </w:r>
            <w:r>
              <w:rPr>
                <w:rFonts w:eastAsiaTheme="minorHAnsi"/>
                <w:sz w:val="18"/>
                <w:szCs w:val="18"/>
                <w:lang w:val="es-ES_tradnl"/>
              </w:rPr>
              <w:t>ción de la sostenibilidad</w:t>
            </w:r>
            <w:r w:rsidRPr="008B7880">
              <w:rPr>
                <w:rFonts w:eastAsiaTheme="minorHAnsi"/>
                <w:sz w:val="18"/>
                <w:szCs w:val="18"/>
                <w:lang w:val="es-ES_tradnl"/>
              </w:rPr>
              <w:t>.</w:t>
            </w:r>
          </w:p>
          <w:p w14:paraId="296DA68F" w14:textId="5673F7A5" w:rsidR="0035101F" w:rsidRPr="008A429E" w:rsidRDefault="0035101F" w:rsidP="008A429E">
            <w:pPr>
              <w:spacing w:before="120" w:after="120"/>
              <w:jc w:val="both"/>
              <w:rPr>
                <w:rFonts w:eastAsiaTheme="minorHAnsi"/>
                <w:sz w:val="18"/>
                <w:szCs w:val="18"/>
                <w:lang w:val="es-ES_tradnl"/>
              </w:rPr>
            </w:pPr>
            <w:r w:rsidRPr="008A429E">
              <w:rPr>
                <w:rFonts w:eastAsiaTheme="minorHAnsi"/>
                <w:i/>
                <w:sz w:val="18"/>
                <w:szCs w:val="18"/>
                <w:lang w:val="es-ES_tradnl"/>
              </w:rPr>
              <w:t>Soste</w:t>
            </w:r>
            <w:r w:rsidR="008A429E" w:rsidRPr="008A429E">
              <w:rPr>
                <w:rFonts w:eastAsiaTheme="minorHAnsi"/>
                <w:i/>
                <w:sz w:val="18"/>
                <w:szCs w:val="18"/>
                <w:lang w:val="es-ES_tradnl"/>
              </w:rPr>
              <w:t xml:space="preserve">nibilidad ambiental y social. </w:t>
            </w:r>
            <w:r w:rsidR="008A429E" w:rsidRPr="008A429E">
              <w:rPr>
                <w:rFonts w:eastAsiaTheme="minorHAnsi"/>
                <w:sz w:val="18"/>
                <w:szCs w:val="18"/>
                <w:lang w:val="es-ES_tradnl"/>
              </w:rPr>
              <w:t>De conformidad con lo establecido en la Política de Medio Ambiente y Cumplimiento de Salvaguardias (OP-703), el programa ha sido clasificado en Categoría B, dado que generará impactos socioambientales negativos localizados, para los cuales existen medidas propias de mitigación. Se espera que las soluciones de AyS que se van a financiar mejoren la calidad de vida de los habitantes en las zonas rurales del Perú. Al momento se ha producido un Análisis Ambiental y Social (AAS) que incluye un Plan de Gestión Ambiental y Social</w:t>
            </w:r>
            <w:r w:rsidR="008A429E">
              <w:rPr>
                <w:rFonts w:eastAsiaTheme="minorHAnsi"/>
                <w:sz w:val="18"/>
                <w:szCs w:val="18"/>
                <w:lang w:val="es-ES_tradnl"/>
              </w:rPr>
              <w:t xml:space="preserve"> </w:t>
            </w:r>
            <w:r w:rsidR="008A429E" w:rsidRPr="008A429E">
              <w:rPr>
                <w:rFonts w:eastAsiaTheme="minorHAnsi"/>
                <w:sz w:val="18"/>
                <w:szCs w:val="18"/>
                <w:lang w:val="es-ES_tradnl"/>
              </w:rPr>
              <w:t>(PGAS) que contiene las medidas de mitigación para los impactos y riesgos42 identificados para los proyectos de la muestra representativa. Asimismo, siendo un proyecto de modalidad de préstamo de obras múltiples, se ha producido un Marco de Gestión Ambiental y Social (MGAS) para asegurarse que la gestión ambiental y social de los proyectos futuros de la operación cumplan con las salvaguardias ambientales y sociales del Banco. Durante la debida diligencia no se identificó la necesidad de desplazamiento físico ni impactos relacionados con la Política de Reasentamiento Involuntario (OP-710) que requieran elaboración de Planes de Reasentamiento.</w:t>
            </w:r>
            <w:r w:rsidR="008A429E">
              <w:rPr>
                <w:rFonts w:eastAsiaTheme="minorHAnsi"/>
                <w:sz w:val="18"/>
                <w:szCs w:val="18"/>
                <w:lang w:val="es-ES_tradnl"/>
              </w:rPr>
              <w:t xml:space="preserve"> </w:t>
            </w:r>
            <w:r w:rsidR="008A429E" w:rsidRPr="008A429E">
              <w:rPr>
                <w:rFonts w:eastAsiaTheme="minorHAnsi"/>
                <w:sz w:val="18"/>
                <w:szCs w:val="18"/>
                <w:lang w:val="es-ES_tradnl"/>
              </w:rPr>
              <w:t>El O</w:t>
            </w:r>
            <w:r w:rsidR="008A429E">
              <w:rPr>
                <w:rFonts w:eastAsiaTheme="minorHAnsi"/>
                <w:sz w:val="18"/>
                <w:szCs w:val="18"/>
                <w:lang w:val="es-ES_tradnl"/>
              </w:rPr>
              <w:t>rganismo Ejecutor</w:t>
            </w:r>
            <w:r w:rsidR="008A429E" w:rsidRPr="008A429E">
              <w:rPr>
                <w:rFonts w:eastAsiaTheme="minorHAnsi"/>
                <w:sz w:val="18"/>
                <w:szCs w:val="18"/>
                <w:lang w:val="es-ES_tradnl"/>
              </w:rPr>
              <w:t xml:space="preserve"> ha realizado consultas significativas en todos los proyectos de la muestra de acuerdo a los requerimientos del Banco.</w:t>
            </w:r>
            <w:r w:rsidR="008A429E">
              <w:rPr>
                <w:rFonts w:eastAsiaTheme="minorHAnsi"/>
                <w:sz w:val="18"/>
                <w:szCs w:val="18"/>
                <w:lang w:val="es-ES_tradnl"/>
              </w:rPr>
              <w:t xml:space="preserve"> </w:t>
            </w:r>
            <w:r w:rsidR="008A429E" w:rsidRPr="008A429E">
              <w:rPr>
                <w:rFonts w:eastAsiaTheme="minorHAnsi"/>
                <w:sz w:val="18"/>
                <w:szCs w:val="18"/>
                <w:lang w:val="es-ES_tradnl"/>
              </w:rPr>
              <w:t>El AAS, PGAS y MGAS fueron divulgados en las páginas web del Banco y del Organismo Ejecutor previa a la misión de análisis. Las versiones finales del AAS, PGAS y MGAS serán publicadas en la página web del Banco y del OE previa a la distribución al Directorio del Banco.</w:t>
            </w:r>
            <w:r w:rsidRPr="008A429E">
              <w:rPr>
                <w:rFonts w:eastAsiaTheme="minorHAnsi"/>
                <w:sz w:val="18"/>
                <w:szCs w:val="18"/>
                <w:lang w:val="es-ES_tradnl"/>
              </w:rPr>
              <w:t xml:space="preserve"> </w:t>
            </w:r>
          </w:p>
        </w:tc>
      </w:tr>
    </w:tbl>
    <w:p w14:paraId="5C7315BE" w14:textId="77777777" w:rsidR="000F1306" w:rsidRPr="008A429E" w:rsidRDefault="000F1306" w:rsidP="000F1306">
      <w:pPr>
        <w:rPr>
          <w:rFonts w:eastAsiaTheme="minorHAnsi"/>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3574"/>
        <w:gridCol w:w="3409"/>
      </w:tblGrid>
      <w:tr w:rsidR="000F1306" w:rsidRPr="009876DD" w14:paraId="3B739ED8" w14:textId="77777777" w:rsidTr="00120449">
        <w:trPr>
          <w:trHeight w:val="701"/>
          <w:jc w:val="center"/>
        </w:trPr>
        <w:tc>
          <w:tcPr>
            <w:tcW w:w="1968" w:type="dxa"/>
            <w:shd w:val="clear" w:color="auto" w:fill="C0C0C0"/>
          </w:tcPr>
          <w:p w14:paraId="4615FCB4" w14:textId="77777777" w:rsidR="000F1306" w:rsidRPr="009876DD" w:rsidRDefault="000F1306" w:rsidP="000F1306">
            <w:pPr>
              <w:rPr>
                <w:b/>
                <w:sz w:val="18"/>
                <w:szCs w:val="18"/>
                <w:lang w:val="es-ES_tradnl"/>
              </w:rPr>
            </w:pPr>
            <w:r w:rsidRPr="009876DD">
              <w:rPr>
                <w:b/>
                <w:sz w:val="18"/>
                <w:szCs w:val="18"/>
                <w:lang w:val="es-ES_tradnl"/>
              </w:rPr>
              <w:t>Principios de la Política que orientan el diseño de las operaciones del Banco</w:t>
            </w:r>
          </w:p>
        </w:tc>
        <w:tc>
          <w:tcPr>
            <w:tcW w:w="4301" w:type="dxa"/>
            <w:shd w:val="clear" w:color="auto" w:fill="C0C0C0"/>
            <w:vAlign w:val="center"/>
          </w:tcPr>
          <w:p w14:paraId="548C67B2" w14:textId="77777777" w:rsidR="000F1306" w:rsidRPr="009876DD" w:rsidRDefault="000F1306" w:rsidP="000F1306">
            <w:pPr>
              <w:jc w:val="center"/>
              <w:rPr>
                <w:b/>
                <w:sz w:val="18"/>
                <w:szCs w:val="18"/>
                <w:lang w:val="es-ES_tradnl"/>
              </w:rPr>
            </w:pPr>
            <w:r w:rsidRPr="009876DD">
              <w:rPr>
                <w:b/>
                <w:sz w:val="18"/>
                <w:szCs w:val="18"/>
                <w:lang w:val="es-ES_tradnl"/>
              </w:rPr>
              <w:t>Descripción</w:t>
            </w:r>
          </w:p>
        </w:tc>
        <w:tc>
          <w:tcPr>
            <w:tcW w:w="3966" w:type="dxa"/>
            <w:shd w:val="clear" w:color="auto" w:fill="C0C0C0"/>
            <w:vAlign w:val="center"/>
          </w:tcPr>
          <w:p w14:paraId="2972FD7E" w14:textId="77777777" w:rsidR="000F1306" w:rsidRPr="009876DD" w:rsidRDefault="000F1306" w:rsidP="000F1306">
            <w:pPr>
              <w:jc w:val="center"/>
              <w:rPr>
                <w:b/>
                <w:sz w:val="18"/>
                <w:szCs w:val="18"/>
                <w:lang w:val="es-ES_tradnl"/>
              </w:rPr>
            </w:pPr>
            <w:r w:rsidRPr="009876DD">
              <w:rPr>
                <w:b/>
                <w:sz w:val="18"/>
                <w:szCs w:val="18"/>
                <w:lang w:val="es-ES_tradnl"/>
              </w:rPr>
              <w:t>Comentarios</w:t>
            </w:r>
          </w:p>
        </w:tc>
      </w:tr>
      <w:tr w:rsidR="009834A9" w:rsidRPr="000E0118" w14:paraId="4CB81676" w14:textId="77777777" w:rsidTr="00120449">
        <w:trPr>
          <w:jc w:val="center"/>
        </w:trPr>
        <w:tc>
          <w:tcPr>
            <w:tcW w:w="1968" w:type="dxa"/>
            <w:shd w:val="clear" w:color="auto" w:fill="auto"/>
          </w:tcPr>
          <w:p w14:paraId="5DA196AA" w14:textId="77777777" w:rsidR="000F1306" w:rsidRPr="009834A9" w:rsidRDefault="000F1306" w:rsidP="000F1306">
            <w:pPr>
              <w:rPr>
                <w:b/>
                <w:bCs/>
                <w:sz w:val="18"/>
                <w:szCs w:val="18"/>
                <w:lang w:val="es-ES_tradnl"/>
              </w:rPr>
            </w:pPr>
            <w:r w:rsidRPr="009834A9">
              <w:rPr>
                <w:b/>
                <w:bCs/>
                <w:sz w:val="18"/>
                <w:szCs w:val="18"/>
                <w:lang w:val="es-ES_tradnl"/>
              </w:rPr>
              <w:t xml:space="preserve">1. Apoyar a los países para atender las necesidades básicas </w:t>
            </w:r>
          </w:p>
        </w:tc>
        <w:tc>
          <w:tcPr>
            <w:tcW w:w="4301" w:type="dxa"/>
            <w:shd w:val="clear" w:color="auto" w:fill="auto"/>
          </w:tcPr>
          <w:p w14:paraId="1B1DDB91" w14:textId="77777777" w:rsidR="000F1306" w:rsidRPr="009834A9" w:rsidRDefault="000F1306" w:rsidP="000F1306">
            <w:pPr>
              <w:rPr>
                <w:sz w:val="18"/>
                <w:szCs w:val="18"/>
                <w:lang w:val="es-ES_tradnl"/>
              </w:rPr>
            </w:pPr>
            <w:r w:rsidRPr="009834A9">
              <w:rPr>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3966" w:type="dxa"/>
            <w:shd w:val="clear" w:color="auto" w:fill="auto"/>
          </w:tcPr>
          <w:p w14:paraId="637CFB0D" w14:textId="06470011" w:rsidR="002D4037" w:rsidRPr="00B53A4A" w:rsidRDefault="0006642C" w:rsidP="00560F84">
            <w:pPr>
              <w:pStyle w:val="Paragraph"/>
              <w:numPr>
                <w:ilvl w:val="0"/>
                <w:numId w:val="0"/>
              </w:numPr>
              <w:rPr>
                <w:sz w:val="18"/>
                <w:szCs w:val="18"/>
                <w:lang w:val="es-ES_tradnl"/>
              </w:rPr>
            </w:pPr>
            <w:r>
              <w:rPr>
                <w:sz w:val="18"/>
                <w:szCs w:val="18"/>
                <w:lang w:val="es-ES_tradnl"/>
              </w:rPr>
              <w:t>La viabilidad técnica de las soluciones de agua y saneamiento contempla el análisis de alternativas seleccionando aquella que sea mayor costo-eficiente y que sea aceptada por la comunidad.</w:t>
            </w:r>
          </w:p>
        </w:tc>
      </w:tr>
      <w:tr w:rsidR="000F1306" w:rsidRPr="000E0118" w14:paraId="4E4DA4BB" w14:textId="77777777" w:rsidTr="00120449">
        <w:trPr>
          <w:jc w:val="center"/>
        </w:trPr>
        <w:tc>
          <w:tcPr>
            <w:tcW w:w="1968" w:type="dxa"/>
            <w:shd w:val="clear" w:color="auto" w:fill="auto"/>
          </w:tcPr>
          <w:p w14:paraId="4D42868E" w14:textId="77777777" w:rsidR="000F1306" w:rsidRPr="009876DD" w:rsidRDefault="000F1306" w:rsidP="000F1306">
            <w:pPr>
              <w:rPr>
                <w:b/>
                <w:bCs/>
                <w:sz w:val="18"/>
                <w:szCs w:val="18"/>
                <w:lang w:val="es-ES_tradnl"/>
              </w:rPr>
            </w:pPr>
            <w:r w:rsidRPr="009876DD">
              <w:rPr>
                <w:b/>
                <w:bCs/>
                <w:sz w:val="18"/>
                <w:szCs w:val="18"/>
                <w:lang w:val="es-ES_tradnl"/>
              </w:rPr>
              <w:t xml:space="preserve">2. Las mejoras continuas en la gobernanza de los servicios públicos </w:t>
            </w:r>
            <w:r w:rsidRPr="009876DD">
              <w:rPr>
                <w:b/>
                <w:bCs/>
                <w:sz w:val="18"/>
                <w:szCs w:val="18"/>
                <w:lang w:val="es-ES_tradnl"/>
              </w:rPr>
              <w:lastRenderedPageBreak/>
              <w:t>domiciliarios serán clave para incrementar la eficiencia en su provisión y proteger satisfactoriamente los intereses de los usuarios</w:t>
            </w:r>
          </w:p>
        </w:tc>
        <w:tc>
          <w:tcPr>
            <w:tcW w:w="4301" w:type="dxa"/>
            <w:shd w:val="clear" w:color="auto" w:fill="auto"/>
          </w:tcPr>
          <w:p w14:paraId="0C30DFB0" w14:textId="77777777" w:rsidR="000F1306" w:rsidRPr="009876DD" w:rsidRDefault="000F1306" w:rsidP="000F1306">
            <w:pPr>
              <w:rPr>
                <w:sz w:val="18"/>
                <w:szCs w:val="18"/>
                <w:lang w:val="es-ES_tradnl"/>
              </w:rPr>
            </w:pPr>
            <w:r w:rsidRPr="009876DD">
              <w:rPr>
                <w:sz w:val="18"/>
                <w:szCs w:val="18"/>
                <w:lang w:val="es-ES_tradnl"/>
              </w:rPr>
              <w:lastRenderedPageBreak/>
              <w:t xml:space="preserve">La Política sostiene que la gobernanza para la toma de decisiones en la gestión de los servicios públicos domiciliarios, así como el marco normativo y/o regulatorio que los </w:t>
            </w:r>
            <w:r w:rsidRPr="009876DD">
              <w:rPr>
                <w:sz w:val="18"/>
                <w:szCs w:val="18"/>
                <w:lang w:val="es-ES_tradnl"/>
              </w:rPr>
              <w:lastRenderedPageBreak/>
              <w:t>reglamenta y supervisa, son los principales factores determinantes de su desempeño, calidad y sostenibilidad</w:t>
            </w:r>
          </w:p>
        </w:tc>
        <w:tc>
          <w:tcPr>
            <w:tcW w:w="3966" w:type="dxa"/>
            <w:shd w:val="clear" w:color="auto" w:fill="auto"/>
          </w:tcPr>
          <w:p w14:paraId="4A021E35" w14:textId="77777777" w:rsidR="000F1306" w:rsidRPr="00563D9C" w:rsidRDefault="000F1306" w:rsidP="00D06EBC">
            <w:pPr>
              <w:spacing w:before="120" w:after="120"/>
              <w:jc w:val="both"/>
              <w:rPr>
                <w:sz w:val="18"/>
                <w:szCs w:val="18"/>
                <w:highlight w:val="cyan"/>
                <w:lang w:val="es-ES_tradnl"/>
              </w:rPr>
            </w:pPr>
            <w:r w:rsidRPr="007C01B6">
              <w:rPr>
                <w:sz w:val="18"/>
                <w:szCs w:val="18"/>
                <w:lang w:val="es-ES_tradnl"/>
              </w:rPr>
              <w:lastRenderedPageBreak/>
              <w:t xml:space="preserve"> Ver </w:t>
            </w:r>
            <w:r w:rsidR="007C01B6" w:rsidRPr="007C01B6">
              <w:rPr>
                <w:sz w:val="18"/>
                <w:szCs w:val="18"/>
                <w:lang w:val="es-ES_tradnl"/>
              </w:rPr>
              <w:t xml:space="preserve">comentarios sobre puntos </w:t>
            </w:r>
            <w:r w:rsidR="0008127B">
              <w:rPr>
                <w:sz w:val="18"/>
                <w:szCs w:val="18"/>
                <w:lang w:val="es-ES_tradnl"/>
              </w:rPr>
              <w:t>de</w:t>
            </w:r>
            <w:r w:rsidR="007C01B6" w:rsidRPr="007C01B6">
              <w:rPr>
                <w:sz w:val="18"/>
                <w:szCs w:val="18"/>
                <w:lang w:val="es-ES_tradnl"/>
              </w:rPr>
              <w:t xml:space="preserve"> abajo.</w:t>
            </w:r>
          </w:p>
        </w:tc>
      </w:tr>
      <w:tr w:rsidR="009834A9" w:rsidRPr="000E0118" w14:paraId="7957BB67" w14:textId="77777777" w:rsidTr="00120449">
        <w:trPr>
          <w:jc w:val="center"/>
        </w:trPr>
        <w:tc>
          <w:tcPr>
            <w:tcW w:w="1968" w:type="dxa"/>
            <w:shd w:val="clear" w:color="auto" w:fill="auto"/>
          </w:tcPr>
          <w:p w14:paraId="13B56CBB" w14:textId="77777777" w:rsidR="000F1306" w:rsidRPr="009834A9" w:rsidRDefault="000F1306" w:rsidP="000F1306">
            <w:pPr>
              <w:ind w:left="330" w:hanging="150"/>
              <w:rPr>
                <w:b/>
                <w:bCs/>
                <w:i/>
                <w:sz w:val="18"/>
                <w:szCs w:val="18"/>
                <w:lang w:val="es-ES_tradnl"/>
              </w:rPr>
            </w:pPr>
            <w:r w:rsidRPr="009834A9">
              <w:rPr>
                <w:b/>
                <w:bCs/>
                <w:i/>
                <w:sz w:val="18"/>
                <w:szCs w:val="18"/>
                <w:lang w:val="es-ES_tradnl"/>
              </w:rPr>
              <w:t>A. Promover la integridad, la transparencia y la rendición de cuentas</w:t>
            </w:r>
          </w:p>
        </w:tc>
        <w:tc>
          <w:tcPr>
            <w:tcW w:w="4301" w:type="dxa"/>
            <w:shd w:val="clear" w:color="auto" w:fill="auto"/>
          </w:tcPr>
          <w:p w14:paraId="321910C2" w14:textId="77777777" w:rsidR="000F1306" w:rsidRPr="009834A9" w:rsidRDefault="000F1306" w:rsidP="000F1306">
            <w:pPr>
              <w:rPr>
                <w:sz w:val="18"/>
                <w:szCs w:val="18"/>
                <w:lang w:val="es-ES_tradnl"/>
              </w:rPr>
            </w:pPr>
            <w:r w:rsidRPr="009834A9">
              <w:rPr>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3966" w:type="dxa"/>
            <w:shd w:val="clear" w:color="auto" w:fill="auto"/>
          </w:tcPr>
          <w:p w14:paraId="06A4BF9E" w14:textId="14215377" w:rsidR="00C66D07" w:rsidRPr="00A96835" w:rsidRDefault="00C66D07" w:rsidP="00C66D07">
            <w:pPr>
              <w:pStyle w:val="Paragraph"/>
              <w:numPr>
                <w:ilvl w:val="0"/>
                <w:numId w:val="0"/>
              </w:numPr>
              <w:rPr>
                <w:rFonts w:eastAsiaTheme="minorHAnsi"/>
                <w:color w:val="000000"/>
                <w:sz w:val="18"/>
                <w:szCs w:val="18"/>
                <w:lang w:val="es-ES_tradnl"/>
              </w:rPr>
            </w:pPr>
            <w:r w:rsidRPr="00C66D07">
              <w:rPr>
                <w:rFonts w:eastAsiaTheme="minorHAnsi"/>
                <w:color w:val="000000"/>
                <w:sz w:val="18"/>
                <w:szCs w:val="18"/>
                <w:lang w:val="es-ES_tradnl"/>
              </w:rPr>
              <w:t xml:space="preserve">EL Plan Nacional de Saneamiento 2017 – 2021 aprobado mediante Decreto Supremo Nº18/2017-VIVIENDA, establece que todas las entidades del gobierno nacional, regional y local con competencias reconocidas por el ordenamiento legal, vinculadas con la prestación de los servicios de saneamiento, están obligadas a ser transparentes en el ejercicio de sus funciones y a implementar sistemas y reportes, formales y periódicos, de rendición de cuentas sobre sus actuaciones ante la población y las respectivas instancias de gobierno. </w:t>
            </w:r>
            <w:r>
              <w:rPr>
                <w:rFonts w:eastAsiaTheme="minorHAnsi"/>
                <w:color w:val="000000"/>
                <w:sz w:val="18"/>
                <w:szCs w:val="18"/>
                <w:lang w:val="es-ES_tradnl"/>
              </w:rPr>
              <w:t>Por otro lado, l</w:t>
            </w:r>
            <w:r w:rsidR="00A96835" w:rsidRPr="00A96835">
              <w:rPr>
                <w:rFonts w:eastAsiaTheme="minorHAnsi"/>
                <w:color w:val="000000"/>
                <w:sz w:val="18"/>
                <w:szCs w:val="18"/>
                <w:lang w:val="es-ES_tradnl"/>
              </w:rPr>
              <w:t>as JASS son organizaciones comunales organizaciones elegidas voluntariamente por las comunidades y se constituyen con el propósito de la AOM los servicios de AyS rural de uno o más centros poblados.</w:t>
            </w:r>
          </w:p>
        </w:tc>
      </w:tr>
      <w:tr w:rsidR="000F1306" w:rsidRPr="000E0118" w14:paraId="4A632F2F" w14:textId="77777777" w:rsidTr="00120449">
        <w:trPr>
          <w:jc w:val="center"/>
        </w:trPr>
        <w:tc>
          <w:tcPr>
            <w:tcW w:w="1968" w:type="dxa"/>
            <w:shd w:val="clear" w:color="auto" w:fill="auto"/>
          </w:tcPr>
          <w:p w14:paraId="35BD68A9" w14:textId="77777777" w:rsidR="000F1306" w:rsidRPr="009876DD" w:rsidRDefault="000F1306" w:rsidP="000F1306">
            <w:pPr>
              <w:ind w:left="330" w:hanging="150"/>
              <w:rPr>
                <w:b/>
                <w:bCs/>
                <w:i/>
                <w:sz w:val="18"/>
                <w:szCs w:val="18"/>
                <w:lang w:val="es-ES_tradnl"/>
              </w:rPr>
            </w:pPr>
            <w:r w:rsidRPr="009876DD">
              <w:rPr>
                <w:b/>
                <w:bCs/>
                <w:i/>
                <w:sz w:val="18"/>
                <w:szCs w:val="18"/>
                <w:lang w:val="es-ES_tradnl"/>
              </w:rPr>
              <w:t>B. Analizar las características e impactos de los subsidios</w:t>
            </w:r>
          </w:p>
        </w:tc>
        <w:tc>
          <w:tcPr>
            <w:tcW w:w="4301" w:type="dxa"/>
            <w:shd w:val="clear" w:color="auto" w:fill="auto"/>
          </w:tcPr>
          <w:p w14:paraId="3E64FA2E" w14:textId="77777777" w:rsidR="000F1306" w:rsidRPr="009876DD" w:rsidRDefault="000F1306" w:rsidP="00923B34">
            <w:pPr>
              <w:jc w:val="both"/>
              <w:rPr>
                <w:sz w:val="18"/>
                <w:szCs w:val="18"/>
                <w:lang w:val="es-ES_tradnl"/>
              </w:rPr>
            </w:pPr>
            <w:r w:rsidRPr="009876DD">
              <w:rPr>
                <w:sz w:val="18"/>
                <w:szCs w:val="18"/>
                <w:lang w:val="es-ES_tradnl"/>
              </w:rPr>
              <w:t>La operación y financiamiento de los servicios debería lograr la recuperación de costos de prestación en condiciones de eficiencia mediante tarifas a los usuarios. Sin embargo, se reconoce que, ocasionalmente, la sostenibilidad financiera puede alcanzarse complementando los ingresos provenientes de las,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Adicionalmente, y en la medida de lo posible, se apoyará a los países para sustituir los subsidios tarifarios a los servicios públicos por mecanismos de transferencias de ingresos más directos y focalizados en los segmentos de la población con menores ingresos.</w:t>
            </w:r>
          </w:p>
        </w:tc>
        <w:tc>
          <w:tcPr>
            <w:tcW w:w="3966" w:type="dxa"/>
            <w:shd w:val="clear" w:color="auto" w:fill="auto"/>
          </w:tcPr>
          <w:p w14:paraId="37DD9328" w14:textId="2F827B43" w:rsidR="006C4BCA" w:rsidRPr="00FE6236" w:rsidRDefault="00746D07" w:rsidP="00746D07">
            <w:pPr>
              <w:pStyle w:val="Default"/>
              <w:jc w:val="both"/>
              <w:rPr>
                <w:b/>
                <w:color w:val="FF0000"/>
                <w:sz w:val="18"/>
                <w:szCs w:val="18"/>
                <w:highlight w:val="red"/>
                <w:lang w:val="es-ES_tradnl"/>
              </w:rPr>
            </w:pPr>
            <w:r>
              <w:rPr>
                <w:sz w:val="18"/>
                <w:szCs w:val="18"/>
                <w:lang w:val="es-ES_tradnl"/>
              </w:rPr>
              <w:t>L</w:t>
            </w:r>
            <w:r w:rsidRPr="008B7880">
              <w:rPr>
                <w:sz w:val="18"/>
                <w:szCs w:val="18"/>
                <w:lang w:val="es-ES_tradnl"/>
              </w:rPr>
              <w:t>as cuotas familiares establecidas</w:t>
            </w:r>
            <w:r>
              <w:rPr>
                <w:sz w:val="18"/>
                <w:szCs w:val="18"/>
                <w:lang w:val="es-ES_tradnl"/>
              </w:rPr>
              <w:t xml:space="preserve"> en los proyectos de la muestra del programa </w:t>
            </w:r>
            <w:r w:rsidR="00A429E3">
              <w:rPr>
                <w:sz w:val="18"/>
                <w:szCs w:val="18"/>
                <w:lang w:val="es-ES_tradnl"/>
              </w:rPr>
              <w:t>actual</w:t>
            </w:r>
            <w:r w:rsidR="00E6766B">
              <w:rPr>
                <w:sz w:val="18"/>
                <w:szCs w:val="18"/>
                <w:lang w:val="es-ES_tradnl"/>
              </w:rPr>
              <w:t xml:space="preserve"> </w:t>
            </w:r>
            <w:r w:rsidRPr="008B7880">
              <w:rPr>
                <w:sz w:val="18"/>
                <w:szCs w:val="18"/>
                <w:lang w:val="es-ES_tradnl"/>
              </w:rPr>
              <w:t xml:space="preserve">permitirán cubrir los costos de </w:t>
            </w:r>
            <w:r>
              <w:rPr>
                <w:sz w:val="18"/>
                <w:szCs w:val="18"/>
                <w:lang w:val="es-ES_tradnl"/>
              </w:rPr>
              <w:t>Administración,</w:t>
            </w:r>
            <w:r w:rsidR="00E6766B">
              <w:rPr>
                <w:sz w:val="18"/>
                <w:szCs w:val="18"/>
                <w:lang w:val="es-ES_tradnl"/>
              </w:rPr>
              <w:t xml:space="preserve"> </w:t>
            </w:r>
            <w:r>
              <w:rPr>
                <w:sz w:val="18"/>
                <w:szCs w:val="18"/>
                <w:lang w:val="es-ES_tradnl"/>
              </w:rPr>
              <w:t xml:space="preserve">Operación y </w:t>
            </w:r>
            <w:r w:rsidR="00E6766B">
              <w:rPr>
                <w:sz w:val="18"/>
                <w:szCs w:val="18"/>
                <w:lang w:val="es-ES_tradnl"/>
              </w:rPr>
              <w:t>m</w:t>
            </w:r>
            <w:r>
              <w:rPr>
                <w:sz w:val="18"/>
                <w:szCs w:val="18"/>
                <w:lang w:val="es-ES_tradnl"/>
              </w:rPr>
              <w:t>antenimiento (</w:t>
            </w:r>
            <w:r w:rsidRPr="008B7880">
              <w:rPr>
                <w:sz w:val="18"/>
                <w:szCs w:val="18"/>
                <w:lang w:val="es-ES_tradnl"/>
              </w:rPr>
              <w:t>AOM</w:t>
            </w:r>
            <w:r>
              <w:rPr>
                <w:sz w:val="18"/>
                <w:szCs w:val="18"/>
                <w:lang w:val="es-ES_tradnl"/>
              </w:rPr>
              <w:t>)</w:t>
            </w:r>
            <w:r w:rsidRPr="008B7880">
              <w:rPr>
                <w:sz w:val="18"/>
                <w:szCs w:val="18"/>
                <w:lang w:val="es-ES_tradnl"/>
              </w:rPr>
              <w:t xml:space="preserve"> de los sistemas del proyecto. Para cada caso, se constató que la factura mensual se encuentre dentro de los parámetros de capacidad de pago considerados por la Organización Mundial de la Salud y la Organización Panamericana de la Salud, que establece como límite máximo para el pago de los servicios de agua entre el 3% y el 5% de los ingresos familiares. Asimismo, se verificó que en los casos analizados se hayan realizado asambleas con participación de la población, en las que se acordó que los beneficiarios asuman el compromiso de realizar los pagos mensuales, que financiarán los gastos de AOM de los sistemas de agua potable y saneamiento. Además, con recursos del programa, se incluyen actividades de fortalecimiento para apoyar la sostenibilidad operativa y financiera de las JASS, así como para que las ATM presten una adecuada asist</w:t>
            </w:r>
            <w:r>
              <w:rPr>
                <w:sz w:val="18"/>
                <w:szCs w:val="18"/>
                <w:lang w:val="es-ES_tradnl"/>
              </w:rPr>
              <w:t>encia técnica a las JASS</w:t>
            </w:r>
          </w:p>
        </w:tc>
      </w:tr>
      <w:tr w:rsidR="007970C9" w:rsidRPr="000E0118" w14:paraId="3910F02A" w14:textId="77777777" w:rsidTr="00120449">
        <w:trPr>
          <w:jc w:val="center"/>
        </w:trPr>
        <w:tc>
          <w:tcPr>
            <w:tcW w:w="1968" w:type="dxa"/>
            <w:shd w:val="clear" w:color="auto" w:fill="auto"/>
          </w:tcPr>
          <w:p w14:paraId="5A160D1E" w14:textId="77777777" w:rsidR="007970C9" w:rsidRPr="009876DD" w:rsidRDefault="007970C9" w:rsidP="000F1306">
            <w:pPr>
              <w:ind w:left="330" w:hanging="150"/>
              <w:rPr>
                <w:i/>
                <w:sz w:val="18"/>
                <w:szCs w:val="18"/>
                <w:lang w:val="es-ES_tradnl"/>
              </w:rPr>
            </w:pPr>
            <w:r w:rsidRPr="009876DD">
              <w:rPr>
                <w:b/>
                <w:bCs/>
                <w:i/>
                <w:sz w:val="18"/>
                <w:szCs w:val="18"/>
                <w:lang w:val="es-ES_tradnl"/>
              </w:rPr>
              <w:t>C. Separación de Funciones para mejorar la gobernanza sectorial</w:t>
            </w:r>
          </w:p>
        </w:tc>
        <w:tc>
          <w:tcPr>
            <w:tcW w:w="4301" w:type="dxa"/>
            <w:shd w:val="clear" w:color="auto" w:fill="auto"/>
          </w:tcPr>
          <w:p w14:paraId="1B021915" w14:textId="77777777" w:rsidR="007970C9" w:rsidRPr="009876DD" w:rsidRDefault="007970C9" w:rsidP="000F1306">
            <w:pPr>
              <w:rPr>
                <w:sz w:val="18"/>
                <w:szCs w:val="18"/>
                <w:lang w:val="es-ES_tradnl"/>
              </w:rPr>
            </w:pPr>
            <w:r w:rsidRPr="009876DD">
              <w:rPr>
                <w:sz w:val="18"/>
                <w:szCs w:val="18"/>
                <w:lang w:val="es-ES_tradnl"/>
              </w:rPr>
              <w:t xml:space="preserve">Deben separarse las funciones de </w:t>
            </w:r>
            <w:r w:rsidRPr="009876DD">
              <w:rPr>
                <w:b/>
                <w:bCs/>
                <w:sz w:val="18"/>
                <w:szCs w:val="18"/>
                <w:lang w:val="es-ES_tradnl"/>
              </w:rPr>
              <w:t>formulador de políticas, regulador</w:t>
            </w:r>
            <w:r w:rsidRPr="009876DD">
              <w:rPr>
                <w:sz w:val="18"/>
                <w:szCs w:val="18"/>
                <w:lang w:val="es-ES_tradnl"/>
              </w:rPr>
              <w:t xml:space="preserve"> y </w:t>
            </w:r>
            <w:r w:rsidRPr="009876DD">
              <w:rPr>
                <w:b/>
                <w:bCs/>
                <w:sz w:val="18"/>
                <w:szCs w:val="18"/>
                <w:lang w:val="es-ES_tradnl"/>
              </w:rPr>
              <w:t>empresario</w:t>
            </w:r>
            <w:r w:rsidRPr="009876DD">
              <w:rPr>
                <w:sz w:val="18"/>
                <w:szCs w:val="18"/>
                <w:lang w:val="es-ES_tradnl"/>
              </w:rPr>
              <w:t xml:space="preserve"> y asignarse a instituciones distintas y apropiadas. De esta manera, las autoridades conservarán la responsabilidad de </w:t>
            </w:r>
            <w:r w:rsidRPr="009876DD">
              <w:rPr>
                <w:b/>
                <w:bCs/>
                <w:sz w:val="18"/>
                <w:szCs w:val="18"/>
                <w:lang w:val="es-ES_tradnl"/>
              </w:rPr>
              <w:t>formular la política</w:t>
            </w:r>
            <w:r w:rsidRPr="009876DD">
              <w:rPr>
                <w:sz w:val="18"/>
                <w:szCs w:val="18"/>
                <w:lang w:val="es-ES_tradnl"/>
              </w:rPr>
              <w:t xml:space="preserve">, un ente público separado dictará el </w:t>
            </w:r>
            <w:r w:rsidRPr="009876DD">
              <w:rPr>
                <w:b/>
                <w:bCs/>
                <w:sz w:val="18"/>
                <w:szCs w:val="18"/>
                <w:lang w:val="es-ES_tradnl"/>
              </w:rPr>
              <w:t>régimen reglamentario</w:t>
            </w:r>
            <w:r w:rsidRPr="009876DD">
              <w:rPr>
                <w:sz w:val="18"/>
                <w:szCs w:val="18"/>
                <w:lang w:val="es-ES_tradnl"/>
              </w:rPr>
              <w:t xml:space="preserve"> y se asignará al </w:t>
            </w:r>
            <w:r w:rsidRPr="009876DD">
              <w:rPr>
                <w:sz w:val="18"/>
                <w:szCs w:val="18"/>
                <w:lang w:val="es-ES_tradnl"/>
              </w:rPr>
              <w:lastRenderedPageBreak/>
              <w:t xml:space="preserve">proveedor del servicio una función exclusivamente </w:t>
            </w:r>
            <w:r w:rsidRPr="009876DD">
              <w:rPr>
                <w:b/>
                <w:bCs/>
                <w:sz w:val="18"/>
                <w:szCs w:val="18"/>
                <w:lang w:val="es-ES_tradnl"/>
              </w:rPr>
              <w:t>empresarial</w:t>
            </w:r>
            <w:r w:rsidRPr="009876DD">
              <w:rPr>
                <w:sz w:val="18"/>
                <w:szCs w:val="18"/>
                <w:lang w:val="es-ES_tradnl"/>
              </w:rPr>
              <w:t>,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w:t>
            </w:r>
            <w:r w:rsidRPr="009876DD">
              <w:rPr>
                <w:lang w:val="es-ES"/>
              </w:rPr>
              <w:t xml:space="preserve"> </w:t>
            </w:r>
            <w:r w:rsidRPr="009876DD">
              <w:rPr>
                <w:sz w:val="18"/>
                <w:szCs w:val="18"/>
                <w:lang w:val="es-ES_tradnl"/>
              </w:rPr>
              <w:t xml:space="preserve">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mecanismos de supervisión y control. Además, contribuirá a desarrollar mecanismos institucionales que fortalezcan la debida gestión en el marco de la legislación local. </w:t>
            </w:r>
          </w:p>
        </w:tc>
        <w:tc>
          <w:tcPr>
            <w:tcW w:w="3966" w:type="dxa"/>
            <w:shd w:val="clear" w:color="auto" w:fill="auto"/>
          </w:tcPr>
          <w:p w14:paraId="35848C8E" w14:textId="1F054C43" w:rsidR="007970C9" w:rsidRPr="00FE6236" w:rsidRDefault="000E2F83" w:rsidP="009D2FED">
            <w:pPr>
              <w:jc w:val="both"/>
              <w:rPr>
                <w:sz w:val="18"/>
                <w:szCs w:val="18"/>
                <w:lang w:val="es-ES_tradnl"/>
              </w:rPr>
            </w:pPr>
            <w:r w:rsidRPr="009B03D7">
              <w:rPr>
                <w:sz w:val="18"/>
                <w:szCs w:val="18"/>
                <w:lang w:val="es-AR"/>
              </w:rPr>
              <w:lastRenderedPageBreak/>
              <w:t xml:space="preserve">En </w:t>
            </w:r>
            <w:r w:rsidR="008E25EA">
              <w:rPr>
                <w:sz w:val="18"/>
                <w:szCs w:val="18"/>
                <w:lang w:val="es-AR"/>
              </w:rPr>
              <w:t>Perú</w:t>
            </w:r>
            <w:r>
              <w:rPr>
                <w:sz w:val="18"/>
                <w:szCs w:val="18"/>
                <w:lang w:val="es-AR"/>
              </w:rPr>
              <w:t>́ existe una separación de las funciones de formulador de políticas, regulador y prestador de servicios.</w:t>
            </w:r>
            <w:r w:rsidRPr="00FE6236">
              <w:rPr>
                <w:sz w:val="18"/>
                <w:szCs w:val="18"/>
                <w:lang w:val="es-ES_tradnl"/>
              </w:rPr>
              <w:t xml:space="preserve"> </w:t>
            </w:r>
            <w:r w:rsidR="00FE6236" w:rsidRPr="00FE6236">
              <w:rPr>
                <w:sz w:val="18"/>
                <w:szCs w:val="18"/>
                <w:lang w:val="es-ES_tradnl"/>
              </w:rPr>
              <w:t xml:space="preserve">El MVCS, por intermedio del Viceministerio de Construcción y Saneamiento, es el ente rector del sector, responsable de elaborar mecanismos de coordinación, articulación y </w:t>
            </w:r>
            <w:r w:rsidR="00FE6236" w:rsidRPr="00FE6236">
              <w:rPr>
                <w:sz w:val="18"/>
                <w:szCs w:val="18"/>
                <w:lang w:val="es-ES_tradnl"/>
              </w:rPr>
              <w:lastRenderedPageBreak/>
              <w:t>cooperación con los gobiernos regionales, municipalidade</w:t>
            </w:r>
            <w:r w:rsidR="00FE6236">
              <w:rPr>
                <w:sz w:val="18"/>
                <w:szCs w:val="18"/>
                <w:lang w:val="es-ES_tradnl"/>
              </w:rPr>
              <w:t>s y la sociedad civil. El PNSR</w:t>
            </w:r>
            <w:r w:rsidR="00FE6236" w:rsidRPr="00FE6236">
              <w:rPr>
                <w:sz w:val="18"/>
                <w:szCs w:val="18"/>
                <w:lang w:val="es-ES_tradnl"/>
              </w:rPr>
              <w:t xml:space="preserve"> del MVCS fue creado el 7 de enero de 2012, mediante Decreto Supremo 002-2012-VIVIENDA, y tiene por objeto mejorar la calidad, ampliar la cobertura y promover el uso sostenible de los servicios de AyS en las poblaciones rurales. La regulación y fiscalización de los servicios de AyS se ejerce a través de la Superintendencia Nacio</w:t>
            </w:r>
            <w:r w:rsidR="00FE6236">
              <w:rPr>
                <w:sz w:val="18"/>
                <w:szCs w:val="18"/>
                <w:lang w:val="es-ES_tradnl"/>
              </w:rPr>
              <w:t>nal de Servicios de Saneamiento</w:t>
            </w:r>
            <w:r w:rsidR="00FE6236" w:rsidRPr="00FE6236">
              <w:rPr>
                <w:sz w:val="18"/>
                <w:szCs w:val="18"/>
                <w:lang w:val="es-ES_tradnl"/>
              </w:rPr>
              <w:t>(SUNASS) correspondiéndole garantizar a los usuarios la prestación de los servicios de AyS en el ámbito urbano y rural. También el Ministerio de Salud (MINSA), norma los parámetros de calidad del agua de consumo humano y vigila que estos se cumplan; por otra parte, corresponde al Ministerio del Ambiente (MINAM) fijar los estándares de calidad ambiental para agua, como referente obligatorio en el diseño y aplicación de los instrumentos de gestión ambiental. Las municipalidades son responsables de la prestación de los servicios, generalmente a través de Empresas Prestadoras de Servicios de Saneamiento (EPS)</w:t>
            </w:r>
            <w:r w:rsidR="00FE6236">
              <w:rPr>
                <w:sz w:val="18"/>
                <w:szCs w:val="18"/>
                <w:lang w:val="es-ES_tradnl"/>
              </w:rPr>
              <w:t xml:space="preserve"> </w:t>
            </w:r>
            <w:r w:rsidR="00FE6236" w:rsidRPr="00FE6236">
              <w:rPr>
                <w:sz w:val="18"/>
                <w:szCs w:val="18"/>
                <w:lang w:val="es-ES_tradnl"/>
              </w:rPr>
              <w:t>en el ámbito urbano y de JASS en el ámbito rural.</w:t>
            </w:r>
          </w:p>
        </w:tc>
      </w:tr>
      <w:tr w:rsidR="007970C9" w:rsidRPr="000E0118" w14:paraId="14152760" w14:textId="77777777" w:rsidTr="00120449">
        <w:trPr>
          <w:jc w:val="center"/>
        </w:trPr>
        <w:tc>
          <w:tcPr>
            <w:tcW w:w="1968" w:type="dxa"/>
            <w:shd w:val="clear" w:color="auto" w:fill="auto"/>
          </w:tcPr>
          <w:p w14:paraId="59DA4729" w14:textId="77777777" w:rsidR="007970C9" w:rsidRPr="009876DD" w:rsidRDefault="007970C9" w:rsidP="000F1306">
            <w:pPr>
              <w:ind w:left="330" w:hanging="150"/>
              <w:rPr>
                <w:i/>
                <w:sz w:val="18"/>
                <w:szCs w:val="18"/>
                <w:lang w:val="es-ES_tradnl"/>
              </w:rPr>
            </w:pPr>
            <w:r w:rsidRPr="009876DD">
              <w:rPr>
                <w:b/>
                <w:bCs/>
                <w:i/>
                <w:sz w:val="18"/>
                <w:szCs w:val="18"/>
                <w:lang w:val="es-ES_tradnl"/>
              </w:rPr>
              <w:lastRenderedPageBreak/>
              <w:t>D. Establecer la estructura sectorial más apropiada en el contexto de las características del servicio y los objetivos de la política</w:t>
            </w:r>
          </w:p>
        </w:tc>
        <w:tc>
          <w:tcPr>
            <w:tcW w:w="4301" w:type="dxa"/>
            <w:shd w:val="clear" w:color="auto" w:fill="auto"/>
          </w:tcPr>
          <w:p w14:paraId="25E8C9CF" w14:textId="77777777" w:rsidR="007970C9" w:rsidRPr="009876DD" w:rsidRDefault="007970C9" w:rsidP="000878E8">
            <w:pPr>
              <w:jc w:val="both"/>
              <w:rPr>
                <w:sz w:val="18"/>
                <w:szCs w:val="18"/>
                <w:lang w:val="es-ES_tradnl"/>
              </w:rPr>
            </w:pPr>
            <w:r w:rsidRPr="009876DD">
              <w:rPr>
                <w:sz w:val="18"/>
                <w:szCs w:val="18"/>
                <w:lang w:val="es-ES_tradnl"/>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3966" w:type="dxa"/>
            <w:shd w:val="clear" w:color="auto" w:fill="auto"/>
          </w:tcPr>
          <w:p w14:paraId="6E92E2D6" w14:textId="166EBA11" w:rsidR="007970C9" w:rsidRPr="0057582B" w:rsidRDefault="0057582B" w:rsidP="004401A8">
            <w:pPr>
              <w:jc w:val="both"/>
              <w:rPr>
                <w:sz w:val="18"/>
                <w:szCs w:val="18"/>
                <w:lang w:val="es-ES_tradnl"/>
              </w:rPr>
            </w:pPr>
            <w:r>
              <w:rPr>
                <w:sz w:val="18"/>
                <w:szCs w:val="18"/>
                <w:lang w:val="es-ES_tradnl"/>
              </w:rPr>
              <w:t>En el á</w:t>
            </w:r>
            <w:r w:rsidRPr="0057582B">
              <w:rPr>
                <w:sz w:val="18"/>
                <w:szCs w:val="18"/>
                <w:lang w:val="es-ES_tradnl"/>
              </w:rPr>
              <w:t>mbito de prestación de los ser</w:t>
            </w:r>
            <w:r>
              <w:rPr>
                <w:sz w:val="18"/>
                <w:szCs w:val="18"/>
                <w:lang w:val="es-ES_tradnl"/>
              </w:rPr>
              <w:t>vicios en el sector rural, l</w:t>
            </w:r>
            <w:r w:rsidRPr="0057582B">
              <w:rPr>
                <w:sz w:val="18"/>
                <w:szCs w:val="18"/>
                <w:lang w:val="es-ES_tradnl"/>
              </w:rPr>
              <w:t>as municipalidades distritales son responsables de la prestación de los servicios AyS, directament</w:t>
            </w:r>
            <w:r>
              <w:rPr>
                <w:sz w:val="18"/>
                <w:szCs w:val="18"/>
                <w:lang w:val="es-ES_tradnl"/>
              </w:rPr>
              <w:t>e o por intermedio de las JASS</w:t>
            </w:r>
            <w:r w:rsidRPr="0057582B">
              <w:rPr>
                <w:sz w:val="18"/>
                <w:szCs w:val="18"/>
                <w:lang w:val="es-ES_tradnl"/>
              </w:rPr>
              <w:t>. En tanto que los centros poblados rurales se caracterizan por su poca población, baja densidad y</w:t>
            </w:r>
            <w:r>
              <w:rPr>
                <w:sz w:val="18"/>
                <w:szCs w:val="18"/>
                <w:lang w:val="es-ES_tradnl"/>
              </w:rPr>
              <w:t xml:space="preserve"> dispersión geográfica</w:t>
            </w:r>
            <w:r w:rsidRPr="0057582B">
              <w:rPr>
                <w:sz w:val="18"/>
                <w:szCs w:val="18"/>
                <w:lang w:val="es-ES_tradnl"/>
              </w:rPr>
              <w:t xml:space="preserve">, se establece a las JASS como modelo predominante </w:t>
            </w:r>
            <w:r>
              <w:rPr>
                <w:sz w:val="18"/>
                <w:szCs w:val="18"/>
                <w:lang w:val="es-ES_tradnl"/>
              </w:rPr>
              <w:t>de prestación de los servicios</w:t>
            </w:r>
            <w:r w:rsidRPr="0057582B">
              <w:rPr>
                <w:sz w:val="18"/>
                <w:szCs w:val="18"/>
                <w:lang w:val="es-ES_tradnl"/>
              </w:rPr>
              <w:t>. El Área Técnica Municipal (ATM) es un órgano de línea de las municipalidades, encargado de monitorear, supervisar y brindar asistencia técnica a las JASS, con la finalidad de apoyar en la sostenibilidad de los servicios de AyS. Por otro lado, las Direcciones Regionales de Vivienda, Construcción y Saneamiento (DRVCS) de los gobiernos regionales supervisan y dan asistencia técnica a las ATMs.</w:t>
            </w:r>
            <w:r>
              <w:rPr>
                <w:sz w:val="18"/>
                <w:szCs w:val="18"/>
                <w:lang w:val="es-ES_tradnl"/>
              </w:rPr>
              <w:t xml:space="preserve"> El programa incluye actividades para el fortalecimiento de competencias de las ATMs y DRVCS, de manera que puedan prestar de manera eficiente asistencia técnica según establece la organización sectorial y marco legal del país.</w:t>
            </w:r>
          </w:p>
        </w:tc>
      </w:tr>
      <w:tr w:rsidR="007970C9" w:rsidRPr="000E0118" w14:paraId="23D0DC3E" w14:textId="77777777" w:rsidTr="00120449">
        <w:trPr>
          <w:jc w:val="center"/>
        </w:trPr>
        <w:tc>
          <w:tcPr>
            <w:tcW w:w="1968" w:type="dxa"/>
            <w:shd w:val="clear" w:color="auto" w:fill="auto"/>
          </w:tcPr>
          <w:p w14:paraId="0A945CA1" w14:textId="77777777" w:rsidR="007970C9" w:rsidRPr="009876DD" w:rsidRDefault="007970C9" w:rsidP="000F1306">
            <w:pPr>
              <w:ind w:left="330" w:hanging="150"/>
              <w:rPr>
                <w:i/>
                <w:sz w:val="18"/>
                <w:szCs w:val="18"/>
                <w:lang w:val="es-ES_tradnl"/>
              </w:rPr>
            </w:pPr>
            <w:r w:rsidRPr="009876DD">
              <w:rPr>
                <w:b/>
                <w:bCs/>
                <w:i/>
                <w:sz w:val="18"/>
                <w:szCs w:val="18"/>
                <w:lang w:val="es-ES_tradnl"/>
              </w:rPr>
              <w:t>E.</w:t>
            </w:r>
            <w:r w:rsidRPr="009876DD">
              <w:rPr>
                <w:i/>
                <w:lang w:val="es-ES"/>
              </w:rPr>
              <w:t xml:space="preserve"> </w:t>
            </w:r>
            <w:r w:rsidRPr="009876DD">
              <w:rPr>
                <w:b/>
                <w:bCs/>
                <w:i/>
                <w:sz w:val="18"/>
                <w:szCs w:val="18"/>
                <w:lang w:val="es-ES_tradnl"/>
              </w:rPr>
              <w:t xml:space="preserve">El rol de la regulación económica para incentivar la eficiencia, la inversión y proteger los </w:t>
            </w:r>
            <w:r w:rsidRPr="009876DD">
              <w:rPr>
                <w:b/>
                <w:bCs/>
                <w:i/>
                <w:sz w:val="18"/>
                <w:szCs w:val="18"/>
                <w:lang w:val="es-ES_tradnl"/>
              </w:rPr>
              <w:lastRenderedPageBreak/>
              <w:t>derechos de los usuarios</w:t>
            </w:r>
          </w:p>
        </w:tc>
        <w:tc>
          <w:tcPr>
            <w:tcW w:w="4301" w:type="dxa"/>
            <w:shd w:val="clear" w:color="auto" w:fill="auto"/>
          </w:tcPr>
          <w:p w14:paraId="78B23C4A" w14:textId="77777777" w:rsidR="007970C9" w:rsidRPr="009876DD" w:rsidRDefault="007970C9" w:rsidP="000F1306">
            <w:pPr>
              <w:rPr>
                <w:sz w:val="18"/>
                <w:szCs w:val="18"/>
                <w:lang w:val="es-ES_tradnl"/>
              </w:rPr>
            </w:pPr>
            <w:r w:rsidRPr="009876DD">
              <w:rPr>
                <w:bCs/>
                <w:sz w:val="18"/>
                <w:szCs w:val="18"/>
                <w:lang w:val="es-ES_tradnl"/>
              </w:rPr>
              <w:lastRenderedPageBreak/>
              <w:t xml:space="preserve">La adopción de un régimen regulatorio eficaz y adaptado a las condiciones particulares de cada sector en cada país es un factor clave para el logro de los objetivos de la Política. Un régimen regulatorio debe contribuir a reducir el costo del capital de los proveedores del servicio, incentivar la inversión, fijar </w:t>
            </w:r>
            <w:r w:rsidRPr="009876DD">
              <w:rPr>
                <w:bCs/>
                <w:sz w:val="18"/>
                <w:szCs w:val="18"/>
                <w:lang w:val="es-ES_tradnl"/>
              </w:rPr>
              <w:lastRenderedPageBreak/>
              <w:t>estándares de calidad de los servicios y permitir que los proveedores del servicio obtengan ingresos suficientes para alcanzar la sostenibilidad financiera. La promoción de los derechos de los usuarios debe ser un objetivo primordial del proceso de regulación de los servicios. Así, la regulación debe lograr que las ganancias de eficiencia, alcanzadas en el tiempo por los proveedores de los servicios, se trasladen a los usuarios vía reducciones tarifarias o mediante mejoras en la calidad del servicio. Independientemente de la estructura sectorial y 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3966" w:type="dxa"/>
            <w:shd w:val="clear" w:color="auto" w:fill="auto"/>
          </w:tcPr>
          <w:p w14:paraId="68BFDEBD" w14:textId="3F96CE73" w:rsidR="007970C9" w:rsidRPr="00305235" w:rsidRDefault="001310D9" w:rsidP="00150A52">
            <w:pPr>
              <w:pStyle w:val="NormalWeb"/>
              <w:spacing w:before="0" w:beforeAutospacing="0" w:after="0" w:afterAutospacing="0"/>
              <w:jc w:val="both"/>
              <w:rPr>
                <w:rFonts w:eastAsiaTheme="minorHAnsi"/>
                <w:lang w:val="es-ES_tradnl" w:eastAsia="en-NZ"/>
              </w:rPr>
            </w:pPr>
            <w:r w:rsidRPr="00271371">
              <w:rPr>
                <w:sz w:val="18"/>
                <w:szCs w:val="18"/>
                <w:lang w:val="es-ES_tradnl"/>
              </w:rPr>
              <w:lastRenderedPageBreak/>
              <w:t>La regulación y fiscalización de los servicios de AyS se ejerce a través de la Superintendencia Nacional de Se</w:t>
            </w:r>
            <w:r>
              <w:rPr>
                <w:sz w:val="18"/>
                <w:szCs w:val="18"/>
                <w:lang w:val="es-ES_tradnl"/>
              </w:rPr>
              <w:t>rvicios de Saneamiento (SUNASS</w:t>
            </w:r>
            <w:r w:rsidRPr="00271371">
              <w:rPr>
                <w:sz w:val="18"/>
                <w:szCs w:val="18"/>
                <w:lang w:val="es-ES_tradnl"/>
              </w:rPr>
              <w:t>) correspondiéndole garantizar a los usuarios la prestación de los servicios de AyS en el ámbito urbano y rural.</w:t>
            </w:r>
            <w:r w:rsidRPr="00271371">
              <w:rPr>
                <w:color w:val="000000"/>
                <w:sz w:val="27"/>
                <w:szCs w:val="27"/>
                <w:lang w:val="es-ES_tradnl"/>
              </w:rPr>
              <w:t xml:space="preserve"> </w:t>
            </w:r>
            <w:r w:rsidRPr="00271371">
              <w:rPr>
                <w:sz w:val="18"/>
                <w:szCs w:val="18"/>
                <w:lang w:val="es-ES_tradnl"/>
              </w:rPr>
              <w:t xml:space="preserve">La SUNASS es organismo público </w:t>
            </w:r>
            <w:r w:rsidRPr="00271371">
              <w:rPr>
                <w:sz w:val="18"/>
                <w:szCs w:val="18"/>
                <w:lang w:val="es-ES_tradnl"/>
              </w:rPr>
              <w:lastRenderedPageBreak/>
              <w:t>descentralizado, creado por Decreto Ley N° 25965, adscrito a la Presidencia del Consejo de Ministros, con personería de derecho público y con autonomía administrativa, funcional, técnica, económica y financiera; cuya función es normar, regular, supervisar y fiscalizar la prestación de los servicios de saneamiento, cautelando en forma imparcial y objetiva los intereses del Estado, de los inversionistas y del usuario</w:t>
            </w:r>
            <w:r>
              <w:rPr>
                <w:sz w:val="18"/>
                <w:szCs w:val="18"/>
                <w:lang w:val="es-ES_tradnl"/>
              </w:rPr>
              <w:t>.</w:t>
            </w:r>
          </w:p>
        </w:tc>
      </w:tr>
      <w:tr w:rsidR="007970C9" w:rsidRPr="00FA21F6" w14:paraId="502F072B" w14:textId="77777777" w:rsidTr="005A019F">
        <w:trPr>
          <w:trHeight w:val="1772"/>
          <w:jc w:val="center"/>
        </w:trPr>
        <w:tc>
          <w:tcPr>
            <w:tcW w:w="1968" w:type="dxa"/>
            <w:shd w:val="clear" w:color="auto" w:fill="auto"/>
          </w:tcPr>
          <w:p w14:paraId="1E9DF95D" w14:textId="77777777" w:rsidR="007970C9" w:rsidRPr="009876DD" w:rsidRDefault="007970C9" w:rsidP="000F1306">
            <w:pPr>
              <w:ind w:left="330" w:hanging="150"/>
              <w:rPr>
                <w:b/>
                <w:i/>
                <w:sz w:val="18"/>
                <w:szCs w:val="18"/>
                <w:lang w:val="es-ES_tradnl"/>
              </w:rPr>
            </w:pPr>
            <w:r w:rsidRPr="009876DD">
              <w:rPr>
                <w:b/>
                <w:i/>
                <w:sz w:val="18"/>
                <w:szCs w:val="18"/>
                <w:lang w:val="es-ES_tradnl"/>
              </w:rPr>
              <w:lastRenderedPageBreak/>
              <w:t xml:space="preserve">F. Generar condiciones adecuadas para que la participación privada sea una opción viable para la provisión de servicios públicos </w:t>
            </w:r>
            <w:r w:rsidRPr="009876DD">
              <w:rPr>
                <w:b/>
                <w:bCs/>
                <w:i/>
                <w:sz w:val="18"/>
                <w:szCs w:val="18"/>
                <w:lang w:val="es-ES_tradnl"/>
              </w:rPr>
              <w:t>domiciliarios</w:t>
            </w:r>
          </w:p>
        </w:tc>
        <w:tc>
          <w:tcPr>
            <w:tcW w:w="4301" w:type="dxa"/>
            <w:shd w:val="clear" w:color="auto" w:fill="auto"/>
          </w:tcPr>
          <w:p w14:paraId="2D741929" w14:textId="77777777" w:rsidR="007970C9" w:rsidRPr="009876DD" w:rsidRDefault="007970C9" w:rsidP="000F1306">
            <w:pPr>
              <w:rPr>
                <w:sz w:val="18"/>
                <w:szCs w:val="18"/>
                <w:lang w:val="es-ES_tradnl"/>
              </w:rPr>
            </w:pPr>
            <w:r w:rsidRPr="009876DD">
              <w:rPr>
                <w:sz w:val="18"/>
                <w:szCs w:val="18"/>
                <w:lang w:val="es-ES_tradnl"/>
              </w:rPr>
              <w:t xml:space="preserve">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 </w:t>
            </w:r>
          </w:p>
        </w:tc>
        <w:tc>
          <w:tcPr>
            <w:tcW w:w="3966" w:type="dxa"/>
            <w:shd w:val="clear" w:color="auto" w:fill="auto"/>
          </w:tcPr>
          <w:p w14:paraId="59F61275" w14:textId="70FFE784" w:rsidR="007970C9" w:rsidRPr="004A262B" w:rsidRDefault="00FA21F6" w:rsidP="00DC2061">
            <w:pPr>
              <w:spacing w:before="120" w:after="120"/>
              <w:jc w:val="both"/>
              <w:rPr>
                <w:sz w:val="18"/>
                <w:szCs w:val="18"/>
                <w:lang w:val="es-ES_tradnl"/>
              </w:rPr>
            </w:pPr>
            <w:r>
              <w:rPr>
                <w:sz w:val="18"/>
                <w:szCs w:val="18"/>
                <w:lang w:val="es-ES_tradnl"/>
              </w:rPr>
              <w:t xml:space="preserve">n/a </w:t>
            </w:r>
          </w:p>
        </w:tc>
      </w:tr>
      <w:tr w:rsidR="007970C9" w:rsidRPr="000E0118" w14:paraId="33A7D8A5" w14:textId="77777777" w:rsidTr="00120449">
        <w:trPr>
          <w:jc w:val="center"/>
        </w:trPr>
        <w:tc>
          <w:tcPr>
            <w:tcW w:w="1968" w:type="dxa"/>
            <w:shd w:val="clear" w:color="auto" w:fill="auto"/>
          </w:tcPr>
          <w:p w14:paraId="3732CF58" w14:textId="77777777" w:rsidR="007970C9" w:rsidRPr="009876DD" w:rsidRDefault="007970C9" w:rsidP="000F1306">
            <w:pPr>
              <w:ind w:left="330" w:hanging="150"/>
              <w:rPr>
                <w:b/>
                <w:i/>
                <w:sz w:val="18"/>
                <w:szCs w:val="18"/>
                <w:lang w:val="es-ES"/>
              </w:rPr>
            </w:pPr>
            <w:r w:rsidRPr="009876DD">
              <w:rPr>
                <w:b/>
                <w:i/>
                <w:sz w:val="18"/>
                <w:szCs w:val="18"/>
                <w:lang w:val="es-ES"/>
              </w:rPr>
              <w:t xml:space="preserve">G. </w:t>
            </w:r>
            <w:r w:rsidRPr="009876DD">
              <w:rPr>
                <w:b/>
                <w:bCs/>
                <w:i/>
                <w:sz w:val="18"/>
                <w:szCs w:val="18"/>
                <w:lang w:val="es-ES_tradnl"/>
              </w:rPr>
              <w:t>Fortalecer</w:t>
            </w:r>
            <w:r w:rsidRPr="009876DD">
              <w:rPr>
                <w:b/>
                <w:i/>
                <w:sz w:val="18"/>
                <w:szCs w:val="18"/>
                <w:lang w:val="es-ES"/>
              </w:rPr>
              <w:t xml:space="preserve"> la gestión de la infraestructura utilizada para la prestación de los servicios públicos domiciliarios.</w:t>
            </w:r>
          </w:p>
        </w:tc>
        <w:tc>
          <w:tcPr>
            <w:tcW w:w="4301" w:type="dxa"/>
            <w:shd w:val="clear" w:color="auto" w:fill="auto"/>
          </w:tcPr>
          <w:p w14:paraId="33492AD3" w14:textId="77777777" w:rsidR="007970C9" w:rsidRPr="009876DD" w:rsidRDefault="007970C9" w:rsidP="000F1306">
            <w:pPr>
              <w:rPr>
                <w:sz w:val="18"/>
                <w:szCs w:val="18"/>
                <w:lang w:val="es-ES"/>
              </w:rPr>
            </w:pPr>
            <w:r w:rsidRPr="009876DD">
              <w:rPr>
                <w:sz w:val="18"/>
                <w:szCs w:val="18"/>
                <w:lang w:val="es-ES"/>
              </w:rPr>
              <w:t xml:space="preserve">Los ámbitos de acción más relevantes para optimizar la gestión de la infraestructura son: i) incentivar la eficiencia en la gestión de las empresas; ii) desarrollar e implementar políticas adecuadas y estables de mantenimiento de activos; y iii) optimizar el uso de la infraestructura a través de incentivos a la demanda. </w:t>
            </w:r>
          </w:p>
        </w:tc>
        <w:tc>
          <w:tcPr>
            <w:tcW w:w="3966" w:type="dxa"/>
            <w:shd w:val="clear" w:color="auto" w:fill="auto"/>
          </w:tcPr>
          <w:p w14:paraId="18FCC1E9" w14:textId="0BE1D340" w:rsidR="00E27D8E" w:rsidRPr="00E6766B" w:rsidRDefault="00450000" w:rsidP="00450000">
            <w:pPr>
              <w:jc w:val="both"/>
              <w:rPr>
                <w:sz w:val="18"/>
                <w:szCs w:val="18"/>
                <w:lang w:val="es-ES_tradnl"/>
              </w:rPr>
            </w:pPr>
            <w:r w:rsidRPr="008577D6">
              <w:rPr>
                <w:sz w:val="18"/>
                <w:szCs w:val="18"/>
                <w:lang w:val="es-AR"/>
              </w:rPr>
              <w:t xml:space="preserve">El PNSR promueve la sostenibilidad de los servicios fortaleciendo las capacidades de administración, operación y mantenimiento de los operadores locales, promoviendo la mejora de las cuotas familiares y la </w:t>
            </w:r>
            <w:r w:rsidRPr="00450000">
              <w:rPr>
                <w:sz w:val="18"/>
                <w:szCs w:val="18"/>
                <w:lang w:val="es-ES_tradnl"/>
              </w:rPr>
              <w:t xml:space="preserve">valoración del recurso agua y las instalaciones sanitarias. </w:t>
            </w:r>
            <w:r w:rsidR="0006642C" w:rsidRPr="00450000">
              <w:rPr>
                <w:sz w:val="18"/>
                <w:szCs w:val="18"/>
                <w:lang w:val="es-ES_tradnl"/>
              </w:rPr>
              <w:t>El programa</w:t>
            </w:r>
            <w:r w:rsidRPr="00450000">
              <w:rPr>
                <w:sz w:val="18"/>
                <w:szCs w:val="18"/>
                <w:lang w:val="es-ES_tradnl"/>
              </w:rPr>
              <w:t xml:space="preserve"> de préstamo</w:t>
            </w:r>
            <w:r w:rsidR="0006642C" w:rsidRPr="00450000">
              <w:rPr>
                <w:sz w:val="18"/>
                <w:szCs w:val="18"/>
                <w:lang w:val="es-ES_tradnl"/>
              </w:rPr>
              <w:t xml:space="preserve"> contempla acciones de fortalecimiento institucional complementarias a las inversiones en infraestructura a fin de que los operadores de los sistemas cuenten con la capacidad de operar y mantener adecuadamente los activos. Asimismo, se financian actividades que promueven la participación comunitaria, buscando</w:t>
            </w:r>
            <w:r w:rsidR="0006642C" w:rsidRPr="00E6766B">
              <w:rPr>
                <w:sz w:val="18"/>
                <w:szCs w:val="18"/>
                <w:lang w:val="es-ES_tradnl"/>
              </w:rPr>
              <w:t xml:space="preserve"> así la apropiación de la infraestructura por parte de los beneficiarios.</w:t>
            </w:r>
            <w:r w:rsidRPr="00E6766B">
              <w:rPr>
                <w:sz w:val="18"/>
                <w:szCs w:val="18"/>
                <w:lang w:val="es-ES_tradnl"/>
              </w:rPr>
              <w:t xml:space="preserve"> </w:t>
            </w:r>
          </w:p>
        </w:tc>
      </w:tr>
      <w:tr w:rsidR="007970C9" w:rsidRPr="000E0118" w14:paraId="57790364" w14:textId="77777777" w:rsidTr="00120449">
        <w:trPr>
          <w:jc w:val="center"/>
        </w:trPr>
        <w:tc>
          <w:tcPr>
            <w:tcW w:w="1968" w:type="dxa"/>
            <w:shd w:val="clear" w:color="auto" w:fill="auto"/>
          </w:tcPr>
          <w:p w14:paraId="492EF2FB" w14:textId="77777777" w:rsidR="007970C9" w:rsidRPr="009834A9" w:rsidRDefault="007970C9" w:rsidP="000F1306">
            <w:pPr>
              <w:rPr>
                <w:sz w:val="18"/>
                <w:szCs w:val="18"/>
                <w:lang w:val="es-ES"/>
              </w:rPr>
            </w:pPr>
            <w:r w:rsidRPr="009834A9">
              <w:rPr>
                <w:b/>
                <w:sz w:val="18"/>
                <w:szCs w:val="18"/>
                <w:lang w:val="es-ES"/>
              </w:rPr>
              <w:t xml:space="preserve">3. Promover la innovación para </w:t>
            </w:r>
            <w:r w:rsidRPr="009834A9">
              <w:rPr>
                <w:b/>
                <w:sz w:val="18"/>
                <w:szCs w:val="18"/>
                <w:lang w:val="es-ES"/>
              </w:rPr>
              <w:lastRenderedPageBreak/>
              <w:t>fomentar la eficiencia, el acceso y la sostenibilidad ambiental</w:t>
            </w:r>
          </w:p>
        </w:tc>
        <w:tc>
          <w:tcPr>
            <w:tcW w:w="4301" w:type="dxa"/>
            <w:shd w:val="clear" w:color="auto" w:fill="auto"/>
          </w:tcPr>
          <w:p w14:paraId="292C5423" w14:textId="77777777" w:rsidR="007970C9" w:rsidRPr="009834A9" w:rsidRDefault="007970C9" w:rsidP="000F1306">
            <w:pPr>
              <w:rPr>
                <w:sz w:val="18"/>
                <w:szCs w:val="18"/>
                <w:lang w:val="es-ES"/>
              </w:rPr>
            </w:pPr>
            <w:r w:rsidRPr="009834A9">
              <w:rPr>
                <w:sz w:val="18"/>
                <w:szCs w:val="18"/>
                <w:lang w:val="es-ES"/>
              </w:rPr>
              <w:lastRenderedPageBreak/>
              <w:t xml:space="preserve">Esta Política resalta el rol de la tecnología para incrementar el acceso con soluciones </w:t>
            </w:r>
            <w:r w:rsidRPr="009834A9">
              <w:rPr>
                <w:sz w:val="18"/>
                <w:szCs w:val="18"/>
                <w:lang w:val="es-ES"/>
              </w:rPr>
              <w:lastRenderedPageBreak/>
              <w:t>costo-efectivas, reducir los costos de mantenimiento y administrar el consumo, evitando inversiones innecesarias en mayor 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3966" w:type="dxa"/>
            <w:shd w:val="clear" w:color="auto" w:fill="auto"/>
          </w:tcPr>
          <w:p w14:paraId="24A48B19" w14:textId="7EDFFE50" w:rsidR="00CD5A81" w:rsidRPr="001A3ACE" w:rsidRDefault="001A3ACE" w:rsidP="00CD5A81">
            <w:pPr>
              <w:pStyle w:val="Paragraph"/>
              <w:numPr>
                <w:ilvl w:val="0"/>
                <w:numId w:val="0"/>
              </w:numPr>
              <w:rPr>
                <w:sz w:val="18"/>
                <w:szCs w:val="18"/>
              </w:rPr>
            </w:pPr>
            <w:r w:rsidRPr="001A3ACE">
              <w:rPr>
                <w:sz w:val="18"/>
                <w:szCs w:val="18"/>
              </w:rPr>
              <w:lastRenderedPageBreak/>
              <w:t xml:space="preserve">El Programa contempla la selección de la </w:t>
            </w:r>
            <w:r w:rsidRPr="001A3ACE">
              <w:rPr>
                <w:sz w:val="18"/>
                <w:szCs w:val="18"/>
              </w:rPr>
              <w:lastRenderedPageBreak/>
              <w:t>solución técnica más adecuada considerando su costo-eficiencia y que sea previamente aceptada por la comunidad.</w:t>
            </w:r>
            <w:r w:rsidR="0006642C">
              <w:rPr>
                <w:sz w:val="18"/>
                <w:szCs w:val="18"/>
              </w:rPr>
              <w:t xml:space="preserve"> Asimismo, el programa promueve la economía circular de las soluciones de agua y saneamiento, de manera que los productos del saneamiento sean adecuadamente dispuestos o reusados para asegurar la sostenibilidad ambiental de las obras.</w:t>
            </w:r>
          </w:p>
        </w:tc>
      </w:tr>
    </w:tbl>
    <w:p w14:paraId="5883EDD7" w14:textId="77777777" w:rsidR="003B02C4" w:rsidRPr="000F1306" w:rsidRDefault="003B02C4" w:rsidP="00120449">
      <w:pPr>
        <w:rPr>
          <w:lang w:val="es-ES"/>
        </w:rPr>
      </w:pPr>
    </w:p>
    <w:sectPr w:rsidR="003B02C4" w:rsidRPr="000F1306" w:rsidSect="009B38CC">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514E8" w14:textId="77777777" w:rsidR="002324B6" w:rsidRDefault="002324B6" w:rsidP="00B72604">
      <w:r>
        <w:separator/>
      </w:r>
    </w:p>
  </w:endnote>
  <w:endnote w:type="continuationSeparator" w:id="0">
    <w:p w14:paraId="39A7F567" w14:textId="77777777" w:rsidR="002324B6" w:rsidRDefault="002324B6" w:rsidP="00B72604">
      <w:r>
        <w:continuationSeparator/>
      </w:r>
    </w:p>
  </w:endnote>
  <w:endnote w:type="continuationNotice" w:id="1">
    <w:p w14:paraId="38918507" w14:textId="77777777" w:rsidR="002324B6" w:rsidRDefault="00232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834F" w14:textId="77777777" w:rsidR="002324B6" w:rsidRDefault="002324B6" w:rsidP="00B72604">
      <w:r>
        <w:separator/>
      </w:r>
    </w:p>
  </w:footnote>
  <w:footnote w:type="continuationSeparator" w:id="0">
    <w:p w14:paraId="34BA9443" w14:textId="77777777" w:rsidR="002324B6" w:rsidRDefault="002324B6" w:rsidP="00B72604">
      <w:r>
        <w:continuationSeparator/>
      </w:r>
    </w:p>
  </w:footnote>
  <w:footnote w:type="continuationNotice" w:id="1">
    <w:p w14:paraId="6A047E1F" w14:textId="77777777" w:rsidR="002324B6" w:rsidRDefault="00232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68209085"/>
      <w:docPartObj>
        <w:docPartGallery w:val="Page Numbers (Top of Page)"/>
        <w:docPartUnique/>
      </w:docPartObj>
    </w:sdtPr>
    <w:sdtEndPr/>
    <w:sdtContent>
      <w:p w14:paraId="66113BA6" w14:textId="75F88837" w:rsidR="00120449" w:rsidRDefault="008B7880" w:rsidP="00F97646">
        <w:pPr>
          <w:pStyle w:val="Header"/>
          <w:tabs>
            <w:tab w:val="clear" w:pos="4680"/>
            <w:tab w:val="clear" w:pos="9360"/>
            <w:tab w:val="right" w:pos="8640"/>
          </w:tabs>
          <w:jc w:val="right"/>
          <w:rPr>
            <w:sz w:val="20"/>
            <w:szCs w:val="20"/>
            <w:lang w:val="pt-BR"/>
          </w:rPr>
        </w:pPr>
        <w:r>
          <w:rPr>
            <w:sz w:val="20"/>
            <w:szCs w:val="20"/>
            <w:lang w:val="pt-BR"/>
          </w:rPr>
          <w:t>PE</w:t>
        </w:r>
        <w:r w:rsidR="00C93876" w:rsidRPr="00A874E0">
          <w:rPr>
            <w:sz w:val="20"/>
            <w:szCs w:val="20"/>
            <w:lang w:val="pt-BR"/>
          </w:rPr>
          <w:t>-</w:t>
        </w:r>
        <w:r w:rsidR="00B033D2">
          <w:rPr>
            <w:sz w:val="20"/>
            <w:szCs w:val="20"/>
            <w:lang w:val="pt-BR"/>
          </w:rPr>
          <w:t>L</w:t>
        </w:r>
        <w:r>
          <w:rPr>
            <w:sz w:val="20"/>
            <w:szCs w:val="20"/>
            <w:lang w:val="pt-BR"/>
          </w:rPr>
          <w:t>1226</w:t>
        </w:r>
      </w:p>
      <w:p w14:paraId="3E2A4744" w14:textId="6D7747A5" w:rsidR="00120449" w:rsidRPr="00A874E0" w:rsidRDefault="00120449" w:rsidP="00F97646">
        <w:pPr>
          <w:pStyle w:val="Header"/>
          <w:tabs>
            <w:tab w:val="clear" w:pos="4680"/>
            <w:tab w:val="clear" w:pos="9360"/>
          </w:tabs>
          <w:ind w:left="7200"/>
          <w:jc w:val="right"/>
          <w:rPr>
            <w:sz w:val="20"/>
            <w:szCs w:val="20"/>
            <w:lang w:val="pt-BR"/>
          </w:rPr>
        </w:pPr>
        <w:r w:rsidRPr="00A874E0">
          <w:rPr>
            <w:sz w:val="20"/>
            <w:szCs w:val="20"/>
            <w:lang w:val="pt-BR"/>
          </w:rPr>
          <w:t xml:space="preserve">Página </w:t>
        </w:r>
        <w:r w:rsidRPr="00812BF8">
          <w:rPr>
            <w:bCs/>
            <w:sz w:val="20"/>
            <w:szCs w:val="20"/>
          </w:rPr>
          <w:fldChar w:fldCharType="begin"/>
        </w:r>
        <w:r w:rsidRPr="00A874E0">
          <w:rPr>
            <w:bCs/>
            <w:sz w:val="20"/>
            <w:szCs w:val="20"/>
            <w:lang w:val="pt-BR"/>
          </w:rPr>
          <w:instrText xml:space="preserve"> PAGE </w:instrText>
        </w:r>
        <w:r w:rsidRPr="00812BF8">
          <w:rPr>
            <w:bCs/>
            <w:sz w:val="20"/>
            <w:szCs w:val="20"/>
          </w:rPr>
          <w:fldChar w:fldCharType="separate"/>
        </w:r>
        <w:r w:rsidR="00732C98">
          <w:rPr>
            <w:bCs/>
            <w:noProof/>
            <w:sz w:val="20"/>
            <w:szCs w:val="20"/>
            <w:lang w:val="pt-BR"/>
          </w:rPr>
          <w:t>1</w:t>
        </w:r>
        <w:r w:rsidRPr="00812BF8">
          <w:rPr>
            <w:bCs/>
            <w:sz w:val="20"/>
            <w:szCs w:val="20"/>
          </w:rPr>
          <w:fldChar w:fldCharType="end"/>
        </w:r>
        <w:r w:rsidRPr="00A874E0">
          <w:rPr>
            <w:bCs/>
            <w:sz w:val="20"/>
            <w:szCs w:val="20"/>
            <w:lang w:val="pt-BR"/>
          </w:rPr>
          <w:t xml:space="preserve"> </w:t>
        </w:r>
        <w:r w:rsidRPr="00A874E0">
          <w:rPr>
            <w:sz w:val="20"/>
            <w:szCs w:val="20"/>
            <w:lang w:val="pt-BR"/>
          </w:rPr>
          <w:t xml:space="preserve">de </w:t>
        </w:r>
        <w:r w:rsidRPr="00812BF8">
          <w:rPr>
            <w:bCs/>
            <w:sz w:val="20"/>
            <w:szCs w:val="20"/>
          </w:rPr>
          <w:fldChar w:fldCharType="begin"/>
        </w:r>
        <w:r w:rsidRPr="00A874E0">
          <w:rPr>
            <w:bCs/>
            <w:sz w:val="20"/>
            <w:szCs w:val="20"/>
            <w:lang w:val="pt-BR"/>
          </w:rPr>
          <w:instrText xml:space="preserve"> NUMPAGES  </w:instrText>
        </w:r>
        <w:r w:rsidRPr="00812BF8">
          <w:rPr>
            <w:bCs/>
            <w:sz w:val="20"/>
            <w:szCs w:val="20"/>
          </w:rPr>
          <w:fldChar w:fldCharType="separate"/>
        </w:r>
        <w:r w:rsidR="00732C98">
          <w:rPr>
            <w:bCs/>
            <w:noProof/>
            <w:sz w:val="20"/>
            <w:szCs w:val="20"/>
            <w:lang w:val="pt-BR"/>
          </w:rPr>
          <w:t>9</w:t>
        </w:r>
        <w:r w:rsidRPr="00812BF8">
          <w:rPr>
            <w:bCs/>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306"/>
    <w:multiLevelType w:val="hybridMultilevel"/>
    <w:tmpl w:val="0434AFC2"/>
    <w:lvl w:ilvl="0" w:tplc="A488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73"/>
        </w:tabs>
        <w:ind w:left="1273"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2" w15:restartNumberingAfterBreak="0">
    <w:nsid w:val="09AF2B98"/>
    <w:multiLevelType w:val="multilevel"/>
    <w:tmpl w:val="4C2CC41C"/>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 w15:restartNumberingAfterBreak="0">
    <w:nsid w:val="0DAB7FC9"/>
    <w:multiLevelType w:val="multilevel"/>
    <w:tmpl w:val="7AFC8574"/>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0D159F9"/>
    <w:multiLevelType w:val="hybridMultilevel"/>
    <w:tmpl w:val="591CF180"/>
    <w:lvl w:ilvl="0" w:tplc="D0EC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160320B5"/>
    <w:multiLevelType w:val="multilevel"/>
    <w:tmpl w:val="7C5448D2"/>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7" w15:restartNumberingAfterBreak="0">
    <w:nsid w:val="172E7663"/>
    <w:multiLevelType w:val="hybridMultilevel"/>
    <w:tmpl w:val="A3D81D94"/>
    <w:lvl w:ilvl="0" w:tplc="3DCE8444">
      <w:start w:val="1"/>
      <w:numFmt w:val="bullet"/>
      <w:lvlText w:val=""/>
      <w:lvlJc w:val="left"/>
      <w:pPr>
        <w:ind w:left="720"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810CB"/>
    <w:multiLevelType w:val="hybridMultilevel"/>
    <w:tmpl w:val="38E4DCCE"/>
    <w:lvl w:ilvl="0" w:tplc="CA86ED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9533A"/>
    <w:multiLevelType w:val="multilevel"/>
    <w:tmpl w:val="BA3076C2"/>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lvl>
    <w:lvl w:ilvl="2">
      <w:start w:val="1"/>
      <w:numFmt w:val="lowerLetter"/>
      <w:pStyle w:val="SubHeading1"/>
      <w:lvlText w:val="%3)"/>
      <w:lvlJc w:val="left"/>
      <w:pPr>
        <w:tabs>
          <w:tab w:val="num" w:pos="5976"/>
        </w:tabs>
        <w:ind w:left="5976" w:hanging="576"/>
      </w:pPr>
    </w:lvl>
    <w:lvl w:ilvl="3">
      <w:start w:val="1"/>
      <w:numFmt w:val="lowerRoman"/>
      <w:pStyle w:val="Subheading2"/>
      <w:lvlText w:val="(%4)"/>
      <w:lvlJc w:val="right"/>
      <w:pPr>
        <w:tabs>
          <w:tab w:val="num" w:pos="6480"/>
        </w:tabs>
        <w:ind w:left="6480" w:hanging="288"/>
      </w:pPr>
    </w:lvl>
    <w:lvl w:ilvl="4">
      <w:start w:val="1"/>
      <w:numFmt w:val="none"/>
      <w:lvlText w:val=""/>
      <w:lvlJc w:val="left"/>
      <w:pPr>
        <w:tabs>
          <w:tab w:val="num" w:pos="5112"/>
        </w:tabs>
        <w:ind w:left="5112" w:hanging="1008"/>
      </w:pPr>
    </w:lvl>
    <w:lvl w:ilvl="5">
      <w:start w:val="1"/>
      <w:numFmt w:val="none"/>
      <w:lvlText w:val=""/>
      <w:lvlJc w:val="left"/>
      <w:pPr>
        <w:tabs>
          <w:tab w:val="num" w:pos="5256"/>
        </w:tabs>
        <w:ind w:left="5256" w:hanging="1152"/>
      </w:pPr>
    </w:lvl>
    <w:lvl w:ilvl="6">
      <w:start w:val="1"/>
      <w:numFmt w:val="none"/>
      <w:lvlText w:val=""/>
      <w:lvlJc w:val="left"/>
      <w:pPr>
        <w:tabs>
          <w:tab w:val="num" w:pos="5400"/>
        </w:tabs>
        <w:ind w:left="5400" w:hanging="1296"/>
      </w:pPr>
    </w:lvl>
    <w:lvl w:ilvl="7">
      <w:start w:val="1"/>
      <w:numFmt w:val="none"/>
      <w:lvlText w:val=""/>
      <w:lvlJc w:val="left"/>
      <w:pPr>
        <w:tabs>
          <w:tab w:val="num" w:pos="5544"/>
        </w:tabs>
        <w:ind w:left="5544" w:hanging="1440"/>
      </w:pPr>
    </w:lvl>
    <w:lvl w:ilvl="8">
      <w:start w:val="1"/>
      <w:numFmt w:val="none"/>
      <w:lvlText w:val=""/>
      <w:lvlJc w:val="left"/>
      <w:pPr>
        <w:tabs>
          <w:tab w:val="num" w:pos="5688"/>
        </w:tabs>
        <w:ind w:left="5688" w:hanging="1584"/>
      </w:pPr>
    </w:lvl>
  </w:abstractNum>
  <w:abstractNum w:abstractNumId="10" w15:restartNumberingAfterBreak="0">
    <w:nsid w:val="29705FC8"/>
    <w:multiLevelType w:val="hybridMultilevel"/>
    <w:tmpl w:val="93C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F7B21"/>
    <w:multiLevelType w:val="hybridMultilevel"/>
    <w:tmpl w:val="F364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C125A"/>
    <w:multiLevelType w:val="hybridMultilevel"/>
    <w:tmpl w:val="641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14" w15:restartNumberingAfterBreak="0">
    <w:nsid w:val="63742036"/>
    <w:multiLevelType w:val="multilevel"/>
    <w:tmpl w:val="F45C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A7AFA"/>
    <w:multiLevelType w:val="multilevel"/>
    <w:tmpl w:val="36C2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C6179D"/>
    <w:multiLevelType w:val="multilevel"/>
    <w:tmpl w:val="49D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2"/>
  </w:num>
  <w:num w:numId="6">
    <w:abstractNumId w:val="9"/>
  </w:num>
  <w:num w:numId="7">
    <w:abstractNumId w:val="3"/>
    <w:lvlOverride w:ilvl="0">
      <w:startOverride w:val="544"/>
    </w:lvlOverride>
    <w:lvlOverride w:ilvl="1">
      <w:startOverride w:val="89"/>
    </w:lvlOverride>
  </w:num>
  <w:num w:numId="8">
    <w:abstractNumId w:val="13"/>
  </w:num>
  <w:num w:numId="9">
    <w:abstractNumId w:val="1"/>
  </w:num>
  <w:num w:numId="10">
    <w:abstractNumId w:val="10"/>
  </w:num>
  <w:num w:numId="11">
    <w:abstractNumId w:val="11"/>
  </w:num>
  <w:num w:numId="12">
    <w:abstractNumId w:val="5"/>
  </w:num>
  <w:num w:numId="13">
    <w:abstractNumId w:val="7"/>
  </w:num>
  <w:num w:numId="14">
    <w:abstractNumId w:val="12"/>
  </w:num>
  <w:num w:numId="15">
    <w:abstractNumId w:val="8"/>
  </w:num>
  <w:num w:numId="16">
    <w:abstractNumId w:val="3"/>
  </w:num>
  <w:num w:numId="17">
    <w:abstractNumId w:val="1"/>
  </w:num>
  <w:num w:numId="18">
    <w:abstractNumId w:val="1"/>
  </w:num>
  <w:num w:numId="19">
    <w:abstractNumId w:val="15"/>
  </w:num>
  <w:num w:numId="20">
    <w:abstractNumId w:val="14"/>
  </w:num>
  <w:num w:numId="21">
    <w:abstractNumId w:val="1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F1"/>
    <w:rsid w:val="0000057D"/>
    <w:rsid w:val="000105E2"/>
    <w:rsid w:val="00010A1E"/>
    <w:rsid w:val="00015D4F"/>
    <w:rsid w:val="000166EC"/>
    <w:rsid w:val="00036263"/>
    <w:rsid w:val="0004566D"/>
    <w:rsid w:val="0005004D"/>
    <w:rsid w:val="00060E7F"/>
    <w:rsid w:val="000640A0"/>
    <w:rsid w:val="00064F88"/>
    <w:rsid w:val="0006549A"/>
    <w:rsid w:val="0006642C"/>
    <w:rsid w:val="00066B5B"/>
    <w:rsid w:val="00071A12"/>
    <w:rsid w:val="00074C84"/>
    <w:rsid w:val="0008127B"/>
    <w:rsid w:val="0008572D"/>
    <w:rsid w:val="000878E8"/>
    <w:rsid w:val="000941DD"/>
    <w:rsid w:val="000A11D5"/>
    <w:rsid w:val="000A712C"/>
    <w:rsid w:val="000B3484"/>
    <w:rsid w:val="000B6849"/>
    <w:rsid w:val="000C253B"/>
    <w:rsid w:val="000C6EE2"/>
    <w:rsid w:val="000E0118"/>
    <w:rsid w:val="000E0C3F"/>
    <w:rsid w:val="000E2F83"/>
    <w:rsid w:val="000E52E1"/>
    <w:rsid w:val="000F1306"/>
    <w:rsid w:val="00101141"/>
    <w:rsid w:val="0010196B"/>
    <w:rsid w:val="00113CEB"/>
    <w:rsid w:val="00114E8A"/>
    <w:rsid w:val="00120449"/>
    <w:rsid w:val="0012165B"/>
    <w:rsid w:val="00122913"/>
    <w:rsid w:val="00124F40"/>
    <w:rsid w:val="001310D9"/>
    <w:rsid w:val="001351B0"/>
    <w:rsid w:val="00140ECE"/>
    <w:rsid w:val="00150A52"/>
    <w:rsid w:val="00153CB8"/>
    <w:rsid w:val="00154CC9"/>
    <w:rsid w:val="00156B65"/>
    <w:rsid w:val="001651D9"/>
    <w:rsid w:val="001666EA"/>
    <w:rsid w:val="00186926"/>
    <w:rsid w:val="00191CD4"/>
    <w:rsid w:val="00197176"/>
    <w:rsid w:val="001A3ACE"/>
    <w:rsid w:val="001A6470"/>
    <w:rsid w:val="001B1059"/>
    <w:rsid w:val="001C54C7"/>
    <w:rsid w:val="001E06EC"/>
    <w:rsid w:val="001E155B"/>
    <w:rsid w:val="001E69B5"/>
    <w:rsid w:val="002004C3"/>
    <w:rsid w:val="0020426B"/>
    <w:rsid w:val="00206462"/>
    <w:rsid w:val="00220396"/>
    <w:rsid w:val="0022142A"/>
    <w:rsid w:val="002324B6"/>
    <w:rsid w:val="002403EC"/>
    <w:rsid w:val="00247D79"/>
    <w:rsid w:val="00253849"/>
    <w:rsid w:val="00261814"/>
    <w:rsid w:val="00262F31"/>
    <w:rsid w:val="0026441F"/>
    <w:rsid w:val="00270A79"/>
    <w:rsid w:val="00271371"/>
    <w:rsid w:val="00294D87"/>
    <w:rsid w:val="002B229F"/>
    <w:rsid w:val="002B29C2"/>
    <w:rsid w:val="002B5737"/>
    <w:rsid w:val="002B6E68"/>
    <w:rsid w:val="002C115C"/>
    <w:rsid w:val="002C2B2B"/>
    <w:rsid w:val="002C7153"/>
    <w:rsid w:val="002D4037"/>
    <w:rsid w:val="002D5CE0"/>
    <w:rsid w:val="002D7AB7"/>
    <w:rsid w:val="002E236F"/>
    <w:rsid w:val="002E3C4E"/>
    <w:rsid w:val="002E53CF"/>
    <w:rsid w:val="002E6D11"/>
    <w:rsid w:val="00304F3B"/>
    <w:rsid w:val="00305235"/>
    <w:rsid w:val="0030719C"/>
    <w:rsid w:val="00322542"/>
    <w:rsid w:val="00323893"/>
    <w:rsid w:val="00327F29"/>
    <w:rsid w:val="0033068E"/>
    <w:rsid w:val="00332836"/>
    <w:rsid w:val="00333AB1"/>
    <w:rsid w:val="0035101F"/>
    <w:rsid w:val="00357537"/>
    <w:rsid w:val="00367261"/>
    <w:rsid w:val="00367E1B"/>
    <w:rsid w:val="00376912"/>
    <w:rsid w:val="0038464A"/>
    <w:rsid w:val="003853F6"/>
    <w:rsid w:val="00386158"/>
    <w:rsid w:val="003865AD"/>
    <w:rsid w:val="0039287D"/>
    <w:rsid w:val="00393B22"/>
    <w:rsid w:val="00395138"/>
    <w:rsid w:val="003A14B3"/>
    <w:rsid w:val="003B02C4"/>
    <w:rsid w:val="003B5AB2"/>
    <w:rsid w:val="003D5B41"/>
    <w:rsid w:val="003D6315"/>
    <w:rsid w:val="003D7523"/>
    <w:rsid w:val="003E0618"/>
    <w:rsid w:val="003E0B21"/>
    <w:rsid w:val="003E0DF0"/>
    <w:rsid w:val="003E5AC2"/>
    <w:rsid w:val="003F4487"/>
    <w:rsid w:val="003F48CF"/>
    <w:rsid w:val="003F78EE"/>
    <w:rsid w:val="00407BF0"/>
    <w:rsid w:val="004138F9"/>
    <w:rsid w:val="004173EC"/>
    <w:rsid w:val="00420DA6"/>
    <w:rsid w:val="004320CF"/>
    <w:rsid w:val="0043212B"/>
    <w:rsid w:val="00433125"/>
    <w:rsid w:val="004359CD"/>
    <w:rsid w:val="004401A8"/>
    <w:rsid w:val="00444A98"/>
    <w:rsid w:val="004479AD"/>
    <w:rsid w:val="00450000"/>
    <w:rsid w:val="00456597"/>
    <w:rsid w:val="00473544"/>
    <w:rsid w:val="0048033F"/>
    <w:rsid w:val="004820DC"/>
    <w:rsid w:val="004825AC"/>
    <w:rsid w:val="0048384B"/>
    <w:rsid w:val="004A262B"/>
    <w:rsid w:val="004B3077"/>
    <w:rsid w:val="004C1E1E"/>
    <w:rsid w:val="004C2D78"/>
    <w:rsid w:val="004C5831"/>
    <w:rsid w:val="004C5EF6"/>
    <w:rsid w:val="004D7636"/>
    <w:rsid w:val="004D78F0"/>
    <w:rsid w:val="004E0892"/>
    <w:rsid w:val="004E2BFE"/>
    <w:rsid w:val="005057ED"/>
    <w:rsid w:val="00511032"/>
    <w:rsid w:val="005135D7"/>
    <w:rsid w:val="0051497D"/>
    <w:rsid w:val="00517298"/>
    <w:rsid w:val="00527713"/>
    <w:rsid w:val="00533433"/>
    <w:rsid w:val="00534BE3"/>
    <w:rsid w:val="005418DF"/>
    <w:rsid w:val="00542B73"/>
    <w:rsid w:val="0055292C"/>
    <w:rsid w:val="00553263"/>
    <w:rsid w:val="00553319"/>
    <w:rsid w:val="0055493B"/>
    <w:rsid w:val="00560F84"/>
    <w:rsid w:val="005633F6"/>
    <w:rsid w:val="0056359E"/>
    <w:rsid w:val="00563D9C"/>
    <w:rsid w:val="00567085"/>
    <w:rsid w:val="005676D8"/>
    <w:rsid w:val="0057582B"/>
    <w:rsid w:val="00575D50"/>
    <w:rsid w:val="0057785A"/>
    <w:rsid w:val="005821B3"/>
    <w:rsid w:val="005863ED"/>
    <w:rsid w:val="00590F44"/>
    <w:rsid w:val="005A019F"/>
    <w:rsid w:val="005C2DF9"/>
    <w:rsid w:val="005C7BF0"/>
    <w:rsid w:val="005D189D"/>
    <w:rsid w:val="005D2F29"/>
    <w:rsid w:val="005F04E3"/>
    <w:rsid w:val="005F4CA3"/>
    <w:rsid w:val="00600BF9"/>
    <w:rsid w:val="00601DF8"/>
    <w:rsid w:val="00605D11"/>
    <w:rsid w:val="00610D77"/>
    <w:rsid w:val="00614E30"/>
    <w:rsid w:val="006256DC"/>
    <w:rsid w:val="00640137"/>
    <w:rsid w:val="00641521"/>
    <w:rsid w:val="00647C13"/>
    <w:rsid w:val="00647C46"/>
    <w:rsid w:val="00670399"/>
    <w:rsid w:val="0067714B"/>
    <w:rsid w:val="0068015B"/>
    <w:rsid w:val="00690D98"/>
    <w:rsid w:val="00691441"/>
    <w:rsid w:val="00691F25"/>
    <w:rsid w:val="006925B9"/>
    <w:rsid w:val="0069471F"/>
    <w:rsid w:val="00697814"/>
    <w:rsid w:val="006A5B8F"/>
    <w:rsid w:val="006C23EB"/>
    <w:rsid w:val="006C2B99"/>
    <w:rsid w:val="006C4863"/>
    <w:rsid w:val="006C4BCA"/>
    <w:rsid w:val="006C69F4"/>
    <w:rsid w:val="006D0C2E"/>
    <w:rsid w:val="006D22E2"/>
    <w:rsid w:val="006D4A79"/>
    <w:rsid w:val="006E1CE9"/>
    <w:rsid w:val="006E3B5A"/>
    <w:rsid w:val="006E42A2"/>
    <w:rsid w:val="006E5F14"/>
    <w:rsid w:val="006F25CC"/>
    <w:rsid w:val="006F7797"/>
    <w:rsid w:val="00703D79"/>
    <w:rsid w:val="007112EB"/>
    <w:rsid w:val="007146AD"/>
    <w:rsid w:val="00720A31"/>
    <w:rsid w:val="007304D3"/>
    <w:rsid w:val="00732C98"/>
    <w:rsid w:val="00733B13"/>
    <w:rsid w:val="00733FE7"/>
    <w:rsid w:val="00735EDF"/>
    <w:rsid w:val="007437CB"/>
    <w:rsid w:val="00746D07"/>
    <w:rsid w:val="0075121F"/>
    <w:rsid w:val="007745F0"/>
    <w:rsid w:val="00776571"/>
    <w:rsid w:val="007770C9"/>
    <w:rsid w:val="0078135B"/>
    <w:rsid w:val="00783F15"/>
    <w:rsid w:val="007970C9"/>
    <w:rsid w:val="007A25B9"/>
    <w:rsid w:val="007A2DCC"/>
    <w:rsid w:val="007A5503"/>
    <w:rsid w:val="007B6A67"/>
    <w:rsid w:val="007C01B6"/>
    <w:rsid w:val="007C31ED"/>
    <w:rsid w:val="007C391A"/>
    <w:rsid w:val="007C72C6"/>
    <w:rsid w:val="007D0E58"/>
    <w:rsid w:val="007D7650"/>
    <w:rsid w:val="007E2508"/>
    <w:rsid w:val="007E3287"/>
    <w:rsid w:val="00805ABB"/>
    <w:rsid w:val="00812BF8"/>
    <w:rsid w:val="00813650"/>
    <w:rsid w:val="008163DB"/>
    <w:rsid w:val="0082251B"/>
    <w:rsid w:val="00830D4A"/>
    <w:rsid w:val="00847254"/>
    <w:rsid w:val="00847A10"/>
    <w:rsid w:val="00864B4B"/>
    <w:rsid w:val="00870DB0"/>
    <w:rsid w:val="00873937"/>
    <w:rsid w:val="008751CA"/>
    <w:rsid w:val="00883500"/>
    <w:rsid w:val="00893DB7"/>
    <w:rsid w:val="00894562"/>
    <w:rsid w:val="00894CCD"/>
    <w:rsid w:val="008957EA"/>
    <w:rsid w:val="0089733E"/>
    <w:rsid w:val="008A429E"/>
    <w:rsid w:val="008B0C6D"/>
    <w:rsid w:val="008B7880"/>
    <w:rsid w:val="008C0E36"/>
    <w:rsid w:val="008C3B39"/>
    <w:rsid w:val="008C76A8"/>
    <w:rsid w:val="008E25EA"/>
    <w:rsid w:val="008E3A32"/>
    <w:rsid w:val="008F3683"/>
    <w:rsid w:val="009076BD"/>
    <w:rsid w:val="009120FE"/>
    <w:rsid w:val="00912AE0"/>
    <w:rsid w:val="00923B34"/>
    <w:rsid w:val="00925695"/>
    <w:rsid w:val="00926BBA"/>
    <w:rsid w:val="009276F0"/>
    <w:rsid w:val="00932E99"/>
    <w:rsid w:val="009418FE"/>
    <w:rsid w:val="00945E5A"/>
    <w:rsid w:val="00947EDA"/>
    <w:rsid w:val="00960729"/>
    <w:rsid w:val="00961277"/>
    <w:rsid w:val="00961447"/>
    <w:rsid w:val="0097118C"/>
    <w:rsid w:val="00971BDF"/>
    <w:rsid w:val="009834A9"/>
    <w:rsid w:val="0098758F"/>
    <w:rsid w:val="009876DD"/>
    <w:rsid w:val="00991651"/>
    <w:rsid w:val="009934CD"/>
    <w:rsid w:val="00995892"/>
    <w:rsid w:val="009A016C"/>
    <w:rsid w:val="009A463C"/>
    <w:rsid w:val="009A5C2E"/>
    <w:rsid w:val="009A5ED2"/>
    <w:rsid w:val="009A7122"/>
    <w:rsid w:val="009B1AB8"/>
    <w:rsid w:val="009B2579"/>
    <w:rsid w:val="009B38CC"/>
    <w:rsid w:val="009B6098"/>
    <w:rsid w:val="009C5D53"/>
    <w:rsid w:val="009D06C8"/>
    <w:rsid w:val="009D0850"/>
    <w:rsid w:val="009D1F89"/>
    <w:rsid w:val="009D2FED"/>
    <w:rsid w:val="009E274E"/>
    <w:rsid w:val="009E6E3E"/>
    <w:rsid w:val="009F1616"/>
    <w:rsid w:val="009F7BD4"/>
    <w:rsid w:val="00A05AB1"/>
    <w:rsid w:val="00A12DF7"/>
    <w:rsid w:val="00A24983"/>
    <w:rsid w:val="00A27D62"/>
    <w:rsid w:val="00A3529B"/>
    <w:rsid w:val="00A429E3"/>
    <w:rsid w:val="00A44FC9"/>
    <w:rsid w:val="00A541BB"/>
    <w:rsid w:val="00A54FF1"/>
    <w:rsid w:val="00A61F12"/>
    <w:rsid w:val="00A67558"/>
    <w:rsid w:val="00A74E90"/>
    <w:rsid w:val="00A86105"/>
    <w:rsid w:val="00A874E0"/>
    <w:rsid w:val="00A874F0"/>
    <w:rsid w:val="00A87653"/>
    <w:rsid w:val="00A90601"/>
    <w:rsid w:val="00A96835"/>
    <w:rsid w:val="00AA1821"/>
    <w:rsid w:val="00AA1964"/>
    <w:rsid w:val="00AA6446"/>
    <w:rsid w:val="00AB1B2E"/>
    <w:rsid w:val="00AB4A91"/>
    <w:rsid w:val="00AB5324"/>
    <w:rsid w:val="00AB7080"/>
    <w:rsid w:val="00AC2266"/>
    <w:rsid w:val="00AD0F07"/>
    <w:rsid w:val="00AE022F"/>
    <w:rsid w:val="00AF0BB0"/>
    <w:rsid w:val="00AF45AF"/>
    <w:rsid w:val="00B01479"/>
    <w:rsid w:val="00B029B9"/>
    <w:rsid w:val="00B033D2"/>
    <w:rsid w:val="00B040CF"/>
    <w:rsid w:val="00B24BDB"/>
    <w:rsid w:val="00B30E53"/>
    <w:rsid w:val="00B34409"/>
    <w:rsid w:val="00B347BD"/>
    <w:rsid w:val="00B3788F"/>
    <w:rsid w:val="00B41EB9"/>
    <w:rsid w:val="00B45D92"/>
    <w:rsid w:val="00B47D24"/>
    <w:rsid w:val="00B52FAE"/>
    <w:rsid w:val="00B53A4A"/>
    <w:rsid w:val="00B572FF"/>
    <w:rsid w:val="00B62559"/>
    <w:rsid w:val="00B67C7F"/>
    <w:rsid w:val="00B706F2"/>
    <w:rsid w:val="00B72604"/>
    <w:rsid w:val="00B72D56"/>
    <w:rsid w:val="00B762C9"/>
    <w:rsid w:val="00B77FF1"/>
    <w:rsid w:val="00B94CEF"/>
    <w:rsid w:val="00B9641D"/>
    <w:rsid w:val="00BA063D"/>
    <w:rsid w:val="00BA3292"/>
    <w:rsid w:val="00BA7541"/>
    <w:rsid w:val="00BB4DF4"/>
    <w:rsid w:val="00BC0748"/>
    <w:rsid w:val="00BD0CCA"/>
    <w:rsid w:val="00BD68A5"/>
    <w:rsid w:val="00BE1AD4"/>
    <w:rsid w:val="00BE1B62"/>
    <w:rsid w:val="00BE6737"/>
    <w:rsid w:val="00BF646D"/>
    <w:rsid w:val="00C07F66"/>
    <w:rsid w:val="00C11B5B"/>
    <w:rsid w:val="00C21A95"/>
    <w:rsid w:val="00C303C1"/>
    <w:rsid w:val="00C34991"/>
    <w:rsid w:val="00C35B56"/>
    <w:rsid w:val="00C42093"/>
    <w:rsid w:val="00C434F3"/>
    <w:rsid w:val="00C507CE"/>
    <w:rsid w:val="00C54D22"/>
    <w:rsid w:val="00C571F5"/>
    <w:rsid w:val="00C620F8"/>
    <w:rsid w:val="00C63013"/>
    <w:rsid w:val="00C66D07"/>
    <w:rsid w:val="00C66FC4"/>
    <w:rsid w:val="00C704DC"/>
    <w:rsid w:val="00C93876"/>
    <w:rsid w:val="00CA310C"/>
    <w:rsid w:val="00CA60A9"/>
    <w:rsid w:val="00CA68E4"/>
    <w:rsid w:val="00CB0D6E"/>
    <w:rsid w:val="00CB77BC"/>
    <w:rsid w:val="00CC0A10"/>
    <w:rsid w:val="00CD5A81"/>
    <w:rsid w:val="00CD6AEC"/>
    <w:rsid w:val="00CE2AC7"/>
    <w:rsid w:val="00CE33C6"/>
    <w:rsid w:val="00CE4C6C"/>
    <w:rsid w:val="00CE5546"/>
    <w:rsid w:val="00D06EBC"/>
    <w:rsid w:val="00D12643"/>
    <w:rsid w:val="00D17CA1"/>
    <w:rsid w:val="00D20152"/>
    <w:rsid w:val="00D275F4"/>
    <w:rsid w:val="00D4736E"/>
    <w:rsid w:val="00D4750B"/>
    <w:rsid w:val="00D52C0D"/>
    <w:rsid w:val="00D54B33"/>
    <w:rsid w:val="00D5534D"/>
    <w:rsid w:val="00D630FF"/>
    <w:rsid w:val="00D669F5"/>
    <w:rsid w:val="00D66FE8"/>
    <w:rsid w:val="00D756A5"/>
    <w:rsid w:val="00D779BD"/>
    <w:rsid w:val="00D77B05"/>
    <w:rsid w:val="00D802A5"/>
    <w:rsid w:val="00D8138A"/>
    <w:rsid w:val="00D9070D"/>
    <w:rsid w:val="00D974A1"/>
    <w:rsid w:val="00DA08C1"/>
    <w:rsid w:val="00DA7E1A"/>
    <w:rsid w:val="00DB17B7"/>
    <w:rsid w:val="00DB2723"/>
    <w:rsid w:val="00DB5CA2"/>
    <w:rsid w:val="00DC2061"/>
    <w:rsid w:val="00DC2FAD"/>
    <w:rsid w:val="00DC472F"/>
    <w:rsid w:val="00DC50E9"/>
    <w:rsid w:val="00DF688D"/>
    <w:rsid w:val="00E00712"/>
    <w:rsid w:val="00E078BC"/>
    <w:rsid w:val="00E130F6"/>
    <w:rsid w:val="00E27D8E"/>
    <w:rsid w:val="00E36E78"/>
    <w:rsid w:val="00E41160"/>
    <w:rsid w:val="00E53E1B"/>
    <w:rsid w:val="00E6100E"/>
    <w:rsid w:val="00E6177B"/>
    <w:rsid w:val="00E6766B"/>
    <w:rsid w:val="00E9650B"/>
    <w:rsid w:val="00E967AF"/>
    <w:rsid w:val="00EA1638"/>
    <w:rsid w:val="00EB2E25"/>
    <w:rsid w:val="00EB4D24"/>
    <w:rsid w:val="00EB73C6"/>
    <w:rsid w:val="00EC0DDB"/>
    <w:rsid w:val="00EC6A11"/>
    <w:rsid w:val="00EC725D"/>
    <w:rsid w:val="00ED0DF1"/>
    <w:rsid w:val="00ED31AC"/>
    <w:rsid w:val="00ED5E5B"/>
    <w:rsid w:val="00EE0076"/>
    <w:rsid w:val="00EF355B"/>
    <w:rsid w:val="00EF35AB"/>
    <w:rsid w:val="00EF4CB1"/>
    <w:rsid w:val="00EF7928"/>
    <w:rsid w:val="00F013C9"/>
    <w:rsid w:val="00F013D5"/>
    <w:rsid w:val="00F06490"/>
    <w:rsid w:val="00F1124F"/>
    <w:rsid w:val="00F17736"/>
    <w:rsid w:val="00F223BC"/>
    <w:rsid w:val="00F246AF"/>
    <w:rsid w:val="00F3552C"/>
    <w:rsid w:val="00F427E4"/>
    <w:rsid w:val="00F46760"/>
    <w:rsid w:val="00F529C0"/>
    <w:rsid w:val="00F66EF7"/>
    <w:rsid w:val="00F71508"/>
    <w:rsid w:val="00F812AA"/>
    <w:rsid w:val="00F84DBB"/>
    <w:rsid w:val="00F8666A"/>
    <w:rsid w:val="00F9206B"/>
    <w:rsid w:val="00F9446E"/>
    <w:rsid w:val="00F95C7E"/>
    <w:rsid w:val="00F97646"/>
    <w:rsid w:val="00FA21F6"/>
    <w:rsid w:val="00FA7917"/>
    <w:rsid w:val="00FC0D74"/>
    <w:rsid w:val="00FE2B92"/>
    <w:rsid w:val="00FE6236"/>
    <w:rsid w:val="00FE7DA0"/>
    <w:rsid w:val="00FF16A0"/>
    <w:rsid w:val="00FF1A93"/>
    <w:rsid w:val="00FF6B05"/>
    <w:rsid w:val="37D021AA"/>
    <w:rsid w:val="5D36EF90"/>
    <w:rsid w:val="63B161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F332"/>
  <w15:docId w15:val="{A688EEDE-80AF-4D13-AD54-7A1ACBF3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uiPriority w:val="34"/>
    <w:qFormat/>
    <w:rsid w:val="00F06490"/>
    <w:pPr>
      <w:ind w:left="720"/>
      <w:contextualSpacing/>
    </w:pPr>
  </w:style>
  <w:style w:type="paragraph" w:customStyle="1" w:styleId="Default">
    <w:name w:val="Default"/>
    <w:rsid w:val="003306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9070D"/>
    <w:rPr>
      <w:sz w:val="16"/>
      <w:szCs w:val="16"/>
    </w:rPr>
  </w:style>
  <w:style w:type="paragraph" w:styleId="CommentText">
    <w:name w:val="annotation text"/>
    <w:basedOn w:val="Normal"/>
    <w:link w:val="CommentTextChar"/>
    <w:uiPriority w:val="99"/>
    <w:semiHidden/>
    <w:unhideWhenUsed/>
    <w:rsid w:val="00D9070D"/>
    <w:rPr>
      <w:sz w:val="20"/>
      <w:szCs w:val="20"/>
    </w:rPr>
  </w:style>
  <w:style w:type="character" w:customStyle="1" w:styleId="CommentTextChar">
    <w:name w:val="Comment Text Char"/>
    <w:basedOn w:val="DefaultParagraphFont"/>
    <w:link w:val="CommentText"/>
    <w:uiPriority w:val="99"/>
    <w:semiHidden/>
    <w:rsid w:val="00D907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70D"/>
    <w:rPr>
      <w:b/>
      <w:bCs/>
    </w:rPr>
  </w:style>
  <w:style w:type="character" w:customStyle="1" w:styleId="CommentSubjectChar">
    <w:name w:val="Comment Subject Char"/>
    <w:basedOn w:val="CommentTextChar"/>
    <w:link w:val="CommentSubject"/>
    <w:uiPriority w:val="99"/>
    <w:semiHidden/>
    <w:rsid w:val="00D907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070D"/>
    <w:rPr>
      <w:rFonts w:ascii="Tahoma" w:hAnsi="Tahoma" w:cs="Tahoma"/>
      <w:sz w:val="16"/>
      <w:szCs w:val="16"/>
    </w:rPr>
  </w:style>
  <w:style w:type="character" w:customStyle="1" w:styleId="BalloonTextChar">
    <w:name w:val="Balloon Text Char"/>
    <w:basedOn w:val="DefaultParagraphFont"/>
    <w:link w:val="BalloonText"/>
    <w:uiPriority w:val="99"/>
    <w:semiHidden/>
    <w:rsid w:val="00D9070D"/>
    <w:rPr>
      <w:rFonts w:ascii="Tahoma" w:eastAsia="Times New Roman" w:hAnsi="Tahoma" w:cs="Tahoma"/>
      <w:sz w:val="16"/>
      <w:szCs w:val="16"/>
    </w:rPr>
  </w:style>
  <w:style w:type="paragraph" w:customStyle="1" w:styleId="Chapter">
    <w:name w:val="Chapter"/>
    <w:basedOn w:val="Normal"/>
    <w:next w:val="Normal"/>
    <w:rsid w:val="00B72604"/>
    <w:pPr>
      <w:numPr>
        <w:numId w:val="3"/>
      </w:numPr>
      <w:tabs>
        <w:tab w:val="left" w:pos="1440"/>
      </w:tabs>
      <w:spacing w:after="240"/>
      <w:jc w:val="center"/>
    </w:pPr>
    <w:rPr>
      <w:b/>
      <w:smallCaps/>
      <w:szCs w:val="20"/>
      <w:lang w:val="es-ES"/>
    </w:rPr>
  </w:style>
  <w:style w:type="paragraph" w:customStyle="1" w:styleId="Paragraph">
    <w:name w:val="Paragraph"/>
    <w:aliases w:val="p,PARAGRAPH,PG,pa,at,paragraph"/>
    <w:basedOn w:val="BodyTextIndent"/>
    <w:link w:val="ParagraphChar"/>
    <w:qFormat/>
    <w:rsid w:val="00B72604"/>
    <w:pPr>
      <w:numPr>
        <w:ilvl w:val="1"/>
        <w:numId w:val="3"/>
      </w:numPr>
      <w:spacing w:before="120"/>
      <w:jc w:val="both"/>
      <w:outlineLvl w:val="1"/>
    </w:pPr>
    <w:rPr>
      <w:szCs w:val="20"/>
      <w:lang w:val="es-ES"/>
    </w:rPr>
  </w:style>
  <w:style w:type="paragraph" w:customStyle="1" w:styleId="subpar">
    <w:name w:val="subpar"/>
    <w:basedOn w:val="BodyTextIndent3"/>
    <w:rsid w:val="00B72604"/>
    <w:pPr>
      <w:numPr>
        <w:ilvl w:val="2"/>
        <w:numId w:val="3"/>
      </w:numPr>
      <w:tabs>
        <w:tab w:val="clear" w:pos="1152"/>
      </w:tabs>
      <w:spacing w:before="120"/>
      <w:ind w:left="2160" w:hanging="180"/>
      <w:jc w:val="both"/>
      <w:outlineLvl w:val="2"/>
    </w:pPr>
    <w:rPr>
      <w:sz w:val="24"/>
      <w:szCs w:val="20"/>
      <w:lang w:val="es-ES_tradnl"/>
    </w:rPr>
  </w:style>
  <w:style w:type="paragraph" w:customStyle="1" w:styleId="SubSubPar">
    <w:name w:val="SubSubPar"/>
    <w:basedOn w:val="subpar"/>
    <w:rsid w:val="00B72604"/>
    <w:pPr>
      <w:numPr>
        <w:ilvl w:val="3"/>
      </w:numPr>
      <w:tabs>
        <w:tab w:val="clear" w:pos="1584"/>
        <w:tab w:val="left" w:pos="0"/>
      </w:tabs>
      <w:ind w:left="2880" w:hanging="360"/>
    </w:pPr>
  </w:style>
  <w:style w:type="paragraph" w:styleId="FootnoteText">
    <w:name w:val="footnote text"/>
    <w:aliases w:val="fn,texto de nota al pie,Nota a pie/Bibliog,footnote,foottextfra,F,single space,footnote text,Texto de rodapé,nota_rodapé,nota de rodapé,Texto nota pie IIRSA,Texto nota pie Car Car,ft,Footnote Text Char Char,Char,Char Char Char Char"/>
    <w:basedOn w:val="Normal"/>
    <w:link w:val="FootnoteTextChar"/>
    <w:unhideWhenUsed/>
    <w:rsid w:val="00B72604"/>
    <w:rPr>
      <w:rFonts w:asciiTheme="minorHAnsi" w:eastAsiaTheme="minorEastAsia" w:hAnsiTheme="minorHAnsi" w:cstheme="minorBidi"/>
      <w:sz w:val="20"/>
      <w:szCs w:val="20"/>
    </w:rPr>
  </w:style>
  <w:style w:type="character" w:customStyle="1" w:styleId="FootnoteTextChar">
    <w:name w:val="Footnote Text Char"/>
    <w:aliases w:val="fn Char,texto de nota al pie Char,Nota a pie/Bibliog Char,footnote Char,foottextfra Char,F Char,single space Char,footnote text Char,Texto de rodapé Char,nota_rodapé Char,nota de rodapé Char,Texto nota pie IIRSA Char,ft Char,Char Char"/>
    <w:basedOn w:val="DefaultParagraphFont"/>
    <w:link w:val="FootnoteText"/>
    <w:rsid w:val="00B72604"/>
    <w:rPr>
      <w:rFonts w:eastAsiaTheme="minorEastAsia"/>
      <w:sz w:val="20"/>
      <w:szCs w:val="20"/>
    </w:rPr>
  </w:style>
  <w:style w:type="character" w:styleId="FootnoteReference">
    <w:name w:val="footnote reference"/>
    <w:aliases w:val="FC,referencia nota al pie,Ref. de nota al pie.,BVI fnr Char Char Char Char Char Char Char Char,BVI fnr Car Car Char Char Char Char Char Char Char Char,BVI fnr Car Char Char Char Char Char Char Char Char Char,BVI fnr,titulo 2,16 Point"/>
    <w:basedOn w:val="DefaultParagraphFont"/>
    <w:link w:val="BVIfnrCharCharCharCharCharCharChar"/>
    <w:unhideWhenUsed/>
    <w:rsid w:val="00B72604"/>
    <w:rPr>
      <w:vertAlign w:val="superscript"/>
    </w:rPr>
  </w:style>
  <w:style w:type="paragraph" w:styleId="BodyTextIndent">
    <w:name w:val="Body Text Indent"/>
    <w:basedOn w:val="Normal"/>
    <w:link w:val="BodyTextIndentChar"/>
    <w:uiPriority w:val="99"/>
    <w:semiHidden/>
    <w:unhideWhenUsed/>
    <w:rsid w:val="00B72604"/>
    <w:pPr>
      <w:spacing w:after="120"/>
      <w:ind w:left="360"/>
    </w:pPr>
  </w:style>
  <w:style w:type="character" w:customStyle="1" w:styleId="BodyTextIndentChar">
    <w:name w:val="Body Text Indent Char"/>
    <w:basedOn w:val="DefaultParagraphFont"/>
    <w:link w:val="BodyTextIndent"/>
    <w:uiPriority w:val="99"/>
    <w:semiHidden/>
    <w:rsid w:val="00B7260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726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2604"/>
    <w:rPr>
      <w:rFonts w:ascii="Times New Roman" w:eastAsia="Times New Roman" w:hAnsi="Times New Roman" w:cs="Times New Roman"/>
      <w:sz w:val="16"/>
      <w:szCs w:val="16"/>
    </w:rPr>
  </w:style>
  <w:style w:type="character" w:customStyle="1" w:styleId="Heading7Char">
    <w:name w:val="Heading 7 Char"/>
    <w:rsid w:val="006D4A79"/>
    <w:rPr>
      <w:rFonts w:ascii="Arial" w:eastAsia="Times New Roman" w:hAnsi="Arial" w:cs="Times New Roman"/>
      <w:sz w:val="24"/>
      <w:szCs w:val="20"/>
    </w:rPr>
  </w:style>
  <w:style w:type="paragraph" w:customStyle="1" w:styleId="FirstHeading">
    <w:name w:val="FirstHeading"/>
    <w:basedOn w:val="Normal"/>
    <w:rsid w:val="002B6E68"/>
    <w:pPr>
      <w:keepNext/>
      <w:numPr>
        <w:numId w:val="6"/>
      </w:numPr>
      <w:tabs>
        <w:tab w:val="left" w:pos="0"/>
        <w:tab w:val="left" w:pos="86"/>
      </w:tabs>
      <w:spacing w:before="120" w:after="120"/>
    </w:pPr>
    <w:rPr>
      <w:b/>
      <w:lang w:val="es-ES_tradnl"/>
    </w:rPr>
  </w:style>
  <w:style w:type="paragraph" w:customStyle="1" w:styleId="SecHeading">
    <w:name w:val="SecHeading"/>
    <w:basedOn w:val="Normal"/>
    <w:next w:val="Normal"/>
    <w:rsid w:val="002B6E68"/>
    <w:pPr>
      <w:keepNext/>
      <w:numPr>
        <w:ilvl w:val="1"/>
        <w:numId w:val="6"/>
      </w:numPr>
      <w:tabs>
        <w:tab w:val="clear" w:pos="5400"/>
        <w:tab w:val="num" w:pos="1296"/>
      </w:tabs>
      <w:spacing w:before="120" w:after="120"/>
      <w:ind w:left="1296"/>
    </w:pPr>
    <w:rPr>
      <w:b/>
      <w:lang w:val="es-ES_tradnl"/>
    </w:rPr>
  </w:style>
  <w:style w:type="paragraph" w:customStyle="1" w:styleId="SubHeading1">
    <w:name w:val="SubHeading1"/>
    <w:basedOn w:val="SecHeading"/>
    <w:rsid w:val="002B6E68"/>
    <w:pPr>
      <w:numPr>
        <w:ilvl w:val="2"/>
      </w:numPr>
      <w:tabs>
        <w:tab w:val="clear" w:pos="5976"/>
        <w:tab w:val="num" w:pos="1872"/>
      </w:tabs>
      <w:ind w:left="1872"/>
    </w:pPr>
  </w:style>
  <w:style w:type="paragraph" w:customStyle="1" w:styleId="Subheading2">
    <w:name w:val="Subheading2"/>
    <w:basedOn w:val="SecHeading"/>
    <w:rsid w:val="002B6E68"/>
    <w:pPr>
      <w:numPr>
        <w:ilvl w:val="3"/>
      </w:numPr>
      <w:tabs>
        <w:tab w:val="clear" w:pos="6480"/>
        <w:tab w:val="num" w:pos="2376"/>
      </w:tabs>
      <w:ind w:left="2376"/>
    </w:pPr>
  </w:style>
  <w:style w:type="paragraph" w:customStyle="1" w:styleId="BVIfnrCharCharCharCharCharCharChar">
    <w:name w:val="BVI fnr Char Char Char Char Char Char Char"/>
    <w:aliases w:val="BVI fnr Car Car Char Char Char Char Char Char Char,BVI fnr Car Char Char Char Char Char Char Char"/>
    <w:basedOn w:val="Normal"/>
    <w:link w:val="FootnoteReference"/>
    <w:rsid w:val="002B6E68"/>
    <w:pPr>
      <w:spacing w:after="160" w:line="240" w:lineRule="exact"/>
    </w:pPr>
    <w:rPr>
      <w:rFonts w:asciiTheme="minorHAnsi" w:eastAsiaTheme="minorHAnsi" w:hAnsiTheme="minorHAnsi" w:cstheme="minorBidi"/>
      <w:sz w:val="22"/>
      <w:szCs w:val="22"/>
      <w:vertAlign w:val="superscript"/>
    </w:rPr>
  </w:style>
  <w:style w:type="character" w:customStyle="1" w:styleId="ParagraphChar">
    <w:name w:val="Paragraph Char"/>
    <w:link w:val="Paragraph"/>
    <w:locked/>
    <w:rsid w:val="00B47D24"/>
    <w:rPr>
      <w:rFonts w:ascii="Times New Roman" w:eastAsia="Times New Roman" w:hAnsi="Times New Roman" w:cs="Times New Roman"/>
      <w:sz w:val="24"/>
      <w:szCs w:val="20"/>
      <w:lang w:val="es-ES"/>
    </w:rPr>
  </w:style>
  <w:style w:type="paragraph" w:styleId="Header">
    <w:name w:val="header"/>
    <w:basedOn w:val="Normal"/>
    <w:link w:val="HeaderChar"/>
    <w:uiPriority w:val="99"/>
    <w:unhideWhenUsed/>
    <w:rsid w:val="00120449"/>
    <w:pPr>
      <w:tabs>
        <w:tab w:val="center" w:pos="4680"/>
        <w:tab w:val="right" w:pos="9360"/>
      </w:tabs>
    </w:pPr>
  </w:style>
  <w:style w:type="character" w:customStyle="1" w:styleId="HeaderChar">
    <w:name w:val="Header Char"/>
    <w:basedOn w:val="DefaultParagraphFont"/>
    <w:link w:val="Header"/>
    <w:uiPriority w:val="99"/>
    <w:rsid w:val="001204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0449"/>
    <w:pPr>
      <w:tabs>
        <w:tab w:val="center" w:pos="4680"/>
        <w:tab w:val="right" w:pos="9360"/>
      </w:tabs>
    </w:pPr>
  </w:style>
  <w:style w:type="character" w:customStyle="1" w:styleId="FooterChar">
    <w:name w:val="Footer Char"/>
    <w:basedOn w:val="DefaultParagraphFont"/>
    <w:link w:val="Footer"/>
    <w:uiPriority w:val="99"/>
    <w:rsid w:val="00120449"/>
    <w:rPr>
      <w:rFonts w:ascii="Times New Roman" w:eastAsia="Times New Roman" w:hAnsi="Times New Roman" w:cs="Times New Roman"/>
      <w:sz w:val="24"/>
      <w:szCs w:val="24"/>
    </w:rPr>
  </w:style>
  <w:style w:type="paragraph" w:styleId="BodyText">
    <w:name w:val="Body Text"/>
    <w:aliases w:val="Body Text Char Char Char Char Char,Body Text Char Char Char Char,Body Text Char Char Char,Body Text Char Char,1body,BodText,bt,body text,Body Txt,heading3,3 indent,heading31,body text1,3 indent1,heading32,body text2,3 indent2,b"/>
    <w:basedOn w:val="Normal"/>
    <w:link w:val="BodyTextChar1"/>
    <w:rsid w:val="00534BE3"/>
    <w:pPr>
      <w:spacing w:after="120"/>
      <w:jc w:val="both"/>
    </w:pPr>
    <w:rPr>
      <w:rFonts w:ascii="Garamond" w:hAnsi="Garamond"/>
      <w:lang w:eastAsia="en-NZ"/>
    </w:rPr>
  </w:style>
  <w:style w:type="character" w:customStyle="1" w:styleId="BodyTextChar">
    <w:name w:val="Body Text Char"/>
    <w:basedOn w:val="DefaultParagraphFont"/>
    <w:uiPriority w:val="99"/>
    <w:semiHidden/>
    <w:rsid w:val="00534BE3"/>
    <w:rPr>
      <w:rFonts w:ascii="Times New Roman" w:eastAsia="Times New Roman" w:hAnsi="Times New Roman" w:cs="Times New Roman"/>
      <w:sz w:val="24"/>
      <w:szCs w:val="24"/>
    </w:rPr>
  </w:style>
  <w:style w:type="paragraph" w:styleId="ListBullet">
    <w:name w:val="List Bullet"/>
    <w:basedOn w:val="BodyText"/>
    <w:rsid w:val="00534BE3"/>
    <w:pPr>
      <w:numPr>
        <w:numId w:val="9"/>
      </w:numPr>
    </w:pPr>
  </w:style>
  <w:style w:type="paragraph" w:styleId="ListBullet2">
    <w:name w:val="List Bullet 2"/>
    <w:basedOn w:val="BodyText"/>
    <w:rsid w:val="00534BE3"/>
    <w:pPr>
      <w:numPr>
        <w:ilvl w:val="1"/>
        <w:numId w:val="9"/>
      </w:numPr>
      <w:tabs>
        <w:tab w:val="clear" w:pos="1273"/>
        <w:tab w:val="num" w:pos="1287"/>
        <w:tab w:val="num" w:pos="2736"/>
      </w:tabs>
      <w:ind w:left="1287" w:hanging="1296"/>
    </w:pPr>
  </w:style>
  <w:style w:type="paragraph" w:styleId="ListBullet3">
    <w:name w:val="List Bullet 3"/>
    <w:basedOn w:val="BodyText"/>
    <w:rsid w:val="00534BE3"/>
    <w:pPr>
      <w:numPr>
        <w:ilvl w:val="2"/>
        <w:numId w:val="9"/>
      </w:numPr>
      <w:tabs>
        <w:tab w:val="clear" w:pos="1571"/>
        <w:tab w:val="num" w:pos="2592"/>
      </w:tabs>
      <w:ind w:left="2592" w:hanging="432"/>
    </w:pPr>
  </w:style>
  <w:style w:type="paragraph" w:styleId="ListBullet4">
    <w:name w:val="List Bullet 4"/>
    <w:basedOn w:val="BodyText"/>
    <w:rsid w:val="00534BE3"/>
    <w:pPr>
      <w:numPr>
        <w:ilvl w:val="3"/>
        <w:numId w:val="9"/>
      </w:numPr>
      <w:ind w:left="2304" w:hanging="864"/>
    </w:pPr>
  </w:style>
  <w:style w:type="paragraph" w:customStyle="1" w:styleId="BoxBullet1">
    <w:name w:val="Box Bullet 1"/>
    <w:basedOn w:val="Normal"/>
    <w:rsid w:val="00534BE3"/>
    <w:pPr>
      <w:numPr>
        <w:numId w:val="8"/>
      </w:numPr>
      <w:spacing w:before="30" w:after="30"/>
      <w:jc w:val="both"/>
    </w:pPr>
    <w:rPr>
      <w:rFonts w:ascii="Garamond" w:hAnsi="Garamond"/>
      <w:sz w:val="22"/>
      <w:lang w:eastAsia="en-NZ"/>
    </w:rPr>
  </w:style>
  <w:style w:type="paragraph" w:customStyle="1" w:styleId="BoxBullet2">
    <w:name w:val="Box Bullet 2"/>
    <w:basedOn w:val="Normal"/>
    <w:rsid w:val="00534BE3"/>
    <w:pPr>
      <w:numPr>
        <w:ilvl w:val="1"/>
        <w:numId w:val="8"/>
      </w:numPr>
      <w:spacing w:before="30" w:after="30"/>
      <w:jc w:val="both"/>
    </w:pPr>
    <w:rPr>
      <w:rFonts w:ascii="Garamond" w:hAnsi="Garamond"/>
      <w:sz w:val="22"/>
      <w:lang w:eastAsia="en-NZ"/>
    </w:rPr>
  </w:style>
  <w:style w:type="character" w:customStyle="1" w:styleId="BodyTextChar1">
    <w:name w:val="Body Text Char1"/>
    <w:aliases w:val="Body Text Char Char Char Char Char Char,Body Text Char Char Char Char Char1,Body Text Char Char Char Char1,Body Text Char Char Char1,1body Char,BodText Char,bt Char,body text Char,Body Txt Char,heading3 Char,3 indent Char,heading31 Char"/>
    <w:basedOn w:val="DefaultParagraphFont"/>
    <w:link w:val="BodyText"/>
    <w:rsid w:val="00534BE3"/>
    <w:rPr>
      <w:rFonts w:ascii="Garamond" w:eastAsia="Times New Roman" w:hAnsi="Garamond" w:cs="Times New Roman"/>
      <w:sz w:val="24"/>
      <w:szCs w:val="24"/>
      <w:lang w:eastAsia="en-NZ"/>
    </w:rPr>
  </w:style>
  <w:style w:type="paragraph" w:customStyle="1" w:styleId="CFIJAENB">
    <w:name w:val="( C )  FIJA EN &quot;B&quot;"/>
    <w:basedOn w:val="Normal"/>
    <w:rsid w:val="00262F31"/>
    <w:pPr>
      <w:ind w:left="703"/>
      <w:jc w:val="both"/>
    </w:pPr>
    <w:rPr>
      <w:rFonts w:ascii="Arial" w:hAnsi="Arial"/>
      <w:sz w:val="20"/>
      <w:szCs w:val="20"/>
      <w:lang w:val="es-ES_tradnl" w:eastAsia="es-ES"/>
    </w:rPr>
  </w:style>
  <w:style w:type="paragraph" w:customStyle="1" w:styleId="BoxNumberedText">
    <w:name w:val="Box Numbered Text"/>
    <w:basedOn w:val="Normal"/>
    <w:rsid w:val="005A019F"/>
    <w:pPr>
      <w:numPr>
        <w:numId w:val="12"/>
      </w:numPr>
      <w:spacing w:before="30" w:after="30"/>
      <w:jc w:val="both"/>
    </w:pPr>
    <w:rPr>
      <w:rFonts w:ascii="Garamond" w:hAnsi="Garamond"/>
      <w:sz w:val="22"/>
      <w:lang w:eastAsia="en-NZ"/>
    </w:rPr>
  </w:style>
  <w:style w:type="paragraph" w:styleId="Title">
    <w:name w:val="Title"/>
    <w:basedOn w:val="Normal"/>
    <w:next w:val="Normal"/>
    <w:link w:val="TitleChar"/>
    <w:uiPriority w:val="10"/>
    <w:qFormat/>
    <w:rsid w:val="00304F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F3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052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5822">
      <w:bodyDiv w:val="1"/>
      <w:marLeft w:val="0"/>
      <w:marRight w:val="0"/>
      <w:marTop w:val="0"/>
      <w:marBottom w:val="0"/>
      <w:divBdr>
        <w:top w:val="none" w:sz="0" w:space="0" w:color="auto"/>
        <w:left w:val="none" w:sz="0" w:space="0" w:color="auto"/>
        <w:bottom w:val="none" w:sz="0" w:space="0" w:color="auto"/>
        <w:right w:val="none" w:sz="0" w:space="0" w:color="auto"/>
      </w:divBdr>
    </w:div>
    <w:div w:id="628782369">
      <w:bodyDiv w:val="1"/>
      <w:marLeft w:val="0"/>
      <w:marRight w:val="0"/>
      <w:marTop w:val="0"/>
      <w:marBottom w:val="0"/>
      <w:divBdr>
        <w:top w:val="none" w:sz="0" w:space="0" w:color="auto"/>
        <w:left w:val="none" w:sz="0" w:space="0" w:color="auto"/>
        <w:bottom w:val="none" w:sz="0" w:space="0" w:color="auto"/>
        <w:right w:val="none" w:sz="0" w:space="0" w:color="auto"/>
      </w:divBdr>
    </w:div>
    <w:div w:id="781189305">
      <w:bodyDiv w:val="1"/>
      <w:marLeft w:val="0"/>
      <w:marRight w:val="0"/>
      <w:marTop w:val="0"/>
      <w:marBottom w:val="0"/>
      <w:divBdr>
        <w:top w:val="none" w:sz="0" w:space="0" w:color="auto"/>
        <w:left w:val="none" w:sz="0" w:space="0" w:color="auto"/>
        <w:bottom w:val="none" w:sz="0" w:space="0" w:color="auto"/>
        <w:right w:val="none" w:sz="0" w:space="0" w:color="auto"/>
      </w:divBdr>
    </w:div>
    <w:div w:id="1085344569">
      <w:bodyDiv w:val="1"/>
      <w:marLeft w:val="0"/>
      <w:marRight w:val="0"/>
      <w:marTop w:val="0"/>
      <w:marBottom w:val="0"/>
      <w:divBdr>
        <w:top w:val="none" w:sz="0" w:space="0" w:color="auto"/>
        <w:left w:val="none" w:sz="0" w:space="0" w:color="auto"/>
        <w:bottom w:val="none" w:sz="0" w:space="0" w:color="auto"/>
        <w:right w:val="none" w:sz="0" w:space="0" w:color="auto"/>
      </w:divBdr>
    </w:div>
    <w:div w:id="11767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IDBDocs_x0020_Number xmlns="cdc7663a-08f0-4737-9e8c-148ce897a09c" xsi:nil="true"/>
    <Division_x0020_or_x0020_Unit xmlns="cdc7663a-08f0-4737-9e8c-148ce897a09c">INE/WSA</Division_x0020_or_x0020_Unit>
    <From_x003a_ xmlns="cdc7663a-08f0-4737-9e8c-148ce897a09c" xsi:nil="true"/>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Lopez, Liliana M.</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RURAL AND PERI-URBAN</TermName>
          <TermId xmlns="http://schemas.microsoft.com/office/infopath/2007/PartnerControls">8436ee66-009e-4204-be28-64e6f6bf19fc</TermId>
        </TermInfo>
      </Terms>
    </b2ec7cfb18674cb8803df6b262e8b107>
    <Business_x0020_Area xmlns="cdc7663a-08f0-4737-9e8c-148ce897a09c" xsi:nil="true"/>
    <Key_x0020_Document xmlns="cdc7663a-08f0-4737-9e8c-148ce897a09c">false</Key_x0020_Document>
    <Document_x0020_Language_x0020_IDB xmlns="cdc7663a-08f0-4737-9e8c-148ce897a09c" xsi:nil="true"/>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BLD</TermName>
          <TermId xmlns="http://schemas.microsoft.com/office/infopath/2007/PartnerControls">60acb4c1-0ef3-40ba-9d70-f741cd9e6c23</TermId>
        </TermInfo>
      </Terms>
    </g511464f9e53401d84b16fa9b379a574>
    <TaxCatchAll xmlns="cdc7663a-08f0-4737-9e8c-148ce897a09c">
      <Value>26</Value>
      <Value>39</Value>
      <Value>29</Value>
      <Value>1</Value>
      <Value>49</Value>
    </TaxCatchAll>
    <Operation_x0020_Type xmlns="cdc7663a-08f0-4737-9e8c-148ce897a09c" xsi:nil="true"/>
    <Package_x0020_Code xmlns="cdc7663a-08f0-4737-9e8c-148ce897a09c" xsi:nil="true"/>
    <To_x003a_ xmlns="cdc7663a-08f0-4737-9e8c-148ce897a09c" xsi:nil="true"/>
    <Identifier xmlns="cdc7663a-08f0-4737-9e8c-148ce897a09c" xsi:nil="true"/>
    <Project_x0020_Number xmlns="cdc7663a-08f0-4737-9e8c-148ce897a09c">BO-L1184;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R0001217350</Record_x0020_Number>
    <_dlc_DocId xmlns="cdc7663a-08f0-4737-9e8c-148ce897a09c">EZSHARE-1404194580-11</_dlc_DocId>
    <_dlc_DocIdUrl xmlns="cdc7663a-08f0-4737-9e8c-148ce897a09c">
      <Url>https://idbg.sharepoint.com/teams/EZ-BO-LON/BO-L1184/_layouts/15/DocIdRedir.aspx?ID=EZSHARE-1404194580-11</Url>
      <Description>EZSHARE-1404194580-11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21837E4EBFB19F488D8E7F852E6AA0E3" ma:contentTypeVersion="22" ma:contentTypeDescription="The base project type from which other project content types inherit their information." ma:contentTypeScope="" ma:versionID="0680fd1a0a744731cacad48b2f10a81f">
  <xsd:schema xmlns:xsd="http://www.w3.org/2001/XMLSchema" xmlns:xs="http://www.w3.org/2001/XMLSchema" xmlns:p="http://schemas.microsoft.com/office/2006/metadata/properties" xmlns:ns2="cdc7663a-08f0-4737-9e8c-148ce897a09c" targetNamespace="http://schemas.microsoft.com/office/2006/metadata/properties" ma:root="true" ma:fieldsID="7f6d097056863eafd10722b12e009f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5C16-9A06-4099-937A-46893385CC27}">
  <ds:schemaRefs>
    <ds:schemaRef ds:uri="http://schemas.microsoft.com/sharepoint/v3/contenttype/forms"/>
  </ds:schemaRefs>
</ds:datastoreItem>
</file>

<file path=customXml/itemProps2.xml><?xml version="1.0" encoding="utf-8"?>
<ds:datastoreItem xmlns:ds="http://schemas.openxmlformats.org/officeDocument/2006/customXml" ds:itemID="{163DCA1E-F055-4C62-85FC-05F76589C80B}">
  <ds:schemaRefs>
    <ds:schemaRef ds:uri="http://schemas.microsoft.com/sharepoint/events"/>
  </ds:schemaRefs>
</ds:datastoreItem>
</file>

<file path=customXml/itemProps3.xml><?xml version="1.0" encoding="utf-8"?>
<ds:datastoreItem xmlns:ds="http://schemas.openxmlformats.org/officeDocument/2006/customXml" ds:itemID="{9F343C37-3ED7-41D6-A4FC-B6B8BD28C73C}">
  <ds:schemaRefs>
    <ds:schemaRef ds:uri="Microsoft.SharePoint.Taxonomy.ContentTypeSync"/>
  </ds:schemaRefs>
</ds:datastoreItem>
</file>

<file path=customXml/itemProps4.xml><?xml version="1.0" encoding="utf-8"?>
<ds:datastoreItem xmlns:ds="http://schemas.openxmlformats.org/officeDocument/2006/customXml" ds:itemID="{75B0664C-CD82-41B6-9735-D27AB8427158}">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2879CE79-813E-42C8-8155-4CA68DC6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5329CF-4486-40D3-A96B-A9659A46E19E}">
  <ds:schemaRefs>
    <ds:schemaRef ds:uri="http://schemas.microsoft.com/sharepoint/v3/contenttype/forms/url"/>
  </ds:schemaRefs>
</ds:datastoreItem>
</file>

<file path=customXml/itemProps7.xml><?xml version="1.0" encoding="utf-8"?>
<ds:datastoreItem xmlns:ds="http://schemas.openxmlformats.org/officeDocument/2006/customXml" ds:itemID="{FAB7B7A4-AE98-404A-9C2F-43815BC3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keywords/>
  <cp:lastModifiedBy>Galaz, Yolanda</cp:lastModifiedBy>
  <cp:revision>2</cp:revision>
  <cp:lastPrinted>2015-05-19T15:05:00Z</cp:lastPrinted>
  <dcterms:created xsi:type="dcterms:W3CDTF">2017-10-15T15:59:00Z</dcterms:created>
  <dcterms:modified xsi:type="dcterms:W3CDTF">2017-10-15T15:59:00Z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0x010100ACF722E9F6B0B149B0CD8BE2560A66720021837E4EBFB19F488D8E7F852E6AA0E3</vt:lpwstr>
  </property>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49;#WATER SUPPLY RURAL AND PERI-URBAN|8436ee66-009e-4204-be28-64e6f6bf19fc</vt:lpwstr>
  </property>
  <property fmtid="{D5CDD505-2E9C-101B-9397-08002B2CF9AE}" pid="7" name="Fund IDB">
    <vt:lpwstr>29;#BLD|60acb4c1-0ef3-40ba-9d70-f741cd9e6c23</vt:lpwstr>
  </property>
  <property fmtid="{D5CDD505-2E9C-101B-9397-08002B2CF9AE}" pid="8" name="Country">
    <vt:lpwstr>26;#Bolivia|6445a937-aea4-4907-9f24-bff96a7c61c8</vt:lpwstr>
  </property>
  <property fmtid="{D5CDD505-2E9C-101B-9397-08002B2CF9AE}" pid="9" name="Sector IDB">
    <vt:lpwstr>39;#WATER AND SANITATION|ba6b63cd-e402-47cb-9357-08149f7ce046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d9314881-01d9-4c24-89e8-9177f95f04c8</vt:lpwstr>
  </property>
</Properties>
</file>