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5193F" w14:textId="77777777" w:rsidR="00BF787B" w:rsidRPr="009C4FD0" w:rsidRDefault="00BF787B" w:rsidP="00BF787B">
      <w:pPr>
        <w:tabs>
          <w:tab w:val="left" w:pos="1440"/>
          <w:tab w:val="left" w:pos="3060"/>
        </w:tabs>
        <w:jc w:val="center"/>
        <w:rPr>
          <w:rFonts w:ascii="Arial" w:hAnsi="Arial" w:cs="Arial"/>
          <w:smallCaps/>
          <w:sz w:val="22"/>
          <w:szCs w:val="22"/>
        </w:rPr>
      </w:pPr>
      <w:r w:rsidRPr="009C4FD0">
        <w:rPr>
          <w:rFonts w:ascii="Arial" w:hAnsi="Arial" w:cs="Arial"/>
          <w:b/>
          <w:smallCaps/>
          <w:sz w:val="22"/>
          <w:szCs w:val="22"/>
        </w:rPr>
        <w:t>ARGENTINA</w:t>
      </w:r>
    </w:p>
    <w:p w14:paraId="6E666F63" w14:textId="77777777" w:rsidR="00BF787B" w:rsidRPr="00F933F6" w:rsidRDefault="00BF787B" w:rsidP="00BF787B">
      <w:pPr>
        <w:pStyle w:val="Newpage"/>
        <w:rPr>
          <w:rFonts w:ascii="Arial" w:hAnsi="Arial" w:cs="Arial"/>
          <w:b w:val="0"/>
          <w:caps/>
          <w:smallCaps w:val="0"/>
          <w:sz w:val="22"/>
          <w:szCs w:val="22"/>
        </w:rPr>
      </w:pPr>
      <w:r w:rsidRPr="00F933F6">
        <w:rPr>
          <w:rFonts w:ascii="Arial" w:hAnsi="Arial" w:cs="Arial"/>
          <w:sz w:val="22"/>
          <w:szCs w:val="22"/>
        </w:rPr>
        <w:t>Programa de Agua Potable y Saneamiento para el Área Metropolitana de la Ciudad de Buenos Aires y los partidos del primer, segundo y tercer cordón del Conurbano Bonaerense</w:t>
      </w:r>
    </w:p>
    <w:p w14:paraId="6ACC1037" w14:textId="77777777" w:rsidR="00BF787B" w:rsidRPr="00281AB1" w:rsidRDefault="00BF787B" w:rsidP="00BF787B">
      <w:pPr>
        <w:tabs>
          <w:tab w:val="left" w:pos="1440"/>
          <w:tab w:val="left" w:pos="3060"/>
        </w:tabs>
        <w:jc w:val="center"/>
        <w:rPr>
          <w:rFonts w:ascii="Arial" w:hAnsi="Arial" w:cs="Arial"/>
          <w:smallCaps/>
          <w:sz w:val="22"/>
          <w:szCs w:val="22"/>
        </w:rPr>
      </w:pPr>
    </w:p>
    <w:p w14:paraId="3196F382" w14:textId="77777777" w:rsidR="00BF787B" w:rsidRPr="00F933F6" w:rsidRDefault="00BF787B" w:rsidP="00BF787B">
      <w:pPr>
        <w:tabs>
          <w:tab w:val="left" w:pos="1440"/>
          <w:tab w:val="left" w:pos="3060"/>
        </w:tabs>
        <w:jc w:val="center"/>
        <w:rPr>
          <w:rFonts w:ascii="Arial" w:hAnsi="Arial" w:cs="Arial"/>
          <w:smallCaps/>
          <w:sz w:val="22"/>
          <w:szCs w:val="22"/>
          <w:lang w:val="es-ES_tradnl"/>
        </w:rPr>
      </w:pPr>
      <w:r w:rsidRPr="00455CEC">
        <w:rPr>
          <w:rFonts w:ascii="Arial" w:hAnsi="Arial" w:cs="Arial"/>
          <w:b/>
          <w:smallCaps/>
          <w:sz w:val="22"/>
          <w:szCs w:val="22"/>
        </w:rPr>
        <w:t>línea De Crédito Condicional Para Proyectos De Inversión (Cclip)</w:t>
      </w:r>
    </w:p>
    <w:p w14:paraId="0708A0DD" w14:textId="77777777" w:rsidR="00BF787B" w:rsidRPr="000D2AF9" w:rsidRDefault="00BF787B" w:rsidP="00BF787B">
      <w:pPr>
        <w:tabs>
          <w:tab w:val="left" w:pos="1440"/>
          <w:tab w:val="left" w:pos="3060"/>
        </w:tabs>
        <w:jc w:val="center"/>
        <w:rPr>
          <w:rFonts w:ascii="Arial" w:hAnsi="Arial" w:cs="Arial"/>
          <w:smallCaps/>
          <w:sz w:val="22"/>
          <w:szCs w:val="22"/>
          <w:lang w:val="pt-BR"/>
        </w:rPr>
      </w:pPr>
      <w:r w:rsidRPr="000D2AF9">
        <w:rPr>
          <w:rFonts w:ascii="Arial" w:hAnsi="Arial" w:cs="Arial"/>
          <w:smallCaps/>
          <w:sz w:val="22"/>
          <w:szCs w:val="22"/>
          <w:lang w:val="pt-BR"/>
        </w:rPr>
        <w:t>(</w:t>
      </w:r>
      <w:r w:rsidRPr="00455CEC">
        <w:rPr>
          <w:rFonts w:ascii="Arial" w:hAnsi="Arial" w:cs="Arial"/>
          <w:b/>
          <w:smallCaps/>
          <w:sz w:val="22"/>
          <w:szCs w:val="22"/>
          <w:lang w:val="pt-BR"/>
        </w:rPr>
        <w:t>Ar-O0004</w:t>
      </w:r>
      <w:r w:rsidRPr="000D2AF9">
        <w:rPr>
          <w:rFonts w:ascii="Arial" w:hAnsi="Arial" w:cs="Arial"/>
          <w:smallCaps/>
          <w:sz w:val="22"/>
          <w:szCs w:val="22"/>
          <w:lang w:val="pt-BR"/>
        </w:rPr>
        <w:t>)</w:t>
      </w:r>
    </w:p>
    <w:p w14:paraId="71100191" w14:textId="77777777" w:rsidR="00BF787B" w:rsidRPr="000D2AF9" w:rsidRDefault="00BF787B" w:rsidP="00BF787B">
      <w:pPr>
        <w:tabs>
          <w:tab w:val="left" w:pos="1440"/>
          <w:tab w:val="left" w:pos="3060"/>
        </w:tabs>
        <w:jc w:val="center"/>
        <w:rPr>
          <w:rFonts w:ascii="Arial" w:hAnsi="Arial" w:cs="Arial"/>
          <w:smallCaps/>
          <w:sz w:val="22"/>
          <w:szCs w:val="22"/>
          <w:lang w:val="pt-BR"/>
        </w:rPr>
      </w:pPr>
    </w:p>
    <w:p w14:paraId="0E191C3A" w14:textId="77777777" w:rsidR="00BF787B" w:rsidRPr="00455CEC" w:rsidRDefault="00BF787B" w:rsidP="00BF787B">
      <w:pPr>
        <w:tabs>
          <w:tab w:val="left" w:pos="1440"/>
          <w:tab w:val="left" w:pos="3060"/>
        </w:tabs>
        <w:jc w:val="center"/>
        <w:rPr>
          <w:rFonts w:ascii="Arial" w:hAnsi="Arial" w:cs="Arial"/>
          <w:b/>
          <w:smallCaps/>
          <w:sz w:val="22"/>
          <w:szCs w:val="22"/>
          <w:lang w:val="pt-BR"/>
        </w:rPr>
      </w:pPr>
      <w:r w:rsidRPr="00455CEC">
        <w:rPr>
          <w:rFonts w:ascii="Arial" w:hAnsi="Arial" w:cs="Arial"/>
          <w:b/>
          <w:smallCaps/>
          <w:sz w:val="22"/>
          <w:szCs w:val="22"/>
          <w:lang w:val="pt-BR"/>
        </w:rPr>
        <w:t>Primer Préstamo</w:t>
      </w:r>
    </w:p>
    <w:p w14:paraId="745C9CFB" w14:textId="77777777" w:rsidR="00BF787B" w:rsidRPr="00455CEC" w:rsidRDefault="00BF787B" w:rsidP="00BF787B">
      <w:pPr>
        <w:tabs>
          <w:tab w:val="left" w:pos="1440"/>
          <w:tab w:val="left" w:pos="3060"/>
        </w:tabs>
        <w:jc w:val="center"/>
        <w:rPr>
          <w:rFonts w:ascii="Arial" w:hAnsi="Arial" w:cs="Arial"/>
          <w:b/>
          <w:smallCaps/>
          <w:sz w:val="22"/>
          <w:szCs w:val="22"/>
          <w:lang w:val="pt-BR"/>
        </w:rPr>
      </w:pPr>
      <w:r w:rsidRPr="00455CEC">
        <w:rPr>
          <w:rFonts w:ascii="Arial" w:hAnsi="Arial" w:cs="Arial"/>
          <w:b/>
          <w:smallCaps/>
          <w:sz w:val="22"/>
          <w:szCs w:val="22"/>
          <w:lang w:val="pt-BR"/>
        </w:rPr>
        <w:t>(AR-L1257)</w:t>
      </w:r>
    </w:p>
    <w:p w14:paraId="1FFF4711" w14:textId="77777777" w:rsidR="00BF787B" w:rsidRPr="000D2AF9" w:rsidRDefault="00BF787B" w:rsidP="00BF787B">
      <w:pPr>
        <w:tabs>
          <w:tab w:val="left" w:pos="1440"/>
          <w:tab w:val="left" w:pos="3060"/>
        </w:tabs>
        <w:jc w:val="center"/>
        <w:rPr>
          <w:rFonts w:ascii="Arial" w:hAnsi="Arial" w:cs="Arial"/>
          <w:smallCaps/>
          <w:sz w:val="22"/>
          <w:szCs w:val="22"/>
          <w:lang w:val="pt-BR"/>
        </w:rPr>
      </w:pPr>
    </w:p>
    <w:p w14:paraId="1F5610A6" w14:textId="77777777" w:rsidR="00BF787B" w:rsidRPr="00BF787B" w:rsidRDefault="00BF787B" w:rsidP="00BF787B">
      <w:pPr>
        <w:pStyle w:val="Paragraph"/>
        <w:numPr>
          <w:ilvl w:val="0"/>
          <w:numId w:val="0"/>
        </w:numPr>
        <w:tabs>
          <w:tab w:val="num" w:pos="720"/>
        </w:tabs>
        <w:ind w:left="720"/>
        <w:jc w:val="center"/>
        <w:rPr>
          <w:rFonts w:ascii="Arial" w:hAnsi="Arial" w:cs="Arial"/>
          <w:b/>
          <w:sz w:val="22"/>
          <w:szCs w:val="22"/>
        </w:rPr>
      </w:pPr>
      <w:r w:rsidRPr="00BF787B">
        <w:rPr>
          <w:rFonts w:ascii="Arial" w:hAnsi="Arial" w:cs="Arial"/>
          <w:b/>
          <w:sz w:val="22"/>
          <w:szCs w:val="22"/>
        </w:rPr>
        <w:t xml:space="preserve">Estrategia y Principales Resultados de las Operaciones </w:t>
      </w:r>
      <w:r>
        <w:rPr>
          <w:rFonts w:ascii="Arial" w:hAnsi="Arial" w:cs="Arial"/>
          <w:b/>
          <w:sz w:val="22"/>
          <w:szCs w:val="22"/>
        </w:rPr>
        <w:t xml:space="preserve">Individuales </w:t>
      </w:r>
      <w:r w:rsidRPr="00BF787B">
        <w:rPr>
          <w:rFonts w:ascii="Arial" w:hAnsi="Arial" w:cs="Arial"/>
          <w:b/>
          <w:sz w:val="22"/>
          <w:szCs w:val="22"/>
        </w:rPr>
        <w:t>Bajo la Línea CCLIP AR-LX1013</w:t>
      </w:r>
    </w:p>
    <w:p w14:paraId="43C96FFE" w14:textId="77777777" w:rsidR="00BF787B" w:rsidRDefault="00BF787B" w:rsidP="00BF787B">
      <w:pPr>
        <w:pStyle w:val="Paragraph"/>
        <w:numPr>
          <w:ilvl w:val="0"/>
          <w:numId w:val="0"/>
        </w:numPr>
        <w:tabs>
          <w:tab w:val="num" w:pos="720"/>
        </w:tabs>
        <w:ind w:left="720"/>
        <w:rPr>
          <w:rFonts w:ascii="Arial" w:hAnsi="Arial" w:cs="Arial"/>
          <w:sz w:val="22"/>
          <w:szCs w:val="22"/>
        </w:rPr>
      </w:pPr>
    </w:p>
    <w:p w14:paraId="21DA4C40" w14:textId="77777777" w:rsidR="00BF787B" w:rsidRPr="009C4FD0" w:rsidRDefault="00BF787B" w:rsidP="00BF787B">
      <w:pPr>
        <w:pStyle w:val="Paragraph"/>
        <w:numPr>
          <w:ilvl w:val="1"/>
          <w:numId w:val="1"/>
        </w:numPr>
        <w:tabs>
          <w:tab w:val="clear" w:pos="2448"/>
          <w:tab w:val="num" w:pos="720"/>
        </w:tabs>
        <w:ind w:left="720" w:hanging="720"/>
        <w:rPr>
          <w:rFonts w:ascii="Arial" w:hAnsi="Arial" w:cs="Arial"/>
          <w:sz w:val="22"/>
          <w:szCs w:val="22"/>
        </w:rPr>
      </w:pPr>
      <w:bookmarkStart w:id="0" w:name="_Ref455587364"/>
      <w:r w:rsidRPr="009C4FD0">
        <w:rPr>
          <w:rFonts w:ascii="Arial" w:eastAsia="Calibri" w:hAnsi="Arial" w:cs="Arial"/>
          <w:b/>
          <w:sz w:val="22"/>
          <w:szCs w:val="22"/>
        </w:rPr>
        <w:t>Estrategia de</w:t>
      </w:r>
      <w:r>
        <w:rPr>
          <w:rFonts w:ascii="Arial" w:eastAsia="Calibri" w:hAnsi="Arial" w:cs="Arial"/>
          <w:b/>
          <w:sz w:val="22"/>
          <w:szCs w:val="22"/>
        </w:rPr>
        <w:t xml:space="preserve"> </w:t>
      </w:r>
      <w:r w:rsidRPr="009C4FD0">
        <w:rPr>
          <w:rFonts w:ascii="Arial" w:eastAsia="Calibri" w:hAnsi="Arial" w:cs="Arial"/>
          <w:b/>
          <w:sz w:val="22"/>
          <w:szCs w:val="22"/>
        </w:rPr>
        <w:t>l</w:t>
      </w:r>
      <w:r>
        <w:rPr>
          <w:rFonts w:ascii="Arial" w:eastAsia="Calibri" w:hAnsi="Arial" w:cs="Arial"/>
          <w:b/>
          <w:sz w:val="22"/>
          <w:szCs w:val="22"/>
        </w:rPr>
        <w:t>a Línea CCLIP</w:t>
      </w:r>
      <w:r w:rsidRPr="009C4FD0">
        <w:rPr>
          <w:rFonts w:ascii="Arial" w:eastAsia="Calibri" w:hAnsi="Arial" w:cs="Arial"/>
          <w:sz w:val="22"/>
          <w:szCs w:val="22"/>
        </w:rPr>
        <w:t>. Con el propósito de atender estos desafíos, el GoA definió como prioridad de política proveer el acceso a la población del país sin servicios y mejorar su calidad y eficiencia, estableciendo como meta el acceso universal al agua potable y un 75% de cobertura de saneamiento</w:t>
      </w:r>
      <w:r w:rsidRPr="009C4FD0">
        <w:rPr>
          <w:rStyle w:val="FootnoteReference"/>
          <w:rFonts w:ascii="Arial" w:eastAsia="Calibri" w:hAnsi="Arial" w:cs="Arial"/>
          <w:sz w:val="22"/>
          <w:szCs w:val="22"/>
        </w:rPr>
        <w:footnoteReference w:id="1"/>
      </w:r>
      <w:r w:rsidRPr="009C4FD0">
        <w:rPr>
          <w:rFonts w:ascii="Arial" w:eastAsia="Calibri" w:hAnsi="Arial" w:cs="Arial"/>
          <w:sz w:val="22"/>
          <w:szCs w:val="22"/>
        </w:rPr>
        <w:t xml:space="preserve">. Buscando servicios sustentables y eficientes, el GoA financia la inversión en infraestructura y el fortalecimiento de las empresas a través del Ente Nacional de Obras Hídricas y Saneamiento (ENOHSA) en las provincias y AySA en la CABA y el CB. </w:t>
      </w:r>
      <w:r w:rsidRPr="009C4FD0">
        <w:rPr>
          <w:rFonts w:ascii="Arial" w:hAnsi="Arial" w:cs="Arial"/>
          <w:sz w:val="22"/>
          <w:szCs w:val="22"/>
        </w:rPr>
        <w:t>La expansión de los servicios en el CB es una prioridad, al ser ésta una de las zonas con mayores índices de indigencia y pobreza</w:t>
      </w:r>
      <w:r w:rsidRPr="009C4FD0">
        <w:rPr>
          <w:rStyle w:val="FootnoteReference"/>
          <w:rFonts w:ascii="Arial" w:hAnsi="Arial" w:cs="Arial"/>
          <w:sz w:val="22"/>
          <w:szCs w:val="22"/>
        </w:rPr>
        <w:footnoteReference w:id="2"/>
      </w:r>
      <w:r w:rsidRPr="009C4FD0">
        <w:rPr>
          <w:rFonts w:ascii="Arial" w:hAnsi="Arial" w:cs="Arial"/>
          <w:sz w:val="22"/>
          <w:szCs w:val="22"/>
        </w:rPr>
        <w:t>, con un elevado crecimiento de población</w:t>
      </w:r>
      <w:r w:rsidRPr="009C4FD0">
        <w:rPr>
          <w:rStyle w:val="FootnoteReference"/>
          <w:rFonts w:ascii="Arial" w:hAnsi="Arial"/>
          <w:sz w:val="22"/>
          <w:szCs w:val="22"/>
          <w:lang w:eastAsia="es-ES"/>
        </w:rPr>
        <w:footnoteReference w:id="3"/>
      </w:r>
      <w:r w:rsidRPr="009C4FD0">
        <w:rPr>
          <w:rFonts w:ascii="Arial" w:hAnsi="Arial" w:cs="Arial"/>
          <w:sz w:val="22"/>
          <w:szCs w:val="22"/>
        </w:rPr>
        <w:t xml:space="preserve"> </w:t>
      </w:r>
      <w:r w:rsidRPr="009C4FD0">
        <w:rPr>
          <w:rFonts w:ascii="Arial" w:hAnsi="Arial"/>
          <w:sz w:val="22"/>
          <w:szCs w:val="22"/>
          <w:lang w:eastAsia="es-ES"/>
        </w:rPr>
        <w:t>y proliferación de asentamientos informales</w:t>
      </w:r>
      <w:r w:rsidRPr="009C4FD0">
        <w:rPr>
          <w:rFonts w:ascii="Arial" w:hAnsi="Arial"/>
          <w:sz w:val="22"/>
          <w:szCs w:val="22"/>
          <w:vertAlign w:val="superscript"/>
          <w:lang w:eastAsia="es-ES"/>
        </w:rPr>
        <w:footnoteReference w:id="4"/>
      </w:r>
      <w:r w:rsidRPr="009C4FD0">
        <w:rPr>
          <w:rFonts w:ascii="Arial" w:hAnsi="Arial"/>
          <w:sz w:val="22"/>
          <w:szCs w:val="22"/>
          <w:lang w:eastAsia="es-ES"/>
        </w:rPr>
        <w:t xml:space="preserve">. </w:t>
      </w:r>
      <w:r w:rsidRPr="009C4FD0">
        <w:rPr>
          <w:rFonts w:ascii="Arial" w:hAnsi="Arial" w:cs="Arial"/>
          <w:sz w:val="22"/>
          <w:szCs w:val="22"/>
        </w:rPr>
        <w:t xml:space="preserve">La expansión de los servicios de AyS es estratégica para el cumplimiento de los Objetivos de Desarrollo Sustentable </w:t>
      </w:r>
      <w:r w:rsidRPr="009C4FD0">
        <w:rPr>
          <w:rFonts w:ascii="Arial" w:eastAsia="Calibri" w:hAnsi="Arial" w:cs="Arial"/>
          <w:sz w:val="22"/>
          <w:szCs w:val="22"/>
        </w:rPr>
        <w:t>AySA</w:t>
      </w:r>
      <w:r w:rsidRPr="009C4FD0">
        <w:rPr>
          <w:rFonts w:ascii="Arial" w:hAnsi="Arial" w:cs="Arial"/>
          <w:sz w:val="22"/>
          <w:szCs w:val="22"/>
        </w:rPr>
        <w:t xml:space="preserve">, basándose en su Plan Estratégico 2011-2020, el cual establece las metas de cobertura, eficiencia operativa y comercial, medición y sostenibilidad financiera, realizó un exhaustivo diagnóstico de su infraestructura y capacidades de gestión, actualizó su plan director y definió planes operativos para atender los principales desafíos de estos servicios incorporando análisis de riesgos con mecanismos de monitoreo, lo cual le permitirá mantener y expandir los servicios de AyS con adecuados estándares de calidad. </w:t>
      </w:r>
      <w:bookmarkEnd w:id="0"/>
    </w:p>
    <w:p w14:paraId="463B2F47" w14:textId="77777777" w:rsidR="00BF787B" w:rsidRPr="009C4FD0" w:rsidRDefault="00BF787B" w:rsidP="00BF787B">
      <w:pPr>
        <w:pStyle w:val="Paragraph"/>
        <w:numPr>
          <w:ilvl w:val="1"/>
          <w:numId w:val="1"/>
        </w:numPr>
        <w:tabs>
          <w:tab w:val="clear" w:pos="2448"/>
          <w:tab w:val="num" w:pos="720"/>
        </w:tabs>
        <w:ind w:left="720" w:hanging="720"/>
        <w:rPr>
          <w:rFonts w:ascii="Arial" w:hAnsi="Arial" w:cs="Arial"/>
          <w:sz w:val="22"/>
          <w:szCs w:val="22"/>
        </w:rPr>
      </w:pPr>
      <w:r w:rsidRPr="009C4FD0">
        <w:rPr>
          <w:rFonts w:ascii="Arial" w:hAnsi="Arial" w:cs="Arial"/>
          <w:b/>
          <w:noProof/>
          <w:sz w:val="22"/>
          <w:szCs w:val="22"/>
        </w:rPr>
        <w:t xml:space="preserve">Primera operación bajo la línea CCLIP </w:t>
      </w:r>
      <w:r w:rsidRPr="009C4FD0">
        <w:rPr>
          <w:rFonts w:ascii="Arial" w:hAnsi="Arial" w:cs="Arial"/>
          <w:b/>
          <w:bCs/>
          <w:sz w:val="22"/>
          <w:szCs w:val="22"/>
        </w:rPr>
        <w:t>(2048/OC-AR).</w:t>
      </w:r>
      <w:r w:rsidRPr="009C4FD0">
        <w:rPr>
          <w:rFonts w:ascii="Arial" w:hAnsi="Arial" w:cs="Arial"/>
          <w:sz w:val="22"/>
          <w:szCs w:val="22"/>
        </w:rPr>
        <w:t xml:space="preserve"> Aprobada en enero de 2009, por un monto de US$250 millones se financia con un préstamo del Banco por </w:t>
      </w:r>
      <w:r w:rsidR="00F67330">
        <w:rPr>
          <w:rFonts w:ascii="Arial" w:hAnsi="Arial" w:cs="Arial"/>
          <w:sz w:val="22"/>
          <w:szCs w:val="22"/>
        </w:rPr>
        <w:br/>
      </w:r>
      <w:r w:rsidRPr="009C4FD0">
        <w:rPr>
          <w:rFonts w:ascii="Arial" w:hAnsi="Arial" w:cs="Arial"/>
          <w:sz w:val="22"/>
          <w:szCs w:val="22"/>
        </w:rPr>
        <w:t>US$200 millones y recursos de aporte local por US$50 millones, entró en vigencia en julio de 2009 y fue declarada elegible en mayo de 2010. A la fecha se han desembolsado la totalidad de los recursos del préstamo y del aporte local, y el plazo de desembolsos vence el 31 de julio de 2016. Se han finalizado 41 de las 42 obras previstas, quedando pendiente la estación de bombeo Las Tunas, cuya finalización se espera para mayo de 2017 debido a problemas por la mala calidad de los suelos de la zona. AySA finalizará la obra con recursos de aporte local, y la supervisión de la misma se realizará en el marco de la ejecución del 2613/OC-AR.</w:t>
      </w:r>
    </w:p>
    <w:p w14:paraId="67919640" w14:textId="77777777" w:rsidR="00BF787B" w:rsidRPr="009C4FD0" w:rsidRDefault="00BF787B" w:rsidP="00BF787B">
      <w:pPr>
        <w:pStyle w:val="Paragraph"/>
        <w:numPr>
          <w:ilvl w:val="1"/>
          <w:numId w:val="1"/>
        </w:numPr>
        <w:tabs>
          <w:tab w:val="clear" w:pos="2448"/>
          <w:tab w:val="num" w:pos="720"/>
        </w:tabs>
        <w:ind w:left="720" w:hanging="720"/>
        <w:rPr>
          <w:rFonts w:ascii="Arial" w:hAnsi="Arial" w:cs="Arial"/>
          <w:sz w:val="22"/>
          <w:szCs w:val="22"/>
        </w:rPr>
      </w:pPr>
      <w:r w:rsidRPr="009C4FD0">
        <w:rPr>
          <w:rFonts w:ascii="Arial" w:hAnsi="Arial" w:cs="Arial"/>
          <w:b/>
          <w:bCs/>
          <w:sz w:val="22"/>
          <w:szCs w:val="22"/>
        </w:rPr>
        <w:lastRenderedPageBreak/>
        <w:t>Segunda Operación bajo la línea CCLIP (2613/OC-AR).</w:t>
      </w:r>
      <w:r w:rsidRPr="009C4FD0">
        <w:rPr>
          <w:rFonts w:ascii="Arial" w:hAnsi="Arial" w:cs="Arial"/>
          <w:sz w:val="22"/>
          <w:szCs w:val="22"/>
        </w:rPr>
        <w:t xml:space="preserve"> Aprobada en noviembre de 2011, por un monto de US$250 millones, se financia con un préstamo del Banco por US$200 millones y recursos de aporte local por US$50 millones, entró en vigencia en agosto de 2012 y fue declarada elegible en abril de 2013. A junio de 2016 se han desembolsado US$123,5 millones (62%) del financiamiento, y comprometido el 98% del total del préstamo. A junio de 2016 no restan obras por licitar. Se han finalizado 14 obras previstas y 18 se encuentran en ejecución. Las 11 obras de agua potable se centraron en la renovación y rehabilitación de redes, reducción de Agua No Contabilizada (ANC), construcción de cámaras de inspección de ríos subterráneos y obras de rehabilitación y optimización en la PGSM. Asimismo, las 21 obras de alcantarillado se concentraron en la ampliación de la Planta Depuradora Hurlingham, el Colector Oeste Tigre tramo III, Primarias Benavidez y Pacheco,</w:t>
      </w:r>
      <w:r w:rsidR="00AE5FD9">
        <w:rPr>
          <w:rFonts w:ascii="Arial" w:hAnsi="Arial" w:cs="Arial"/>
          <w:sz w:val="22"/>
          <w:szCs w:val="22"/>
        </w:rPr>
        <w:t xml:space="preserve"> </w:t>
      </w:r>
      <w:r w:rsidRPr="009C4FD0">
        <w:rPr>
          <w:rFonts w:ascii="Arial" w:hAnsi="Arial" w:cs="Arial"/>
          <w:sz w:val="22"/>
          <w:szCs w:val="22"/>
        </w:rPr>
        <w:t xml:space="preserve">y construcción de redes en los municipios de Hurlingham, Ituzaingó y Morón. Teniendo en cuenta el nivel de avance y compromiso de la operación, se anticipa que los productos y resultados esperados serán alcanzados dentro del plazo actual de ejecución y desembolso. </w:t>
      </w:r>
    </w:p>
    <w:p w14:paraId="573E0A49" w14:textId="77777777" w:rsidR="00BF787B" w:rsidRDefault="00BF787B" w:rsidP="00BF787B">
      <w:pPr>
        <w:pStyle w:val="Paragraph"/>
        <w:numPr>
          <w:ilvl w:val="1"/>
          <w:numId w:val="1"/>
        </w:numPr>
        <w:tabs>
          <w:tab w:val="clear" w:pos="2448"/>
          <w:tab w:val="num" w:pos="720"/>
        </w:tabs>
        <w:ind w:left="720" w:hanging="720"/>
        <w:rPr>
          <w:rFonts w:ascii="Arial" w:hAnsi="Arial" w:cs="Arial"/>
          <w:sz w:val="22"/>
          <w:szCs w:val="22"/>
        </w:rPr>
      </w:pPr>
      <w:r w:rsidRPr="009C4FD0">
        <w:rPr>
          <w:rFonts w:ascii="Arial" w:hAnsi="Arial" w:cs="Arial"/>
          <w:b/>
          <w:sz w:val="22"/>
          <w:szCs w:val="22"/>
        </w:rPr>
        <w:t>Resultados alcanzados</w:t>
      </w:r>
      <w:r w:rsidRPr="009C4FD0">
        <w:rPr>
          <w:rFonts w:ascii="Arial" w:hAnsi="Arial" w:cs="Arial"/>
          <w:sz w:val="22"/>
          <w:szCs w:val="22"/>
        </w:rPr>
        <w:t>. Mediante las obras financiadas con la primera y segunda operaciones individuales bajo la línea CCLIP se han alcanzado resultados muy satisfactorios, pese a que la segunda operación está aún en ejecución. A finales de 2015, las obras de mejora en la PGSM han posibilitado un aumento de la producción media sostenible del 9% (elevando de 2,8 Mm</w:t>
      </w:r>
      <w:r w:rsidRPr="009C4FD0">
        <w:rPr>
          <w:rFonts w:ascii="Arial" w:hAnsi="Arial" w:cs="Arial"/>
          <w:sz w:val="22"/>
          <w:szCs w:val="22"/>
          <w:vertAlign w:val="superscript"/>
        </w:rPr>
        <w:t>3</w:t>
      </w:r>
      <w:r w:rsidRPr="009C4FD0">
        <w:rPr>
          <w:rFonts w:ascii="Arial" w:hAnsi="Arial" w:cs="Arial"/>
          <w:sz w:val="22"/>
          <w:szCs w:val="22"/>
        </w:rPr>
        <w:t>/d a 3,05 Mm</w:t>
      </w:r>
      <w:r w:rsidRPr="009C4FD0">
        <w:rPr>
          <w:rFonts w:ascii="Arial" w:hAnsi="Arial" w:cs="Arial"/>
          <w:sz w:val="22"/>
          <w:szCs w:val="22"/>
          <w:vertAlign w:val="superscript"/>
        </w:rPr>
        <w:t>3</w:t>
      </w:r>
      <w:r w:rsidRPr="009C4FD0">
        <w:rPr>
          <w:rFonts w:ascii="Arial" w:hAnsi="Arial" w:cs="Arial"/>
          <w:sz w:val="22"/>
          <w:szCs w:val="22"/>
        </w:rPr>
        <w:t>/d la producción de agua, frente a una meta prevista de 3,2 Mm</w:t>
      </w:r>
      <w:r w:rsidRPr="009C4FD0">
        <w:rPr>
          <w:rFonts w:ascii="Arial" w:hAnsi="Arial" w:cs="Arial"/>
          <w:sz w:val="22"/>
          <w:szCs w:val="22"/>
          <w:vertAlign w:val="superscript"/>
        </w:rPr>
        <w:t>3</w:t>
      </w:r>
      <w:r w:rsidRPr="009C4FD0">
        <w:rPr>
          <w:rFonts w:ascii="Arial" w:hAnsi="Arial" w:cs="Arial"/>
          <w:sz w:val="22"/>
          <w:szCs w:val="22"/>
        </w:rPr>
        <w:t>/d al final del segundo programa). Adicionalmente, las obras de renovación y rehabilitación de redes han permitido un ahorro promedio de 36.000 m</w:t>
      </w:r>
      <w:r w:rsidRPr="009C4FD0">
        <w:rPr>
          <w:rFonts w:ascii="Arial" w:hAnsi="Arial" w:cs="Arial"/>
          <w:sz w:val="22"/>
          <w:szCs w:val="22"/>
          <w:vertAlign w:val="superscript"/>
        </w:rPr>
        <w:t>3</w:t>
      </w:r>
      <w:r w:rsidRPr="009C4FD0">
        <w:rPr>
          <w:rFonts w:ascii="Arial" w:hAnsi="Arial" w:cs="Arial"/>
          <w:sz w:val="22"/>
          <w:szCs w:val="22"/>
        </w:rPr>
        <w:t>/d de agua, mientras que la meta prevista para el final del segundo préstamo bajo la línea es de 31.000 m</w:t>
      </w:r>
      <w:r w:rsidRPr="009C4FD0">
        <w:rPr>
          <w:rFonts w:ascii="Arial" w:hAnsi="Arial" w:cs="Arial"/>
          <w:sz w:val="22"/>
          <w:szCs w:val="22"/>
          <w:vertAlign w:val="superscript"/>
        </w:rPr>
        <w:t>3</w:t>
      </w:r>
      <w:r w:rsidRPr="009C4FD0">
        <w:rPr>
          <w:rFonts w:ascii="Arial" w:hAnsi="Arial" w:cs="Arial"/>
          <w:sz w:val="22"/>
          <w:szCs w:val="22"/>
        </w:rPr>
        <w:t>/d (superando de esta manera en 15% el resultado esperado). Por su parte, las acciones para el control de ANC han generado un ahorro de unos 108.000 m</w:t>
      </w:r>
      <w:r w:rsidRPr="009C4FD0">
        <w:rPr>
          <w:rFonts w:ascii="Arial" w:hAnsi="Arial" w:cs="Arial"/>
          <w:sz w:val="22"/>
          <w:szCs w:val="22"/>
          <w:vertAlign w:val="superscript"/>
        </w:rPr>
        <w:t>3</w:t>
      </w:r>
      <w:r w:rsidRPr="009C4FD0">
        <w:rPr>
          <w:rFonts w:ascii="Arial" w:hAnsi="Arial" w:cs="Arial"/>
          <w:sz w:val="22"/>
          <w:szCs w:val="22"/>
        </w:rPr>
        <w:t>/d, cuando la meta prevista para ambos programas es lograr un ahorro de 111.000 m3/d. Los resultados alcanzados en aumento de la producción de agua y reducción del ANC equivalen, en conjunto, al consumo diario de unos 620.000 habitantes (200.000 hogares). Las obras de saneamiento han resultado en la extensión del servicio a 20.000 nuevos hogares, valor adecuado frente a la meta de 41.000 conexiones si se considera que la mayoría de obras de la segunda operación, aún en ejecución, se concentran en este componente. Por último, dentro de las actividades de fortalecimiento institucional se ha avanzado en la instalación de sistemas de monitoreo y alerta temprana, los cuales permiten una rápida respuesta operativa ante variaciones en la calidad de la fuente.</w:t>
      </w:r>
    </w:p>
    <w:p w14:paraId="021D8816" w14:textId="77777777" w:rsidR="00BF787B" w:rsidRPr="009C4FD0" w:rsidRDefault="00BF787B" w:rsidP="00BF787B">
      <w:pPr>
        <w:pStyle w:val="Paragraph"/>
        <w:numPr>
          <w:ilvl w:val="1"/>
          <w:numId w:val="1"/>
        </w:numPr>
        <w:tabs>
          <w:tab w:val="clear" w:pos="2448"/>
          <w:tab w:val="num" w:pos="720"/>
        </w:tabs>
        <w:ind w:left="720" w:hanging="720"/>
        <w:rPr>
          <w:rFonts w:ascii="Arial" w:hAnsi="Arial" w:cs="Arial"/>
          <w:sz w:val="22"/>
          <w:szCs w:val="22"/>
        </w:rPr>
      </w:pPr>
      <w:r>
        <w:rPr>
          <w:rFonts w:ascii="Arial" w:hAnsi="Arial" w:cs="Arial"/>
          <w:b/>
          <w:sz w:val="22"/>
          <w:szCs w:val="22"/>
        </w:rPr>
        <w:t>Tercera Operación bajo la Línea CCLIP (3</w:t>
      </w:r>
      <w:r w:rsidRPr="00BF787B">
        <w:rPr>
          <w:rFonts w:ascii="Arial" w:hAnsi="Arial" w:cs="Arial"/>
          <w:b/>
          <w:sz w:val="22"/>
          <w:szCs w:val="22"/>
        </w:rPr>
        <w:t>7</w:t>
      </w:r>
      <w:r>
        <w:rPr>
          <w:rFonts w:ascii="Arial" w:hAnsi="Arial" w:cs="Arial"/>
          <w:b/>
          <w:sz w:val="22"/>
          <w:szCs w:val="22"/>
        </w:rPr>
        <w:t>3</w:t>
      </w:r>
      <w:r w:rsidRPr="00BF787B">
        <w:rPr>
          <w:rFonts w:ascii="Arial" w:hAnsi="Arial" w:cs="Arial"/>
          <w:b/>
          <w:sz w:val="22"/>
          <w:szCs w:val="22"/>
        </w:rPr>
        <w:t>3/OC-AR).</w:t>
      </w:r>
      <w:r>
        <w:rPr>
          <w:rFonts w:ascii="Arial" w:hAnsi="Arial" w:cs="Arial"/>
          <w:sz w:val="22"/>
          <w:szCs w:val="22"/>
        </w:rPr>
        <w:t xml:space="preserve"> </w:t>
      </w:r>
      <w:r w:rsidRPr="009C4FD0">
        <w:rPr>
          <w:rFonts w:ascii="Arial" w:hAnsi="Arial" w:cs="Arial"/>
          <w:sz w:val="22"/>
          <w:szCs w:val="22"/>
        </w:rPr>
        <w:t xml:space="preserve">El conjunto de obras que se propone financiar bajo la tercera operación se deriva de las prioridades identificadas en </w:t>
      </w:r>
      <w:bookmarkStart w:id="1" w:name="_GoBack"/>
      <w:r w:rsidRPr="000669A2">
        <w:rPr>
          <w:rFonts w:ascii="Arial" w:hAnsi="Arial" w:cs="Arial"/>
          <w:sz w:val="22"/>
          <w:szCs w:val="22"/>
        </w:rPr>
        <w:t>el</w:t>
      </w:r>
      <w:bookmarkEnd w:id="1"/>
      <w:r w:rsidRPr="009C4FD0">
        <w:rPr>
          <w:rFonts w:ascii="Arial" w:hAnsi="Arial" w:cs="Arial"/>
          <w:sz w:val="22"/>
          <w:szCs w:val="22"/>
        </w:rPr>
        <w:t xml:space="preserve"> plan director necesarias para el mejoramiento y la expansión de los servicios de AyS. Los proyectos priorizados mantienen un adecuado balance entre las necesidades de ampliar los servicios a nuevos usuarios y los requerimientos de renovar y rehabilitar las instalaciones obsoletas (o en precario estado, que introducen ineficiencias o vulnerabilidades al sistema) para así mejorar la calidad del servicio.</w:t>
      </w:r>
    </w:p>
    <w:p w14:paraId="41FA673E" w14:textId="77777777" w:rsidR="0068492A" w:rsidRPr="00BF787B" w:rsidRDefault="00BF787B" w:rsidP="00BF787B">
      <w:pPr>
        <w:pStyle w:val="Paragraph"/>
        <w:numPr>
          <w:ilvl w:val="1"/>
          <w:numId w:val="1"/>
        </w:numPr>
        <w:tabs>
          <w:tab w:val="clear" w:pos="2448"/>
          <w:tab w:val="num" w:pos="720"/>
        </w:tabs>
        <w:ind w:left="720" w:hanging="720"/>
        <w:rPr>
          <w:lang w:val="es-ES_tradnl"/>
        </w:rPr>
      </w:pPr>
      <w:r w:rsidRPr="00BF787B">
        <w:rPr>
          <w:rFonts w:ascii="Arial" w:hAnsi="Arial" w:cs="Arial"/>
          <w:sz w:val="22"/>
          <w:szCs w:val="22"/>
        </w:rPr>
        <w:t>Las obras beneficiarían aproximadamente 74.500 (24.841 hogares) con acceso a conexiones de alcantarillado por red y 300.000 (100.000 hogares) con sus efluentes tratados; y, con el aumento de la producción media sostenible de la PGSM de 50.000 m</w:t>
      </w:r>
      <w:r w:rsidRPr="00BF787B">
        <w:rPr>
          <w:rFonts w:ascii="Arial" w:hAnsi="Arial" w:cs="Arial"/>
          <w:sz w:val="22"/>
          <w:szCs w:val="22"/>
          <w:vertAlign w:val="superscript"/>
        </w:rPr>
        <w:t>3</w:t>
      </w:r>
      <w:r w:rsidRPr="00BF787B">
        <w:rPr>
          <w:rFonts w:ascii="Arial" w:hAnsi="Arial" w:cs="Arial"/>
          <w:sz w:val="22"/>
          <w:szCs w:val="22"/>
        </w:rPr>
        <w:t>/día y reducción de ANC en 21.950 m</w:t>
      </w:r>
      <w:r w:rsidRPr="00BF787B">
        <w:rPr>
          <w:rFonts w:ascii="Arial" w:hAnsi="Arial" w:cs="Arial"/>
          <w:sz w:val="22"/>
          <w:szCs w:val="22"/>
          <w:vertAlign w:val="superscript"/>
        </w:rPr>
        <w:t>3</w:t>
      </w:r>
      <w:r w:rsidRPr="00BF787B">
        <w:rPr>
          <w:rFonts w:ascii="Arial" w:hAnsi="Arial" w:cs="Arial"/>
          <w:sz w:val="22"/>
          <w:szCs w:val="22"/>
        </w:rPr>
        <w:t>/día que se destinará a cubrir demanda insatisfecha, equivalente a beneficiar a 370.000 personas (120.000 hogares) con conexiones mejoradas de agua potable</w:t>
      </w:r>
      <w:r>
        <w:rPr>
          <w:rFonts w:ascii="Arial" w:hAnsi="Arial" w:cs="Arial"/>
          <w:sz w:val="22"/>
          <w:szCs w:val="22"/>
        </w:rPr>
        <w:t xml:space="preserve"> </w:t>
      </w:r>
      <w:r w:rsidRPr="00BF787B">
        <w:rPr>
          <w:rFonts w:ascii="Arial" w:hAnsi="Arial" w:cs="Arial"/>
          <w:sz w:val="22"/>
          <w:szCs w:val="22"/>
        </w:rPr>
        <w:t>(oferta continua).</w:t>
      </w:r>
    </w:p>
    <w:sectPr w:rsidR="0068492A" w:rsidRPr="00BF787B" w:rsidSect="000E2E41">
      <w:footerReference w:type="default" r:id="rId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245AF8" w14:textId="77777777" w:rsidR="009505FD" w:rsidRDefault="009505FD" w:rsidP="00BF787B">
      <w:r>
        <w:separator/>
      </w:r>
    </w:p>
  </w:endnote>
  <w:endnote w:type="continuationSeparator" w:id="0">
    <w:p w14:paraId="35C2B0D7" w14:textId="77777777" w:rsidR="009505FD" w:rsidRDefault="009505FD" w:rsidP="00BF7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2078844"/>
      <w:docPartObj>
        <w:docPartGallery w:val="Page Numbers (Bottom of Page)"/>
        <w:docPartUnique/>
      </w:docPartObj>
    </w:sdtPr>
    <w:sdtEndPr>
      <w:rPr>
        <w:rFonts w:ascii="Arial" w:hAnsi="Arial" w:cs="Arial"/>
        <w:noProof/>
      </w:rPr>
    </w:sdtEndPr>
    <w:sdtContent>
      <w:p w14:paraId="021ADF83" w14:textId="3DF122CC" w:rsidR="000E2E41" w:rsidRPr="000E2E41" w:rsidRDefault="000E2E41">
        <w:pPr>
          <w:pStyle w:val="Footer"/>
          <w:jc w:val="center"/>
          <w:rPr>
            <w:rFonts w:ascii="Arial" w:hAnsi="Arial" w:cs="Arial"/>
          </w:rPr>
        </w:pPr>
        <w:r w:rsidRPr="000E2E41">
          <w:rPr>
            <w:rFonts w:ascii="Arial" w:hAnsi="Arial" w:cs="Arial"/>
          </w:rPr>
          <w:fldChar w:fldCharType="begin"/>
        </w:r>
        <w:r w:rsidRPr="000E2E41">
          <w:rPr>
            <w:rFonts w:ascii="Arial" w:hAnsi="Arial" w:cs="Arial"/>
          </w:rPr>
          <w:instrText xml:space="preserve"> PAGE   \* MERGEFORMAT </w:instrText>
        </w:r>
        <w:r w:rsidRPr="000E2E41">
          <w:rPr>
            <w:rFonts w:ascii="Arial" w:hAnsi="Arial" w:cs="Arial"/>
          </w:rPr>
          <w:fldChar w:fldCharType="separate"/>
        </w:r>
        <w:r w:rsidR="000669A2">
          <w:rPr>
            <w:rFonts w:ascii="Arial" w:hAnsi="Arial" w:cs="Arial"/>
            <w:noProof/>
          </w:rPr>
          <w:t>1</w:t>
        </w:r>
        <w:r w:rsidRPr="000E2E41">
          <w:rPr>
            <w:rFonts w:ascii="Arial" w:hAnsi="Arial" w:cs="Arial"/>
            <w:noProof/>
          </w:rPr>
          <w:fldChar w:fldCharType="end"/>
        </w:r>
      </w:p>
    </w:sdtContent>
  </w:sdt>
  <w:p w14:paraId="5BFD4F4C" w14:textId="77777777" w:rsidR="000E2E41" w:rsidRDefault="000E2E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D804FC" w14:textId="77777777" w:rsidR="009505FD" w:rsidRDefault="009505FD" w:rsidP="00BF787B">
      <w:r>
        <w:separator/>
      </w:r>
    </w:p>
  </w:footnote>
  <w:footnote w:type="continuationSeparator" w:id="0">
    <w:p w14:paraId="3D43F104" w14:textId="77777777" w:rsidR="009505FD" w:rsidRDefault="009505FD" w:rsidP="00BF787B">
      <w:r>
        <w:continuationSeparator/>
      </w:r>
    </w:p>
  </w:footnote>
  <w:footnote w:id="1">
    <w:p w14:paraId="72820C81" w14:textId="77777777" w:rsidR="00BF787B" w:rsidRPr="00C30625" w:rsidRDefault="00BF787B" w:rsidP="00BF787B">
      <w:pPr>
        <w:pStyle w:val="FootnoteText"/>
        <w:spacing w:after="0"/>
        <w:ind w:left="274" w:hanging="274"/>
      </w:pPr>
      <w:r w:rsidRPr="00C30625">
        <w:rPr>
          <w:rStyle w:val="FootnoteReference"/>
          <w:rFonts w:ascii="Arial" w:hAnsi="Arial" w:cs="Arial"/>
          <w:sz w:val="16"/>
          <w:szCs w:val="16"/>
        </w:rPr>
        <w:footnoteRef/>
      </w:r>
      <w:r w:rsidRPr="00C30625">
        <w:rPr>
          <w:rFonts w:ascii="Arial" w:hAnsi="Arial" w:cs="Arial"/>
          <w:sz w:val="16"/>
          <w:szCs w:val="16"/>
        </w:rPr>
        <w:t xml:space="preserve"> </w:t>
      </w:r>
      <w:r w:rsidRPr="00C30625">
        <w:rPr>
          <w:rFonts w:ascii="Arial" w:hAnsi="Arial" w:cs="Arial"/>
          <w:sz w:val="16"/>
          <w:szCs w:val="16"/>
        </w:rPr>
        <w:tab/>
        <w:t>Según el Plan Nacional de</w:t>
      </w:r>
      <w:r>
        <w:rPr>
          <w:rFonts w:ascii="Arial" w:hAnsi="Arial" w:cs="Arial"/>
          <w:sz w:val="16"/>
          <w:szCs w:val="16"/>
        </w:rPr>
        <w:t>l</w:t>
      </w:r>
      <w:r w:rsidRPr="00C30625">
        <w:rPr>
          <w:rFonts w:ascii="Arial" w:hAnsi="Arial" w:cs="Arial"/>
          <w:sz w:val="16"/>
          <w:szCs w:val="16"/>
        </w:rPr>
        <w:t xml:space="preserve"> Agua, para el periodo 2016-2019 se estima cumplir con un 40% del objetivo (</w:t>
      </w:r>
      <w:hyperlink r:id="rId1" w:history="1">
        <w:r>
          <w:rPr>
            <w:rStyle w:val="Hyperlink"/>
            <w:rFonts w:ascii="Arial" w:hAnsi="Arial" w:cs="Arial"/>
            <w:sz w:val="16"/>
            <w:szCs w:val="16"/>
          </w:rPr>
          <w:t>enlace</w:t>
        </w:r>
      </w:hyperlink>
      <w:r w:rsidRPr="00C30625">
        <w:rPr>
          <w:rFonts w:ascii="Arial" w:hAnsi="Arial" w:cs="Arial"/>
          <w:sz w:val="16"/>
          <w:szCs w:val="16"/>
        </w:rPr>
        <w:t>).</w:t>
      </w:r>
    </w:p>
  </w:footnote>
  <w:footnote w:id="2">
    <w:p w14:paraId="022699D8" w14:textId="77777777" w:rsidR="00BF787B" w:rsidRPr="00805DDB" w:rsidRDefault="00BF787B" w:rsidP="00BF787B">
      <w:pPr>
        <w:pStyle w:val="FootnoteText"/>
        <w:spacing w:after="0"/>
        <w:ind w:left="274" w:hanging="274"/>
        <w:rPr>
          <w:rFonts w:ascii="Arial" w:hAnsi="Arial" w:cs="Arial"/>
          <w:sz w:val="16"/>
          <w:szCs w:val="16"/>
        </w:rPr>
      </w:pPr>
      <w:r w:rsidRPr="00805DDB">
        <w:rPr>
          <w:rStyle w:val="FootnoteReference"/>
          <w:rFonts w:ascii="Arial" w:hAnsi="Arial" w:cs="Arial"/>
          <w:sz w:val="16"/>
          <w:szCs w:val="16"/>
        </w:rPr>
        <w:footnoteRef/>
      </w:r>
      <w:r>
        <w:rPr>
          <w:rFonts w:ascii="Arial" w:hAnsi="Arial" w:cs="Arial"/>
          <w:sz w:val="16"/>
          <w:szCs w:val="16"/>
        </w:rPr>
        <w:tab/>
        <w:t>E</w:t>
      </w:r>
      <w:r w:rsidRPr="00805DDB">
        <w:rPr>
          <w:rFonts w:ascii="Arial" w:hAnsi="Arial" w:cs="Arial"/>
          <w:sz w:val="16"/>
          <w:szCs w:val="16"/>
        </w:rPr>
        <w:t xml:space="preserve">l 13,4% de la población del Conurbano se encontraba en situación de pobreza, y el 4,6% en condición de </w:t>
      </w:r>
      <w:r w:rsidR="00AE5FD9" w:rsidRPr="00805DDB">
        <w:rPr>
          <w:rFonts w:ascii="Arial" w:hAnsi="Arial" w:cs="Arial"/>
          <w:sz w:val="16"/>
          <w:szCs w:val="16"/>
        </w:rPr>
        <w:t xml:space="preserve">indigencia, </w:t>
      </w:r>
      <w:r w:rsidR="00AE5FD9">
        <w:rPr>
          <w:rFonts w:ascii="Arial" w:hAnsi="Arial" w:cs="Arial"/>
          <w:sz w:val="16"/>
          <w:szCs w:val="16"/>
        </w:rPr>
        <w:t>según</w:t>
      </w:r>
      <w:r w:rsidRPr="00805DDB">
        <w:rPr>
          <w:rFonts w:ascii="Arial" w:hAnsi="Arial" w:cs="Arial"/>
          <w:sz w:val="16"/>
          <w:szCs w:val="16"/>
        </w:rPr>
        <w:t xml:space="preserve"> datos de la última EPH para el Gran Buen</w:t>
      </w:r>
      <w:r>
        <w:rPr>
          <w:rFonts w:ascii="Arial" w:hAnsi="Arial" w:cs="Arial"/>
          <w:sz w:val="16"/>
          <w:szCs w:val="16"/>
        </w:rPr>
        <w:t>os</w:t>
      </w:r>
      <w:r w:rsidRPr="00805DDB">
        <w:rPr>
          <w:rFonts w:ascii="Arial" w:hAnsi="Arial" w:cs="Arial"/>
          <w:sz w:val="16"/>
          <w:szCs w:val="16"/>
        </w:rPr>
        <w:t xml:space="preserve"> Aires (2</w:t>
      </w:r>
      <w:r>
        <w:rPr>
          <w:rFonts w:ascii="Arial" w:hAnsi="Arial" w:cs="Arial"/>
          <w:sz w:val="16"/>
          <w:szCs w:val="16"/>
        </w:rPr>
        <w:t>do.</w:t>
      </w:r>
      <w:r w:rsidRPr="00805DDB">
        <w:rPr>
          <w:rFonts w:ascii="Arial" w:hAnsi="Arial" w:cs="Arial"/>
          <w:sz w:val="16"/>
          <w:szCs w:val="16"/>
        </w:rPr>
        <w:t xml:space="preserve"> trimestre de 2015)</w:t>
      </w:r>
      <w:r>
        <w:rPr>
          <w:rFonts w:ascii="Arial" w:hAnsi="Arial" w:cs="Arial"/>
          <w:sz w:val="16"/>
          <w:szCs w:val="16"/>
        </w:rPr>
        <w:t xml:space="preserve">. </w:t>
      </w:r>
    </w:p>
  </w:footnote>
  <w:footnote w:id="3">
    <w:p w14:paraId="1DE89304" w14:textId="77777777" w:rsidR="00BF787B" w:rsidRPr="00F75A81" w:rsidRDefault="00BF787B" w:rsidP="00BF787B">
      <w:pPr>
        <w:pStyle w:val="FootnoteText"/>
        <w:spacing w:after="0"/>
        <w:ind w:left="274" w:hanging="274"/>
      </w:pPr>
      <w:r w:rsidRPr="00F75A81">
        <w:rPr>
          <w:rStyle w:val="FootnoteReference"/>
          <w:rFonts w:ascii="Arial" w:hAnsi="Arial" w:cs="Arial"/>
          <w:sz w:val="16"/>
        </w:rPr>
        <w:footnoteRef/>
      </w:r>
      <w:r>
        <w:rPr>
          <w:rFonts w:ascii="Arial" w:hAnsi="Arial" w:cs="Arial"/>
          <w:sz w:val="16"/>
          <w:szCs w:val="16"/>
        </w:rPr>
        <w:tab/>
      </w:r>
      <w:r w:rsidRPr="00805DDB">
        <w:rPr>
          <w:rFonts w:ascii="Arial" w:hAnsi="Arial" w:cs="Arial"/>
          <w:sz w:val="16"/>
          <w:szCs w:val="16"/>
        </w:rPr>
        <w:t>Proyecciones de población indican que esta región ha crecido en promedio 14% entre 20</w:t>
      </w:r>
      <w:r w:rsidRPr="0082570A">
        <w:rPr>
          <w:rFonts w:ascii="Arial" w:hAnsi="Arial" w:cs="Arial"/>
          <w:sz w:val="16"/>
          <w:szCs w:val="16"/>
        </w:rPr>
        <w:t>01 y 2010</w:t>
      </w:r>
      <w:r>
        <w:rPr>
          <w:rFonts w:ascii="Arial" w:hAnsi="Arial" w:cs="Arial"/>
          <w:sz w:val="16"/>
          <w:szCs w:val="16"/>
        </w:rPr>
        <w:t>.</w:t>
      </w:r>
    </w:p>
  </w:footnote>
  <w:footnote w:id="4">
    <w:p w14:paraId="7E5CC5FC" w14:textId="77777777" w:rsidR="00BF787B" w:rsidRPr="008326C0" w:rsidRDefault="00BF787B" w:rsidP="00BF787B">
      <w:pPr>
        <w:pStyle w:val="FootnoteText"/>
        <w:spacing w:after="0"/>
        <w:ind w:left="274" w:hanging="274"/>
        <w:rPr>
          <w:sz w:val="16"/>
          <w:szCs w:val="16"/>
        </w:rPr>
      </w:pPr>
      <w:r w:rsidRPr="00805DDB">
        <w:rPr>
          <w:rStyle w:val="FootnoteReference"/>
          <w:rFonts w:ascii="Arial" w:hAnsi="Arial" w:cs="Arial"/>
          <w:sz w:val="16"/>
          <w:szCs w:val="16"/>
        </w:rPr>
        <w:footnoteRef/>
      </w:r>
      <w:r>
        <w:rPr>
          <w:rFonts w:ascii="Arial" w:hAnsi="Arial" w:cs="Arial"/>
          <w:sz w:val="16"/>
          <w:szCs w:val="16"/>
        </w:rPr>
        <w:tab/>
      </w:r>
      <w:r w:rsidRPr="00805DDB">
        <w:rPr>
          <w:rFonts w:ascii="Arial" w:hAnsi="Arial" w:cs="Arial"/>
          <w:sz w:val="16"/>
          <w:szCs w:val="16"/>
        </w:rPr>
        <w:t xml:space="preserve">Según el Estudio Socioeconómico y Ambiental de la CRR y Área Complementaria (AySA 2010) hay en la Cuenca </w:t>
      </w:r>
      <w:r>
        <w:rPr>
          <w:rFonts w:ascii="Arial" w:hAnsi="Arial" w:cs="Arial"/>
          <w:sz w:val="16"/>
          <w:szCs w:val="16"/>
        </w:rPr>
        <w:br/>
      </w:r>
      <w:r w:rsidRPr="00805DDB">
        <w:rPr>
          <w:rFonts w:ascii="Arial" w:hAnsi="Arial" w:cs="Arial"/>
          <w:sz w:val="16"/>
          <w:szCs w:val="16"/>
        </w:rPr>
        <w:t xml:space="preserve">258 asentamientos en los que residen 172.396 personas, con un tamaño medio de los asentamientos alcanza a </w:t>
      </w:r>
      <w:r>
        <w:rPr>
          <w:rFonts w:ascii="Arial" w:hAnsi="Arial" w:cs="Arial"/>
          <w:sz w:val="16"/>
          <w:szCs w:val="16"/>
        </w:rPr>
        <w:br/>
      </w:r>
      <w:r w:rsidRPr="00805DDB">
        <w:rPr>
          <w:rFonts w:ascii="Arial" w:hAnsi="Arial" w:cs="Arial"/>
          <w:sz w:val="16"/>
          <w:szCs w:val="16"/>
        </w:rPr>
        <w:t>684 habitantes (</w:t>
      </w:r>
      <w:hyperlink r:id="rId2" w:history="1">
        <w:r w:rsidRPr="00545F8D">
          <w:rPr>
            <w:rStyle w:val="Hyperlink"/>
            <w:rFonts w:ascii="Arial" w:hAnsi="Arial" w:cs="Arial"/>
            <w:sz w:val="16"/>
            <w:szCs w:val="16"/>
          </w:rPr>
          <w:t>enlace</w:t>
        </w:r>
      </w:hyperlink>
      <w:r w:rsidRPr="00805DDB">
        <w:rPr>
          <w:rFonts w:ascii="Arial" w:hAnsi="Arial" w:cs="Arial"/>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8118C"/>
    <w:multiLevelType w:val="multilevel"/>
    <w:tmpl w:val="F3F22DD8"/>
    <w:lvl w:ilvl="0">
      <w:start w:val="1"/>
      <w:numFmt w:val="upperRoman"/>
      <w:lvlRestart w:val="0"/>
      <w:lvlText w:val="%1."/>
      <w:lvlJc w:val="center"/>
      <w:pPr>
        <w:tabs>
          <w:tab w:val="num" w:pos="1800"/>
        </w:tabs>
        <w:ind w:left="1152" w:firstLine="288"/>
      </w:pPr>
      <w:rPr>
        <w:b/>
        <w:i w:val="0"/>
      </w:rPr>
    </w:lvl>
    <w:lvl w:ilvl="1">
      <w:start w:val="1"/>
      <w:numFmt w:val="decimal"/>
      <w:isLgl/>
      <w:lvlText w:val="%1.%2"/>
      <w:lvlJc w:val="left"/>
      <w:pPr>
        <w:tabs>
          <w:tab w:val="num" w:pos="2448"/>
        </w:tabs>
        <w:ind w:left="2448" w:hanging="1296"/>
      </w:pPr>
      <w:rPr>
        <w:rFonts w:ascii="Arial" w:hAnsi="Arial" w:cs="Arial" w:hint="default"/>
        <w:sz w:val="22"/>
      </w:rPr>
    </w:lvl>
    <w:lvl w:ilvl="2">
      <w:start w:val="1"/>
      <w:numFmt w:val="lowerLetter"/>
      <w:lvlText w:val="%3."/>
      <w:lvlJc w:val="left"/>
      <w:pPr>
        <w:tabs>
          <w:tab w:val="num" w:pos="2304"/>
        </w:tabs>
        <w:ind w:left="2304" w:hanging="432"/>
      </w:pPr>
    </w:lvl>
    <w:lvl w:ilvl="3">
      <w:start w:val="1"/>
      <w:numFmt w:val="lowerRoman"/>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1" w15:restartNumberingAfterBreak="0">
    <w:nsid w:val="359B4991"/>
    <w:multiLevelType w:val="multilevel"/>
    <w:tmpl w:val="8A50B0A8"/>
    <w:lvl w:ilvl="0">
      <w:start w:val="1"/>
      <w:numFmt w:val="upperRoman"/>
      <w:lvlRestart w:val="0"/>
      <w:pStyle w:val="Chapter"/>
      <w:lvlText w:val="%1."/>
      <w:lvlJc w:val="center"/>
      <w:pPr>
        <w:tabs>
          <w:tab w:val="num" w:pos="1800"/>
        </w:tabs>
        <w:ind w:left="1152" w:firstLine="288"/>
      </w:pPr>
      <w:rPr>
        <w:rFonts w:hint="default"/>
        <w:b/>
        <w:i w:val="0"/>
      </w:rPr>
    </w:lvl>
    <w:lvl w:ilvl="1">
      <w:start w:val="7"/>
      <w:numFmt w:val="decimal"/>
      <w:pStyle w:val="Paragraph"/>
      <w:isLgl/>
      <w:lvlText w:val="%1.%2"/>
      <w:lvlJc w:val="left"/>
      <w:pPr>
        <w:tabs>
          <w:tab w:val="num" w:pos="1476"/>
        </w:tabs>
        <w:ind w:left="1476" w:hanging="1296"/>
      </w:pPr>
      <w:rPr>
        <w:rFonts w:ascii="Arial" w:hAnsi="Arial" w:cs="Arial" w:hint="default"/>
        <w:b w:val="0"/>
        <w:color w:val="auto"/>
        <w:sz w:val="22"/>
        <w:lang w:val="es-ES"/>
      </w:rPr>
    </w:lvl>
    <w:lvl w:ilvl="2">
      <w:start w:val="1"/>
      <w:numFmt w:val="lowerLetter"/>
      <w:pStyle w:val="subpar"/>
      <w:lvlText w:val="%3."/>
      <w:lvlJc w:val="left"/>
      <w:pPr>
        <w:tabs>
          <w:tab w:val="num" w:pos="2304"/>
        </w:tabs>
        <w:ind w:left="2304" w:hanging="432"/>
      </w:pPr>
      <w:rPr>
        <w:rFonts w:hint="default"/>
      </w:rPr>
    </w:lvl>
    <w:lvl w:ilvl="3">
      <w:start w:val="1"/>
      <w:numFmt w:val="lowerRoman"/>
      <w:pStyle w:val="SubSubPar"/>
      <w:lvlText w:val="%4."/>
      <w:lvlJc w:val="right"/>
      <w:pPr>
        <w:tabs>
          <w:tab w:val="num" w:pos="2736"/>
        </w:tabs>
        <w:ind w:left="2736" w:hanging="288"/>
      </w:pPr>
      <w:rPr>
        <w:rFonts w:hint="default"/>
      </w:rPr>
    </w:lvl>
    <w:lvl w:ilvl="4">
      <w:start w:val="1"/>
      <w:numFmt w:val="decimal"/>
      <w:lvlText w:val="%1.%2.%3.%4.%5"/>
      <w:lvlJc w:val="left"/>
      <w:pPr>
        <w:ind w:left="2160" w:hanging="1008"/>
      </w:pPr>
      <w:rPr>
        <w:rFonts w:hint="default"/>
      </w:rPr>
    </w:lvl>
    <w:lvl w:ilvl="5">
      <w:start w:val="1"/>
      <w:numFmt w:val="decimal"/>
      <w:lvlText w:val="%1.%2.%3.%4.%5.%6"/>
      <w:lvlJc w:val="left"/>
      <w:pPr>
        <w:ind w:left="2304" w:hanging="1152"/>
      </w:pPr>
      <w:rPr>
        <w:rFonts w:hint="default"/>
      </w:rPr>
    </w:lvl>
    <w:lvl w:ilvl="6">
      <w:start w:val="1"/>
      <w:numFmt w:val="decimal"/>
      <w:lvlText w:val="%1.%2.%3.%4.%5.%6.%7"/>
      <w:lvlJc w:val="left"/>
      <w:pPr>
        <w:ind w:left="2448" w:hanging="1296"/>
      </w:pPr>
      <w:rPr>
        <w:rFonts w:hint="default"/>
      </w:rPr>
    </w:lvl>
    <w:lvl w:ilvl="7">
      <w:start w:val="1"/>
      <w:numFmt w:val="decimal"/>
      <w:lvlText w:val="%1.%2.%3.%4.%5.%6.%7.%8"/>
      <w:lvlJc w:val="left"/>
      <w:pPr>
        <w:ind w:left="2592" w:hanging="1440"/>
      </w:pPr>
      <w:rPr>
        <w:rFonts w:hint="default"/>
      </w:rPr>
    </w:lvl>
    <w:lvl w:ilvl="8">
      <w:start w:val="1"/>
      <w:numFmt w:val="decimal"/>
      <w:lvlText w:val="%1.%2.%3.%4.%5.%6.%7.%8.%9"/>
      <w:lvlJc w:val="left"/>
      <w:pPr>
        <w:ind w:left="2736" w:hanging="1584"/>
      </w:pPr>
      <w:rPr>
        <w:rFonts w:hint="default"/>
      </w:rPr>
    </w:lvl>
  </w:abstractNum>
  <w:num w:numId="1">
    <w:abstractNumId w:val="0"/>
  </w:num>
  <w:num w:numId="2">
    <w:abstractNumId w:val="1"/>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87B"/>
    <w:rsid w:val="000669A2"/>
    <w:rsid w:val="0007192E"/>
    <w:rsid w:val="000E2E41"/>
    <w:rsid w:val="00297424"/>
    <w:rsid w:val="0068492A"/>
    <w:rsid w:val="00874A1E"/>
    <w:rsid w:val="009505FD"/>
    <w:rsid w:val="00AE5FD9"/>
    <w:rsid w:val="00AF0F47"/>
    <w:rsid w:val="00B36EED"/>
    <w:rsid w:val="00B62A8B"/>
    <w:rsid w:val="00BF787B"/>
    <w:rsid w:val="00C51E7D"/>
    <w:rsid w:val="00F673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5686C"/>
  <w15:chartTrackingRefBased/>
  <w15:docId w15:val="{33A03425-B001-4E12-88A4-7B709506B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F787B"/>
    <w:pPr>
      <w:spacing w:after="0" w:line="240" w:lineRule="auto"/>
    </w:pPr>
    <w:rPr>
      <w:rFonts w:ascii="Times New Roman" w:eastAsia="Times New Roman" w:hAnsi="Times New Roman" w:cs="Times New Roman"/>
      <w:sz w:val="24"/>
      <w:szCs w:val="20"/>
      <w:lang w:val="es-E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
    <w:name w:val="Chapter"/>
    <w:basedOn w:val="Normal"/>
    <w:next w:val="Normal"/>
    <w:uiPriority w:val="99"/>
    <w:rsid w:val="00BF787B"/>
    <w:pPr>
      <w:keepNext/>
      <w:numPr>
        <w:numId w:val="2"/>
      </w:numPr>
      <w:tabs>
        <w:tab w:val="left" w:pos="1440"/>
      </w:tabs>
      <w:spacing w:before="240" w:after="240"/>
      <w:jc w:val="center"/>
    </w:pPr>
    <w:rPr>
      <w:b/>
      <w:smallCaps/>
    </w:rPr>
  </w:style>
  <w:style w:type="paragraph" w:customStyle="1" w:styleId="Paragraph">
    <w:name w:val="Paragraph"/>
    <w:aliases w:val="p,PARAGRAPH,PG,pa,at,paragraph"/>
    <w:basedOn w:val="BodyTextIndent"/>
    <w:link w:val="ParagraphChar"/>
    <w:rsid w:val="00BF787B"/>
    <w:pPr>
      <w:numPr>
        <w:ilvl w:val="1"/>
        <w:numId w:val="2"/>
      </w:numPr>
      <w:spacing w:before="120"/>
      <w:jc w:val="both"/>
      <w:outlineLvl w:val="1"/>
    </w:pPr>
  </w:style>
  <w:style w:type="paragraph" w:customStyle="1" w:styleId="subpar">
    <w:name w:val="subpar"/>
    <w:basedOn w:val="BodyTextIndent3"/>
    <w:rsid w:val="00BF787B"/>
    <w:pPr>
      <w:numPr>
        <w:ilvl w:val="2"/>
        <w:numId w:val="2"/>
      </w:numPr>
      <w:tabs>
        <w:tab w:val="clear" w:pos="2304"/>
        <w:tab w:val="num" w:pos="360"/>
      </w:tabs>
      <w:spacing w:before="120"/>
      <w:ind w:left="360" w:firstLine="0"/>
      <w:jc w:val="both"/>
      <w:outlineLvl w:val="2"/>
    </w:pPr>
    <w:rPr>
      <w:sz w:val="24"/>
      <w:szCs w:val="20"/>
    </w:rPr>
  </w:style>
  <w:style w:type="paragraph" w:customStyle="1" w:styleId="SubSubPar">
    <w:name w:val="SubSubPar"/>
    <w:basedOn w:val="subpar"/>
    <w:uiPriority w:val="99"/>
    <w:rsid w:val="00BF787B"/>
    <w:pPr>
      <w:numPr>
        <w:ilvl w:val="3"/>
      </w:numPr>
      <w:tabs>
        <w:tab w:val="clear" w:pos="2736"/>
        <w:tab w:val="left" w:pos="0"/>
        <w:tab w:val="num" w:pos="360"/>
        <w:tab w:val="num" w:pos="1296"/>
      </w:tabs>
      <w:ind w:left="1296"/>
    </w:pPr>
  </w:style>
  <w:style w:type="character" w:customStyle="1" w:styleId="ParagraphChar">
    <w:name w:val="Paragraph Char"/>
    <w:link w:val="Paragraph"/>
    <w:locked/>
    <w:rsid w:val="00BF787B"/>
    <w:rPr>
      <w:rFonts w:ascii="Times New Roman" w:eastAsia="Times New Roman" w:hAnsi="Times New Roman" w:cs="Times New Roman"/>
      <w:sz w:val="24"/>
      <w:szCs w:val="20"/>
      <w:lang w:val="es-ES" w:eastAsia="en-US"/>
    </w:rPr>
  </w:style>
  <w:style w:type="paragraph" w:styleId="BodyTextIndent">
    <w:name w:val="Body Text Indent"/>
    <w:basedOn w:val="Normal"/>
    <w:link w:val="BodyTextIndentChar"/>
    <w:uiPriority w:val="99"/>
    <w:semiHidden/>
    <w:unhideWhenUsed/>
    <w:rsid w:val="00BF787B"/>
    <w:pPr>
      <w:spacing w:after="120"/>
      <w:ind w:left="360"/>
    </w:pPr>
  </w:style>
  <w:style w:type="character" w:customStyle="1" w:styleId="BodyTextIndentChar">
    <w:name w:val="Body Text Indent Char"/>
    <w:basedOn w:val="DefaultParagraphFont"/>
    <w:link w:val="BodyTextIndent"/>
    <w:uiPriority w:val="99"/>
    <w:semiHidden/>
    <w:rsid w:val="00BF787B"/>
  </w:style>
  <w:style w:type="paragraph" w:styleId="BodyTextIndent3">
    <w:name w:val="Body Text Indent 3"/>
    <w:basedOn w:val="Normal"/>
    <w:link w:val="BodyTextIndent3Char"/>
    <w:uiPriority w:val="99"/>
    <w:semiHidden/>
    <w:unhideWhenUsed/>
    <w:rsid w:val="00BF787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F787B"/>
    <w:rPr>
      <w:sz w:val="16"/>
      <w:szCs w:val="16"/>
    </w:rPr>
  </w:style>
  <w:style w:type="paragraph" w:styleId="FootnoteText">
    <w:name w:val="footnote text"/>
    <w:aliases w:val="fn,foottextfra,footnote,F,single space,footnote text,texto de nota al pie,Nota a pie/Bibliog,Texto de rodapé,nota_rodapé,nota de rodapé,Texto nota pie IIRSA,Texto nota pie Car Car,ft,FOOTNOTES, Car,Car,Texto nota piepddes Car Car,Footnote"/>
    <w:basedOn w:val="Normal"/>
    <w:link w:val="FootnoteTextChar"/>
    <w:qFormat/>
    <w:rsid w:val="00BF787B"/>
    <w:pPr>
      <w:keepNext/>
      <w:keepLines/>
      <w:spacing w:after="120"/>
      <w:ind w:left="288" w:hanging="288"/>
      <w:jc w:val="both"/>
    </w:pPr>
    <w:rPr>
      <w:spacing w:val="-3"/>
      <w:sz w:val="20"/>
    </w:rPr>
  </w:style>
  <w:style w:type="character" w:customStyle="1" w:styleId="FootnoteTextChar">
    <w:name w:val="Footnote Text Char"/>
    <w:aliases w:val="fn Char,foottextfra Char,footnote Char,F Char,single space Char,footnote text Char,texto de nota al pie Char,Nota a pie/Bibliog Char,Texto de rodapé Char,nota_rodapé Char,nota de rodapé Char,Texto nota pie IIRSA Char,ft Char, Car Char"/>
    <w:basedOn w:val="DefaultParagraphFont"/>
    <w:link w:val="FootnoteText"/>
    <w:rsid w:val="00BF787B"/>
    <w:rPr>
      <w:rFonts w:ascii="Times New Roman" w:eastAsia="Times New Roman" w:hAnsi="Times New Roman" w:cs="Times New Roman"/>
      <w:spacing w:val="-3"/>
      <w:sz w:val="20"/>
      <w:szCs w:val="20"/>
      <w:lang w:val="es-ES" w:eastAsia="en-US"/>
    </w:rPr>
  </w:style>
  <w:style w:type="character" w:styleId="Hyperlink">
    <w:name w:val="Hyperlink"/>
    <w:basedOn w:val="DefaultParagraphFont"/>
    <w:uiPriority w:val="99"/>
    <w:rsid w:val="00BF787B"/>
    <w:rPr>
      <w:color w:val="0000FF"/>
      <w:u w:val="single"/>
    </w:rPr>
  </w:style>
  <w:style w:type="character" w:styleId="FootnoteReference">
    <w:name w:val="footnote reference"/>
    <w:aliases w:val="FC,referencia nota al pie,Ref. de nota al pie.,pie pddes,16 Point,Superscript 6 Point,(Ref. de nota al pie),Referência a notas de rodapé,Fußnotenzeichen DISS,ftref,BVI fnr, BVI fnr,Знак сноски 1"/>
    <w:basedOn w:val="DefaultParagraphFont"/>
    <w:uiPriority w:val="99"/>
    <w:rsid w:val="00BF787B"/>
    <w:rPr>
      <w:vertAlign w:val="superscript"/>
    </w:rPr>
  </w:style>
  <w:style w:type="paragraph" w:customStyle="1" w:styleId="Newpage">
    <w:name w:val="Newpage"/>
    <w:basedOn w:val="Chapter"/>
    <w:rsid w:val="00BF787B"/>
    <w:pPr>
      <w:numPr>
        <w:numId w:val="0"/>
      </w:numPr>
      <w:tabs>
        <w:tab w:val="clear" w:pos="1440"/>
        <w:tab w:val="left" w:pos="3060"/>
      </w:tabs>
      <w:spacing w:after="0"/>
    </w:pPr>
  </w:style>
  <w:style w:type="paragraph" w:styleId="Header">
    <w:name w:val="header"/>
    <w:basedOn w:val="Normal"/>
    <w:link w:val="HeaderChar"/>
    <w:uiPriority w:val="99"/>
    <w:unhideWhenUsed/>
    <w:rsid w:val="000E2E41"/>
    <w:pPr>
      <w:tabs>
        <w:tab w:val="center" w:pos="4680"/>
        <w:tab w:val="right" w:pos="9360"/>
      </w:tabs>
    </w:pPr>
  </w:style>
  <w:style w:type="character" w:customStyle="1" w:styleId="HeaderChar">
    <w:name w:val="Header Char"/>
    <w:basedOn w:val="DefaultParagraphFont"/>
    <w:link w:val="Header"/>
    <w:uiPriority w:val="99"/>
    <w:rsid w:val="000E2E41"/>
    <w:rPr>
      <w:rFonts w:ascii="Times New Roman" w:eastAsia="Times New Roman" w:hAnsi="Times New Roman" w:cs="Times New Roman"/>
      <w:sz w:val="24"/>
      <w:szCs w:val="20"/>
      <w:lang w:val="es-ES" w:eastAsia="en-US"/>
    </w:rPr>
  </w:style>
  <w:style w:type="paragraph" w:styleId="Footer">
    <w:name w:val="footer"/>
    <w:basedOn w:val="Normal"/>
    <w:link w:val="FooterChar"/>
    <w:uiPriority w:val="99"/>
    <w:unhideWhenUsed/>
    <w:rsid w:val="000E2E41"/>
    <w:pPr>
      <w:tabs>
        <w:tab w:val="center" w:pos="4680"/>
        <w:tab w:val="right" w:pos="9360"/>
      </w:tabs>
    </w:pPr>
  </w:style>
  <w:style w:type="character" w:customStyle="1" w:styleId="FooterChar">
    <w:name w:val="Footer Char"/>
    <w:basedOn w:val="DefaultParagraphFont"/>
    <w:link w:val="Footer"/>
    <w:uiPriority w:val="99"/>
    <w:rsid w:val="000E2E41"/>
    <w:rPr>
      <w:rFonts w:ascii="Times New Roman" w:eastAsia="Times New Roman" w:hAnsi="Times New Roman" w:cs="Times New Roman"/>
      <w:sz w:val="24"/>
      <w:szCs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idbdocs.iadb.org/wsdocs/getDocument.aspx?DOCNUM=38572537" TargetMode="External"/><Relationship Id="rId1" Type="http://schemas.openxmlformats.org/officeDocument/2006/relationships/hyperlink" Target="http://www.mininterior.gov.ar/plan/componente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962</Words>
  <Characters>5489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Machado, Kleber B.</dc:creator>
  <cp:keywords/>
  <dc:description/>
  <cp:lastModifiedBy>Lopez, Liliana M.</cp:lastModifiedBy>
  <cp:revision>7</cp:revision>
  <dcterms:created xsi:type="dcterms:W3CDTF">2017-07-06T21:18:00Z</dcterms:created>
  <dcterms:modified xsi:type="dcterms:W3CDTF">2017-07-06T21:38:00Z</dcterms:modified>
</cp:coreProperties>
</file>