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37595860"/>
        <w:docPartObj>
          <w:docPartGallery w:val="Cover Pages"/>
          <w:docPartUnique/>
        </w:docPartObj>
      </w:sdtPr>
      <w:sdtEndPr/>
      <w:sdtContent>
        <w:p w14:paraId="7AD0607A" w14:textId="77777777" w:rsidR="00D269D7" w:rsidRDefault="00D269D7" w:rsidP="00E25E91">
          <w:r>
            <w:rPr>
              <w:noProof/>
            </w:rPr>
            <mc:AlternateContent>
              <mc:Choice Requires="wps">
                <w:drawing>
                  <wp:anchor distT="0" distB="0" distL="114300" distR="114300" simplePos="0" relativeHeight="251654144" behindDoc="0" locked="0" layoutInCell="1" allowOverlap="1" wp14:anchorId="0C21AB3D" wp14:editId="64F45F18">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461000" cy="9655810"/>
                    <wp:effectExtent l="0" t="0" r="6350" b="2540"/>
                    <wp:wrapNone/>
                    <wp:docPr id="47" name="Rectángulo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6100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A0EC45" w14:textId="7E02EA9A" w:rsidR="00DB6731" w:rsidRDefault="00DB6731" w:rsidP="00E25E91">
                                <w:pPr>
                                  <w:pStyle w:val="Title"/>
                                </w:pPr>
                                <w:r>
                                  <w:t>ESTIMACIÓN DE POSIBLES COSTOS ADICIONALES.</w:t>
                                </w:r>
                              </w:p>
                              <w:p w14:paraId="50EF23DC" w14:textId="4C2C6898" w:rsidR="00DB6731" w:rsidRDefault="00B96D20" w:rsidP="00B65077">
                                <w:r>
                                  <w:t>PROYECTO DE RECONSTRUCCIÓN DEL TRAMO MAIRANA-BERMEJO</w:t>
                                </w:r>
                              </w:p>
                              <w:p w14:paraId="45C3FCE7" w14:textId="620F4B06" w:rsidR="00DB6731" w:rsidRDefault="00DB6731" w:rsidP="00B65077"/>
                              <w:p w14:paraId="734E0FE6" w14:textId="6E1A995D" w:rsidR="00DB6731" w:rsidRDefault="00DB6731" w:rsidP="00B65077">
                                <w:r w:rsidRPr="006D3C69">
                                  <w:t xml:space="preserve">PRESTAMO BID </w:t>
                                </w:r>
                                <w:r w:rsidR="00D314CC">
                                  <w:t>BO</w:t>
                                </w:r>
                                <w:r>
                                  <w:t>-L1186</w:t>
                                </w:r>
                              </w:p>
                              <w:p w14:paraId="7FBE07C8" w14:textId="77777777" w:rsidR="00DB6731" w:rsidRPr="00B65077" w:rsidRDefault="00DB6731" w:rsidP="00B65077"/>
                              <w:p w14:paraId="13DC07A7" w14:textId="77777777" w:rsidR="00DB6731" w:rsidRDefault="00DB6731" w:rsidP="00E25E91"/>
                              <w:p w14:paraId="50BCAA7E" w14:textId="048C00C2" w:rsidR="00DB6731" w:rsidRDefault="00DB6731" w:rsidP="00E25E91">
                                <w:r>
                                  <w:t xml:space="preserve">PROYECTO: </w:t>
                                </w:r>
                                <w:r>
                                  <w:rPr>
                                    <w:u w:val="single"/>
                                  </w:rPr>
                                  <w:t>TRAMO MAIRANA-BERMEJO DE LA CARRETERA ANGOSTURA-COMARAPA</w:t>
                                </w:r>
                              </w:p>
                              <w:p w14:paraId="44B48ABB" w14:textId="77777777" w:rsidR="00DB6731" w:rsidRDefault="00DB6731" w:rsidP="00E25E91"/>
                              <w:p w14:paraId="3AA06724" w14:textId="77777777" w:rsidR="00DB6731" w:rsidRDefault="00DB6731" w:rsidP="00E25E91"/>
                              <w:p w14:paraId="7B1E4331" w14:textId="5F0EE731" w:rsidR="00DB6731" w:rsidRDefault="00DB6731" w:rsidP="00E25E91">
                                <w:r>
                                  <w:t>Mayo de 2017</w:t>
                                </w: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21AB3D" id="Rectángulo 47" o:spid="_x0000_s1026" style="position:absolute;left:0;text-align:left;margin-left:0;margin-top:0;width:430pt;height:760.3pt;z-index:251654144;visibility:visible;mso-wrap-style:square;mso-width-percent:0;mso-height-percent:0;mso-left-percent:20;mso-top-percent:20;mso-wrap-distance-left:9pt;mso-wrap-distance-top:0;mso-wrap-distance-right:9pt;mso-wrap-distance-bottom:0;mso-position-horizontal-relative:page;mso-position-vertical-relative:page;mso-width-percent:0;mso-height-percent: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" fillcolor="#4f81bd [3204]" stroked="f" strokeweight="2pt">
                    <v:textbox inset="21.6pt,1in,21.6pt">
                      <w:txbxContent>
                        <w:p w14:paraId="48A0EC45" w14:textId="7E02EA9A" w:rsidR="00DB6731" w:rsidRDefault="00DB6731" w:rsidP="00E25E91">
                          <w:pPr>
                            <w:pStyle w:val="Title"/>
                          </w:pPr>
                          <w:r>
                            <w:t>ESTIMACIÓN DE POSIBLES COSTOS ADICIONALES.</w:t>
                          </w:r>
                        </w:p>
                        <w:p w14:paraId="50EF23DC" w14:textId="4C2C6898" w:rsidR="00DB6731" w:rsidRDefault="00B96D20" w:rsidP="00B65077">
                          <w:r>
                            <w:t>PROYECTO DE RECONSTRUCCIÓN DEL TRAMO MAIRANA-BERMEJO</w:t>
                          </w:r>
                        </w:p>
                        <w:p w14:paraId="45C3FCE7" w14:textId="620F4B06" w:rsidR="00DB6731" w:rsidRDefault="00DB6731" w:rsidP="00B65077"/>
                        <w:p w14:paraId="734E0FE6" w14:textId="6E1A995D" w:rsidR="00DB6731" w:rsidRDefault="00DB6731" w:rsidP="00B65077">
                          <w:r w:rsidRPr="006D3C69">
                            <w:t xml:space="preserve">PRESTAMO BID </w:t>
                          </w:r>
                          <w:r w:rsidR="00D314CC">
                            <w:t>BO</w:t>
                          </w:r>
                          <w:r>
                            <w:t>-L1186</w:t>
                          </w:r>
                        </w:p>
                        <w:p w14:paraId="7FBE07C8" w14:textId="77777777" w:rsidR="00DB6731" w:rsidRPr="00B65077" w:rsidRDefault="00DB6731" w:rsidP="00B65077"/>
                        <w:p w14:paraId="13DC07A7" w14:textId="77777777" w:rsidR="00DB6731" w:rsidRDefault="00DB6731" w:rsidP="00E25E91"/>
                        <w:p w14:paraId="50BCAA7E" w14:textId="048C00C2" w:rsidR="00DB6731" w:rsidRDefault="00DB6731" w:rsidP="00E25E91">
                          <w:r>
                            <w:t xml:space="preserve">PROYECTO: </w:t>
                          </w:r>
                          <w:r>
                            <w:rPr>
                              <w:u w:val="single"/>
                            </w:rPr>
                            <w:t>TRAMO MAIRANA-BERMEJO DE LA CARRETERA ANGOSTURA-COMARAPA</w:t>
                          </w:r>
                        </w:p>
                        <w:p w14:paraId="44B48ABB" w14:textId="77777777" w:rsidR="00DB6731" w:rsidRDefault="00DB6731" w:rsidP="00E25E91"/>
                        <w:p w14:paraId="3AA06724" w14:textId="77777777" w:rsidR="00DB6731" w:rsidRDefault="00DB6731" w:rsidP="00E25E91"/>
                        <w:p w14:paraId="7B1E4331" w14:textId="5F0EE731" w:rsidR="00DB6731" w:rsidRDefault="00DB6731" w:rsidP="00E25E91">
                          <w:r>
                            <w:t>Mayo de 2017</w:t>
                          </w:r>
                        </w:p>
                      </w:txbxContent>
                    </v:textbox>
                    <w10:wrap anchorx="page" anchory="page"/>
                  </v:rect>
                </w:pict>
              </mc:Fallback>
            </mc:AlternateContent>
          </w:r>
          <w:r>
            <w:rPr>
              <w:noProof/>
            </w:rPr>
            <mc:AlternateContent>
              <mc:Choice Requires="wps">
                <w:drawing>
                  <wp:anchor distT="0" distB="0" distL="114300" distR="114300" simplePos="0" relativeHeight="251655168" behindDoc="0" locked="0" layoutInCell="1" allowOverlap="1" wp14:anchorId="27B510FE" wp14:editId="6CE5DB0C">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0" b="0"/>
                    <wp:wrapNone/>
                    <wp:docPr id="48" name="Rectángulo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olor w:val="FFFFFF" w:themeColor="background1"/>
                                    <w:sz w:val="20"/>
                                    <w:szCs w:val="20"/>
                                  </w:rPr>
                                  <w:alias w:val="Subtítulo"/>
                                  <w:id w:val="1090039369"/>
                                  <w:showingPlcHdr/>
                                  <w:dataBinding w:prefixMappings="xmlns:ns0='http://schemas.openxmlformats.org/package/2006/metadata/core-properties' xmlns:ns1='http://purl.org/dc/elements/1.1/'" w:xpath="/ns0:coreProperties[1]/ns1:subject[1]" w:storeItemID="{6C3C8BC8-F283-45AE-878A-BAB7291924A1}"/>
                                  <w:text/>
                                </w:sdtPr>
                                <w:sdtEndPr/>
                                <w:sdtContent>
                                  <w:p w14:paraId="761966C4" w14:textId="65586526" w:rsidR="00DB6731" w:rsidRDefault="00DB6731" w:rsidP="00E3498C">
                                    <w:pPr>
                                      <w:pStyle w:val="Subtitle"/>
                                      <w:jc w:val="left"/>
                                    </w:pPr>
                                    <w:r>
                                      <w:rPr>
                                        <w:b/>
                                        <w:color w:val="FFFFFF" w:themeColor="background1"/>
                                        <w:sz w:val="20"/>
                                        <w:szCs w:val="20"/>
                                      </w:rPr>
                                      <w:t xml:space="preserve">     </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27B510FE" id="Rectángulo 48" o:spid="_x0000_s1027" style="position:absolute;left:0;text-align:left;margin-left:0;margin-top:0;width:148.1pt;height:760.3pt;z-index:25165516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" fillcolor="#1f497d [3215]" stroked="f" strokeweight="2pt">
                    <v:path arrowok="t"/>
                    <v:textbox inset="14.4pt,,14.4pt">
                      <w:txbxContent>
                        <w:sdt>
                          <w:sdtPr>
                            <w:rPr>
                              <w:b/>
                              <w:color w:val="FFFFFF" w:themeColor="background1"/>
                              <w:sz w:val="20"/>
                              <w:szCs w:val="20"/>
                            </w:rPr>
                            <w:alias w:val="Subtítulo"/>
                            <w:id w:val="1090039369"/>
                            <w:showingPlcHdr/>
                            <w:dataBinding w:prefixMappings="xmlns:ns0='http://schemas.openxmlformats.org/package/2006/metadata/core-properties' xmlns:ns1='http://purl.org/dc/elements/1.1/'" w:xpath="/ns0:coreProperties[1]/ns1:subject[1]" w:storeItemID="{6C3C8BC8-F283-45AE-878A-BAB7291924A1}"/>
                            <w:text/>
                          </w:sdtPr>
                          <w:sdtContent>
                            <w:p w14:paraId="761966C4" w14:textId="65586526" w:rsidR="00DB6731" w:rsidRDefault="00DB6731" w:rsidP="00E3498C">
                              <w:pPr>
                                <w:pStyle w:val="Subttulo"/>
                                <w:jc w:val="left"/>
                              </w:pPr>
                              <w:r>
                                <w:rPr>
                                  <w:b/>
                                  <w:color w:val="FFFFFF" w:themeColor="background1"/>
                                  <w:sz w:val="20"/>
                                  <w:szCs w:val="20"/>
                                </w:rPr>
                                <w:t xml:space="preserve">     </w:t>
                              </w:r>
                            </w:p>
                          </w:sdtContent>
                        </w:sdt>
                      </w:txbxContent>
                    </v:textbox>
                    <w10:wrap anchorx="page" anchory="page"/>
                  </v:rect>
                </w:pict>
              </mc:Fallback>
            </mc:AlternateContent>
          </w:r>
        </w:p>
        <w:p w14:paraId="2712339D" w14:textId="77777777" w:rsidR="00D269D7" w:rsidRDefault="00D269D7" w:rsidP="00E25E91"/>
        <w:p w14:paraId="0052DB4A" w14:textId="2A101205" w:rsidR="00D269D7" w:rsidRDefault="00E25E91" w:rsidP="00E25E91">
          <w:pPr>
            <w:rPr>
              <w:rFonts w:eastAsiaTheme="majorEastAsia" w:cstheme="majorBidi"/>
              <w:b/>
              <w:bCs/>
              <w:color w:val="365F91" w:themeColor="accent1" w:themeShade="BF"/>
            </w:rPr>
          </w:pPr>
          <w:r>
            <w:rPr>
              <w:noProof/>
            </w:rPr>
            <mc:AlternateContent>
              <mc:Choice Requires="wps">
                <w:drawing>
                  <wp:anchor distT="0" distB="0" distL="114300" distR="114300" simplePos="0" relativeHeight="251659264" behindDoc="0" locked="0" layoutInCell="1" allowOverlap="1" wp14:anchorId="45900C5A" wp14:editId="71D1FE5D">
                    <wp:simplePos x="0" y="0"/>
                    <wp:positionH relativeFrom="column">
                      <wp:posOffset>-632460</wp:posOffset>
                    </wp:positionH>
                    <wp:positionV relativeFrom="paragraph">
                      <wp:posOffset>7221854</wp:posOffset>
                    </wp:positionV>
                    <wp:extent cx="4962525" cy="1152525"/>
                    <wp:effectExtent l="0" t="0" r="28575" b="28575"/>
                    <wp:wrapNone/>
                    <wp:docPr id="6" name="Cuadro de texto 6"/>
                    <wp:cNvGraphicFramePr/>
                    <a:graphic xmlns:a="http://schemas.openxmlformats.org/drawingml/2006/main">
                      <a:graphicData uri="http://schemas.microsoft.com/office/word/2010/wordprocessingShape">
                        <wps:wsp>
                          <wps:cNvSpPr txBox="1"/>
                          <wps:spPr>
                            <a:xfrm>
                              <a:off x="0" y="0"/>
                              <a:ext cx="4962525"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9BBED3" w14:textId="48F392EF" w:rsidR="00DB6731" w:rsidRPr="00E25E91" w:rsidRDefault="00DB6731" w:rsidP="00E25E91">
                                <w:r w:rsidRPr="00E25E91">
                                  <w:rPr>
                                    <w:shd w:val="clear" w:color="auto" w:fill="FFFFFF"/>
                                  </w:rPr>
                                  <w:t>El presente documento fue elaborado por el Ing. Leonardo Vásquez Samacá, consultor contratado por el Banco Interamericano de Desarrollo en el marco de la preparación de la presente operación. Cualquier concepto vertido en este análisis es responsabilidad exclusiva del consultor y no refleja la posición oficial del BID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900C5A" id="_x0000_t202" coordsize="21600,21600" o:spt="202" path="m,l,21600r21600,l21600,xe">
                    <v:stroke joinstyle="miter"/>
                    <v:path gradientshapeok="t" o:connecttype="rect"/>
                  </v:shapetype>
                  <v:shape id="Cuadro de texto 6" o:spid="_x0000_s1028" type="#_x0000_t202" style="position:absolute;left:0;text-align:left;margin-left:-49.8pt;margin-top:568.65pt;width:390.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" fillcolor="white [3201]" strokeweight=".5pt">
                    <v:textbox>
                      <w:txbxContent>
                        <w:p w14:paraId="0F9BBED3" w14:textId="48F392EF" w:rsidR="00DB6731" w:rsidRPr="00E25E91" w:rsidRDefault="00DB6731" w:rsidP="00E25E91">
                          <w:r w:rsidRPr="00E25E91">
                            <w:rPr>
                              <w:shd w:val="clear" w:color="auto" w:fill="FFFFFF"/>
                            </w:rPr>
                            <w:t xml:space="preserve">El presente documento fue elaborado por el Ing. Leonardo Vásquez </w:t>
                          </w:r>
                          <w:proofErr w:type="spellStart"/>
                          <w:r w:rsidRPr="00E25E91">
                            <w:rPr>
                              <w:shd w:val="clear" w:color="auto" w:fill="FFFFFF"/>
                            </w:rPr>
                            <w:t>Samacá</w:t>
                          </w:r>
                          <w:proofErr w:type="spellEnd"/>
                          <w:r w:rsidRPr="00E25E91">
                            <w:rPr>
                              <w:shd w:val="clear" w:color="auto" w:fill="FFFFFF"/>
                            </w:rPr>
                            <w:t>, consultor contratado por el Banco Interamericano de Desarrollo en el marco de la preparación de la presente operación. Cualquier concepto vertido en este análisis es responsabilidad exclusiva del consultor y no refleja la posición oficial del BID</w:t>
                          </w:r>
                        </w:p>
                      </w:txbxContent>
                    </v:textbox>
                  </v:shape>
                </w:pict>
              </mc:Fallback>
            </mc:AlternateContent>
          </w:r>
          <w:r w:rsidR="00D269D7">
            <w:br w:type="page"/>
          </w:r>
        </w:p>
      </w:sdtContent>
    </w:sdt>
    <w:bookmarkStart w:id="0" w:name="_Toc484602598" w:displacedByCustomXml="next"/>
    <w:sdt>
      <w:sdtPr>
        <w:rPr>
          <w:rFonts w:ascii="Times New Roman" w:eastAsia="Times New Roman" w:hAnsi="Times New Roman" w:cs="Times New Roman"/>
          <w:b w:val="0"/>
          <w:bCs w:val="0"/>
          <w:color w:val="auto"/>
          <w:sz w:val="24"/>
          <w:szCs w:val="24"/>
          <w:lang w:val="es-ES"/>
        </w:rPr>
        <w:id w:val="-1902429079"/>
        <w:docPartObj>
          <w:docPartGallery w:val="Table of Contents"/>
          <w:docPartUnique/>
        </w:docPartObj>
      </w:sdtPr>
      <w:sdtEndPr>
        <w:rPr>
          <w:rFonts w:ascii="Arial" w:hAnsi="Arial" w:cs="Arial"/>
        </w:rPr>
      </w:sdtEndPr>
      <w:sdtContent>
        <w:p w14:paraId="383B0715" w14:textId="53D68D41" w:rsidR="004C6A45" w:rsidRDefault="004C6A45" w:rsidP="00E24A23">
          <w:pPr>
            <w:pStyle w:val="Heading1"/>
            <w:numPr>
              <w:ilvl w:val="0"/>
              <w:numId w:val="0"/>
            </w:numPr>
            <w:ind w:left="432" w:hanging="432"/>
            <w:rPr>
              <w:lang w:val="es-ES"/>
            </w:rPr>
          </w:pPr>
          <w:r>
            <w:rPr>
              <w:lang w:val="es-ES"/>
            </w:rPr>
            <w:t>Contenido</w:t>
          </w:r>
          <w:bookmarkEnd w:id="0"/>
        </w:p>
        <w:p w14:paraId="68F5CF67" w14:textId="77777777" w:rsidR="00E24A23" w:rsidRPr="00E24A23" w:rsidRDefault="00E24A23" w:rsidP="00E24A23">
          <w:pPr>
            <w:rPr>
              <w:lang w:val="es-ES"/>
            </w:rPr>
          </w:pPr>
        </w:p>
        <w:p w14:paraId="03991623" w14:textId="3B0A291D" w:rsidR="00A93E4A" w:rsidRDefault="004C6A45">
          <w:pPr>
            <w:pStyle w:val="TOC1"/>
            <w:tabs>
              <w:tab w:val="right" w:leader="dot" w:pos="8828"/>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84602598" w:history="1">
            <w:r w:rsidR="00A93E4A" w:rsidRPr="00DF59A8">
              <w:rPr>
                <w:rStyle w:val="Hyperlink"/>
                <w:noProof/>
                <w:lang w:val="es-ES"/>
              </w:rPr>
              <w:t>Contenido</w:t>
            </w:r>
            <w:r w:rsidR="00A93E4A">
              <w:rPr>
                <w:noProof/>
                <w:webHidden/>
              </w:rPr>
              <w:tab/>
            </w:r>
            <w:r w:rsidR="00A93E4A">
              <w:rPr>
                <w:noProof/>
                <w:webHidden/>
              </w:rPr>
              <w:fldChar w:fldCharType="begin"/>
            </w:r>
            <w:r w:rsidR="00A93E4A">
              <w:rPr>
                <w:noProof/>
                <w:webHidden/>
              </w:rPr>
              <w:instrText xml:space="preserve"> PAGEREF _Toc484602598 \h </w:instrText>
            </w:r>
            <w:r w:rsidR="00A93E4A">
              <w:rPr>
                <w:noProof/>
                <w:webHidden/>
              </w:rPr>
            </w:r>
            <w:r w:rsidR="00A93E4A">
              <w:rPr>
                <w:noProof/>
                <w:webHidden/>
              </w:rPr>
              <w:fldChar w:fldCharType="separate"/>
            </w:r>
            <w:r w:rsidR="00011CB8">
              <w:rPr>
                <w:noProof/>
                <w:webHidden/>
              </w:rPr>
              <w:t>2</w:t>
            </w:r>
            <w:r w:rsidR="00A93E4A">
              <w:rPr>
                <w:noProof/>
                <w:webHidden/>
              </w:rPr>
              <w:fldChar w:fldCharType="end"/>
            </w:r>
          </w:hyperlink>
        </w:p>
        <w:p w14:paraId="22F2E1F5" w14:textId="4E418289" w:rsidR="00A93E4A" w:rsidRDefault="001D1E64">
          <w:pPr>
            <w:pStyle w:val="TOC1"/>
            <w:tabs>
              <w:tab w:val="right" w:leader="dot" w:pos="8828"/>
            </w:tabs>
            <w:rPr>
              <w:rFonts w:asciiTheme="minorHAnsi" w:eastAsiaTheme="minorEastAsia" w:hAnsiTheme="minorHAnsi" w:cstheme="minorBidi"/>
              <w:noProof/>
              <w:sz w:val="22"/>
              <w:szCs w:val="22"/>
            </w:rPr>
          </w:pPr>
          <w:hyperlink w:anchor="_Toc484602599" w:history="1">
            <w:r w:rsidR="00A93E4A" w:rsidRPr="00DF59A8">
              <w:rPr>
                <w:rStyle w:val="Hyperlink"/>
                <w:noProof/>
              </w:rPr>
              <w:t>Glosario</w:t>
            </w:r>
            <w:r w:rsidR="00A93E4A">
              <w:rPr>
                <w:noProof/>
                <w:webHidden/>
              </w:rPr>
              <w:tab/>
            </w:r>
            <w:r w:rsidR="00A93E4A">
              <w:rPr>
                <w:noProof/>
                <w:webHidden/>
              </w:rPr>
              <w:fldChar w:fldCharType="begin"/>
            </w:r>
            <w:r w:rsidR="00A93E4A">
              <w:rPr>
                <w:noProof/>
                <w:webHidden/>
              </w:rPr>
              <w:instrText xml:space="preserve"> PAGEREF _Toc484602599 \h </w:instrText>
            </w:r>
            <w:r w:rsidR="00A93E4A">
              <w:rPr>
                <w:noProof/>
                <w:webHidden/>
              </w:rPr>
            </w:r>
            <w:r w:rsidR="00A93E4A">
              <w:rPr>
                <w:noProof/>
                <w:webHidden/>
              </w:rPr>
              <w:fldChar w:fldCharType="separate"/>
            </w:r>
            <w:r w:rsidR="00011CB8">
              <w:rPr>
                <w:noProof/>
                <w:webHidden/>
              </w:rPr>
              <w:t>5</w:t>
            </w:r>
            <w:r w:rsidR="00A93E4A">
              <w:rPr>
                <w:noProof/>
                <w:webHidden/>
              </w:rPr>
              <w:fldChar w:fldCharType="end"/>
            </w:r>
          </w:hyperlink>
        </w:p>
        <w:p w14:paraId="5AD3320B" w14:textId="39E500E2" w:rsidR="00A93E4A" w:rsidRDefault="001D1E64">
          <w:pPr>
            <w:pStyle w:val="TOC1"/>
            <w:tabs>
              <w:tab w:val="left" w:pos="440"/>
              <w:tab w:val="right" w:leader="dot" w:pos="8828"/>
            </w:tabs>
            <w:rPr>
              <w:rFonts w:asciiTheme="minorHAnsi" w:eastAsiaTheme="minorEastAsia" w:hAnsiTheme="minorHAnsi" w:cstheme="minorBidi"/>
              <w:noProof/>
              <w:sz w:val="22"/>
              <w:szCs w:val="22"/>
            </w:rPr>
          </w:pPr>
          <w:hyperlink w:anchor="_Toc484602600" w:history="1">
            <w:r w:rsidR="00A93E4A" w:rsidRPr="00DF59A8">
              <w:rPr>
                <w:rStyle w:val="Hyperlink"/>
                <w:noProof/>
              </w:rPr>
              <w:t>1</w:t>
            </w:r>
            <w:r w:rsidR="00A93E4A">
              <w:rPr>
                <w:rFonts w:asciiTheme="minorHAnsi" w:eastAsiaTheme="minorEastAsia" w:hAnsiTheme="minorHAnsi" w:cstheme="minorBidi"/>
                <w:noProof/>
                <w:sz w:val="22"/>
                <w:szCs w:val="22"/>
              </w:rPr>
              <w:tab/>
            </w:r>
            <w:r w:rsidR="00A93E4A" w:rsidRPr="00DF59A8">
              <w:rPr>
                <w:rStyle w:val="Hyperlink"/>
                <w:noProof/>
              </w:rPr>
              <w:t>Resumen Ejecutivo</w:t>
            </w:r>
            <w:r w:rsidR="00A93E4A">
              <w:rPr>
                <w:noProof/>
                <w:webHidden/>
              </w:rPr>
              <w:tab/>
            </w:r>
            <w:r w:rsidR="00A93E4A">
              <w:rPr>
                <w:noProof/>
                <w:webHidden/>
              </w:rPr>
              <w:fldChar w:fldCharType="begin"/>
            </w:r>
            <w:r w:rsidR="00A93E4A">
              <w:rPr>
                <w:noProof/>
                <w:webHidden/>
              </w:rPr>
              <w:instrText xml:space="preserve"> PAGEREF _Toc484602600 \h </w:instrText>
            </w:r>
            <w:r w:rsidR="00A93E4A">
              <w:rPr>
                <w:noProof/>
                <w:webHidden/>
              </w:rPr>
            </w:r>
            <w:r w:rsidR="00A93E4A">
              <w:rPr>
                <w:noProof/>
                <w:webHidden/>
              </w:rPr>
              <w:fldChar w:fldCharType="separate"/>
            </w:r>
            <w:r w:rsidR="00011CB8">
              <w:rPr>
                <w:noProof/>
                <w:webHidden/>
              </w:rPr>
              <w:t>6</w:t>
            </w:r>
            <w:r w:rsidR="00A93E4A">
              <w:rPr>
                <w:noProof/>
                <w:webHidden/>
              </w:rPr>
              <w:fldChar w:fldCharType="end"/>
            </w:r>
          </w:hyperlink>
        </w:p>
        <w:p w14:paraId="7333B91E" w14:textId="7045C88A" w:rsidR="00A93E4A" w:rsidRDefault="001D1E64">
          <w:pPr>
            <w:pStyle w:val="TOC1"/>
            <w:tabs>
              <w:tab w:val="left" w:pos="440"/>
              <w:tab w:val="right" w:leader="dot" w:pos="8828"/>
            </w:tabs>
            <w:rPr>
              <w:rFonts w:asciiTheme="minorHAnsi" w:eastAsiaTheme="minorEastAsia" w:hAnsiTheme="minorHAnsi" w:cstheme="minorBidi"/>
              <w:noProof/>
              <w:sz w:val="22"/>
              <w:szCs w:val="22"/>
            </w:rPr>
          </w:pPr>
          <w:hyperlink w:anchor="_Toc484602601" w:history="1">
            <w:r w:rsidR="00A93E4A" w:rsidRPr="00DF59A8">
              <w:rPr>
                <w:rStyle w:val="Hyperlink"/>
                <w:noProof/>
              </w:rPr>
              <w:t>2</w:t>
            </w:r>
            <w:r w:rsidR="00A93E4A">
              <w:rPr>
                <w:rFonts w:asciiTheme="minorHAnsi" w:eastAsiaTheme="minorEastAsia" w:hAnsiTheme="minorHAnsi" w:cstheme="minorBidi"/>
                <w:noProof/>
                <w:sz w:val="22"/>
                <w:szCs w:val="22"/>
              </w:rPr>
              <w:tab/>
            </w:r>
            <w:r w:rsidR="00A93E4A" w:rsidRPr="00DF59A8">
              <w:rPr>
                <w:rStyle w:val="Hyperlink"/>
                <w:noProof/>
              </w:rPr>
              <w:t>Introducción y Antecedentes</w:t>
            </w:r>
            <w:r w:rsidR="00A93E4A">
              <w:rPr>
                <w:noProof/>
                <w:webHidden/>
              </w:rPr>
              <w:tab/>
            </w:r>
            <w:r w:rsidR="00A93E4A">
              <w:rPr>
                <w:noProof/>
                <w:webHidden/>
              </w:rPr>
              <w:fldChar w:fldCharType="begin"/>
            </w:r>
            <w:r w:rsidR="00A93E4A">
              <w:rPr>
                <w:noProof/>
                <w:webHidden/>
              </w:rPr>
              <w:instrText xml:space="preserve"> PAGEREF _Toc484602601 \h </w:instrText>
            </w:r>
            <w:r w:rsidR="00A93E4A">
              <w:rPr>
                <w:noProof/>
                <w:webHidden/>
              </w:rPr>
            </w:r>
            <w:r w:rsidR="00A93E4A">
              <w:rPr>
                <w:noProof/>
                <w:webHidden/>
              </w:rPr>
              <w:fldChar w:fldCharType="separate"/>
            </w:r>
            <w:r w:rsidR="00011CB8">
              <w:rPr>
                <w:noProof/>
                <w:webHidden/>
              </w:rPr>
              <w:t>9</w:t>
            </w:r>
            <w:r w:rsidR="00A93E4A">
              <w:rPr>
                <w:noProof/>
                <w:webHidden/>
              </w:rPr>
              <w:fldChar w:fldCharType="end"/>
            </w:r>
          </w:hyperlink>
        </w:p>
        <w:p w14:paraId="2251AE09" w14:textId="57432E18" w:rsidR="00A93E4A" w:rsidRDefault="001D1E64">
          <w:pPr>
            <w:pStyle w:val="TOC1"/>
            <w:tabs>
              <w:tab w:val="left" w:pos="440"/>
              <w:tab w:val="right" w:leader="dot" w:pos="8828"/>
            </w:tabs>
            <w:rPr>
              <w:rFonts w:asciiTheme="minorHAnsi" w:eastAsiaTheme="minorEastAsia" w:hAnsiTheme="minorHAnsi" w:cstheme="minorBidi"/>
              <w:noProof/>
              <w:sz w:val="22"/>
              <w:szCs w:val="22"/>
            </w:rPr>
          </w:pPr>
          <w:hyperlink w:anchor="_Toc484602602" w:history="1">
            <w:r w:rsidR="00A93E4A" w:rsidRPr="00DF59A8">
              <w:rPr>
                <w:rStyle w:val="Hyperlink"/>
                <w:noProof/>
              </w:rPr>
              <w:t>3</w:t>
            </w:r>
            <w:r w:rsidR="00A93E4A">
              <w:rPr>
                <w:rFonts w:asciiTheme="minorHAnsi" w:eastAsiaTheme="minorEastAsia" w:hAnsiTheme="minorHAnsi" w:cstheme="minorBidi"/>
                <w:noProof/>
                <w:sz w:val="22"/>
                <w:szCs w:val="22"/>
              </w:rPr>
              <w:tab/>
            </w:r>
            <w:r w:rsidR="00A93E4A" w:rsidRPr="00DF59A8">
              <w:rPr>
                <w:rStyle w:val="Hyperlink"/>
                <w:noProof/>
              </w:rPr>
              <w:t>Objetivo y Alcance</w:t>
            </w:r>
            <w:r w:rsidR="00A93E4A">
              <w:rPr>
                <w:noProof/>
                <w:webHidden/>
              </w:rPr>
              <w:tab/>
            </w:r>
            <w:r w:rsidR="00A93E4A">
              <w:rPr>
                <w:noProof/>
                <w:webHidden/>
              </w:rPr>
              <w:fldChar w:fldCharType="begin"/>
            </w:r>
            <w:r w:rsidR="00A93E4A">
              <w:rPr>
                <w:noProof/>
                <w:webHidden/>
              </w:rPr>
              <w:instrText xml:space="preserve"> PAGEREF _Toc484602602 \h </w:instrText>
            </w:r>
            <w:r w:rsidR="00A93E4A">
              <w:rPr>
                <w:noProof/>
                <w:webHidden/>
              </w:rPr>
            </w:r>
            <w:r w:rsidR="00A93E4A">
              <w:rPr>
                <w:noProof/>
                <w:webHidden/>
              </w:rPr>
              <w:fldChar w:fldCharType="separate"/>
            </w:r>
            <w:r w:rsidR="00011CB8">
              <w:rPr>
                <w:noProof/>
                <w:webHidden/>
              </w:rPr>
              <w:t>11</w:t>
            </w:r>
            <w:r w:rsidR="00A93E4A">
              <w:rPr>
                <w:noProof/>
                <w:webHidden/>
              </w:rPr>
              <w:fldChar w:fldCharType="end"/>
            </w:r>
          </w:hyperlink>
        </w:p>
        <w:p w14:paraId="328E45BE" w14:textId="4E9A74AF" w:rsidR="00A93E4A" w:rsidRDefault="001D1E64">
          <w:pPr>
            <w:pStyle w:val="TOC1"/>
            <w:tabs>
              <w:tab w:val="left" w:pos="440"/>
              <w:tab w:val="right" w:leader="dot" w:pos="8828"/>
            </w:tabs>
            <w:rPr>
              <w:rFonts w:asciiTheme="minorHAnsi" w:eastAsiaTheme="minorEastAsia" w:hAnsiTheme="minorHAnsi" w:cstheme="minorBidi"/>
              <w:noProof/>
              <w:sz w:val="22"/>
              <w:szCs w:val="22"/>
            </w:rPr>
          </w:pPr>
          <w:hyperlink w:anchor="_Toc484602603" w:history="1">
            <w:r w:rsidR="00A93E4A" w:rsidRPr="00DF59A8">
              <w:rPr>
                <w:rStyle w:val="Hyperlink"/>
                <w:noProof/>
              </w:rPr>
              <w:t>4</w:t>
            </w:r>
            <w:r w:rsidR="00A93E4A">
              <w:rPr>
                <w:rFonts w:asciiTheme="minorHAnsi" w:eastAsiaTheme="minorEastAsia" w:hAnsiTheme="minorHAnsi" w:cstheme="minorBidi"/>
                <w:noProof/>
                <w:sz w:val="22"/>
                <w:szCs w:val="22"/>
              </w:rPr>
              <w:tab/>
            </w:r>
            <w:r w:rsidR="00A93E4A" w:rsidRPr="00DF59A8">
              <w:rPr>
                <w:rStyle w:val="Hyperlink"/>
                <w:noProof/>
              </w:rPr>
              <w:t>Metodología</w:t>
            </w:r>
            <w:r w:rsidR="00A93E4A">
              <w:rPr>
                <w:noProof/>
                <w:webHidden/>
              </w:rPr>
              <w:tab/>
            </w:r>
            <w:r w:rsidR="00A93E4A">
              <w:rPr>
                <w:noProof/>
                <w:webHidden/>
              </w:rPr>
              <w:fldChar w:fldCharType="begin"/>
            </w:r>
            <w:r w:rsidR="00A93E4A">
              <w:rPr>
                <w:noProof/>
                <w:webHidden/>
              </w:rPr>
              <w:instrText xml:space="preserve"> PAGEREF _Toc484602603 \h </w:instrText>
            </w:r>
            <w:r w:rsidR="00A93E4A">
              <w:rPr>
                <w:noProof/>
                <w:webHidden/>
              </w:rPr>
            </w:r>
            <w:r w:rsidR="00A93E4A">
              <w:rPr>
                <w:noProof/>
                <w:webHidden/>
              </w:rPr>
              <w:fldChar w:fldCharType="separate"/>
            </w:r>
            <w:r w:rsidR="00011CB8">
              <w:rPr>
                <w:noProof/>
                <w:webHidden/>
              </w:rPr>
              <w:t>12</w:t>
            </w:r>
            <w:r w:rsidR="00A93E4A">
              <w:rPr>
                <w:noProof/>
                <w:webHidden/>
              </w:rPr>
              <w:fldChar w:fldCharType="end"/>
            </w:r>
          </w:hyperlink>
        </w:p>
        <w:p w14:paraId="171665E3" w14:textId="0F1B19EB" w:rsidR="00A93E4A" w:rsidRDefault="001D1E64">
          <w:pPr>
            <w:pStyle w:val="TOC2"/>
            <w:tabs>
              <w:tab w:val="left" w:pos="880"/>
              <w:tab w:val="right" w:leader="dot" w:pos="8828"/>
            </w:tabs>
            <w:rPr>
              <w:rFonts w:asciiTheme="minorHAnsi" w:eastAsiaTheme="minorEastAsia" w:hAnsiTheme="minorHAnsi" w:cstheme="minorBidi"/>
              <w:noProof/>
              <w:sz w:val="22"/>
              <w:szCs w:val="22"/>
            </w:rPr>
          </w:pPr>
          <w:hyperlink w:anchor="_Toc484602604" w:history="1">
            <w:r w:rsidR="00A93E4A" w:rsidRPr="00DF59A8">
              <w:rPr>
                <w:rStyle w:val="Hyperlink"/>
                <w:noProof/>
              </w:rPr>
              <w:t>4.1</w:t>
            </w:r>
            <w:r w:rsidR="00A93E4A">
              <w:rPr>
                <w:rFonts w:asciiTheme="minorHAnsi" w:eastAsiaTheme="minorEastAsia" w:hAnsiTheme="minorHAnsi" w:cstheme="minorBidi"/>
                <w:noProof/>
                <w:sz w:val="22"/>
                <w:szCs w:val="22"/>
              </w:rPr>
              <w:tab/>
            </w:r>
            <w:r w:rsidR="00A93E4A" w:rsidRPr="00DF59A8">
              <w:rPr>
                <w:rStyle w:val="Hyperlink"/>
                <w:noProof/>
              </w:rPr>
              <w:t>Etapas Metodológicas</w:t>
            </w:r>
            <w:r w:rsidR="00A93E4A">
              <w:rPr>
                <w:noProof/>
                <w:webHidden/>
              </w:rPr>
              <w:tab/>
            </w:r>
            <w:r w:rsidR="00A93E4A">
              <w:rPr>
                <w:noProof/>
                <w:webHidden/>
              </w:rPr>
              <w:fldChar w:fldCharType="begin"/>
            </w:r>
            <w:r w:rsidR="00A93E4A">
              <w:rPr>
                <w:noProof/>
                <w:webHidden/>
              </w:rPr>
              <w:instrText xml:space="preserve"> PAGEREF _Toc484602604 \h </w:instrText>
            </w:r>
            <w:r w:rsidR="00A93E4A">
              <w:rPr>
                <w:noProof/>
                <w:webHidden/>
              </w:rPr>
            </w:r>
            <w:r w:rsidR="00A93E4A">
              <w:rPr>
                <w:noProof/>
                <w:webHidden/>
              </w:rPr>
              <w:fldChar w:fldCharType="separate"/>
            </w:r>
            <w:r w:rsidR="00011CB8">
              <w:rPr>
                <w:noProof/>
                <w:webHidden/>
              </w:rPr>
              <w:t>12</w:t>
            </w:r>
            <w:r w:rsidR="00A93E4A">
              <w:rPr>
                <w:noProof/>
                <w:webHidden/>
              </w:rPr>
              <w:fldChar w:fldCharType="end"/>
            </w:r>
          </w:hyperlink>
        </w:p>
        <w:p w14:paraId="514F8377" w14:textId="1C801FD8" w:rsidR="00A93E4A" w:rsidRDefault="001D1E64">
          <w:pPr>
            <w:pStyle w:val="TOC2"/>
            <w:tabs>
              <w:tab w:val="left" w:pos="880"/>
              <w:tab w:val="right" w:leader="dot" w:pos="8828"/>
            </w:tabs>
            <w:rPr>
              <w:rFonts w:asciiTheme="minorHAnsi" w:eastAsiaTheme="minorEastAsia" w:hAnsiTheme="minorHAnsi" w:cstheme="minorBidi"/>
              <w:noProof/>
              <w:sz w:val="22"/>
              <w:szCs w:val="22"/>
            </w:rPr>
          </w:pPr>
          <w:hyperlink w:anchor="_Toc484602605" w:history="1">
            <w:r w:rsidR="00A93E4A" w:rsidRPr="00DF59A8">
              <w:rPr>
                <w:rStyle w:val="Hyperlink"/>
                <w:noProof/>
              </w:rPr>
              <w:t>4.2</w:t>
            </w:r>
            <w:r w:rsidR="00A93E4A">
              <w:rPr>
                <w:rFonts w:asciiTheme="minorHAnsi" w:eastAsiaTheme="minorEastAsia" w:hAnsiTheme="minorHAnsi" w:cstheme="minorBidi"/>
                <w:noProof/>
                <w:sz w:val="22"/>
                <w:szCs w:val="22"/>
              </w:rPr>
              <w:tab/>
            </w:r>
            <w:r w:rsidR="00A93E4A" w:rsidRPr="00DF59A8">
              <w:rPr>
                <w:rStyle w:val="Hyperlink"/>
                <w:noProof/>
              </w:rPr>
              <w:t>Metodología para el Análisis de Riesgos y Simulación de Montecarlo</w:t>
            </w:r>
            <w:r w:rsidR="00A93E4A">
              <w:rPr>
                <w:noProof/>
                <w:webHidden/>
              </w:rPr>
              <w:tab/>
            </w:r>
            <w:r w:rsidR="00A93E4A">
              <w:rPr>
                <w:noProof/>
                <w:webHidden/>
              </w:rPr>
              <w:fldChar w:fldCharType="begin"/>
            </w:r>
            <w:r w:rsidR="00A93E4A">
              <w:rPr>
                <w:noProof/>
                <w:webHidden/>
              </w:rPr>
              <w:instrText xml:space="preserve"> PAGEREF _Toc484602605 \h </w:instrText>
            </w:r>
            <w:r w:rsidR="00A93E4A">
              <w:rPr>
                <w:noProof/>
                <w:webHidden/>
              </w:rPr>
            </w:r>
            <w:r w:rsidR="00A93E4A">
              <w:rPr>
                <w:noProof/>
                <w:webHidden/>
              </w:rPr>
              <w:fldChar w:fldCharType="separate"/>
            </w:r>
            <w:r w:rsidR="00011CB8">
              <w:rPr>
                <w:noProof/>
                <w:webHidden/>
              </w:rPr>
              <w:t>14</w:t>
            </w:r>
            <w:r w:rsidR="00A93E4A">
              <w:rPr>
                <w:noProof/>
                <w:webHidden/>
              </w:rPr>
              <w:fldChar w:fldCharType="end"/>
            </w:r>
          </w:hyperlink>
        </w:p>
        <w:p w14:paraId="72734970" w14:textId="450468E7" w:rsidR="00A93E4A" w:rsidRDefault="001D1E64">
          <w:pPr>
            <w:pStyle w:val="TOC2"/>
            <w:tabs>
              <w:tab w:val="left" w:pos="880"/>
              <w:tab w:val="right" w:leader="dot" w:pos="8828"/>
            </w:tabs>
            <w:rPr>
              <w:rFonts w:asciiTheme="minorHAnsi" w:eastAsiaTheme="minorEastAsia" w:hAnsiTheme="minorHAnsi" w:cstheme="minorBidi"/>
              <w:noProof/>
              <w:sz w:val="22"/>
              <w:szCs w:val="22"/>
            </w:rPr>
          </w:pPr>
          <w:hyperlink w:anchor="_Toc484602606" w:history="1">
            <w:r w:rsidR="00A93E4A" w:rsidRPr="00DF59A8">
              <w:rPr>
                <w:rStyle w:val="Hyperlink"/>
                <w:noProof/>
              </w:rPr>
              <w:t>4.3</w:t>
            </w:r>
            <w:r w:rsidR="00A93E4A">
              <w:rPr>
                <w:rFonts w:asciiTheme="minorHAnsi" w:eastAsiaTheme="minorEastAsia" w:hAnsiTheme="minorHAnsi" w:cstheme="minorBidi"/>
                <w:noProof/>
                <w:sz w:val="22"/>
                <w:szCs w:val="22"/>
              </w:rPr>
              <w:tab/>
            </w:r>
            <w:r w:rsidR="00A93E4A" w:rsidRPr="00DF59A8">
              <w:rPr>
                <w:rStyle w:val="Hyperlink"/>
                <w:noProof/>
              </w:rPr>
              <w:t>Información Base</w:t>
            </w:r>
            <w:r w:rsidR="00A93E4A">
              <w:rPr>
                <w:noProof/>
                <w:webHidden/>
              </w:rPr>
              <w:tab/>
            </w:r>
            <w:r w:rsidR="00A93E4A">
              <w:rPr>
                <w:noProof/>
                <w:webHidden/>
              </w:rPr>
              <w:fldChar w:fldCharType="begin"/>
            </w:r>
            <w:r w:rsidR="00A93E4A">
              <w:rPr>
                <w:noProof/>
                <w:webHidden/>
              </w:rPr>
              <w:instrText xml:space="preserve"> PAGEREF _Toc484602606 \h </w:instrText>
            </w:r>
            <w:r w:rsidR="00A93E4A">
              <w:rPr>
                <w:noProof/>
                <w:webHidden/>
              </w:rPr>
            </w:r>
            <w:r w:rsidR="00A93E4A">
              <w:rPr>
                <w:noProof/>
                <w:webHidden/>
              </w:rPr>
              <w:fldChar w:fldCharType="separate"/>
            </w:r>
            <w:r w:rsidR="00011CB8">
              <w:rPr>
                <w:noProof/>
                <w:webHidden/>
              </w:rPr>
              <w:t>18</w:t>
            </w:r>
            <w:r w:rsidR="00A93E4A">
              <w:rPr>
                <w:noProof/>
                <w:webHidden/>
              </w:rPr>
              <w:fldChar w:fldCharType="end"/>
            </w:r>
          </w:hyperlink>
        </w:p>
        <w:p w14:paraId="4BD54C64" w14:textId="11133E5C" w:rsidR="00A93E4A" w:rsidRDefault="001D1E64">
          <w:pPr>
            <w:pStyle w:val="TOC1"/>
            <w:tabs>
              <w:tab w:val="left" w:pos="440"/>
              <w:tab w:val="right" w:leader="dot" w:pos="8828"/>
            </w:tabs>
            <w:rPr>
              <w:rFonts w:asciiTheme="minorHAnsi" w:eastAsiaTheme="minorEastAsia" w:hAnsiTheme="minorHAnsi" w:cstheme="minorBidi"/>
              <w:noProof/>
              <w:sz w:val="22"/>
              <w:szCs w:val="22"/>
            </w:rPr>
          </w:pPr>
          <w:hyperlink w:anchor="_Toc484602607" w:history="1">
            <w:r w:rsidR="00A93E4A" w:rsidRPr="00DF59A8">
              <w:rPr>
                <w:rStyle w:val="Hyperlink"/>
                <w:noProof/>
              </w:rPr>
              <w:t>5</w:t>
            </w:r>
            <w:r w:rsidR="00A93E4A">
              <w:rPr>
                <w:rFonts w:asciiTheme="minorHAnsi" w:eastAsiaTheme="minorEastAsia" w:hAnsiTheme="minorHAnsi" w:cstheme="minorBidi"/>
                <w:noProof/>
                <w:sz w:val="22"/>
                <w:szCs w:val="22"/>
              </w:rPr>
              <w:tab/>
            </w:r>
            <w:r w:rsidR="00A93E4A" w:rsidRPr="00DF59A8">
              <w:rPr>
                <w:rStyle w:val="Hyperlink"/>
                <w:noProof/>
              </w:rPr>
              <w:t>Descripción del Proyecto</w:t>
            </w:r>
            <w:r w:rsidR="00A93E4A">
              <w:rPr>
                <w:noProof/>
                <w:webHidden/>
              </w:rPr>
              <w:tab/>
            </w:r>
            <w:r w:rsidR="00A93E4A">
              <w:rPr>
                <w:noProof/>
                <w:webHidden/>
              </w:rPr>
              <w:fldChar w:fldCharType="begin"/>
            </w:r>
            <w:r w:rsidR="00A93E4A">
              <w:rPr>
                <w:noProof/>
                <w:webHidden/>
              </w:rPr>
              <w:instrText xml:space="preserve"> PAGEREF _Toc484602607 \h </w:instrText>
            </w:r>
            <w:r w:rsidR="00A93E4A">
              <w:rPr>
                <w:noProof/>
                <w:webHidden/>
              </w:rPr>
            </w:r>
            <w:r w:rsidR="00A93E4A">
              <w:rPr>
                <w:noProof/>
                <w:webHidden/>
              </w:rPr>
              <w:fldChar w:fldCharType="separate"/>
            </w:r>
            <w:r w:rsidR="00011CB8">
              <w:rPr>
                <w:noProof/>
                <w:webHidden/>
              </w:rPr>
              <w:t>19</w:t>
            </w:r>
            <w:r w:rsidR="00A93E4A">
              <w:rPr>
                <w:noProof/>
                <w:webHidden/>
              </w:rPr>
              <w:fldChar w:fldCharType="end"/>
            </w:r>
          </w:hyperlink>
        </w:p>
        <w:p w14:paraId="50E07829" w14:textId="3F46582D" w:rsidR="00A93E4A" w:rsidRDefault="001D1E64">
          <w:pPr>
            <w:pStyle w:val="TOC1"/>
            <w:tabs>
              <w:tab w:val="left" w:pos="440"/>
              <w:tab w:val="right" w:leader="dot" w:pos="8828"/>
            </w:tabs>
            <w:rPr>
              <w:rFonts w:asciiTheme="minorHAnsi" w:eastAsiaTheme="minorEastAsia" w:hAnsiTheme="minorHAnsi" w:cstheme="minorBidi"/>
              <w:noProof/>
              <w:sz w:val="22"/>
              <w:szCs w:val="22"/>
            </w:rPr>
          </w:pPr>
          <w:hyperlink w:anchor="_Toc484602608" w:history="1">
            <w:r w:rsidR="00A93E4A" w:rsidRPr="00DF59A8">
              <w:rPr>
                <w:rStyle w:val="Hyperlink"/>
                <w:noProof/>
              </w:rPr>
              <w:t>6</w:t>
            </w:r>
            <w:r w:rsidR="00A93E4A">
              <w:rPr>
                <w:rFonts w:asciiTheme="minorHAnsi" w:eastAsiaTheme="minorEastAsia" w:hAnsiTheme="minorHAnsi" w:cstheme="minorBidi"/>
                <w:noProof/>
                <w:sz w:val="22"/>
                <w:szCs w:val="22"/>
              </w:rPr>
              <w:tab/>
            </w:r>
            <w:r w:rsidR="00A93E4A" w:rsidRPr="00DF59A8">
              <w:rPr>
                <w:rStyle w:val="Hyperlink"/>
                <w:noProof/>
              </w:rPr>
              <w:t>Presupuesto del Proyecto</w:t>
            </w:r>
            <w:r w:rsidR="00A93E4A">
              <w:rPr>
                <w:noProof/>
                <w:webHidden/>
              </w:rPr>
              <w:tab/>
            </w:r>
            <w:r w:rsidR="00A93E4A">
              <w:rPr>
                <w:noProof/>
                <w:webHidden/>
              </w:rPr>
              <w:fldChar w:fldCharType="begin"/>
            </w:r>
            <w:r w:rsidR="00A93E4A">
              <w:rPr>
                <w:noProof/>
                <w:webHidden/>
              </w:rPr>
              <w:instrText xml:space="preserve"> PAGEREF _Toc484602608 \h </w:instrText>
            </w:r>
            <w:r w:rsidR="00A93E4A">
              <w:rPr>
                <w:noProof/>
                <w:webHidden/>
              </w:rPr>
            </w:r>
            <w:r w:rsidR="00A93E4A">
              <w:rPr>
                <w:noProof/>
                <w:webHidden/>
              </w:rPr>
              <w:fldChar w:fldCharType="separate"/>
            </w:r>
            <w:r w:rsidR="00011CB8">
              <w:rPr>
                <w:noProof/>
                <w:webHidden/>
              </w:rPr>
              <w:t>20</w:t>
            </w:r>
            <w:r w:rsidR="00A93E4A">
              <w:rPr>
                <w:noProof/>
                <w:webHidden/>
              </w:rPr>
              <w:fldChar w:fldCharType="end"/>
            </w:r>
          </w:hyperlink>
        </w:p>
        <w:p w14:paraId="4E6EA2F2" w14:textId="2134393F" w:rsidR="00A93E4A" w:rsidRDefault="001D1E64">
          <w:pPr>
            <w:pStyle w:val="TOC1"/>
            <w:tabs>
              <w:tab w:val="left" w:pos="440"/>
              <w:tab w:val="right" w:leader="dot" w:pos="8828"/>
            </w:tabs>
            <w:rPr>
              <w:rFonts w:asciiTheme="minorHAnsi" w:eastAsiaTheme="minorEastAsia" w:hAnsiTheme="minorHAnsi" w:cstheme="minorBidi"/>
              <w:noProof/>
              <w:sz w:val="22"/>
              <w:szCs w:val="22"/>
            </w:rPr>
          </w:pPr>
          <w:hyperlink w:anchor="_Toc484602609" w:history="1">
            <w:r w:rsidR="00A93E4A" w:rsidRPr="00DF59A8">
              <w:rPr>
                <w:rStyle w:val="Hyperlink"/>
                <w:noProof/>
              </w:rPr>
              <w:t>7</w:t>
            </w:r>
            <w:r w:rsidR="00A93E4A">
              <w:rPr>
                <w:rFonts w:asciiTheme="minorHAnsi" w:eastAsiaTheme="minorEastAsia" w:hAnsiTheme="minorHAnsi" w:cstheme="minorBidi"/>
                <w:noProof/>
                <w:sz w:val="22"/>
                <w:szCs w:val="22"/>
              </w:rPr>
              <w:tab/>
            </w:r>
            <w:r w:rsidR="00A93E4A" w:rsidRPr="00DF59A8">
              <w:rPr>
                <w:rStyle w:val="Hyperlink"/>
                <w:noProof/>
              </w:rPr>
              <w:t>Diagnóstico General de Costos</w:t>
            </w:r>
            <w:r w:rsidR="00A93E4A">
              <w:rPr>
                <w:noProof/>
                <w:webHidden/>
              </w:rPr>
              <w:tab/>
            </w:r>
            <w:r w:rsidR="00A93E4A">
              <w:rPr>
                <w:noProof/>
                <w:webHidden/>
              </w:rPr>
              <w:fldChar w:fldCharType="begin"/>
            </w:r>
            <w:r w:rsidR="00A93E4A">
              <w:rPr>
                <w:noProof/>
                <w:webHidden/>
              </w:rPr>
              <w:instrText xml:space="preserve"> PAGEREF _Toc484602609 \h </w:instrText>
            </w:r>
            <w:r w:rsidR="00A93E4A">
              <w:rPr>
                <w:noProof/>
                <w:webHidden/>
              </w:rPr>
            </w:r>
            <w:r w:rsidR="00A93E4A">
              <w:rPr>
                <w:noProof/>
                <w:webHidden/>
              </w:rPr>
              <w:fldChar w:fldCharType="separate"/>
            </w:r>
            <w:r w:rsidR="00011CB8">
              <w:rPr>
                <w:noProof/>
                <w:webHidden/>
              </w:rPr>
              <w:t>21</w:t>
            </w:r>
            <w:r w:rsidR="00A93E4A">
              <w:rPr>
                <w:noProof/>
                <w:webHidden/>
              </w:rPr>
              <w:fldChar w:fldCharType="end"/>
            </w:r>
          </w:hyperlink>
        </w:p>
        <w:p w14:paraId="056E06E4" w14:textId="65793517" w:rsidR="00A93E4A" w:rsidRDefault="001D1E64">
          <w:pPr>
            <w:pStyle w:val="TOC2"/>
            <w:tabs>
              <w:tab w:val="left" w:pos="880"/>
              <w:tab w:val="right" w:leader="dot" w:pos="8828"/>
            </w:tabs>
            <w:rPr>
              <w:rFonts w:asciiTheme="minorHAnsi" w:eastAsiaTheme="minorEastAsia" w:hAnsiTheme="minorHAnsi" w:cstheme="minorBidi"/>
              <w:noProof/>
              <w:sz w:val="22"/>
              <w:szCs w:val="22"/>
            </w:rPr>
          </w:pPr>
          <w:hyperlink w:anchor="_Toc484602610" w:history="1">
            <w:r w:rsidR="00A93E4A" w:rsidRPr="00DF59A8">
              <w:rPr>
                <w:rStyle w:val="Hyperlink"/>
                <w:noProof/>
              </w:rPr>
              <w:t>7.1</w:t>
            </w:r>
            <w:r w:rsidR="00A93E4A">
              <w:rPr>
                <w:rFonts w:asciiTheme="minorHAnsi" w:eastAsiaTheme="minorEastAsia" w:hAnsiTheme="minorHAnsi" w:cstheme="minorBidi"/>
                <w:noProof/>
                <w:sz w:val="22"/>
                <w:szCs w:val="22"/>
              </w:rPr>
              <w:tab/>
            </w:r>
            <w:r w:rsidR="00A93E4A" w:rsidRPr="00DF59A8">
              <w:rPr>
                <w:rStyle w:val="Hyperlink"/>
                <w:noProof/>
              </w:rPr>
              <w:t>Principales Insumos y su Incidencia en el Presupuesto de Referencia</w:t>
            </w:r>
            <w:r w:rsidR="00A93E4A">
              <w:rPr>
                <w:noProof/>
                <w:webHidden/>
              </w:rPr>
              <w:tab/>
            </w:r>
            <w:r w:rsidR="00A93E4A">
              <w:rPr>
                <w:noProof/>
                <w:webHidden/>
              </w:rPr>
              <w:fldChar w:fldCharType="begin"/>
            </w:r>
            <w:r w:rsidR="00A93E4A">
              <w:rPr>
                <w:noProof/>
                <w:webHidden/>
              </w:rPr>
              <w:instrText xml:space="preserve"> PAGEREF _Toc484602610 \h </w:instrText>
            </w:r>
            <w:r w:rsidR="00A93E4A">
              <w:rPr>
                <w:noProof/>
                <w:webHidden/>
              </w:rPr>
            </w:r>
            <w:r w:rsidR="00A93E4A">
              <w:rPr>
                <w:noProof/>
                <w:webHidden/>
              </w:rPr>
              <w:fldChar w:fldCharType="separate"/>
            </w:r>
            <w:r w:rsidR="00011CB8">
              <w:rPr>
                <w:noProof/>
                <w:webHidden/>
              </w:rPr>
              <w:t>21</w:t>
            </w:r>
            <w:r w:rsidR="00A93E4A">
              <w:rPr>
                <w:noProof/>
                <w:webHidden/>
              </w:rPr>
              <w:fldChar w:fldCharType="end"/>
            </w:r>
          </w:hyperlink>
        </w:p>
        <w:p w14:paraId="690B1EA9" w14:textId="1025F6BC" w:rsidR="00A93E4A" w:rsidRDefault="001D1E64">
          <w:pPr>
            <w:pStyle w:val="TOC2"/>
            <w:tabs>
              <w:tab w:val="left" w:pos="880"/>
              <w:tab w:val="right" w:leader="dot" w:pos="8828"/>
            </w:tabs>
            <w:rPr>
              <w:rFonts w:asciiTheme="minorHAnsi" w:eastAsiaTheme="minorEastAsia" w:hAnsiTheme="minorHAnsi" w:cstheme="minorBidi"/>
              <w:noProof/>
              <w:sz w:val="22"/>
              <w:szCs w:val="22"/>
            </w:rPr>
          </w:pPr>
          <w:hyperlink w:anchor="_Toc484602611" w:history="1">
            <w:r w:rsidR="00A93E4A" w:rsidRPr="00DF59A8">
              <w:rPr>
                <w:rStyle w:val="Hyperlink"/>
                <w:noProof/>
              </w:rPr>
              <w:t>7.2</w:t>
            </w:r>
            <w:r w:rsidR="00A93E4A">
              <w:rPr>
                <w:rFonts w:asciiTheme="minorHAnsi" w:eastAsiaTheme="minorEastAsia" w:hAnsiTheme="minorHAnsi" w:cstheme="minorBidi"/>
                <w:noProof/>
                <w:sz w:val="22"/>
                <w:szCs w:val="22"/>
              </w:rPr>
              <w:tab/>
            </w:r>
            <w:r w:rsidR="00A93E4A" w:rsidRPr="00DF59A8">
              <w:rPr>
                <w:rStyle w:val="Hyperlink"/>
                <w:noProof/>
              </w:rPr>
              <w:t>Variación entre precios de referencia y precios ofertados en el proceso licitatorio</w:t>
            </w:r>
            <w:r w:rsidR="00A93E4A">
              <w:rPr>
                <w:noProof/>
                <w:webHidden/>
              </w:rPr>
              <w:tab/>
            </w:r>
            <w:r w:rsidR="00A93E4A">
              <w:rPr>
                <w:noProof/>
                <w:webHidden/>
              </w:rPr>
              <w:fldChar w:fldCharType="begin"/>
            </w:r>
            <w:r w:rsidR="00A93E4A">
              <w:rPr>
                <w:noProof/>
                <w:webHidden/>
              </w:rPr>
              <w:instrText xml:space="preserve"> PAGEREF _Toc484602611 \h </w:instrText>
            </w:r>
            <w:r w:rsidR="00A93E4A">
              <w:rPr>
                <w:noProof/>
                <w:webHidden/>
              </w:rPr>
            </w:r>
            <w:r w:rsidR="00A93E4A">
              <w:rPr>
                <w:noProof/>
                <w:webHidden/>
              </w:rPr>
              <w:fldChar w:fldCharType="separate"/>
            </w:r>
            <w:r w:rsidR="00011CB8">
              <w:rPr>
                <w:noProof/>
                <w:webHidden/>
              </w:rPr>
              <w:t>22</w:t>
            </w:r>
            <w:r w:rsidR="00A93E4A">
              <w:rPr>
                <w:noProof/>
                <w:webHidden/>
              </w:rPr>
              <w:fldChar w:fldCharType="end"/>
            </w:r>
          </w:hyperlink>
        </w:p>
        <w:p w14:paraId="6AA41E52" w14:textId="4844A9B5" w:rsidR="00A93E4A" w:rsidRDefault="001D1E64">
          <w:pPr>
            <w:pStyle w:val="TOC2"/>
            <w:tabs>
              <w:tab w:val="left" w:pos="880"/>
              <w:tab w:val="right" w:leader="dot" w:pos="8828"/>
            </w:tabs>
            <w:rPr>
              <w:rFonts w:asciiTheme="minorHAnsi" w:eastAsiaTheme="minorEastAsia" w:hAnsiTheme="minorHAnsi" w:cstheme="minorBidi"/>
              <w:noProof/>
              <w:sz w:val="22"/>
              <w:szCs w:val="22"/>
            </w:rPr>
          </w:pPr>
          <w:hyperlink w:anchor="_Toc484602612" w:history="1">
            <w:r w:rsidR="00A93E4A" w:rsidRPr="00DF59A8">
              <w:rPr>
                <w:rStyle w:val="Hyperlink"/>
                <w:noProof/>
              </w:rPr>
              <w:t>7.3</w:t>
            </w:r>
            <w:r w:rsidR="00A93E4A">
              <w:rPr>
                <w:rFonts w:asciiTheme="minorHAnsi" w:eastAsiaTheme="minorEastAsia" w:hAnsiTheme="minorHAnsi" w:cstheme="minorBidi"/>
                <w:noProof/>
                <w:sz w:val="22"/>
                <w:szCs w:val="22"/>
              </w:rPr>
              <w:tab/>
            </w:r>
            <w:r w:rsidR="00A93E4A" w:rsidRPr="00DF59A8">
              <w:rPr>
                <w:rStyle w:val="Hyperlink"/>
                <w:noProof/>
              </w:rPr>
              <w:t>Variación de Precios de Mercado en el Tiempo</w:t>
            </w:r>
            <w:r w:rsidR="00A93E4A">
              <w:rPr>
                <w:noProof/>
                <w:webHidden/>
              </w:rPr>
              <w:tab/>
            </w:r>
            <w:r w:rsidR="00A93E4A">
              <w:rPr>
                <w:noProof/>
                <w:webHidden/>
              </w:rPr>
              <w:fldChar w:fldCharType="begin"/>
            </w:r>
            <w:r w:rsidR="00A93E4A">
              <w:rPr>
                <w:noProof/>
                <w:webHidden/>
              </w:rPr>
              <w:instrText xml:space="preserve"> PAGEREF _Toc484602612 \h </w:instrText>
            </w:r>
            <w:r w:rsidR="00A93E4A">
              <w:rPr>
                <w:noProof/>
                <w:webHidden/>
              </w:rPr>
            </w:r>
            <w:r w:rsidR="00A93E4A">
              <w:rPr>
                <w:noProof/>
                <w:webHidden/>
              </w:rPr>
              <w:fldChar w:fldCharType="separate"/>
            </w:r>
            <w:r w:rsidR="00011CB8">
              <w:rPr>
                <w:noProof/>
                <w:webHidden/>
              </w:rPr>
              <w:t>23</w:t>
            </w:r>
            <w:r w:rsidR="00A93E4A">
              <w:rPr>
                <w:noProof/>
                <w:webHidden/>
              </w:rPr>
              <w:fldChar w:fldCharType="end"/>
            </w:r>
          </w:hyperlink>
        </w:p>
        <w:p w14:paraId="352C2354" w14:textId="6ACE9B99" w:rsidR="00A93E4A" w:rsidRDefault="001D1E64">
          <w:pPr>
            <w:pStyle w:val="TOC2"/>
            <w:tabs>
              <w:tab w:val="left" w:pos="880"/>
              <w:tab w:val="right" w:leader="dot" w:pos="8828"/>
            </w:tabs>
            <w:rPr>
              <w:rFonts w:asciiTheme="minorHAnsi" w:eastAsiaTheme="minorEastAsia" w:hAnsiTheme="minorHAnsi" w:cstheme="minorBidi"/>
              <w:noProof/>
              <w:sz w:val="22"/>
              <w:szCs w:val="22"/>
            </w:rPr>
          </w:pPr>
          <w:hyperlink w:anchor="_Toc484602613" w:history="1">
            <w:r w:rsidR="00A93E4A" w:rsidRPr="00DF59A8">
              <w:rPr>
                <w:rStyle w:val="Hyperlink"/>
                <w:noProof/>
              </w:rPr>
              <w:t>7.4</w:t>
            </w:r>
            <w:r w:rsidR="00A93E4A">
              <w:rPr>
                <w:rFonts w:asciiTheme="minorHAnsi" w:eastAsiaTheme="minorEastAsia" w:hAnsiTheme="minorHAnsi" w:cstheme="minorBidi"/>
                <w:noProof/>
                <w:sz w:val="22"/>
                <w:szCs w:val="22"/>
              </w:rPr>
              <w:tab/>
            </w:r>
            <w:r w:rsidR="00A93E4A" w:rsidRPr="00DF59A8">
              <w:rPr>
                <w:rStyle w:val="Hyperlink"/>
                <w:noProof/>
              </w:rPr>
              <w:t>Riesgo de Costos Adicionales</w:t>
            </w:r>
            <w:r w:rsidR="00A93E4A">
              <w:rPr>
                <w:noProof/>
                <w:webHidden/>
              </w:rPr>
              <w:tab/>
            </w:r>
            <w:r w:rsidR="00A93E4A">
              <w:rPr>
                <w:noProof/>
                <w:webHidden/>
              </w:rPr>
              <w:fldChar w:fldCharType="begin"/>
            </w:r>
            <w:r w:rsidR="00A93E4A">
              <w:rPr>
                <w:noProof/>
                <w:webHidden/>
              </w:rPr>
              <w:instrText xml:space="preserve"> PAGEREF _Toc484602613 \h </w:instrText>
            </w:r>
            <w:r w:rsidR="00A93E4A">
              <w:rPr>
                <w:noProof/>
                <w:webHidden/>
              </w:rPr>
            </w:r>
            <w:r w:rsidR="00A93E4A">
              <w:rPr>
                <w:noProof/>
                <w:webHidden/>
              </w:rPr>
              <w:fldChar w:fldCharType="separate"/>
            </w:r>
            <w:r w:rsidR="00011CB8">
              <w:rPr>
                <w:noProof/>
                <w:webHidden/>
              </w:rPr>
              <w:t>24</w:t>
            </w:r>
            <w:r w:rsidR="00A93E4A">
              <w:rPr>
                <w:noProof/>
                <w:webHidden/>
              </w:rPr>
              <w:fldChar w:fldCharType="end"/>
            </w:r>
          </w:hyperlink>
        </w:p>
        <w:p w14:paraId="79542ACC" w14:textId="551B47A1" w:rsidR="00A93E4A" w:rsidRDefault="001D1E64">
          <w:pPr>
            <w:pStyle w:val="TOC1"/>
            <w:tabs>
              <w:tab w:val="left" w:pos="440"/>
              <w:tab w:val="right" w:leader="dot" w:pos="8828"/>
            </w:tabs>
            <w:rPr>
              <w:rFonts w:asciiTheme="minorHAnsi" w:eastAsiaTheme="minorEastAsia" w:hAnsiTheme="minorHAnsi" w:cstheme="minorBidi"/>
              <w:noProof/>
              <w:sz w:val="22"/>
              <w:szCs w:val="22"/>
            </w:rPr>
          </w:pPr>
          <w:hyperlink w:anchor="_Toc484602614" w:history="1">
            <w:r w:rsidR="00A93E4A" w:rsidRPr="00DF59A8">
              <w:rPr>
                <w:rStyle w:val="Hyperlink"/>
                <w:noProof/>
              </w:rPr>
              <w:t>8</w:t>
            </w:r>
            <w:r w:rsidR="00A93E4A">
              <w:rPr>
                <w:rFonts w:asciiTheme="minorHAnsi" w:eastAsiaTheme="minorEastAsia" w:hAnsiTheme="minorHAnsi" w:cstheme="minorBidi"/>
                <w:noProof/>
                <w:sz w:val="22"/>
                <w:szCs w:val="22"/>
              </w:rPr>
              <w:tab/>
            </w:r>
            <w:r w:rsidR="00A93E4A" w:rsidRPr="00DF59A8">
              <w:rPr>
                <w:rStyle w:val="Hyperlink"/>
                <w:noProof/>
              </w:rPr>
              <w:t>Valoración del Riesgo de Costos Adicionales</w:t>
            </w:r>
            <w:r w:rsidR="00A93E4A">
              <w:rPr>
                <w:noProof/>
                <w:webHidden/>
              </w:rPr>
              <w:tab/>
            </w:r>
            <w:r w:rsidR="00A93E4A">
              <w:rPr>
                <w:noProof/>
                <w:webHidden/>
              </w:rPr>
              <w:fldChar w:fldCharType="begin"/>
            </w:r>
            <w:r w:rsidR="00A93E4A">
              <w:rPr>
                <w:noProof/>
                <w:webHidden/>
              </w:rPr>
              <w:instrText xml:space="preserve"> PAGEREF _Toc484602614 \h </w:instrText>
            </w:r>
            <w:r w:rsidR="00A93E4A">
              <w:rPr>
                <w:noProof/>
                <w:webHidden/>
              </w:rPr>
            </w:r>
            <w:r w:rsidR="00A93E4A">
              <w:rPr>
                <w:noProof/>
                <w:webHidden/>
              </w:rPr>
              <w:fldChar w:fldCharType="separate"/>
            </w:r>
            <w:r w:rsidR="00011CB8">
              <w:rPr>
                <w:noProof/>
                <w:webHidden/>
              </w:rPr>
              <w:t>27</w:t>
            </w:r>
            <w:r w:rsidR="00A93E4A">
              <w:rPr>
                <w:noProof/>
                <w:webHidden/>
              </w:rPr>
              <w:fldChar w:fldCharType="end"/>
            </w:r>
          </w:hyperlink>
        </w:p>
        <w:p w14:paraId="2CFAD9C8" w14:textId="64968C62" w:rsidR="00A93E4A" w:rsidRDefault="001D1E64">
          <w:pPr>
            <w:pStyle w:val="TOC2"/>
            <w:tabs>
              <w:tab w:val="left" w:pos="880"/>
              <w:tab w:val="right" w:leader="dot" w:pos="8828"/>
            </w:tabs>
            <w:rPr>
              <w:rFonts w:asciiTheme="minorHAnsi" w:eastAsiaTheme="minorEastAsia" w:hAnsiTheme="minorHAnsi" w:cstheme="minorBidi"/>
              <w:noProof/>
              <w:sz w:val="22"/>
              <w:szCs w:val="22"/>
            </w:rPr>
          </w:pPr>
          <w:hyperlink w:anchor="_Toc484602615" w:history="1">
            <w:r w:rsidR="00A93E4A" w:rsidRPr="00DF59A8">
              <w:rPr>
                <w:rStyle w:val="Hyperlink"/>
                <w:noProof/>
              </w:rPr>
              <w:t>8.1</w:t>
            </w:r>
            <w:r w:rsidR="00A93E4A">
              <w:rPr>
                <w:rFonts w:asciiTheme="minorHAnsi" w:eastAsiaTheme="minorEastAsia" w:hAnsiTheme="minorHAnsi" w:cstheme="minorBidi"/>
                <w:noProof/>
                <w:sz w:val="22"/>
                <w:szCs w:val="22"/>
              </w:rPr>
              <w:tab/>
            </w:r>
            <w:r w:rsidR="00A93E4A" w:rsidRPr="00DF59A8">
              <w:rPr>
                <w:rStyle w:val="Hyperlink"/>
                <w:noProof/>
              </w:rPr>
              <w:t>Valoración de variación entre precios de referencia y precios ofertados</w:t>
            </w:r>
            <w:r w:rsidR="00A93E4A">
              <w:rPr>
                <w:noProof/>
                <w:webHidden/>
              </w:rPr>
              <w:tab/>
            </w:r>
            <w:r w:rsidR="00A93E4A">
              <w:rPr>
                <w:noProof/>
                <w:webHidden/>
              </w:rPr>
              <w:fldChar w:fldCharType="begin"/>
            </w:r>
            <w:r w:rsidR="00A93E4A">
              <w:rPr>
                <w:noProof/>
                <w:webHidden/>
              </w:rPr>
              <w:instrText xml:space="preserve"> PAGEREF _Toc484602615 \h </w:instrText>
            </w:r>
            <w:r w:rsidR="00A93E4A">
              <w:rPr>
                <w:noProof/>
                <w:webHidden/>
              </w:rPr>
            </w:r>
            <w:r w:rsidR="00A93E4A">
              <w:rPr>
                <w:noProof/>
                <w:webHidden/>
              </w:rPr>
              <w:fldChar w:fldCharType="separate"/>
            </w:r>
            <w:r w:rsidR="00011CB8">
              <w:rPr>
                <w:noProof/>
                <w:webHidden/>
              </w:rPr>
              <w:t>31</w:t>
            </w:r>
            <w:r w:rsidR="00A93E4A">
              <w:rPr>
                <w:noProof/>
                <w:webHidden/>
              </w:rPr>
              <w:fldChar w:fldCharType="end"/>
            </w:r>
          </w:hyperlink>
        </w:p>
        <w:p w14:paraId="2E81A94C" w14:textId="200CBA51" w:rsidR="00A93E4A" w:rsidRDefault="001D1E64">
          <w:pPr>
            <w:pStyle w:val="TOC2"/>
            <w:tabs>
              <w:tab w:val="left" w:pos="880"/>
              <w:tab w:val="right" w:leader="dot" w:pos="8828"/>
            </w:tabs>
            <w:rPr>
              <w:rFonts w:asciiTheme="minorHAnsi" w:eastAsiaTheme="minorEastAsia" w:hAnsiTheme="minorHAnsi" w:cstheme="minorBidi"/>
              <w:noProof/>
              <w:sz w:val="22"/>
              <w:szCs w:val="22"/>
            </w:rPr>
          </w:pPr>
          <w:hyperlink w:anchor="_Toc484602616" w:history="1">
            <w:r w:rsidR="00A93E4A" w:rsidRPr="00DF59A8">
              <w:rPr>
                <w:rStyle w:val="Hyperlink"/>
                <w:noProof/>
              </w:rPr>
              <w:t>8.2</w:t>
            </w:r>
            <w:r w:rsidR="00A93E4A">
              <w:rPr>
                <w:rFonts w:asciiTheme="minorHAnsi" w:eastAsiaTheme="minorEastAsia" w:hAnsiTheme="minorHAnsi" w:cstheme="minorBidi"/>
                <w:noProof/>
                <w:sz w:val="22"/>
                <w:szCs w:val="22"/>
              </w:rPr>
              <w:tab/>
            </w:r>
            <w:r w:rsidR="00A93E4A" w:rsidRPr="00DF59A8">
              <w:rPr>
                <w:rStyle w:val="Hyperlink"/>
                <w:noProof/>
              </w:rPr>
              <w:t>Valoración de Variación en Precios de Mercado en el Tiempo o Escalamiento</w:t>
            </w:r>
            <w:r w:rsidR="00A93E4A">
              <w:rPr>
                <w:noProof/>
                <w:webHidden/>
              </w:rPr>
              <w:tab/>
            </w:r>
            <w:r w:rsidR="00A93E4A">
              <w:rPr>
                <w:noProof/>
                <w:webHidden/>
              </w:rPr>
              <w:fldChar w:fldCharType="begin"/>
            </w:r>
            <w:r w:rsidR="00A93E4A">
              <w:rPr>
                <w:noProof/>
                <w:webHidden/>
              </w:rPr>
              <w:instrText xml:space="preserve"> PAGEREF _Toc484602616 \h </w:instrText>
            </w:r>
            <w:r w:rsidR="00A93E4A">
              <w:rPr>
                <w:noProof/>
                <w:webHidden/>
              </w:rPr>
            </w:r>
            <w:r w:rsidR="00A93E4A">
              <w:rPr>
                <w:noProof/>
                <w:webHidden/>
              </w:rPr>
              <w:fldChar w:fldCharType="separate"/>
            </w:r>
            <w:r w:rsidR="00011CB8">
              <w:rPr>
                <w:noProof/>
                <w:webHidden/>
              </w:rPr>
              <w:t>31</w:t>
            </w:r>
            <w:r w:rsidR="00A93E4A">
              <w:rPr>
                <w:noProof/>
                <w:webHidden/>
              </w:rPr>
              <w:fldChar w:fldCharType="end"/>
            </w:r>
          </w:hyperlink>
        </w:p>
        <w:p w14:paraId="3F4881B5" w14:textId="7B6E1360" w:rsidR="00A93E4A" w:rsidRDefault="001D1E64">
          <w:pPr>
            <w:pStyle w:val="TOC2"/>
            <w:tabs>
              <w:tab w:val="left" w:pos="880"/>
              <w:tab w:val="right" w:leader="dot" w:pos="8828"/>
            </w:tabs>
            <w:rPr>
              <w:rFonts w:asciiTheme="minorHAnsi" w:eastAsiaTheme="minorEastAsia" w:hAnsiTheme="minorHAnsi" w:cstheme="minorBidi"/>
              <w:noProof/>
              <w:sz w:val="22"/>
              <w:szCs w:val="22"/>
            </w:rPr>
          </w:pPr>
          <w:hyperlink w:anchor="_Toc484602617" w:history="1">
            <w:r w:rsidR="00A93E4A" w:rsidRPr="00DF59A8">
              <w:rPr>
                <w:rStyle w:val="Hyperlink"/>
                <w:noProof/>
              </w:rPr>
              <w:t>8.3</w:t>
            </w:r>
            <w:r w:rsidR="00A93E4A">
              <w:rPr>
                <w:rFonts w:asciiTheme="minorHAnsi" w:eastAsiaTheme="minorEastAsia" w:hAnsiTheme="minorHAnsi" w:cstheme="minorBidi"/>
                <w:noProof/>
                <w:sz w:val="22"/>
                <w:szCs w:val="22"/>
              </w:rPr>
              <w:tab/>
            </w:r>
            <w:r w:rsidR="00A93E4A" w:rsidRPr="00DF59A8">
              <w:rPr>
                <w:rStyle w:val="Hyperlink"/>
                <w:noProof/>
              </w:rPr>
              <w:t>Cálculo del Total Contingente</w:t>
            </w:r>
            <w:r w:rsidR="00A93E4A">
              <w:rPr>
                <w:noProof/>
                <w:webHidden/>
              </w:rPr>
              <w:tab/>
            </w:r>
            <w:r w:rsidR="00A93E4A">
              <w:rPr>
                <w:noProof/>
                <w:webHidden/>
              </w:rPr>
              <w:fldChar w:fldCharType="begin"/>
            </w:r>
            <w:r w:rsidR="00A93E4A">
              <w:rPr>
                <w:noProof/>
                <w:webHidden/>
              </w:rPr>
              <w:instrText xml:space="preserve"> PAGEREF _Toc484602617 \h </w:instrText>
            </w:r>
            <w:r w:rsidR="00A93E4A">
              <w:rPr>
                <w:noProof/>
                <w:webHidden/>
              </w:rPr>
            </w:r>
            <w:r w:rsidR="00A93E4A">
              <w:rPr>
                <w:noProof/>
                <w:webHidden/>
              </w:rPr>
              <w:fldChar w:fldCharType="separate"/>
            </w:r>
            <w:r w:rsidR="00011CB8">
              <w:rPr>
                <w:noProof/>
                <w:webHidden/>
              </w:rPr>
              <w:t>32</w:t>
            </w:r>
            <w:r w:rsidR="00A93E4A">
              <w:rPr>
                <w:noProof/>
                <w:webHidden/>
              </w:rPr>
              <w:fldChar w:fldCharType="end"/>
            </w:r>
          </w:hyperlink>
        </w:p>
        <w:p w14:paraId="5BA4BFF7" w14:textId="5EA478F6" w:rsidR="00A93E4A" w:rsidRDefault="001D1E64">
          <w:pPr>
            <w:pStyle w:val="TOC1"/>
            <w:tabs>
              <w:tab w:val="left" w:pos="440"/>
              <w:tab w:val="right" w:leader="dot" w:pos="8828"/>
            </w:tabs>
            <w:rPr>
              <w:rFonts w:asciiTheme="minorHAnsi" w:eastAsiaTheme="minorEastAsia" w:hAnsiTheme="minorHAnsi" w:cstheme="minorBidi"/>
              <w:noProof/>
              <w:sz w:val="22"/>
              <w:szCs w:val="22"/>
            </w:rPr>
          </w:pPr>
          <w:hyperlink w:anchor="_Toc484602618" w:history="1">
            <w:r w:rsidR="00A93E4A" w:rsidRPr="00DF59A8">
              <w:rPr>
                <w:rStyle w:val="Hyperlink"/>
                <w:noProof/>
              </w:rPr>
              <w:t>9</w:t>
            </w:r>
            <w:r w:rsidR="00A93E4A">
              <w:rPr>
                <w:rFonts w:asciiTheme="minorHAnsi" w:eastAsiaTheme="minorEastAsia" w:hAnsiTheme="minorHAnsi" w:cstheme="minorBidi"/>
                <w:noProof/>
                <w:sz w:val="22"/>
                <w:szCs w:val="22"/>
              </w:rPr>
              <w:tab/>
            </w:r>
            <w:r w:rsidR="00A93E4A" w:rsidRPr="00DF59A8">
              <w:rPr>
                <w:rStyle w:val="Hyperlink"/>
                <w:noProof/>
              </w:rPr>
              <w:t>Conclusiones y Recomendaciones</w:t>
            </w:r>
            <w:r w:rsidR="00A93E4A">
              <w:rPr>
                <w:noProof/>
                <w:webHidden/>
              </w:rPr>
              <w:tab/>
            </w:r>
            <w:r w:rsidR="00A93E4A">
              <w:rPr>
                <w:noProof/>
                <w:webHidden/>
              </w:rPr>
              <w:fldChar w:fldCharType="begin"/>
            </w:r>
            <w:r w:rsidR="00A93E4A">
              <w:rPr>
                <w:noProof/>
                <w:webHidden/>
              </w:rPr>
              <w:instrText xml:space="preserve"> PAGEREF _Toc484602618 \h </w:instrText>
            </w:r>
            <w:r w:rsidR="00A93E4A">
              <w:rPr>
                <w:noProof/>
                <w:webHidden/>
              </w:rPr>
            </w:r>
            <w:r w:rsidR="00A93E4A">
              <w:rPr>
                <w:noProof/>
                <w:webHidden/>
              </w:rPr>
              <w:fldChar w:fldCharType="separate"/>
            </w:r>
            <w:r w:rsidR="00011CB8">
              <w:rPr>
                <w:noProof/>
                <w:webHidden/>
              </w:rPr>
              <w:t>33</w:t>
            </w:r>
            <w:r w:rsidR="00A93E4A">
              <w:rPr>
                <w:noProof/>
                <w:webHidden/>
              </w:rPr>
              <w:fldChar w:fldCharType="end"/>
            </w:r>
          </w:hyperlink>
        </w:p>
        <w:p w14:paraId="5A653DF2" w14:textId="21AC4E8E" w:rsidR="00A93E4A" w:rsidRDefault="001D1E64">
          <w:pPr>
            <w:pStyle w:val="TOC1"/>
            <w:tabs>
              <w:tab w:val="left" w:pos="660"/>
              <w:tab w:val="right" w:leader="dot" w:pos="8828"/>
            </w:tabs>
            <w:rPr>
              <w:rFonts w:asciiTheme="minorHAnsi" w:eastAsiaTheme="minorEastAsia" w:hAnsiTheme="minorHAnsi" w:cstheme="minorBidi"/>
              <w:noProof/>
              <w:sz w:val="22"/>
              <w:szCs w:val="22"/>
            </w:rPr>
          </w:pPr>
          <w:hyperlink w:anchor="_Toc484602619" w:history="1">
            <w:r w:rsidR="00A93E4A" w:rsidRPr="00DF59A8">
              <w:rPr>
                <w:rStyle w:val="Hyperlink"/>
                <w:noProof/>
              </w:rPr>
              <w:t>10</w:t>
            </w:r>
            <w:r w:rsidR="00A93E4A">
              <w:rPr>
                <w:rFonts w:asciiTheme="minorHAnsi" w:eastAsiaTheme="minorEastAsia" w:hAnsiTheme="minorHAnsi" w:cstheme="minorBidi"/>
                <w:noProof/>
                <w:sz w:val="22"/>
                <w:szCs w:val="22"/>
              </w:rPr>
              <w:tab/>
            </w:r>
            <w:r w:rsidR="00A93E4A" w:rsidRPr="00DF59A8">
              <w:rPr>
                <w:rStyle w:val="Hyperlink"/>
                <w:noProof/>
              </w:rPr>
              <w:t>Lista de referencias</w:t>
            </w:r>
            <w:r w:rsidR="00A93E4A">
              <w:rPr>
                <w:noProof/>
                <w:webHidden/>
              </w:rPr>
              <w:tab/>
            </w:r>
            <w:r w:rsidR="00A93E4A">
              <w:rPr>
                <w:noProof/>
                <w:webHidden/>
              </w:rPr>
              <w:fldChar w:fldCharType="begin"/>
            </w:r>
            <w:r w:rsidR="00A93E4A">
              <w:rPr>
                <w:noProof/>
                <w:webHidden/>
              </w:rPr>
              <w:instrText xml:space="preserve"> PAGEREF _Toc484602619 \h </w:instrText>
            </w:r>
            <w:r w:rsidR="00A93E4A">
              <w:rPr>
                <w:noProof/>
                <w:webHidden/>
              </w:rPr>
            </w:r>
            <w:r w:rsidR="00A93E4A">
              <w:rPr>
                <w:noProof/>
                <w:webHidden/>
              </w:rPr>
              <w:fldChar w:fldCharType="separate"/>
            </w:r>
            <w:r w:rsidR="00011CB8">
              <w:rPr>
                <w:noProof/>
                <w:webHidden/>
              </w:rPr>
              <w:t>35</w:t>
            </w:r>
            <w:r w:rsidR="00A93E4A">
              <w:rPr>
                <w:noProof/>
                <w:webHidden/>
              </w:rPr>
              <w:fldChar w:fldCharType="end"/>
            </w:r>
          </w:hyperlink>
        </w:p>
        <w:p w14:paraId="7906573C" w14:textId="5E820B31" w:rsidR="00A93E4A" w:rsidRDefault="001D1E64">
          <w:pPr>
            <w:pStyle w:val="TOC1"/>
            <w:tabs>
              <w:tab w:val="right" w:leader="dot" w:pos="8828"/>
            </w:tabs>
            <w:rPr>
              <w:rFonts w:asciiTheme="minorHAnsi" w:eastAsiaTheme="minorEastAsia" w:hAnsiTheme="minorHAnsi" w:cstheme="minorBidi"/>
              <w:noProof/>
              <w:sz w:val="22"/>
              <w:szCs w:val="22"/>
            </w:rPr>
          </w:pPr>
          <w:hyperlink w:anchor="_Toc484602620" w:history="1">
            <w:r w:rsidR="00A93E4A" w:rsidRPr="00DF59A8">
              <w:rPr>
                <w:rStyle w:val="Hyperlink"/>
                <w:noProof/>
              </w:rPr>
              <w:t>ANEXOS - Series Históricas de Precios y Resultados Modelo ARIMA</w:t>
            </w:r>
            <w:r w:rsidR="00A93E4A">
              <w:rPr>
                <w:noProof/>
                <w:webHidden/>
              </w:rPr>
              <w:tab/>
            </w:r>
            <w:r w:rsidR="00A93E4A">
              <w:rPr>
                <w:noProof/>
                <w:webHidden/>
              </w:rPr>
              <w:fldChar w:fldCharType="begin"/>
            </w:r>
            <w:r w:rsidR="00A93E4A">
              <w:rPr>
                <w:noProof/>
                <w:webHidden/>
              </w:rPr>
              <w:instrText xml:space="preserve"> PAGEREF _Toc484602620 \h </w:instrText>
            </w:r>
            <w:r w:rsidR="00A93E4A">
              <w:rPr>
                <w:noProof/>
                <w:webHidden/>
              </w:rPr>
            </w:r>
            <w:r w:rsidR="00A93E4A">
              <w:rPr>
                <w:noProof/>
                <w:webHidden/>
              </w:rPr>
              <w:fldChar w:fldCharType="separate"/>
            </w:r>
            <w:r w:rsidR="00011CB8">
              <w:rPr>
                <w:noProof/>
                <w:webHidden/>
              </w:rPr>
              <w:t>36</w:t>
            </w:r>
            <w:r w:rsidR="00A93E4A">
              <w:rPr>
                <w:noProof/>
                <w:webHidden/>
              </w:rPr>
              <w:fldChar w:fldCharType="end"/>
            </w:r>
          </w:hyperlink>
        </w:p>
        <w:p w14:paraId="4B8B79FC" w14:textId="4CE8372A" w:rsidR="004C6A45" w:rsidRDefault="004C6A45" w:rsidP="00E25E91">
          <w:r>
            <w:rPr>
              <w:b/>
              <w:bCs/>
              <w:lang w:val="es-ES"/>
            </w:rPr>
            <w:fldChar w:fldCharType="end"/>
          </w:r>
        </w:p>
      </w:sdtContent>
    </w:sdt>
    <w:p w14:paraId="0BE3BEF1" w14:textId="02089FB6" w:rsidR="00377DA9" w:rsidRDefault="00A401AB" w:rsidP="00E25E91">
      <w:r w:rsidRPr="00C60859">
        <w:br w:type="page"/>
      </w:r>
    </w:p>
    <w:p w14:paraId="3F9047EC" w14:textId="16DB6EBE" w:rsidR="00A401AB" w:rsidRPr="00065FA8" w:rsidRDefault="00E31178" w:rsidP="00E25E91">
      <w:pPr>
        <w:rPr>
          <w:rFonts w:eastAsiaTheme="majorEastAsia"/>
          <w:b/>
        </w:rPr>
      </w:pPr>
      <w:r w:rsidRPr="00065FA8">
        <w:rPr>
          <w:rFonts w:eastAsiaTheme="majorEastAsia"/>
          <w:b/>
        </w:rPr>
        <w:lastRenderedPageBreak/>
        <w:t>INDICE DE TABLAS</w:t>
      </w:r>
    </w:p>
    <w:p w14:paraId="1E8433C3" w14:textId="7B884018" w:rsidR="00A93E4A" w:rsidRDefault="00E31178">
      <w:pPr>
        <w:pStyle w:val="TableofFigures"/>
        <w:tabs>
          <w:tab w:val="right" w:leader="dot" w:pos="8828"/>
        </w:tabs>
        <w:rPr>
          <w:rFonts w:asciiTheme="minorHAnsi" w:eastAsiaTheme="minorEastAsia" w:hAnsiTheme="minorHAnsi" w:cstheme="minorBidi"/>
          <w:noProof/>
          <w:sz w:val="22"/>
          <w:szCs w:val="22"/>
        </w:rPr>
      </w:pPr>
      <w:r>
        <w:rPr>
          <w:rFonts w:asciiTheme="minorHAnsi" w:eastAsiaTheme="majorEastAsia" w:hAnsiTheme="minorHAnsi" w:cstheme="majorBidi"/>
          <w:b/>
          <w:bCs/>
          <w:color w:val="365F91" w:themeColor="accent1" w:themeShade="BF"/>
          <w:sz w:val="28"/>
          <w:szCs w:val="28"/>
        </w:rPr>
        <w:fldChar w:fldCharType="begin"/>
      </w:r>
      <w:r>
        <w:rPr>
          <w:rFonts w:asciiTheme="minorHAnsi" w:eastAsiaTheme="majorEastAsia" w:hAnsiTheme="minorHAnsi" w:cstheme="majorBidi"/>
          <w:b/>
          <w:bCs/>
          <w:color w:val="365F91" w:themeColor="accent1" w:themeShade="BF"/>
          <w:sz w:val="28"/>
          <w:szCs w:val="28"/>
        </w:rPr>
        <w:instrText xml:space="preserve"> TOC \h \z \c "Tabla" </w:instrText>
      </w:r>
      <w:r>
        <w:rPr>
          <w:rFonts w:asciiTheme="minorHAnsi" w:eastAsiaTheme="majorEastAsia" w:hAnsiTheme="minorHAnsi" w:cstheme="majorBidi"/>
          <w:b/>
          <w:bCs/>
          <w:color w:val="365F91" w:themeColor="accent1" w:themeShade="BF"/>
          <w:sz w:val="28"/>
          <w:szCs w:val="28"/>
        </w:rPr>
        <w:fldChar w:fldCharType="separate"/>
      </w:r>
      <w:hyperlink w:anchor="_Toc484602621" w:history="1">
        <w:r w:rsidR="00A93E4A" w:rsidRPr="009B4819">
          <w:rPr>
            <w:rStyle w:val="Hyperlink"/>
            <w:rFonts w:eastAsiaTheme="majorEastAsia"/>
            <w:noProof/>
            <w:lang w:val="es-MX"/>
          </w:rPr>
          <w:t>Tabla 1.  Categorías de probabilidad de los riesgos</w:t>
        </w:r>
        <w:r w:rsidR="00A93E4A">
          <w:rPr>
            <w:noProof/>
            <w:webHidden/>
          </w:rPr>
          <w:tab/>
        </w:r>
        <w:r w:rsidR="00A93E4A">
          <w:rPr>
            <w:noProof/>
            <w:webHidden/>
          </w:rPr>
          <w:fldChar w:fldCharType="begin"/>
        </w:r>
        <w:r w:rsidR="00A93E4A">
          <w:rPr>
            <w:noProof/>
            <w:webHidden/>
          </w:rPr>
          <w:instrText xml:space="preserve"> PAGEREF _Toc484602621 \h </w:instrText>
        </w:r>
        <w:r w:rsidR="00A93E4A">
          <w:rPr>
            <w:noProof/>
            <w:webHidden/>
          </w:rPr>
        </w:r>
        <w:r w:rsidR="00A93E4A">
          <w:rPr>
            <w:noProof/>
            <w:webHidden/>
          </w:rPr>
          <w:fldChar w:fldCharType="separate"/>
        </w:r>
        <w:r w:rsidR="00011CB8">
          <w:rPr>
            <w:noProof/>
            <w:webHidden/>
          </w:rPr>
          <w:t>15</w:t>
        </w:r>
        <w:r w:rsidR="00A93E4A">
          <w:rPr>
            <w:noProof/>
            <w:webHidden/>
          </w:rPr>
          <w:fldChar w:fldCharType="end"/>
        </w:r>
      </w:hyperlink>
    </w:p>
    <w:p w14:paraId="50C28440" w14:textId="384A3237" w:rsidR="00A93E4A" w:rsidRDefault="001D1E64">
      <w:pPr>
        <w:pStyle w:val="TableofFigures"/>
        <w:tabs>
          <w:tab w:val="right" w:leader="dot" w:pos="8828"/>
        </w:tabs>
        <w:rPr>
          <w:rFonts w:asciiTheme="minorHAnsi" w:eastAsiaTheme="minorEastAsia" w:hAnsiTheme="minorHAnsi" w:cstheme="minorBidi"/>
          <w:noProof/>
          <w:sz w:val="22"/>
          <w:szCs w:val="22"/>
        </w:rPr>
      </w:pPr>
      <w:hyperlink w:anchor="_Toc484602622" w:history="1">
        <w:r w:rsidR="00A93E4A" w:rsidRPr="009B4819">
          <w:rPr>
            <w:rStyle w:val="Hyperlink"/>
            <w:rFonts w:eastAsiaTheme="majorEastAsia"/>
            <w:noProof/>
            <w:lang w:val="es-MX"/>
          </w:rPr>
          <w:t>Tabla 2.  Categorías de clasificación de los impactos</w:t>
        </w:r>
        <w:r w:rsidR="00A93E4A">
          <w:rPr>
            <w:noProof/>
            <w:webHidden/>
          </w:rPr>
          <w:tab/>
        </w:r>
        <w:r w:rsidR="00A93E4A">
          <w:rPr>
            <w:noProof/>
            <w:webHidden/>
          </w:rPr>
          <w:fldChar w:fldCharType="begin"/>
        </w:r>
        <w:r w:rsidR="00A93E4A">
          <w:rPr>
            <w:noProof/>
            <w:webHidden/>
          </w:rPr>
          <w:instrText xml:space="preserve"> PAGEREF _Toc484602622 \h </w:instrText>
        </w:r>
        <w:r w:rsidR="00A93E4A">
          <w:rPr>
            <w:noProof/>
            <w:webHidden/>
          </w:rPr>
        </w:r>
        <w:r w:rsidR="00A93E4A">
          <w:rPr>
            <w:noProof/>
            <w:webHidden/>
          </w:rPr>
          <w:fldChar w:fldCharType="separate"/>
        </w:r>
        <w:r w:rsidR="00011CB8">
          <w:rPr>
            <w:noProof/>
            <w:webHidden/>
          </w:rPr>
          <w:t>15</w:t>
        </w:r>
        <w:r w:rsidR="00A93E4A">
          <w:rPr>
            <w:noProof/>
            <w:webHidden/>
          </w:rPr>
          <w:fldChar w:fldCharType="end"/>
        </w:r>
      </w:hyperlink>
    </w:p>
    <w:p w14:paraId="51585EDF" w14:textId="57CD2518" w:rsidR="00A93E4A" w:rsidRPr="00A93E4A" w:rsidRDefault="001D1E64">
      <w:pPr>
        <w:pStyle w:val="TableofFigures"/>
        <w:tabs>
          <w:tab w:val="right" w:leader="dot" w:pos="8828"/>
        </w:tabs>
        <w:rPr>
          <w:rFonts w:asciiTheme="minorHAnsi" w:eastAsiaTheme="minorEastAsia" w:hAnsiTheme="minorHAnsi" w:cstheme="minorBidi"/>
          <w:noProof/>
          <w:sz w:val="22"/>
          <w:szCs w:val="22"/>
        </w:rPr>
      </w:pPr>
      <w:hyperlink w:anchor="_Toc484602623" w:history="1">
        <w:r w:rsidR="00A93E4A" w:rsidRPr="00A93E4A">
          <w:rPr>
            <w:rStyle w:val="Hyperlink"/>
            <w:rFonts w:eastAsiaTheme="majorEastAsia"/>
            <w:noProof/>
            <w:lang w:val="es-MX"/>
          </w:rPr>
          <w:t>Tabla 3.  Matriz de riesgos e impactos</w:t>
        </w:r>
        <w:r w:rsidR="00A93E4A" w:rsidRPr="00A93E4A">
          <w:rPr>
            <w:noProof/>
            <w:webHidden/>
          </w:rPr>
          <w:tab/>
        </w:r>
        <w:r w:rsidR="00A93E4A" w:rsidRPr="00A93E4A">
          <w:rPr>
            <w:noProof/>
            <w:webHidden/>
          </w:rPr>
          <w:fldChar w:fldCharType="begin"/>
        </w:r>
        <w:r w:rsidR="00A93E4A" w:rsidRPr="00A93E4A">
          <w:rPr>
            <w:noProof/>
            <w:webHidden/>
          </w:rPr>
          <w:instrText xml:space="preserve"> PAGEREF _Toc484602623 \h </w:instrText>
        </w:r>
        <w:r w:rsidR="00A93E4A" w:rsidRPr="00A93E4A">
          <w:rPr>
            <w:noProof/>
            <w:webHidden/>
          </w:rPr>
        </w:r>
        <w:r w:rsidR="00A93E4A" w:rsidRPr="00A93E4A">
          <w:rPr>
            <w:noProof/>
            <w:webHidden/>
          </w:rPr>
          <w:fldChar w:fldCharType="separate"/>
        </w:r>
        <w:r w:rsidR="00011CB8">
          <w:rPr>
            <w:noProof/>
            <w:webHidden/>
          </w:rPr>
          <w:t>16</w:t>
        </w:r>
        <w:r w:rsidR="00A93E4A" w:rsidRPr="00A93E4A">
          <w:rPr>
            <w:noProof/>
            <w:webHidden/>
          </w:rPr>
          <w:fldChar w:fldCharType="end"/>
        </w:r>
      </w:hyperlink>
    </w:p>
    <w:p w14:paraId="463C5FC3" w14:textId="60849575" w:rsidR="00A93E4A" w:rsidRPr="00A93E4A" w:rsidRDefault="001D1E64">
      <w:pPr>
        <w:pStyle w:val="TableofFigures"/>
        <w:tabs>
          <w:tab w:val="right" w:leader="dot" w:pos="8828"/>
        </w:tabs>
        <w:rPr>
          <w:rFonts w:asciiTheme="minorHAnsi" w:eastAsiaTheme="minorEastAsia" w:hAnsiTheme="minorHAnsi" w:cstheme="minorBidi"/>
          <w:noProof/>
          <w:sz w:val="22"/>
          <w:szCs w:val="22"/>
        </w:rPr>
      </w:pPr>
      <w:hyperlink w:anchor="_Toc484602624" w:history="1">
        <w:r w:rsidR="00A93E4A" w:rsidRPr="00A93E4A">
          <w:rPr>
            <w:rStyle w:val="Hyperlink"/>
            <w:rFonts w:eastAsiaTheme="majorEastAsia"/>
            <w:noProof/>
          </w:rPr>
          <w:t>Tabla 4. Presupuesto mejoramiento del camino TRAMO MAIRANA-BERMEJO (US$ de 2016)</w:t>
        </w:r>
        <w:r w:rsidR="00A93E4A" w:rsidRPr="00A93E4A">
          <w:rPr>
            <w:noProof/>
            <w:webHidden/>
          </w:rPr>
          <w:tab/>
        </w:r>
        <w:r w:rsidR="00A93E4A" w:rsidRPr="00A93E4A">
          <w:rPr>
            <w:noProof/>
            <w:webHidden/>
          </w:rPr>
          <w:fldChar w:fldCharType="begin"/>
        </w:r>
        <w:r w:rsidR="00A93E4A" w:rsidRPr="00A93E4A">
          <w:rPr>
            <w:noProof/>
            <w:webHidden/>
          </w:rPr>
          <w:instrText xml:space="preserve"> PAGEREF _Toc484602624 \h </w:instrText>
        </w:r>
        <w:r w:rsidR="00A93E4A" w:rsidRPr="00A93E4A">
          <w:rPr>
            <w:noProof/>
            <w:webHidden/>
          </w:rPr>
        </w:r>
        <w:r w:rsidR="00A93E4A" w:rsidRPr="00A93E4A">
          <w:rPr>
            <w:noProof/>
            <w:webHidden/>
          </w:rPr>
          <w:fldChar w:fldCharType="separate"/>
        </w:r>
        <w:r w:rsidR="00011CB8">
          <w:rPr>
            <w:noProof/>
            <w:webHidden/>
          </w:rPr>
          <w:t>20</w:t>
        </w:r>
        <w:r w:rsidR="00A93E4A" w:rsidRPr="00A93E4A">
          <w:rPr>
            <w:noProof/>
            <w:webHidden/>
          </w:rPr>
          <w:fldChar w:fldCharType="end"/>
        </w:r>
      </w:hyperlink>
    </w:p>
    <w:p w14:paraId="15329203" w14:textId="4CEC1717" w:rsidR="00A93E4A" w:rsidRDefault="001D1E64">
      <w:pPr>
        <w:pStyle w:val="TableofFigures"/>
        <w:tabs>
          <w:tab w:val="right" w:leader="dot" w:pos="8828"/>
        </w:tabs>
        <w:rPr>
          <w:rFonts w:asciiTheme="minorHAnsi" w:eastAsiaTheme="minorEastAsia" w:hAnsiTheme="minorHAnsi" w:cstheme="minorBidi"/>
          <w:noProof/>
          <w:sz w:val="22"/>
          <w:szCs w:val="22"/>
        </w:rPr>
      </w:pPr>
      <w:hyperlink w:anchor="_Toc484602625" w:history="1">
        <w:r w:rsidR="00A93E4A" w:rsidRPr="009B4819">
          <w:rPr>
            <w:rStyle w:val="Hyperlink"/>
            <w:rFonts w:eastAsiaTheme="majorEastAsia"/>
            <w:noProof/>
          </w:rPr>
          <w:t>Tabla 5. Insumos Básicos e Incidencias</w:t>
        </w:r>
        <w:r w:rsidR="00A93E4A">
          <w:rPr>
            <w:noProof/>
            <w:webHidden/>
          </w:rPr>
          <w:tab/>
        </w:r>
        <w:r w:rsidR="00A93E4A">
          <w:rPr>
            <w:noProof/>
            <w:webHidden/>
          </w:rPr>
          <w:fldChar w:fldCharType="begin"/>
        </w:r>
        <w:r w:rsidR="00A93E4A">
          <w:rPr>
            <w:noProof/>
            <w:webHidden/>
          </w:rPr>
          <w:instrText xml:space="preserve"> PAGEREF _Toc484602625 \h </w:instrText>
        </w:r>
        <w:r w:rsidR="00A93E4A">
          <w:rPr>
            <w:noProof/>
            <w:webHidden/>
          </w:rPr>
        </w:r>
        <w:r w:rsidR="00A93E4A">
          <w:rPr>
            <w:noProof/>
            <w:webHidden/>
          </w:rPr>
          <w:fldChar w:fldCharType="separate"/>
        </w:r>
        <w:r w:rsidR="00011CB8">
          <w:rPr>
            <w:noProof/>
            <w:webHidden/>
          </w:rPr>
          <w:t>22</w:t>
        </w:r>
        <w:r w:rsidR="00A93E4A">
          <w:rPr>
            <w:noProof/>
            <w:webHidden/>
          </w:rPr>
          <w:fldChar w:fldCharType="end"/>
        </w:r>
      </w:hyperlink>
    </w:p>
    <w:p w14:paraId="50182C38" w14:textId="34E64EC1" w:rsidR="00A93E4A" w:rsidRDefault="001D1E64">
      <w:pPr>
        <w:pStyle w:val="TableofFigures"/>
        <w:tabs>
          <w:tab w:val="right" w:leader="dot" w:pos="8828"/>
        </w:tabs>
        <w:rPr>
          <w:rFonts w:asciiTheme="minorHAnsi" w:eastAsiaTheme="minorEastAsia" w:hAnsiTheme="minorHAnsi" w:cstheme="minorBidi"/>
          <w:noProof/>
          <w:sz w:val="22"/>
          <w:szCs w:val="22"/>
        </w:rPr>
      </w:pPr>
      <w:hyperlink w:anchor="_Toc484602626" w:history="1">
        <w:r w:rsidR="00A93E4A" w:rsidRPr="009B4819">
          <w:rPr>
            <w:rStyle w:val="Hyperlink"/>
            <w:rFonts w:eastAsiaTheme="majorEastAsia"/>
            <w:noProof/>
          </w:rPr>
          <w:t>Tabla 6. Presupuesto de Referencia vs Presupuesto Otros Proyectos</w:t>
        </w:r>
        <w:r w:rsidR="00A93E4A">
          <w:rPr>
            <w:noProof/>
            <w:webHidden/>
          </w:rPr>
          <w:tab/>
        </w:r>
        <w:r w:rsidR="00A93E4A">
          <w:rPr>
            <w:noProof/>
            <w:webHidden/>
          </w:rPr>
          <w:fldChar w:fldCharType="begin"/>
        </w:r>
        <w:r w:rsidR="00A93E4A">
          <w:rPr>
            <w:noProof/>
            <w:webHidden/>
          </w:rPr>
          <w:instrText xml:space="preserve"> PAGEREF _Toc484602626 \h </w:instrText>
        </w:r>
        <w:r w:rsidR="00A93E4A">
          <w:rPr>
            <w:noProof/>
            <w:webHidden/>
          </w:rPr>
        </w:r>
        <w:r w:rsidR="00A93E4A">
          <w:rPr>
            <w:noProof/>
            <w:webHidden/>
          </w:rPr>
          <w:fldChar w:fldCharType="separate"/>
        </w:r>
        <w:r w:rsidR="00011CB8">
          <w:rPr>
            <w:noProof/>
            <w:webHidden/>
          </w:rPr>
          <w:t>22</w:t>
        </w:r>
        <w:r w:rsidR="00A93E4A">
          <w:rPr>
            <w:noProof/>
            <w:webHidden/>
          </w:rPr>
          <w:fldChar w:fldCharType="end"/>
        </w:r>
      </w:hyperlink>
    </w:p>
    <w:p w14:paraId="4A6543D9" w14:textId="6C535059" w:rsidR="00A93E4A" w:rsidRDefault="001D1E64">
      <w:pPr>
        <w:pStyle w:val="TableofFigures"/>
        <w:tabs>
          <w:tab w:val="right" w:leader="dot" w:pos="8828"/>
        </w:tabs>
        <w:rPr>
          <w:rFonts w:asciiTheme="minorHAnsi" w:eastAsiaTheme="minorEastAsia" w:hAnsiTheme="minorHAnsi" w:cstheme="minorBidi"/>
          <w:noProof/>
          <w:sz w:val="22"/>
          <w:szCs w:val="22"/>
        </w:rPr>
      </w:pPr>
      <w:hyperlink w:anchor="_Toc484602627" w:history="1">
        <w:r w:rsidR="00A93E4A" w:rsidRPr="009B4819">
          <w:rPr>
            <w:rStyle w:val="Hyperlink"/>
            <w:rFonts w:eastAsiaTheme="majorEastAsia"/>
            <w:noProof/>
          </w:rPr>
          <w:t>Tabla 7. Caracterización de la Variación Anual de Precios de Mercado de Insumos Básicos</w:t>
        </w:r>
        <w:r w:rsidR="00A93E4A">
          <w:rPr>
            <w:noProof/>
            <w:webHidden/>
          </w:rPr>
          <w:tab/>
        </w:r>
        <w:r w:rsidR="00A93E4A">
          <w:rPr>
            <w:noProof/>
            <w:webHidden/>
          </w:rPr>
          <w:fldChar w:fldCharType="begin"/>
        </w:r>
        <w:r w:rsidR="00A93E4A">
          <w:rPr>
            <w:noProof/>
            <w:webHidden/>
          </w:rPr>
          <w:instrText xml:space="preserve"> PAGEREF _Toc484602627 \h </w:instrText>
        </w:r>
        <w:r w:rsidR="00A93E4A">
          <w:rPr>
            <w:noProof/>
            <w:webHidden/>
          </w:rPr>
        </w:r>
        <w:r w:rsidR="00A93E4A">
          <w:rPr>
            <w:noProof/>
            <w:webHidden/>
          </w:rPr>
          <w:fldChar w:fldCharType="separate"/>
        </w:r>
        <w:r w:rsidR="00011CB8">
          <w:rPr>
            <w:noProof/>
            <w:webHidden/>
          </w:rPr>
          <w:t>23</w:t>
        </w:r>
        <w:r w:rsidR="00A93E4A">
          <w:rPr>
            <w:noProof/>
            <w:webHidden/>
          </w:rPr>
          <w:fldChar w:fldCharType="end"/>
        </w:r>
      </w:hyperlink>
    </w:p>
    <w:p w14:paraId="29E8BE11" w14:textId="1A9D4DB5" w:rsidR="00A93E4A" w:rsidRDefault="001D1E64">
      <w:pPr>
        <w:pStyle w:val="TableofFigures"/>
        <w:tabs>
          <w:tab w:val="right" w:leader="dot" w:pos="8828"/>
        </w:tabs>
        <w:rPr>
          <w:rFonts w:asciiTheme="minorHAnsi" w:eastAsiaTheme="minorEastAsia" w:hAnsiTheme="minorHAnsi" w:cstheme="minorBidi"/>
          <w:noProof/>
          <w:sz w:val="22"/>
          <w:szCs w:val="22"/>
        </w:rPr>
      </w:pPr>
      <w:hyperlink w:anchor="_Toc484602628" w:history="1">
        <w:r w:rsidR="00A93E4A" w:rsidRPr="009B4819">
          <w:rPr>
            <w:rStyle w:val="Hyperlink"/>
            <w:rFonts w:eastAsiaTheme="majorEastAsia"/>
            <w:noProof/>
          </w:rPr>
          <w:t xml:space="preserve">Tabla 8. </w:t>
        </w:r>
        <w:r w:rsidR="00A93E4A" w:rsidRPr="009B4819">
          <w:rPr>
            <w:rStyle w:val="Hyperlink"/>
            <w:rFonts w:eastAsiaTheme="majorEastAsia"/>
            <w:noProof/>
            <w:lang w:val="es-MX"/>
          </w:rPr>
          <w:t>Riesgos a Evaluar y Calificación</w:t>
        </w:r>
        <w:r w:rsidR="00A93E4A">
          <w:rPr>
            <w:noProof/>
            <w:webHidden/>
          </w:rPr>
          <w:tab/>
        </w:r>
        <w:r w:rsidR="00A93E4A">
          <w:rPr>
            <w:noProof/>
            <w:webHidden/>
          </w:rPr>
          <w:fldChar w:fldCharType="begin"/>
        </w:r>
        <w:r w:rsidR="00A93E4A">
          <w:rPr>
            <w:noProof/>
            <w:webHidden/>
          </w:rPr>
          <w:instrText xml:space="preserve"> PAGEREF _Toc484602628 \h </w:instrText>
        </w:r>
        <w:r w:rsidR="00A93E4A">
          <w:rPr>
            <w:noProof/>
            <w:webHidden/>
          </w:rPr>
        </w:r>
        <w:r w:rsidR="00A93E4A">
          <w:rPr>
            <w:noProof/>
            <w:webHidden/>
          </w:rPr>
          <w:fldChar w:fldCharType="separate"/>
        </w:r>
        <w:r w:rsidR="00011CB8">
          <w:rPr>
            <w:noProof/>
            <w:webHidden/>
          </w:rPr>
          <w:t>27</w:t>
        </w:r>
        <w:r w:rsidR="00A93E4A">
          <w:rPr>
            <w:noProof/>
            <w:webHidden/>
          </w:rPr>
          <w:fldChar w:fldCharType="end"/>
        </w:r>
      </w:hyperlink>
    </w:p>
    <w:p w14:paraId="60D04AAC" w14:textId="5EAF48C8" w:rsidR="00A93E4A" w:rsidRDefault="001D1E64">
      <w:pPr>
        <w:pStyle w:val="TableofFigures"/>
        <w:tabs>
          <w:tab w:val="right" w:leader="dot" w:pos="8828"/>
        </w:tabs>
        <w:rPr>
          <w:rFonts w:asciiTheme="minorHAnsi" w:eastAsiaTheme="minorEastAsia" w:hAnsiTheme="minorHAnsi" w:cstheme="minorBidi"/>
          <w:noProof/>
          <w:sz w:val="22"/>
          <w:szCs w:val="22"/>
        </w:rPr>
      </w:pPr>
      <w:hyperlink w:anchor="_Toc484602629" w:history="1">
        <w:r w:rsidR="00A93E4A" w:rsidRPr="009B4819">
          <w:rPr>
            <w:rStyle w:val="Hyperlink"/>
            <w:rFonts w:eastAsiaTheme="majorEastAsia"/>
            <w:noProof/>
          </w:rPr>
          <w:t xml:space="preserve">Tabla 9. </w:t>
        </w:r>
        <w:r w:rsidR="00A93E4A" w:rsidRPr="009B4819">
          <w:rPr>
            <w:rStyle w:val="Hyperlink"/>
            <w:rFonts w:eastAsiaTheme="majorEastAsia"/>
            <w:noProof/>
            <w:lang w:val="es-MX"/>
          </w:rPr>
          <w:t>Riesgos: Asignación y Mitigación</w:t>
        </w:r>
        <w:r w:rsidR="00A93E4A">
          <w:rPr>
            <w:noProof/>
            <w:webHidden/>
          </w:rPr>
          <w:tab/>
        </w:r>
        <w:r w:rsidR="00A93E4A">
          <w:rPr>
            <w:noProof/>
            <w:webHidden/>
          </w:rPr>
          <w:fldChar w:fldCharType="begin"/>
        </w:r>
        <w:r w:rsidR="00A93E4A">
          <w:rPr>
            <w:noProof/>
            <w:webHidden/>
          </w:rPr>
          <w:instrText xml:space="preserve"> PAGEREF _Toc484602629 \h </w:instrText>
        </w:r>
        <w:r w:rsidR="00A93E4A">
          <w:rPr>
            <w:noProof/>
            <w:webHidden/>
          </w:rPr>
        </w:r>
        <w:r w:rsidR="00A93E4A">
          <w:rPr>
            <w:noProof/>
            <w:webHidden/>
          </w:rPr>
          <w:fldChar w:fldCharType="separate"/>
        </w:r>
        <w:r w:rsidR="00011CB8">
          <w:rPr>
            <w:noProof/>
            <w:webHidden/>
          </w:rPr>
          <w:t>28</w:t>
        </w:r>
        <w:r w:rsidR="00A93E4A">
          <w:rPr>
            <w:noProof/>
            <w:webHidden/>
          </w:rPr>
          <w:fldChar w:fldCharType="end"/>
        </w:r>
      </w:hyperlink>
    </w:p>
    <w:p w14:paraId="31CD80AD" w14:textId="4F4AED28" w:rsidR="00A93E4A" w:rsidRDefault="001D1E64">
      <w:pPr>
        <w:pStyle w:val="TableofFigures"/>
        <w:tabs>
          <w:tab w:val="right" w:leader="dot" w:pos="8828"/>
        </w:tabs>
        <w:rPr>
          <w:rFonts w:asciiTheme="minorHAnsi" w:eastAsiaTheme="minorEastAsia" w:hAnsiTheme="minorHAnsi" w:cstheme="minorBidi"/>
          <w:noProof/>
          <w:sz w:val="22"/>
          <w:szCs w:val="22"/>
        </w:rPr>
      </w:pPr>
      <w:hyperlink w:anchor="_Toc484602630" w:history="1">
        <w:r w:rsidR="00A93E4A" w:rsidRPr="009B4819">
          <w:rPr>
            <w:rStyle w:val="Hyperlink"/>
            <w:rFonts w:eastAsiaTheme="majorEastAsia"/>
            <w:noProof/>
          </w:rPr>
          <w:t xml:space="preserve">Tabla 10. </w:t>
        </w:r>
        <w:r w:rsidR="00A93E4A" w:rsidRPr="009B4819">
          <w:rPr>
            <w:rStyle w:val="Hyperlink"/>
            <w:rFonts w:eastAsiaTheme="majorEastAsia"/>
            <w:noProof/>
            <w:lang w:val="es-MX"/>
          </w:rPr>
          <w:t>Riesgos: Tratamiento en Modelación</w:t>
        </w:r>
        <w:r w:rsidR="00A93E4A">
          <w:rPr>
            <w:noProof/>
            <w:webHidden/>
          </w:rPr>
          <w:tab/>
        </w:r>
        <w:r w:rsidR="00A93E4A">
          <w:rPr>
            <w:noProof/>
            <w:webHidden/>
          </w:rPr>
          <w:fldChar w:fldCharType="begin"/>
        </w:r>
        <w:r w:rsidR="00A93E4A">
          <w:rPr>
            <w:noProof/>
            <w:webHidden/>
          </w:rPr>
          <w:instrText xml:space="preserve"> PAGEREF _Toc484602630 \h </w:instrText>
        </w:r>
        <w:r w:rsidR="00A93E4A">
          <w:rPr>
            <w:noProof/>
            <w:webHidden/>
          </w:rPr>
        </w:r>
        <w:r w:rsidR="00A93E4A">
          <w:rPr>
            <w:noProof/>
            <w:webHidden/>
          </w:rPr>
          <w:fldChar w:fldCharType="separate"/>
        </w:r>
        <w:r w:rsidR="00011CB8">
          <w:rPr>
            <w:noProof/>
            <w:webHidden/>
          </w:rPr>
          <w:t>29</w:t>
        </w:r>
        <w:r w:rsidR="00A93E4A">
          <w:rPr>
            <w:noProof/>
            <w:webHidden/>
          </w:rPr>
          <w:fldChar w:fldCharType="end"/>
        </w:r>
      </w:hyperlink>
    </w:p>
    <w:p w14:paraId="33CE3EAC" w14:textId="25DB9823" w:rsidR="00A93E4A" w:rsidRDefault="001D1E64">
      <w:pPr>
        <w:pStyle w:val="TableofFigures"/>
        <w:tabs>
          <w:tab w:val="right" w:leader="dot" w:pos="8828"/>
        </w:tabs>
        <w:rPr>
          <w:rFonts w:asciiTheme="minorHAnsi" w:eastAsiaTheme="minorEastAsia" w:hAnsiTheme="minorHAnsi" w:cstheme="minorBidi"/>
          <w:noProof/>
          <w:sz w:val="22"/>
          <w:szCs w:val="22"/>
        </w:rPr>
      </w:pPr>
      <w:hyperlink w:anchor="_Toc484602631" w:history="1">
        <w:r w:rsidR="00A93E4A" w:rsidRPr="009B4819">
          <w:rPr>
            <w:rStyle w:val="Hyperlink"/>
            <w:rFonts w:eastAsiaTheme="majorEastAsia"/>
            <w:noProof/>
          </w:rPr>
          <w:t>Tabla 11. Series Índices de Precios de Principales Insumos de Obra</w:t>
        </w:r>
        <w:r w:rsidR="00A93E4A">
          <w:rPr>
            <w:noProof/>
            <w:webHidden/>
          </w:rPr>
          <w:tab/>
        </w:r>
        <w:r w:rsidR="00A93E4A">
          <w:rPr>
            <w:noProof/>
            <w:webHidden/>
          </w:rPr>
          <w:fldChar w:fldCharType="begin"/>
        </w:r>
        <w:r w:rsidR="00A93E4A">
          <w:rPr>
            <w:noProof/>
            <w:webHidden/>
          </w:rPr>
          <w:instrText xml:space="preserve"> PAGEREF _Toc484602631 \h </w:instrText>
        </w:r>
        <w:r w:rsidR="00A93E4A">
          <w:rPr>
            <w:noProof/>
            <w:webHidden/>
          </w:rPr>
        </w:r>
        <w:r w:rsidR="00A93E4A">
          <w:rPr>
            <w:noProof/>
            <w:webHidden/>
          </w:rPr>
          <w:fldChar w:fldCharType="separate"/>
        </w:r>
        <w:r w:rsidR="00011CB8">
          <w:rPr>
            <w:noProof/>
            <w:webHidden/>
          </w:rPr>
          <w:t>36</w:t>
        </w:r>
        <w:r w:rsidR="00A93E4A">
          <w:rPr>
            <w:noProof/>
            <w:webHidden/>
          </w:rPr>
          <w:fldChar w:fldCharType="end"/>
        </w:r>
      </w:hyperlink>
    </w:p>
    <w:p w14:paraId="0A470D73" w14:textId="60321167" w:rsidR="00A93E4A" w:rsidRDefault="001D1E64">
      <w:pPr>
        <w:pStyle w:val="TableofFigures"/>
        <w:tabs>
          <w:tab w:val="right" w:leader="dot" w:pos="8828"/>
        </w:tabs>
        <w:rPr>
          <w:rFonts w:asciiTheme="minorHAnsi" w:eastAsiaTheme="minorEastAsia" w:hAnsiTheme="minorHAnsi" w:cstheme="minorBidi"/>
          <w:noProof/>
          <w:sz w:val="22"/>
          <w:szCs w:val="22"/>
        </w:rPr>
      </w:pPr>
      <w:hyperlink w:anchor="_Toc484602632" w:history="1">
        <w:r w:rsidR="00A93E4A" w:rsidRPr="009B4819">
          <w:rPr>
            <w:rStyle w:val="Hyperlink"/>
            <w:rFonts w:eastAsiaTheme="majorEastAsia"/>
            <w:noProof/>
          </w:rPr>
          <w:t>Tabla 12. Caracterización de la Variación Anual de Precios de Mercado de Insumos Básicos</w:t>
        </w:r>
        <w:r w:rsidR="00A93E4A">
          <w:rPr>
            <w:noProof/>
            <w:webHidden/>
          </w:rPr>
          <w:tab/>
        </w:r>
        <w:r w:rsidR="00A93E4A">
          <w:rPr>
            <w:noProof/>
            <w:webHidden/>
          </w:rPr>
          <w:fldChar w:fldCharType="begin"/>
        </w:r>
        <w:r w:rsidR="00A93E4A">
          <w:rPr>
            <w:noProof/>
            <w:webHidden/>
          </w:rPr>
          <w:instrText xml:space="preserve"> PAGEREF _Toc484602632 \h </w:instrText>
        </w:r>
        <w:r w:rsidR="00A93E4A">
          <w:rPr>
            <w:noProof/>
            <w:webHidden/>
          </w:rPr>
        </w:r>
        <w:r w:rsidR="00A93E4A">
          <w:rPr>
            <w:noProof/>
            <w:webHidden/>
          </w:rPr>
          <w:fldChar w:fldCharType="separate"/>
        </w:r>
        <w:r w:rsidR="00011CB8">
          <w:rPr>
            <w:noProof/>
            <w:webHidden/>
          </w:rPr>
          <w:t>38</w:t>
        </w:r>
        <w:r w:rsidR="00A93E4A">
          <w:rPr>
            <w:noProof/>
            <w:webHidden/>
          </w:rPr>
          <w:fldChar w:fldCharType="end"/>
        </w:r>
      </w:hyperlink>
    </w:p>
    <w:p w14:paraId="0855C0A8" w14:textId="164635A2" w:rsidR="00377DA9" w:rsidRDefault="00E31178" w:rsidP="00E25E91">
      <w:pPr>
        <w:rPr>
          <w:rFonts w:eastAsiaTheme="majorEastAsia"/>
        </w:rPr>
      </w:pPr>
      <w:r>
        <w:rPr>
          <w:rFonts w:eastAsiaTheme="majorEastAsia"/>
        </w:rPr>
        <w:fldChar w:fldCharType="end"/>
      </w:r>
    </w:p>
    <w:p w14:paraId="166F0F6C" w14:textId="77777777" w:rsidR="00065FA8" w:rsidRDefault="00065FA8">
      <w:pPr>
        <w:rPr>
          <w:rFonts w:eastAsiaTheme="majorEastAsia"/>
          <w:b/>
        </w:rPr>
      </w:pPr>
      <w:r>
        <w:rPr>
          <w:rFonts w:eastAsiaTheme="majorEastAsia"/>
          <w:b/>
        </w:rPr>
        <w:br w:type="page"/>
      </w:r>
    </w:p>
    <w:p w14:paraId="7B343E85" w14:textId="2549AC98" w:rsidR="00E31178" w:rsidRPr="00065FA8" w:rsidRDefault="00E31178" w:rsidP="00E25E91">
      <w:pPr>
        <w:rPr>
          <w:rFonts w:eastAsiaTheme="majorEastAsia"/>
          <w:b/>
        </w:rPr>
      </w:pPr>
      <w:r w:rsidRPr="00065FA8">
        <w:rPr>
          <w:rFonts w:eastAsiaTheme="majorEastAsia"/>
          <w:b/>
        </w:rPr>
        <w:lastRenderedPageBreak/>
        <w:t>INDICE DE ILUSTRACIONES</w:t>
      </w:r>
    </w:p>
    <w:p w14:paraId="5D90E9A2" w14:textId="586AE178" w:rsidR="00A93E4A" w:rsidRDefault="00E31178">
      <w:pPr>
        <w:pStyle w:val="TableofFigures"/>
        <w:tabs>
          <w:tab w:val="right" w:leader="dot" w:pos="8828"/>
        </w:tabs>
        <w:rPr>
          <w:rFonts w:asciiTheme="minorHAnsi" w:eastAsiaTheme="minorEastAsia" w:hAnsiTheme="minorHAnsi" w:cstheme="minorBidi"/>
          <w:noProof/>
          <w:sz w:val="22"/>
          <w:szCs w:val="22"/>
        </w:rPr>
      </w:pPr>
      <w:r>
        <w:rPr>
          <w:rFonts w:asciiTheme="minorHAnsi" w:eastAsiaTheme="majorEastAsia" w:hAnsiTheme="minorHAnsi" w:cstheme="majorBidi"/>
          <w:b/>
          <w:bCs/>
          <w:color w:val="365F91" w:themeColor="accent1" w:themeShade="BF"/>
          <w:sz w:val="28"/>
          <w:szCs w:val="28"/>
        </w:rPr>
        <w:fldChar w:fldCharType="begin"/>
      </w:r>
      <w:r>
        <w:rPr>
          <w:rFonts w:asciiTheme="minorHAnsi" w:eastAsiaTheme="majorEastAsia" w:hAnsiTheme="minorHAnsi" w:cstheme="majorBidi"/>
          <w:b/>
          <w:bCs/>
          <w:color w:val="365F91" w:themeColor="accent1" w:themeShade="BF"/>
          <w:sz w:val="28"/>
          <w:szCs w:val="28"/>
        </w:rPr>
        <w:instrText xml:space="preserve"> TOC \h \z \c "Ilustración" </w:instrText>
      </w:r>
      <w:r>
        <w:rPr>
          <w:rFonts w:asciiTheme="minorHAnsi" w:eastAsiaTheme="majorEastAsia" w:hAnsiTheme="minorHAnsi" w:cstheme="majorBidi"/>
          <w:b/>
          <w:bCs/>
          <w:color w:val="365F91" w:themeColor="accent1" w:themeShade="BF"/>
          <w:sz w:val="28"/>
          <w:szCs w:val="28"/>
        </w:rPr>
        <w:fldChar w:fldCharType="separate"/>
      </w:r>
      <w:hyperlink w:anchor="_Toc484602633" w:history="1">
        <w:r w:rsidR="00A93E4A" w:rsidRPr="004716B4">
          <w:rPr>
            <w:rStyle w:val="Hyperlink"/>
            <w:rFonts w:eastAsiaTheme="majorEastAsia"/>
            <w:noProof/>
          </w:rPr>
          <w:t>Ilustración 1 –Ubicación del TRAMO MAIRANA-BERMEJO</w:t>
        </w:r>
        <w:r w:rsidR="00A93E4A">
          <w:rPr>
            <w:noProof/>
            <w:webHidden/>
          </w:rPr>
          <w:tab/>
        </w:r>
        <w:r w:rsidR="00A93E4A">
          <w:rPr>
            <w:noProof/>
            <w:webHidden/>
          </w:rPr>
          <w:fldChar w:fldCharType="begin"/>
        </w:r>
        <w:r w:rsidR="00A93E4A">
          <w:rPr>
            <w:noProof/>
            <w:webHidden/>
          </w:rPr>
          <w:instrText xml:space="preserve"> PAGEREF _Toc484602633 \h </w:instrText>
        </w:r>
        <w:r w:rsidR="00A93E4A">
          <w:rPr>
            <w:noProof/>
            <w:webHidden/>
          </w:rPr>
        </w:r>
        <w:r w:rsidR="00A93E4A">
          <w:rPr>
            <w:noProof/>
            <w:webHidden/>
          </w:rPr>
          <w:fldChar w:fldCharType="separate"/>
        </w:r>
        <w:r w:rsidR="00011CB8">
          <w:rPr>
            <w:noProof/>
            <w:webHidden/>
          </w:rPr>
          <w:t>19</w:t>
        </w:r>
        <w:r w:rsidR="00A93E4A">
          <w:rPr>
            <w:noProof/>
            <w:webHidden/>
          </w:rPr>
          <w:fldChar w:fldCharType="end"/>
        </w:r>
      </w:hyperlink>
    </w:p>
    <w:p w14:paraId="1B5FC192" w14:textId="3DC2694E" w:rsidR="00A93E4A" w:rsidRDefault="001D1E64">
      <w:pPr>
        <w:pStyle w:val="TableofFigures"/>
        <w:tabs>
          <w:tab w:val="right" w:leader="dot" w:pos="8828"/>
        </w:tabs>
        <w:rPr>
          <w:rFonts w:asciiTheme="minorHAnsi" w:eastAsiaTheme="minorEastAsia" w:hAnsiTheme="minorHAnsi" w:cstheme="minorBidi"/>
          <w:noProof/>
          <w:sz w:val="22"/>
          <w:szCs w:val="22"/>
        </w:rPr>
      </w:pPr>
      <w:hyperlink w:anchor="_Toc484602634" w:history="1">
        <w:r w:rsidR="00A93E4A" w:rsidRPr="004716B4">
          <w:rPr>
            <w:rStyle w:val="Hyperlink"/>
            <w:rFonts w:eastAsiaTheme="majorEastAsia"/>
            <w:noProof/>
          </w:rPr>
          <w:t>Ilustración 2. Costo Promedio por Kilómetro de Algunos Proyectos ABC</w:t>
        </w:r>
        <w:r w:rsidR="00A93E4A">
          <w:rPr>
            <w:noProof/>
            <w:webHidden/>
          </w:rPr>
          <w:tab/>
        </w:r>
        <w:r w:rsidR="00A93E4A">
          <w:rPr>
            <w:noProof/>
            <w:webHidden/>
          </w:rPr>
          <w:fldChar w:fldCharType="begin"/>
        </w:r>
        <w:r w:rsidR="00A93E4A">
          <w:rPr>
            <w:noProof/>
            <w:webHidden/>
          </w:rPr>
          <w:instrText xml:space="preserve"> PAGEREF _Toc484602634 \h </w:instrText>
        </w:r>
        <w:r w:rsidR="00A93E4A">
          <w:rPr>
            <w:noProof/>
            <w:webHidden/>
          </w:rPr>
        </w:r>
        <w:r w:rsidR="00A93E4A">
          <w:rPr>
            <w:noProof/>
            <w:webHidden/>
          </w:rPr>
          <w:fldChar w:fldCharType="separate"/>
        </w:r>
        <w:r w:rsidR="00011CB8">
          <w:rPr>
            <w:noProof/>
            <w:webHidden/>
          </w:rPr>
          <w:t>26</w:t>
        </w:r>
        <w:r w:rsidR="00A93E4A">
          <w:rPr>
            <w:noProof/>
            <w:webHidden/>
          </w:rPr>
          <w:fldChar w:fldCharType="end"/>
        </w:r>
      </w:hyperlink>
    </w:p>
    <w:p w14:paraId="4391D016" w14:textId="727DF035" w:rsidR="00A93E4A" w:rsidRDefault="001D1E64">
      <w:pPr>
        <w:pStyle w:val="TableofFigures"/>
        <w:tabs>
          <w:tab w:val="right" w:leader="dot" w:pos="8828"/>
        </w:tabs>
        <w:rPr>
          <w:rFonts w:asciiTheme="minorHAnsi" w:eastAsiaTheme="minorEastAsia" w:hAnsiTheme="minorHAnsi" w:cstheme="minorBidi"/>
          <w:noProof/>
          <w:sz w:val="22"/>
          <w:szCs w:val="22"/>
        </w:rPr>
      </w:pPr>
      <w:hyperlink w:anchor="_Toc484602635" w:history="1">
        <w:r w:rsidR="00A93E4A" w:rsidRPr="004716B4">
          <w:rPr>
            <w:rStyle w:val="Hyperlink"/>
            <w:rFonts w:eastAsiaTheme="majorEastAsia"/>
            <w:noProof/>
          </w:rPr>
          <w:t>Ilustración 3. Curvas de Distribución de Probabilidad de Ocurrencia - Riesgo Variación Precios Ofertados vs Precios de Referencia.</w:t>
        </w:r>
        <w:r w:rsidR="00A93E4A">
          <w:rPr>
            <w:noProof/>
            <w:webHidden/>
          </w:rPr>
          <w:tab/>
        </w:r>
        <w:r w:rsidR="00A93E4A">
          <w:rPr>
            <w:noProof/>
            <w:webHidden/>
          </w:rPr>
          <w:fldChar w:fldCharType="begin"/>
        </w:r>
        <w:r w:rsidR="00A93E4A">
          <w:rPr>
            <w:noProof/>
            <w:webHidden/>
          </w:rPr>
          <w:instrText xml:space="preserve"> PAGEREF _Toc484602635 \h </w:instrText>
        </w:r>
        <w:r w:rsidR="00A93E4A">
          <w:rPr>
            <w:noProof/>
            <w:webHidden/>
          </w:rPr>
        </w:r>
        <w:r w:rsidR="00A93E4A">
          <w:rPr>
            <w:noProof/>
            <w:webHidden/>
          </w:rPr>
          <w:fldChar w:fldCharType="separate"/>
        </w:r>
        <w:r w:rsidR="00011CB8">
          <w:rPr>
            <w:noProof/>
            <w:webHidden/>
          </w:rPr>
          <w:t>31</w:t>
        </w:r>
        <w:r w:rsidR="00A93E4A">
          <w:rPr>
            <w:noProof/>
            <w:webHidden/>
          </w:rPr>
          <w:fldChar w:fldCharType="end"/>
        </w:r>
      </w:hyperlink>
    </w:p>
    <w:p w14:paraId="4BE8B1DC" w14:textId="7C40DADE" w:rsidR="00A93E4A" w:rsidRDefault="001D1E64">
      <w:pPr>
        <w:pStyle w:val="TableofFigures"/>
        <w:tabs>
          <w:tab w:val="right" w:leader="dot" w:pos="8828"/>
        </w:tabs>
        <w:rPr>
          <w:rFonts w:asciiTheme="minorHAnsi" w:eastAsiaTheme="minorEastAsia" w:hAnsiTheme="minorHAnsi" w:cstheme="minorBidi"/>
          <w:noProof/>
          <w:sz w:val="22"/>
          <w:szCs w:val="22"/>
        </w:rPr>
      </w:pPr>
      <w:hyperlink w:anchor="_Toc484602636" w:history="1">
        <w:r w:rsidR="00A93E4A" w:rsidRPr="004716B4">
          <w:rPr>
            <w:rStyle w:val="Hyperlink"/>
            <w:rFonts w:eastAsiaTheme="majorEastAsia"/>
            <w:noProof/>
          </w:rPr>
          <w:t>Ilustración 4. Curva de Probabilidad de Factor de Escalamiento (Calculado 2017-2021)</w:t>
        </w:r>
        <w:r w:rsidR="00A93E4A">
          <w:rPr>
            <w:noProof/>
            <w:webHidden/>
          </w:rPr>
          <w:tab/>
        </w:r>
        <w:r w:rsidR="00A93E4A">
          <w:rPr>
            <w:noProof/>
            <w:webHidden/>
          </w:rPr>
          <w:fldChar w:fldCharType="begin"/>
        </w:r>
        <w:r w:rsidR="00A93E4A">
          <w:rPr>
            <w:noProof/>
            <w:webHidden/>
          </w:rPr>
          <w:instrText xml:space="preserve"> PAGEREF _Toc484602636 \h </w:instrText>
        </w:r>
        <w:r w:rsidR="00A93E4A">
          <w:rPr>
            <w:noProof/>
            <w:webHidden/>
          </w:rPr>
        </w:r>
        <w:r w:rsidR="00A93E4A">
          <w:rPr>
            <w:noProof/>
            <w:webHidden/>
          </w:rPr>
          <w:fldChar w:fldCharType="separate"/>
        </w:r>
        <w:r w:rsidR="00011CB8">
          <w:rPr>
            <w:noProof/>
            <w:webHidden/>
          </w:rPr>
          <w:t>32</w:t>
        </w:r>
        <w:r w:rsidR="00A93E4A">
          <w:rPr>
            <w:noProof/>
            <w:webHidden/>
          </w:rPr>
          <w:fldChar w:fldCharType="end"/>
        </w:r>
      </w:hyperlink>
    </w:p>
    <w:p w14:paraId="38FC24E8" w14:textId="6FF6EF3F" w:rsidR="00A93E4A" w:rsidRDefault="001D1E64">
      <w:pPr>
        <w:pStyle w:val="TableofFigures"/>
        <w:tabs>
          <w:tab w:val="right" w:leader="dot" w:pos="8828"/>
        </w:tabs>
        <w:rPr>
          <w:rFonts w:asciiTheme="minorHAnsi" w:eastAsiaTheme="minorEastAsia" w:hAnsiTheme="minorHAnsi" w:cstheme="minorBidi"/>
          <w:noProof/>
          <w:sz w:val="22"/>
          <w:szCs w:val="22"/>
        </w:rPr>
      </w:pPr>
      <w:hyperlink w:anchor="_Toc484602637" w:history="1">
        <w:r w:rsidR="00A93E4A" w:rsidRPr="004716B4">
          <w:rPr>
            <w:rStyle w:val="Hyperlink"/>
            <w:rFonts w:eastAsiaTheme="majorEastAsia"/>
            <w:noProof/>
          </w:rPr>
          <w:t>Ilustración 5. Provisión de Costos Adicionales</w:t>
        </w:r>
        <w:r w:rsidR="00A93E4A">
          <w:rPr>
            <w:noProof/>
            <w:webHidden/>
          </w:rPr>
          <w:tab/>
        </w:r>
        <w:r w:rsidR="00A93E4A">
          <w:rPr>
            <w:noProof/>
            <w:webHidden/>
          </w:rPr>
          <w:fldChar w:fldCharType="begin"/>
        </w:r>
        <w:r w:rsidR="00A93E4A">
          <w:rPr>
            <w:noProof/>
            <w:webHidden/>
          </w:rPr>
          <w:instrText xml:space="preserve"> PAGEREF _Toc484602637 \h </w:instrText>
        </w:r>
        <w:r w:rsidR="00A93E4A">
          <w:rPr>
            <w:noProof/>
            <w:webHidden/>
          </w:rPr>
        </w:r>
        <w:r w:rsidR="00A93E4A">
          <w:rPr>
            <w:noProof/>
            <w:webHidden/>
          </w:rPr>
          <w:fldChar w:fldCharType="separate"/>
        </w:r>
        <w:r w:rsidR="00011CB8">
          <w:rPr>
            <w:noProof/>
            <w:webHidden/>
          </w:rPr>
          <w:t>33</w:t>
        </w:r>
        <w:r w:rsidR="00A93E4A">
          <w:rPr>
            <w:noProof/>
            <w:webHidden/>
          </w:rPr>
          <w:fldChar w:fldCharType="end"/>
        </w:r>
      </w:hyperlink>
    </w:p>
    <w:p w14:paraId="3C20A5E8" w14:textId="4CE2343E" w:rsidR="00A93E4A" w:rsidRDefault="001D1E64">
      <w:pPr>
        <w:pStyle w:val="TableofFigures"/>
        <w:tabs>
          <w:tab w:val="right" w:leader="dot" w:pos="8828"/>
        </w:tabs>
        <w:rPr>
          <w:rFonts w:asciiTheme="minorHAnsi" w:eastAsiaTheme="minorEastAsia" w:hAnsiTheme="minorHAnsi" w:cstheme="minorBidi"/>
          <w:noProof/>
          <w:sz w:val="22"/>
          <w:szCs w:val="22"/>
        </w:rPr>
      </w:pPr>
      <w:hyperlink w:anchor="_Toc484602638" w:history="1">
        <w:r w:rsidR="00A93E4A" w:rsidRPr="004716B4">
          <w:rPr>
            <w:rStyle w:val="Hyperlink"/>
            <w:rFonts w:eastAsiaTheme="majorEastAsia"/>
            <w:noProof/>
          </w:rPr>
          <w:t>Ilustración 6. Índices de Precios Normalizados (Base 2008=100)</w:t>
        </w:r>
        <w:r w:rsidR="00A93E4A">
          <w:rPr>
            <w:noProof/>
            <w:webHidden/>
          </w:rPr>
          <w:tab/>
        </w:r>
        <w:r w:rsidR="00A93E4A">
          <w:rPr>
            <w:noProof/>
            <w:webHidden/>
          </w:rPr>
          <w:fldChar w:fldCharType="begin"/>
        </w:r>
        <w:r w:rsidR="00A93E4A">
          <w:rPr>
            <w:noProof/>
            <w:webHidden/>
          </w:rPr>
          <w:instrText xml:space="preserve"> PAGEREF _Toc484602638 \h </w:instrText>
        </w:r>
        <w:r w:rsidR="00A93E4A">
          <w:rPr>
            <w:noProof/>
            <w:webHidden/>
          </w:rPr>
        </w:r>
        <w:r w:rsidR="00A93E4A">
          <w:rPr>
            <w:noProof/>
            <w:webHidden/>
          </w:rPr>
          <w:fldChar w:fldCharType="separate"/>
        </w:r>
        <w:r w:rsidR="00011CB8">
          <w:rPr>
            <w:noProof/>
            <w:webHidden/>
          </w:rPr>
          <w:t>37</w:t>
        </w:r>
        <w:r w:rsidR="00A93E4A">
          <w:rPr>
            <w:noProof/>
            <w:webHidden/>
          </w:rPr>
          <w:fldChar w:fldCharType="end"/>
        </w:r>
      </w:hyperlink>
    </w:p>
    <w:p w14:paraId="4B899603" w14:textId="638E3FB3" w:rsidR="00A93E4A" w:rsidRDefault="001D1E64">
      <w:pPr>
        <w:pStyle w:val="TableofFigures"/>
        <w:tabs>
          <w:tab w:val="right" w:leader="dot" w:pos="8828"/>
        </w:tabs>
        <w:rPr>
          <w:rFonts w:asciiTheme="minorHAnsi" w:eastAsiaTheme="minorEastAsia" w:hAnsiTheme="minorHAnsi" w:cstheme="minorBidi"/>
          <w:noProof/>
          <w:sz w:val="22"/>
          <w:szCs w:val="22"/>
        </w:rPr>
      </w:pPr>
      <w:hyperlink w:anchor="_Toc484602639" w:history="1">
        <w:r w:rsidR="00A93E4A" w:rsidRPr="004716B4">
          <w:rPr>
            <w:rStyle w:val="Hyperlink"/>
            <w:rFonts w:eastAsiaTheme="majorEastAsia"/>
            <w:noProof/>
          </w:rPr>
          <w:t>Ilustración 7. Índice General de Costos - Proyección ARIMA</w:t>
        </w:r>
        <w:r w:rsidR="00A93E4A">
          <w:rPr>
            <w:noProof/>
            <w:webHidden/>
          </w:rPr>
          <w:tab/>
        </w:r>
        <w:r w:rsidR="00A93E4A">
          <w:rPr>
            <w:noProof/>
            <w:webHidden/>
          </w:rPr>
          <w:fldChar w:fldCharType="begin"/>
        </w:r>
        <w:r w:rsidR="00A93E4A">
          <w:rPr>
            <w:noProof/>
            <w:webHidden/>
          </w:rPr>
          <w:instrText xml:space="preserve"> PAGEREF _Toc484602639 \h </w:instrText>
        </w:r>
        <w:r w:rsidR="00A93E4A">
          <w:rPr>
            <w:noProof/>
            <w:webHidden/>
          </w:rPr>
        </w:r>
        <w:r w:rsidR="00A93E4A">
          <w:rPr>
            <w:noProof/>
            <w:webHidden/>
          </w:rPr>
          <w:fldChar w:fldCharType="separate"/>
        </w:r>
        <w:r w:rsidR="00011CB8">
          <w:rPr>
            <w:noProof/>
            <w:webHidden/>
          </w:rPr>
          <w:t>37</w:t>
        </w:r>
        <w:r w:rsidR="00A93E4A">
          <w:rPr>
            <w:noProof/>
            <w:webHidden/>
          </w:rPr>
          <w:fldChar w:fldCharType="end"/>
        </w:r>
      </w:hyperlink>
    </w:p>
    <w:p w14:paraId="679AD67B" w14:textId="47492EB0" w:rsidR="00E31178" w:rsidRDefault="00E31178" w:rsidP="00E25E91">
      <w:pPr>
        <w:rPr>
          <w:rFonts w:eastAsiaTheme="majorEastAsia"/>
        </w:rPr>
      </w:pPr>
      <w:r>
        <w:rPr>
          <w:rFonts w:eastAsiaTheme="majorEastAsia"/>
        </w:rPr>
        <w:fldChar w:fldCharType="end"/>
      </w:r>
    </w:p>
    <w:p w14:paraId="1534B524" w14:textId="77777777" w:rsidR="00E31178" w:rsidRDefault="00E31178" w:rsidP="00E25E91">
      <w:pPr>
        <w:rPr>
          <w:rFonts w:eastAsiaTheme="majorEastAsia" w:cstheme="majorBidi"/>
          <w:color w:val="365F91" w:themeColor="accent1" w:themeShade="BF"/>
          <w:sz w:val="28"/>
          <w:szCs w:val="28"/>
        </w:rPr>
      </w:pPr>
      <w:r>
        <w:br w:type="page"/>
      </w:r>
    </w:p>
    <w:p w14:paraId="3716B3DE" w14:textId="70F66F41" w:rsidR="00FC7A61" w:rsidRDefault="00FC7A61" w:rsidP="00E24A23">
      <w:pPr>
        <w:pStyle w:val="Heading1"/>
        <w:numPr>
          <w:ilvl w:val="0"/>
          <w:numId w:val="0"/>
        </w:numPr>
        <w:ind w:left="432" w:hanging="432"/>
      </w:pPr>
      <w:bookmarkStart w:id="1" w:name="_Toc484602599"/>
      <w:r>
        <w:lastRenderedPageBreak/>
        <w:t>Glosario</w:t>
      </w:r>
      <w:bookmarkEnd w:id="1"/>
    </w:p>
    <w:p w14:paraId="3916F8B0" w14:textId="5789D548" w:rsidR="00E24A23" w:rsidRDefault="00E24A23" w:rsidP="00E24A23">
      <w:pPr>
        <w:rPr>
          <w:rFonts w:eastAsiaTheme="majorEastAsia"/>
        </w:rPr>
      </w:pPr>
    </w:p>
    <w:p w14:paraId="233D0D4B" w14:textId="35A3FB1C" w:rsidR="00DA3B92" w:rsidRDefault="00DA3B92" w:rsidP="0072629D">
      <w:pPr>
        <w:ind w:left="2268" w:hanging="2268"/>
        <w:rPr>
          <w:rFonts w:eastAsiaTheme="majorEastAsia"/>
        </w:rPr>
      </w:pPr>
      <w:r>
        <w:t>ABC:</w:t>
      </w:r>
      <w:r>
        <w:tab/>
      </w:r>
      <w:r w:rsidRPr="00F864BB">
        <w:t>Administradora Boliviana de Carreteras</w:t>
      </w:r>
      <w:r>
        <w:t>.</w:t>
      </w:r>
    </w:p>
    <w:p w14:paraId="2305B0AB" w14:textId="4C1D8325" w:rsidR="00BF6D20" w:rsidRDefault="0072629D" w:rsidP="0072629D">
      <w:pPr>
        <w:ind w:left="2268" w:hanging="2268"/>
        <w:rPr>
          <w:rFonts w:eastAsiaTheme="majorEastAsia"/>
        </w:rPr>
      </w:pPr>
      <w:r>
        <w:rPr>
          <w:rFonts w:eastAsiaTheme="majorEastAsia"/>
        </w:rPr>
        <w:t>ARIMA:</w:t>
      </w:r>
      <w:r>
        <w:rPr>
          <w:rFonts w:eastAsiaTheme="majorEastAsia"/>
        </w:rPr>
        <w:tab/>
        <w:t>M</w:t>
      </w:r>
      <w:r w:rsidRPr="0072629D">
        <w:rPr>
          <w:rFonts w:eastAsiaTheme="majorEastAsia"/>
        </w:rPr>
        <w:t>odelo autorregresivo integrado de promedio móvil o ARIMA (</w:t>
      </w:r>
      <w:r>
        <w:rPr>
          <w:rFonts w:eastAsiaTheme="majorEastAsia"/>
        </w:rPr>
        <w:t>por sus siglas en</w:t>
      </w:r>
      <w:r w:rsidRPr="0072629D">
        <w:rPr>
          <w:rFonts w:eastAsiaTheme="majorEastAsia"/>
        </w:rPr>
        <w:t xml:space="preserve"> inglés autoregressive integrated moving average) es un modelo estadístico que utiliza variaciones y regresiones de datos estadísticos con el fin de encontrar patrones para una predicción hacia el futuro. Se trata de un modelo dinámico de series temporales, es decir, las estimaciones futuras vienen explicadas por los datos del pasado y no por variables independientes.</w:t>
      </w:r>
      <w:r w:rsidR="00827373">
        <w:rPr>
          <w:rFonts w:eastAsiaTheme="majorEastAsia"/>
        </w:rPr>
        <w:t xml:space="preserve"> </w:t>
      </w:r>
      <w:r w:rsidRPr="0072629D">
        <w:rPr>
          <w:rFonts w:eastAsiaTheme="majorEastAsia"/>
        </w:rPr>
        <w:t>Fue desarrollado a finales de los sesenta del siglo XX. Box y Jenkins (1976)</w:t>
      </w:r>
    </w:p>
    <w:p w14:paraId="35E365DF" w14:textId="573A14D7" w:rsidR="007D473D" w:rsidRDefault="007D473D" w:rsidP="0072629D">
      <w:pPr>
        <w:ind w:left="2268" w:hanging="2268"/>
        <w:rPr>
          <w:rFonts w:eastAsiaTheme="majorEastAsia"/>
        </w:rPr>
      </w:pPr>
      <w:r>
        <w:rPr>
          <w:rFonts w:eastAsiaTheme="majorEastAsia"/>
        </w:rPr>
        <w:t>BCB:</w:t>
      </w:r>
      <w:r>
        <w:rPr>
          <w:rFonts w:eastAsiaTheme="majorEastAsia"/>
        </w:rPr>
        <w:tab/>
      </w:r>
      <w:r>
        <w:t>Banco Central de Bolivia</w:t>
      </w:r>
    </w:p>
    <w:p w14:paraId="6CA924E8" w14:textId="5EB737C5" w:rsidR="00780B15" w:rsidRDefault="0072629D" w:rsidP="0072629D">
      <w:pPr>
        <w:ind w:left="2268" w:hanging="2268"/>
        <w:rPr>
          <w:rFonts w:eastAsiaTheme="majorEastAsia"/>
        </w:rPr>
      </w:pPr>
      <w:r>
        <w:rPr>
          <w:rFonts w:eastAsiaTheme="majorEastAsia"/>
        </w:rPr>
        <w:t>BID:</w:t>
      </w:r>
      <w:r>
        <w:rPr>
          <w:rFonts w:eastAsiaTheme="majorEastAsia"/>
        </w:rPr>
        <w:tab/>
      </w:r>
      <w:r w:rsidR="00780B15">
        <w:rPr>
          <w:rFonts w:eastAsiaTheme="majorEastAsia"/>
        </w:rPr>
        <w:t>Banco Interamericano de Desarrollo</w:t>
      </w:r>
    </w:p>
    <w:p w14:paraId="5DC821D7" w14:textId="50312E9F" w:rsidR="00E24A23" w:rsidRDefault="00C937CA" w:rsidP="0072629D">
      <w:pPr>
        <w:ind w:left="2268" w:hanging="2268"/>
        <w:rPr>
          <w:rFonts w:eastAsiaTheme="majorEastAsia"/>
        </w:rPr>
      </w:pPr>
      <w:r>
        <w:rPr>
          <w:rFonts w:eastAsiaTheme="majorEastAsia"/>
        </w:rPr>
        <w:t xml:space="preserve">Estudio </w:t>
      </w:r>
      <w:r w:rsidR="00E24A23">
        <w:rPr>
          <w:rFonts w:eastAsiaTheme="majorEastAsia"/>
        </w:rPr>
        <w:t>TESA:</w:t>
      </w:r>
      <w:r>
        <w:rPr>
          <w:rFonts w:eastAsiaTheme="majorEastAsia"/>
        </w:rPr>
        <w:t xml:space="preserve"> </w:t>
      </w:r>
      <w:r w:rsidR="00780B15">
        <w:rPr>
          <w:rFonts w:eastAsiaTheme="majorEastAsia"/>
        </w:rPr>
        <w:tab/>
      </w:r>
      <w:r>
        <w:rPr>
          <w:rFonts w:eastAsiaTheme="majorEastAsia"/>
        </w:rPr>
        <w:t xml:space="preserve">Estudio </w:t>
      </w:r>
      <w:r w:rsidR="00A45C3C">
        <w:rPr>
          <w:rFonts w:eastAsiaTheme="majorEastAsia"/>
        </w:rPr>
        <w:t xml:space="preserve">integral </w:t>
      </w:r>
      <w:r>
        <w:rPr>
          <w:rFonts w:eastAsiaTheme="majorEastAsia"/>
        </w:rPr>
        <w:t>Técnico, Económico, Social y Ambiental.</w:t>
      </w:r>
    </w:p>
    <w:p w14:paraId="097F7583" w14:textId="4689C607" w:rsidR="007D473D" w:rsidRDefault="007D473D" w:rsidP="0072629D">
      <w:pPr>
        <w:ind w:left="2268" w:hanging="2268"/>
        <w:rPr>
          <w:rFonts w:eastAsiaTheme="majorEastAsia"/>
        </w:rPr>
      </w:pPr>
      <w:r>
        <w:rPr>
          <w:rFonts w:eastAsiaTheme="majorEastAsia"/>
        </w:rPr>
        <w:t>INE:</w:t>
      </w:r>
      <w:r>
        <w:rPr>
          <w:rFonts w:eastAsiaTheme="majorEastAsia"/>
        </w:rPr>
        <w:tab/>
      </w:r>
      <w:r>
        <w:t>Instituto Nacional de Estadística</w:t>
      </w:r>
    </w:p>
    <w:p w14:paraId="23225F7D" w14:textId="09291E63" w:rsidR="00C937CA" w:rsidRDefault="00AA3E8C" w:rsidP="0072629D">
      <w:pPr>
        <w:ind w:left="2268" w:hanging="2268"/>
        <w:rPr>
          <w:rFonts w:eastAsiaTheme="majorEastAsia"/>
        </w:rPr>
      </w:pPr>
      <w:r>
        <w:rPr>
          <w:rFonts w:eastAsiaTheme="majorEastAsia"/>
        </w:rPr>
        <w:t>Método</w:t>
      </w:r>
      <w:r w:rsidR="0072629D">
        <w:rPr>
          <w:rFonts w:eastAsiaTheme="majorEastAsia"/>
        </w:rPr>
        <w:t xml:space="preserve"> Monte</w:t>
      </w:r>
      <w:r w:rsidR="00E351A3">
        <w:rPr>
          <w:rFonts w:eastAsiaTheme="majorEastAsia"/>
        </w:rPr>
        <w:t>c</w:t>
      </w:r>
      <w:r w:rsidR="0072629D">
        <w:rPr>
          <w:rFonts w:eastAsiaTheme="majorEastAsia"/>
        </w:rPr>
        <w:t>arlo:</w:t>
      </w:r>
      <w:r w:rsidR="0072629D">
        <w:rPr>
          <w:rFonts w:eastAsiaTheme="majorEastAsia"/>
        </w:rPr>
        <w:tab/>
      </w:r>
      <w:r w:rsidRPr="00AA3E8C">
        <w:rPr>
          <w:rFonts w:eastAsiaTheme="majorEastAsia"/>
        </w:rPr>
        <w:t xml:space="preserve">Método de Montecarlo. El método Montecarlo es un método numérico que permite resolver problemas físicos y matemáticos mediante la simulación de variables aleatorias. </w:t>
      </w:r>
    </w:p>
    <w:p w14:paraId="13A2E455" w14:textId="77777777" w:rsidR="007D473D" w:rsidRDefault="007D473D" w:rsidP="0072629D">
      <w:pPr>
        <w:ind w:left="2268" w:hanging="2268"/>
        <w:rPr>
          <w:rFonts w:eastAsiaTheme="majorEastAsia"/>
        </w:rPr>
      </w:pPr>
    </w:p>
    <w:p w14:paraId="765ABE43" w14:textId="77777777" w:rsidR="00E24A23" w:rsidRPr="00E24A23" w:rsidRDefault="00E24A23" w:rsidP="00E24A23">
      <w:pPr>
        <w:rPr>
          <w:rFonts w:eastAsiaTheme="majorEastAsia"/>
        </w:rPr>
      </w:pPr>
    </w:p>
    <w:p w14:paraId="33ED19C7" w14:textId="77777777" w:rsidR="008770DA" w:rsidRDefault="008770DA">
      <w:pPr>
        <w:rPr>
          <w:rFonts w:asciiTheme="majorHAnsi" w:eastAsiaTheme="majorEastAsia" w:hAnsiTheme="majorHAnsi" w:cstheme="majorBidi"/>
          <w:b/>
          <w:bCs/>
          <w:color w:val="365F91" w:themeColor="accent1" w:themeShade="BF"/>
          <w:sz w:val="28"/>
          <w:szCs w:val="28"/>
        </w:rPr>
      </w:pPr>
      <w:r>
        <w:br w:type="page"/>
      </w:r>
    </w:p>
    <w:p w14:paraId="220EFD28" w14:textId="67EE16C9" w:rsidR="002A1B41" w:rsidRDefault="002A1B41" w:rsidP="00E25E91">
      <w:pPr>
        <w:pStyle w:val="Heading1"/>
        <w:numPr>
          <w:ilvl w:val="0"/>
          <w:numId w:val="2"/>
        </w:numPr>
      </w:pPr>
      <w:bookmarkStart w:id="2" w:name="_Toc484602600"/>
      <w:r>
        <w:lastRenderedPageBreak/>
        <w:t>Resumen Ejecutivo</w:t>
      </w:r>
      <w:bookmarkEnd w:id="2"/>
    </w:p>
    <w:p w14:paraId="07B901D8" w14:textId="3541BC26" w:rsidR="002A1B41" w:rsidRDefault="002A1B41" w:rsidP="002A1B41"/>
    <w:p w14:paraId="748913EC" w14:textId="500AC4EB" w:rsidR="007A1C5C" w:rsidRDefault="00F3160A" w:rsidP="009D0686">
      <w:r>
        <w:t xml:space="preserve">El presente documento contiene el análisis de cuantificación de riesgo de </w:t>
      </w:r>
      <w:r w:rsidRPr="00C93591">
        <w:t xml:space="preserve">costos adicionales que se puedan presentar durante la implementación del </w:t>
      </w:r>
      <w:r w:rsidR="007E0F98">
        <w:t>“</w:t>
      </w:r>
      <w:r w:rsidR="00D314CC">
        <w:t xml:space="preserve">Proyecto de Reconstrucción del Tramo Mairana-Bermejo </w:t>
      </w:r>
      <w:r w:rsidR="00D26710">
        <w:t xml:space="preserve">(BO-L1186)” </w:t>
      </w:r>
      <w:r w:rsidRPr="00C93591">
        <w:t xml:space="preserve">en </w:t>
      </w:r>
      <w:r w:rsidR="00D26710">
        <w:t>BOLIVIA</w:t>
      </w:r>
      <w:r w:rsidRPr="00C93591">
        <w:t>, teniendo en cuenta el comportamiento histórico de las variables más representativas en un proyecto vial</w:t>
      </w:r>
      <w:r>
        <w:t xml:space="preserve">. </w:t>
      </w:r>
    </w:p>
    <w:p w14:paraId="764E3B91" w14:textId="77777777" w:rsidR="007A1C5C" w:rsidRDefault="007A1C5C" w:rsidP="009D0686"/>
    <w:p w14:paraId="4254417D" w14:textId="78DB4ADD" w:rsidR="00DB0C9F" w:rsidRDefault="00F3160A" w:rsidP="009D0686">
      <w:r>
        <w:t>En este contexto se analiza como muestra representativa</w:t>
      </w:r>
      <w:r w:rsidRPr="00C93591">
        <w:t xml:space="preserve">, el Proyecto </w:t>
      </w:r>
      <w:r>
        <w:t>“</w:t>
      </w:r>
      <w:r w:rsidR="00D26710" w:rsidRPr="00D26710">
        <w:rPr>
          <w:b/>
        </w:rPr>
        <w:t>TRAMO MAIRANA-BERMEJO DE LA CARRETERA ANGOSTURA-COMARAPA</w:t>
      </w:r>
      <w:r>
        <w:t xml:space="preserve">”, el cual tiene una longitud aproximada de </w:t>
      </w:r>
      <w:r w:rsidR="00FD47E4">
        <w:t>58.2</w:t>
      </w:r>
      <w:r w:rsidR="002B172A">
        <w:t>4</w:t>
      </w:r>
      <w:r>
        <w:t xml:space="preserve"> km</w:t>
      </w:r>
      <w:r w:rsidR="00972A54">
        <w:t>s</w:t>
      </w:r>
      <w:r>
        <w:t>, y</w:t>
      </w:r>
      <w:r w:rsidR="00071E56">
        <w:t xml:space="preserve"> consiste</w:t>
      </w:r>
      <w:r w:rsidR="00C937CA">
        <w:t xml:space="preserve"> (de acuerdo con el estudio TESA</w:t>
      </w:r>
      <w:r w:rsidR="00C937CA">
        <w:rPr>
          <w:rStyle w:val="FootnoteReference"/>
        </w:rPr>
        <w:footnoteReference w:id="1"/>
      </w:r>
      <w:r w:rsidR="00C937CA">
        <w:t>)</w:t>
      </w:r>
      <w:r w:rsidR="00DB0C9F">
        <w:t xml:space="preserve"> en una intervención de mantenimiento periódico y rehabilitación en segundo grado, que </w:t>
      </w:r>
      <w:r w:rsidR="005F461E">
        <w:t xml:space="preserve">comprende: </w:t>
      </w:r>
      <w:r w:rsidR="00972A54" w:rsidRPr="00972A54">
        <w:t xml:space="preserve">movimientos de tierras, pavimentación, obras de drenaje, obras </w:t>
      </w:r>
      <w:r w:rsidR="005F461E">
        <w:t>de arte mayor</w:t>
      </w:r>
      <w:r w:rsidR="00071E56">
        <w:t xml:space="preserve"> y menor</w:t>
      </w:r>
      <w:r w:rsidR="00972A54" w:rsidRPr="00972A54">
        <w:t>,</w:t>
      </w:r>
      <w:r w:rsidR="005F461E">
        <w:t xml:space="preserve"> obras complementarias</w:t>
      </w:r>
      <w:r w:rsidR="00DB0C9F">
        <w:t xml:space="preserve"> (173 muros nuevos, y mantenimiento de 11 puentes)</w:t>
      </w:r>
      <w:r w:rsidR="005F461E">
        <w:t>,</w:t>
      </w:r>
      <w:r w:rsidR="00972A54" w:rsidRPr="00972A54">
        <w:t xml:space="preserve"> mitigación ambiental</w:t>
      </w:r>
      <w:r w:rsidR="00972A54">
        <w:t>, señalización y seguridad vial</w:t>
      </w:r>
      <w:r w:rsidR="005F461E">
        <w:t>, y la construcción del peaje de Samaipata</w:t>
      </w:r>
      <w:r w:rsidR="00972A54">
        <w:t>; e</w:t>
      </w:r>
      <w:r w:rsidR="00972A54" w:rsidRPr="00972A54">
        <w:t>n cuanto a la pavimentación, se empleará el método de “</w:t>
      </w:r>
      <w:r w:rsidR="00071E56" w:rsidRPr="00071E56">
        <w:t xml:space="preserve">Concreto </w:t>
      </w:r>
      <w:r w:rsidR="00071E56">
        <w:t>Asfáltico con Polímeros de 8 cm</w:t>
      </w:r>
      <w:r w:rsidR="00972A54" w:rsidRPr="00972A54">
        <w:t>”</w:t>
      </w:r>
      <w:r>
        <w:t xml:space="preserve">. El costo </w:t>
      </w:r>
      <w:r w:rsidR="00071E56">
        <w:t>total de obra y servicios</w:t>
      </w:r>
      <w:r>
        <w:t xml:space="preserve"> </w:t>
      </w:r>
      <w:r w:rsidR="009D0686">
        <w:t>es de</w:t>
      </w:r>
      <w:r>
        <w:t xml:space="preserve"> </w:t>
      </w:r>
      <w:r w:rsidRPr="002032EA">
        <w:t xml:space="preserve">US$ </w:t>
      </w:r>
      <w:r w:rsidR="005F461E">
        <w:t>51,2</w:t>
      </w:r>
      <w:r w:rsidRPr="002032EA">
        <w:t xml:space="preserve"> millones de dólares</w:t>
      </w:r>
      <w:r w:rsidR="005F461E">
        <w:t>, que sumando</w:t>
      </w:r>
      <w:r w:rsidR="009D0686">
        <w:t>:</w:t>
      </w:r>
      <w:r w:rsidR="005F461E">
        <w:t xml:space="preserve"> costos de supervisión (10% del costo de proyecto), costos de fiscalización (1,5% del costo de proyecto), e imprevistos (15%</w:t>
      </w:r>
      <w:r w:rsidR="00162B13">
        <w:rPr>
          <w:rStyle w:val="FootnoteReference"/>
        </w:rPr>
        <w:footnoteReference w:id="2"/>
      </w:r>
      <w:r w:rsidR="005F461E">
        <w:t xml:space="preserve"> del costo de proyecto, que incluye </w:t>
      </w:r>
      <w:r w:rsidR="00972A54">
        <w:t>reserva</w:t>
      </w:r>
      <w:r>
        <w:t xml:space="preserve"> </w:t>
      </w:r>
      <w:r w:rsidR="00972A54">
        <w:t>para escalamiento</w:t>
      </w:r>
      <w:r w:rsidR="009D0686">
        <w:t xml:space="preserve"> e imprevistos); asciende a </w:t>
      </w:r>
      <w:r w:rsidR="009D0686" w:rsidRPr="002032EA">
        <w:t>US$</w:t>
      </w:r>
      <w:r w:rsidR="009D0686">
        <w:t xml:space="preserve"> 65,59 </w:t>
      </w:r>
      <w:r w:rsidR="009D0686" w:rsidRPr="002032EA">
        <w:t>millones de dólares</w:t>
      </w:r>
      <w:r w:rsidR="00837F78">
        <w:rPr>
          <w:rStyle w:val="FootnoteReference"/>
        </w:rPr>
        <w:footnoteReference w:id="3"/>
      </w:r>
      <w:r w:rsidR="009D0686">
        <w:t>. En cuanto al</w:t>
      </w:r>
      <w:r w:rsidRPr="002032EA">
        <w:t xml:space="preserve"> plazo de ejecución del proyecto </w:t>
      </w:r>
      <w:r w:rsidR="009D0686">
        <w:t>se estima en 40 meses</w:t>
      </w:r>
      <w:r w:rsidRPr="002032EA">
        <w:t xml:space="preserve">, iniciando en el </w:t>
      </w:r>
      <w:r w:rsidR="009D0686">
        <w:t>primer</w:t>
      </w:r>
      <w:r w:rsidRPr="002032EA">
        <w:t xml:space="preserve"> semestre</w:t>
      </w:r>
      <w:r w:rsidR="00972A54">
        <w:t xml:space="preserve"> de 2018</w:t>
      </w:r>
      <w:r w:rsidR="00837F78">
        <w:rPr>
          <w:rStyle w:val="FootnoteReference"/>
        </w:rPr>
        <w:footnoteReference w:id="4"/>
      </w:r>
      <w:r w:rsidRPr="002032EA">
        <w:t>.</w:t>
      </w:r>
      <w:r>
        <w:t xml:space="preserve"> Es importante resaltar que el proyecto se alinea con el objetivo</w:t>
      </w:r>
      <w:r w:rsidR="00DB0C9F">
        <w:t xml:space="preserve"> general</w:t>
      </w:r>
      <w:r>
        <w:t xml:space="preserve"> de</w:t>
      </w:r>
      <w:r w:rsidR="005759A3">
        <w:t xml:space="preserve"> </w:t>
      </w:r>
      <w:r>
        <w:t>l</w:t>
      </w:r>
      <w:r w:rsidR="005759A3">
        <w:t xml:space="preserve">a tercera fase del </w:t>
      </w:r>
      <w:r w:rsidR="001F554E">
        <w:t xml:space="preserve">Proyecto de Reconstrucción del Tramo Mairana-Bermejo </w:t>
      </w:r>
      <w:r w:rsidR="005759A3">
        <w:t>(BO-L1186)</w:t>
      </w:r>
      <w:r>
        <w:t xml:space="preserve">, que es </w:t>
      </w:r>
      <w:r w:rsidR="00F66B76">
        <w:t xml:space="preserve">contribuir a mejorar las condiciones de </w:t>
      </w:r>
      <w:r w:rsidR="005759A3">
        <w:t>transita</w:t>
      </w:r>
      <w:r w:rsidR="00F66B76">
        <w:t>bilidad</w:t>
      </w:r>
      <w:r w:rsidR="005759A3">
        <w:t>, reduciendo los tiempos de viaje y la accidentalidad,</w:t>
      </w:r>
      <w:r w:rsidR="00F66B76">
        <w:t xml:space="preserve"> </w:t>
      </w:r>
      <w:r w:rsidR="005759A3">
        <w:t>en el área de influencia de las vías intervenidas</w:t>
      </w:r>
      <w:r w:rsidR="00837F78">
        <w:rPr>
          <w:rStyle w:val="FootnoteReference"/>
        </w:rPr>
        <w:footnoteReference w:id="5"/>
      </w:r>
      <w:r w:rsidR="005759A3">
        <w:t>.</w:t>
      </w:r>
    </w:p>
    <w:p w14:paraId="726D1BD9" w14:textId="77777777" w:rsidR="00DB0C9F" w:rsidRDefault="00DB0C9F" w:rsidP="009D0686"/>
    <w:p w14:paraId="71B9F8B8" w14:textId="0A62C823" w:rsidR="00F3160A" w:rsidRDefault="00F3160A" w:rsidP="00F3160A">
      <w:r>
        <w:t>En esencia se cuantifican</w:t>
      </w:r>
      <w:r w:rsidR="00112259">
        <w:t xml:space="preserve"> en la estimación del riesgo de costos adicionales</w:t>
      </w:r>
      <w:r>
        <w:t xml:space="preserve">: i) </w:t>
      </w:r>
      <w:r w:rsidR="00EC2F0A">
        <w:t>incertidumbre asociada a precios unitarios del presupuesto de referencia vs precios unitarios de mercado y otros proyectos; ii) posibles e</w:t>
      </w:r>
      <w:r w:rsidRPr="00AC5D6B">
        <w:t>ficiencias capturadas en la oferta licitatoria</w:t>
      </w:r>
      <w:r>
        <w:t>; ii</w:t>
      </w:r>
      <w:r w:rsidR="00EC2F0A">
        <w:t>i</w:t>
      </w:r>
      <w:r>
        <w:t>) Riesgo de costos a</w:t>
      </w:r>
      <w:r w:rsidRPr="00AC5D6B">
        <w:t>dicionales</w:t>
      </w:r>
      <w:r>
        <w:t xml:space="preserve"> por mayores cantidades de obra y obr</w:t>
      </w:r>
      <w:r w:rsidR="00EC2F0A">
        <w:t>as adicionales no previstas; iv</w:t>
      </w:r>
      <w:r>
        <w:t xml:space="preserve">) </w:t>
      </w:r>
      <w:r w:rsidRPr="00AC5D6B">
        <w:t>Variación de precios de mercad</w:t>
      </w:r>
      <w:r>
        <w:t xml:space="preserve">o en el tiempo o </w:t>
      </w:r>
      <w:r w:rsidRPr="00AC5D6B">
        <w:lastRenderedPageBreak/>
        <w:t>Escalamiento</w:t>
      </w:r>
      <w:r w:rsidR="00EC2F0A">
        <w:t xml:space="preserve">; análisis que se realiza acorde al desarrollo </w:t>
      </w:r>
      <w:r w:rsidR="00F6383D">
        <w:t xml:space="preserve">metodológico </w:t>
      </w:r>
      <w:r w:rsidR="00EC2F0A">
        <w:t xml:space="preserve">conceptual </w:t>
      </w:r>
      <w:r w:rsidR="00F6383D">
        <w:t>de</w:t>
      </w:r>
      <w:r w:rsidR="00EC2F0A">
        <w:t>l “Manual para la Estimación y Seguimiento del Costo Final</w:t>
      </w:r>
      <w:r w:rsidR="00F6383D">
        <w:t xml:space="preserve"> de un </w:t>
      </w:r>
      <w:bookmarkStart w:id="3" w:name="_GoBack"/>
      <w:r w:rsidR="00F6383D">
        <w:t>Programa</w:t>
      </w:r>
      <w:bookmarkEnd w:id="3"/>
      <w:r w:rsidR="00F6383D">
        <w:t xml:space="preserve"> de Infraestructura</w:t>
      </w:r>
      <w:r w:rsidR="00EC2F0A">
        <w:t>” (BID, 2016, Monteverde, Pereyra y Pérez)</w:t>
      </w:r>
      <w:r w:rsidR="00F6383D">
        <w:t>, y la información disponible para análisis.</w:t>
      </w:r>
    </w:p>
    <w:p w14:paraId="06878DFA" w14:textId="77777777" w:rsidR="00F3160A" w:rsidRDefault="00F3160A" w:rsidP="00F3160A"/>
    <w:p w14:paraId="309D6C2E" w14:textId="137CB871" w:rsidR="00F864BB" w:rsidRDefault="00F3160A" w:rsidP="00F3160A">
      <w:r>
        <w:t>El análisis se fundamenta</w:t>
      </w:r>
      <w:r w:rsidR="006A091B">
        <w:t xml:space="preserve"> en</w:t>
      </w:r>
      <w:r>
        <w:t xml:space="preserve">: </w:t>
      </w:r>
      <w:r w:rsidRPr="00F864BB">
        <w:rPr>
          <w:b/>
        </w:rPr>
        <w:t>i)</w:t>
      </w:r>
      <w:r w:rsidR="00B12002">
        <w:t xml:space="preserve"> Estudio Integral  TESA del </w:t>
      </w:r>
      <w:r>
        <w:t xml:space="preserve"> </w:t>
      </w:r>
      <w:r w:rsidR="002E2223" w:rsidRPr="002E2223">
        <w:t>Tramo Angostura-Comarapa / Subtramo III – Mairana-Bermejo</w:t>
      </w:r>
      <w:r w:rsidR="002E2223">
        <w:rPr>
          <w:rStyle w:val="FootnoteReference"/>
        </w:rPr>
        <w:footnoteReference w:id="6"/>
      </w:r>
      <w:r w:rsidR="00F864BB">
        <w:t xml:space="preserve">; </w:t>
      </w:r>
      <w:r w:rsidR="00F864BB" w:rsidRPr="00F864BB">
        <w:rPr>
          <w:b/>
        </w:rPr>
        <w:t xml:space="preserve">ii) </w:t>
      </w:r>
      <w:r w:rsidR="00972A54">
        <w:t>“</w:t>
      </w:r>
      <w:r w:rsidR="006A091B">
        <w:t>Estudio de Costos de Proyectos de Transporte en Bolivia y</w:t>
      </w:r>
      <w:r w:rsidR="006A091B" w:rsidRPr="006A091B">
        <w:t xml:space="preserve"> Evaluación Económica</w:t>
      </w:r>
      <w:r w:rsidR="006A091B">
        <w:t xml:space="preserve"> y Social de Proyectos para el Programa d</w:t>
      </w:r>
      <w:r w:rsidR="006A091B" w:rsidRPr="006A091B">
        <w:t>e Inversión</w:t>
      </w:r>
      <w:r w:rsidR="006A091B">
        <w:t xml:space="preserve"> -  </w:t>
      </w:r>
      <w:r w:rsidR="006A091B" w:rsidRPr="006A091B">
        <w:t>ATN/OC–14682-BO</w:t>
      </w:r>
      <w:r w:rsidR="006A091B">
        <w:t xml:space="preserve"> // </w:t>
      </w:r>
      <w:r w:rsidR="006A091B" w:rsidRPr="006A091B">
        <w:t>Valoración</w:t>
      </w:r>
      <w:r w:rsidR="006A091B">
        <w:t xml:space="preserve"> de l</w:t>
      </w:r>
      <w:r w:rsidR="006A091B" w:rsidRPr="006A091B">
        <w:t xml:space="preserve">a Incertidumbre </w:t>
      </w:r>
      <w:r w:rsidR="006A091B">
        <w:t>Asociada a la Estimación de los Precios de Referencia y</w:t>
      </w:r>
      <w:r w:rsidR="006A091B" w:rsidRPr="006A091B">
        <w:t xml:space="preserve"> Es</w:t>
      </w:r>
      <w:r w:rsidR="006A091B">
        <w:t>timación de Costos Adicionales</w:t>
      </w:r>
      <w:r w:rsidR="00F864BB">
        <w:t xml:space="preserve"> // 2016</w:t>
      </w:r>
      <w:r w:rsidR="00972A54">
        <w:t>”</w:t>
      </w:r>
      <w:r w:rsidR="00972A54">
        <w:rPr>
          <w:rStyle w:val="FootnoteReference"/>
        </w:rPr>
        <w:footnoteReference w:id="7"/>
      </w:r>
      <w:r w:rsidR="00F864BB">
        <w:t xml:space="preserve">, el cual contiene análisis de información histórica de proyectos viales ejecutados por la </w:t>
      </w:r>
      <w:r w:rsidR="00F864BB" w:rsidRPr="00F864BB">
        <w:t>Administradora Boliviana de Carreteras</w:t>
      </w:r>
      <w:r w:rsidR="00F864BB">
        <w:t xml:space="preserve"> – ABC (años de 2007 a 2014), información de precios unitarios útil para el presente análisis</w:t>
      </w:r>
      <w:r w:rsidR="00BD266C">
        <w:t xml:space="preserve">, y series históricas de variación de precios de materiales, equipos y mano de obra en Bolivia </w:t>
      </w:r>
      <w:r w:rsidR="00F864BB">
        <w:t xml:space="preserve">; </w:t>
      </w:r>
      <w:r w:rsidRPr="00F864BB">
        <w:rPr>
          <w:b/>
        </w:rPr>
        <w:t>iii)</w:t>
      </w:r>
      <w:r>
        <w:t xml:space="preserve"> </w:t>
      </w:r>
      <w:r w:rsidRPr="00DD73DE">
        <w:t>Información de variación en el tiempo de costos de insumos</w:t>
      </w:r>
      <w:r>
        <w:t xml:space="preserve"> de obra (materiales, mano de obra y equipos) </w:t>
      </w:r>
      <w:r w:rsidRPr="00DD73DE">
        <w:t>provenientes de bases de datos de fuentes oficiales (</w:t>
      </w:r>
      <w:r w:rsidR="00BD266C">
        <w:t>Instituto Nacional de Estadística</w:t>
      </w:r>
      <w:r w:rsidR="00BD266C">
        <w:rPr>
          <w:rStyle w:val="FootnoteReference"/>
        </w:rPr>
        <w:footnoteReference w:id="8"/>
      </w:r>
      <w:r w:rsidR="00BD266C">
        <w:t>, Administradora Boliviana de Carreteras</w:t>
      </w:r>
      <w:r w:rsidR="00BD266C">
        <w:rPr>
          <w:rStyle w:val="FootnoteReference"/>
        </w:rPr>
        <w:footnoteReference w:id="9"/>
      </w:r>
      <w:r w:rsidR="00BD266C">
        <w:t xml:space="preserve"> </w:t>
      </w:r>
      <w:r w:rsidRPr="00DD73DE">
        <w:t>)</w:t>
      </w:r>
      <w:r w:rsidR="00BD266C">
        <w:t xml:space="preserve"> y notas de prensa.</w:t>
      </w:r>
    </w:p>
    <w:p w14:paraId="56E01797" w14:textId="77777777" w:rsidR="00F3160A" w:rsidRDefault="00F3160A" w:rsidP="00F3160A"/>
    <w:p w14:paraId="6DF5CE0D" w14:textId="580144B5" w:rsidR="00F3160A" w:rsidRDefault="00F3160A" w:rsidP="00F3160A">
      <w:r>
        <w:t xml:space="preserve">Empleando la data histórica y expectativas futuras se desarrolla un modelo probabilístico siguiendo la metodología de simulación de Montecarlo, </w:t>
      </w:r>
      <w:r>
        <w:rPr>
          <w:lang w:val="es-MX"/>
        </w:rPr>
        <w:t>que</w:t>
      </w:r>
      <w:r w:rsidRPr="002622DF">
        <w:rPr>
          <w:lang w:val="es-MX"/>
        </w:rPr>
        <w:t xml:space="preserve"> </w:t>
      </w:r>
      <w:r>
        <w:rPr>
          <w:lang w:val="es-MX"/>
        </w:rPr>
        <w:t>parte de un modelo matemático que simula la problemática objeto de análisis (en este caso un modelo de costos del proyecto), sobre el cual se asignan distribuciones de probabilidad</w:t>
      </w:r>
      <w:r w:rsidRPr="002622DF">
        <w:rPr>
          <w:lang w:val="es-MX"/>
        </w:rPr>
        <w:t xml:space="preserve"> a las variables </w:t>
      </w:r>
      <w:r w:rsidR="00112259">
        <w:rPr>
          <w:lang w:val="es-MX"/>
        </w:rPr>
        <w:t>con incertidumbre</w:t>
      </w:r>
      <w:r>
        <w:rPr>
          <w:lang w:val="es-MX"/>
        </w:rPr>
        <w:t xml:space="preserve"> (variables con riesgo de variación)</w:t>
      </w:r>
      <w:r w:rsidRPr="002622DF">
        <w:rPr>
          <w:lang w:val="es-MX"/>
        </w:rPr>
        <w:t xml:space="preserve">, para posteriormente generar números aleatorios acordes a esas distribuciones “simulando” </w:t>
      </w:r>
      <w:r>
        <w:rPr>
          <w:lang w:val="es-MX"/>
        </w:rPr>
        <w:t>la posible activación de riesgos en el futuro; por otro lado, se tiene una variable dependiente que mide el impacto de la activación de los diferentes riesgos, a la cual se le hace un seguimiento en el proceso de generación aleatoria de variables de riesgo, y al final de una serie de iteraciones, se obtiene una curva que relaciona impacto con probabilidad de ocurrencia del mismo (</w:t>
      </w:r>
      <w:r w:rsidR="00112259">
        <w:rPr>
          <w:lang w:val="es-MX"/>
        </w:rPr>
        <w:t xml:space="preserve">riesgo de </w:t>
      </w:r>
      <w:r>
        <w:rPr>
          <w:lang w:val="es-MX"/>
        </w:rPr>
        <w:t>costos adicionales).</w:t>
      </w:r>
    </w:p>
    <w:p w14:paraId="09EEAC88" w14:textId="77777777" w:rsidR="00F3160A" w:rsidRDefault="00F3160A" w:rsidP="00F3160A">
      <w:pPr>
        <w:rPr>
          <w:rFonts w:asciiTheme="majorHAnsi" w:eastAsiaTheme="majorEastAsia" w:hAnsiTheme="majorHAnsi" w:cstheme="majorBidi"/>
          <w:b/>
          <w:bCs/>
          <w:color w:val="365F91" w:themeColor="accent1" w:themeShade="BF"/>
          <w:sz w:val="28"/>
          <w:szCs w:val="28"/>
        </w:rPr>
      </w:pPr>
    </w:p>
    <w:p w14:paraId="5FF13619" w14:textId="39FFEEBA" w:rsidR="00343192" w:rsidRDefault="00A717AE" w:rsidP="00343192">
      <w:pPr>
        <w:rPr>
          <w:lang w:val="es-MX"/>
        </w:rPr>
      </w:pPr>
      <w:r>
        <w:rPr>
          <w:lang w:val="es-MX"/>
        </w:rPr>
        <w:lastRenderedPageBreak/>
        <w:t xml:space="preserve">Del análisis realizado </w:t>
      </w:r>
      <w:r w:rsidRPr="00A45C3C">
        <w:rPr>
          <w:b/>
          <w:lang w:val="es-MX"/>
        </w:rPr>
        <w:t>se encuentra necesario una provisión de 10% sobre el costo total del proyecto</w:t>
      </w:r>
      <w:r>
        <w:rPr>
          <w:lang w:val="es-MX"/>
        </w:rPr>
        <w:t xml:space="preserve">, que cubriría: i) la variación entre el presupuesto actual y el presupuesto de adjudicación del proyecto + ii) el riesgo de costo de obras adicionales durante la ejecución del proyecto + iii) </w:t>
      </w:r>
      <w:r w:rsidR="00B456A0">
        <w:rPr>
          <w:lang w:val="es-MX"/>
        </w:rPr>
        <w:t xml:space="preserve">Escalamiento o </w:t>
      </w:r>
      <w:r>
        <w:rPr>
          <w:lang w:val="es-MX"/>
        </w:rPr>
        <w:t>variación de precios unitarios de mercado de los insumos de obra desde la actualidad hasta la entrega programada de</w:t>
      </w:r>
      <w:r w:rsidR="00343192">
        <w:rPr>
          <w:lang w:val="es-MX"/>
        </w:rPr>
        <w:t xml:space="preserve"> obra (primer semestre de 2021), dicha provisión equivale a</w:t>
      </w:r>
      <w:r w:rsidR="001F554E">
        <w:rPr>
          <w:lang w:val="es-MX"/>
        </w:rPr>
        <w:t xml:space="preserve"> la suma de US$</w:t>
      </w:r>
      <w:r w:rsidR="00343192" w:rsidRPr="002F37F5">
        <w:rPr>
          <w:lang w:val="es-MX"/>
        </w:rPr>
        <w:t>5,12 millones.</w:t>
      </w:r>
    </w:p>
    <w:p w14:paraId="16CBCE92" w14:textId="2E2FED5E" w:rsidR="00343192" w:rsidRDefault="00343192" w:rsidP="00343192">
      <w:pPr>
        <w:rPr>
          <w:lang w:val="es-MX"/>
        </w:rPr>
      </w:pPr>
    </w:p>
    <w:p w14:paraId="7FB20649" w14:textId="3BA67FC0" w:rsidR="00343192" w:rsidRDefault="00343192" w:rsidP="00343192">
      <w:pPr>
        <w:rPr>
          <w:lang w:val="es-MX"/>
        </w:rPr>
      </w:pPr>
      <w:r>
        <w:rPr>
          <w:lang w:val="es-MX"/>
        </w:rPr>
        <w:t>De otra parte se tienen las siguientes recomendaciones:</w:t>
      </w:r>
    </w:p>
    <w:p w14:paraId="7D7FB1A7" w14:textId="77777777" w:rsidR="00343192" w:rsidRDefault="00343192" w:rsidP="00343192">
      <w:pPr>
        <w:rPr>
          <w:lang w:val="es-MX"/>
        </w:rPr>
      </w:pPr>
    </w:p>
    <w:p w14:paraId="43B5375F" w14:textId="244232ED" w:rsidR="00343192" w:rsidRPr="00A93E4A" w:rsidRDefault="00343192" w:rsidP="00A93E4A">
      <w:pPr>
        <w:pStyle w:val="ListParagraph"/>
        <w:numPr>
          <w:ilvl w:val="0"/>
          <w:numId w:val="46"/>
        </w:numPr>
        <w:rPr>
          <w:lang w:val="es-MX"/>
        </w:rPr>
      </w:pPr>
      <w:r>
        <w:t xml:space="preserve">Con respecto a la recomendación de asignación de riesgos analizados ver </w:t>
      </w:r>
      <w:r>
        <w:fldChar w:fldCharType="begin"/>
      </w:r>
      <w:r>
        <w:instrText xml:space="preserve"> REF _Ref484598419 \h </w:instrText>
      </w:r>
      <w:r>
        <w:fldChar w:fldCharType="separate"/>
      </w:r>
      <w:r w:rsidR="00011CB8" w:rsidRPr="007D5463">
        <w:t xml:space="preserve">Tabla </w:t>
      </w:r>
      <w:r w:rsidR="00011CB8">
        <w:rPr>
          <w:noProof/>
        </w:rPr>
        <w:t>9</w:t>
      </w:r>
      <w:r w:rsidR="00011CB8" w:rsidRPr="007D5463">
        <w:t xml:space="preserve">. </w:t>
      </w:r>
      <w:r w:rsidR="00011CB8" w:rsidRPr="007D5463">
        <w:rPr>
          <w:lang w:val="es-MX"/>
        </w:rPr>
        <w:t>Riesgos: Asignación y Mitigación</w:t>
      </w:r>
      <w:r>
        <w:fldChar w:fldCharType="end"/>
      </w:r>
    </w:p>
    <w:p w14:paraId="1A1A0CA2" w14:textId="77777777" w:rsidR="00343192" w:rsidRPr="00A93E4A" w:rsidRDefault="00343192" w:rsidP="00A93E4A">
      <w:pPr>
        <w:pStyle w:val="ListParagraph"/>
        <w:numPr>
          <w:ilvl w:val="0"/>
          <w:numId w:val="46"/>
        </w:numPr>
        <w:rPr>
          <w:lang w:val="es-MX"/>
        </w:rPr>
      </w:pPr>
      <w:r w:rsidRPr="00A93E4A">
        <w:rPr>
          <w:lang w:val="es-MX"/>
        </w:rPr>
        <w:t>Para la cuantificación de riesgos en proyectos futuros es necesario contar con bases de datos que reflejen el comportamiento de proyectos recientes y la mejora en gestión por parte del organismo ejecutor. En este sentido se sugiere en los proyectos financiados por BID (y en otros si es posible), insistir al organismo ejecutor sobre la importancia de constituir y mantener actualizada una base de datos donde se registren (con detalle de actividades y costos unitarios): los presupuestos iniciales, los presupuestos de adjudicación, los presupuestos finales, el plazo inicial estimado, el plazo real de ejecución, y aquellos hechos que motivaron costos adicionales y/o retrasos en los plazos de ejecución, así como ajustes por escalamiento vs lo inicialmente previsto.</w:t>
      </w:r>
    </w:p>
    <w:p w14:paraId="74636383" w14:textId="77777777" w:rsidR="00343192" w:rsidRPr="00A93E4A" w:rsidRDefault="00343192" w:rsidP="00A93E4A">
      <w:pPr>
        <w:pStyle w:val="ListParagraph"/>
        <w:numPr>
          <w:ilvl w:val="0"/>
          <w:numId w:val="46"/>
        </w:numPr>
        <w:rPr>
          <w:lang w:val="es-MX"/>
        </w:rPr>
      </w:pPr>
      <w:r w:rsidRPr="00A93E4A">
        <w:rPr>
          <w:lang w:val="es-MX"/>
        </w:rPr>
        <w:t>Con respecto a los mecanismos de mitigación del riesgo de costos adicionales por mayores cantidades de obra se recomienda:</w:t>
      </w:r>
    </w:p>
    <w:p w14:paraId="23ED8F6E" w14:textId="77777777" w:rsidR="00343192" w:rsidRPr="000E6959" w:rsidRDefault="00343192" w:rsidP="00343192">
      <w:pPr>
        <w:pStyle w:val="ListParagraph"/>
        <w:numPr>
          <w:ilvl w:val="1"/>
          <w:numId w:val="28"/>
        </w:numPr>
      </w:pPr>
      <w:r w:rsidRPr="000E6959">
        <w:t>Profundizar en estudios de campo en etapa de preinversión.</w:t>
      </w:r>
    </w:p>
    <w:p w14:paraId="6BA425BB" w14:textId="77777777" w:rsidR="00343192" w:rsidRDefault="00343192" w:rsidP="00343192">
      <w:pPr>
        <w:pStyle w:val="ListParagraph"/>
        <w:numPr>
          <w:ilvl w:val="1"/>
          <w:numId w:val="28"/>
        </w:numPr>
      </w:pPr>
      <w:r>
        <w:t>Formalizar las interacciones con la comunidad y consignar sus solicitudes, de tal forma que puedan ser analizadas como parte de los estudios TESA.</w:t>
      </w:r>
    </w:p>
    <w:p w14:paraId="13486EAC" w14:textId="77777777" w:rsidR="00343192" w:rsidRDefault="00343192" w:rsidP="00343192">
      <w:pPr>
        <w:pStyle w:val="ListParagraph"/>
        <w:numPr>
          <w:ilvl w:val="1"/>
          <w:numId w:val="28"/>
        </w:numPr>
      </w:pPr>
      <w:r>
        <w:t>Constituir una figura similar a “Asistente Técnico” empleada en países como Nicaragua, que apoye</w:t>
      </w:r>
      <w:r w:rsidRPr="000E6959">
        <w:t xml:space="preserve"> la gestión de control de costos y optimización de diseños.</w:t>
      </w:r>
    </w:p>
    <w:p w14:paraId="5CCA7A26" w14:textId="77777777" w:rsidR="00343192" w:rsidRPr="000E6959" w:rsidRDefault="00343192" w:rsidP="00343192">
      <w:pPr>
        <w:pStyle w:val="ListParagraph"/>
        <w:numPr>
          <w:ilvl w:val="1"/>
          <w:numId w:val="28"/>
        </w:numPr>
      </w:pPr>
      <w:r>
        <w:t>Regular y disminuir la provisión por contingencias, de manera que forcé en la ejecución del proyecto, a la entidad ejecutora y al constructor, al control de costos y optimización de diseños.</w:t>
      </w:r>
    </w:p>
    <w:p w14:paraId="35DBBE18" w14:textId="47F3053E" w:rsidR="002A1B41" w:rsidRPr="00A22B49" w:rsidRDefault="002A1B41" w:rsidP="00A717AE">
      <w:pPr>
        <w:rPr>
          <w:lang w:val="es-MX"/>
        </w:rPr>
      </w:pPr>
    </w:p>
    <w:p w14:paraId="7CBB8DC6" w14:textId="77777777" w:rsidR="002A1B41" w:rsidRDefault="002A1B41">
      <w:pPr>
        <w:rPr>
          <w:rFonts w:asciiTheme="majorHAnsi" w:eastAsiaTheme="majorEastAsia" w:hAnsiTheme="majorHAnsi" w:cstheme="majorBidi"/>
          <w:b/>
          <w:bCs/>
          <w:color w:val="365F91" w:themeColor="accent1" w:themeShade="BF"/>
          <w:sz w:val="28"/>
          <w:szCs w:val="28"/>
        </w:rPr>
      </w:pPr>
      <w:r>
        <w:br w:type="page"/>
      </w:r>
    </w:p>
    <w:p w14:paraId="3B20D47B" w14:textId="5304DDBD" w:rsidR="00074BE5" w:rsidRDefault="00074BE5" w:rsidP="00E25E91">
      <w:pPr>
        <w:pStyle w:val="Heading1"/>
        <w:numPr>
          <w:ilvl w:val="0"/>
          <w:numId w:val="2"/>
        </w:numPr>
      </w:pPr>
      <w:bookmarkStart w:id="4" w:name="_Toc484602601"/>
      <w:r w:rsidRPr="00C60859">
        <w:lastRenderedPageBreak/>
        <w:t>Introducción</w:t>
      </w:r>
      <w:r w:rsidR="002474B1">
        <w:t xml:space="preserve"> y Antecedentes</w:t>
      </w:r>
      <w:bookmarkEnd w:id="4"/>
    </w:p>
    <w:p w14:paraId="41403EE4" w14:textId="77777777" w:rsidR="00061C59" w:rsidRDefault="00061C59" w:rsidP="00E25E91"/>
    <w:p w14:paraId="17AB9C49" w14:textId="06368E26" w:rsidR="00C62CE7" w:rsidRPr="001F554E" w:rsidRDefault="002A7F07" w:rsidP="0079341D">
      <w:r w:rsidRPr="001F554E">
        <w:t>Desde el año 2006, el nivel de inversiones en la red vial de Bolivia ha crecido sustancialmente entre el 500% y 600%. Esto ha originado necesidades para mejorar la capacidad de gestión de los activos viales, con base a metas de inversión en el corto y mediano plazo, para asegurar una gestión óptima de las inversiones realizadas. En este sentido, el “</w:t>
      </w:r>
      <w:r w:rsidR="001F554E" w:rsidRPr="001F554E">
        <w:t>Proyecto de Reconstrucción del Tramo Mairana-Bermejo</w:t>
      </w:r>
      <w:r w:rsidRPr="001F554E">
        <w:t>” busca promover la mejora de la eficiencia en el gasto público sectorial, apoyando la gestión integral de los activos viales, que supone la incorporación de las obras ejecutadas a un sistema de gestión de mantenimiento vial</w:t>
      </w:r>
      <w:r w:rsidRPr="001F554E">
        <w:rPr>
          <w:rStyle w:val="FootnoteReference"/>
        </w:rPr>
        <w:footnoteReference w:id="10"/>
      </w:r>
      <w:r w:rsidRPr="001F554E">
        <w:t xml:space="preserve">.  </w:t>
      </w:r>
    </w:p>
    <w:p w14:paraId="1E8D9A10" w14:textId="2AE52654" w:rsidR="00FD3F4D" w:rsidRPr="00FD3F4D" w:rsidRDefault="00FD3F4D" w:rsidP="0079341D"/>
    <w:p w14:paraId="33FC293A" w14:textId="58501E15" w:rsidR="00FD3F4D" w:rsidRDefault="00DE1921" w:rsidP="0079341D">
      <w:r>
        <w:t>Las vías de Bolivia se dividen en Red Vial Fundamental (16.054 kms), Red Vial Departamental (19.285 kms), y Red Vial Municipal (39.492 kms), encontrándose tan solo el 7% de la red vial boliviana pavimentada. En cuanto a l</w:t>
      </w:r>
      <w:r w:rsidR="00FD3F4D" w:rsidRPr="00FD3F4D">
        <w:t xml:space="preserve">a Red vial </w:t>
      </w:r>
      <w:r>
        <w:t xml:space="preserve">fundamental (RVF) está a cargo del gobierno nacional, en cabeza de la Administradora Boliviana de Carreteras (ABC), encontrándose el 34% pavimentada, 45% con ripio, y 21% en tierra, estado que ocasiona elevados costos de transporte de carga y pasajeros. Con el objeto de mejorar las condiciones de transitabilidad de dichas vías, el gobierno de Bolivia ha solicitado al Banco Interamericano de Desarrollo (BID) financiación para continuar con la tercera fase del </w:t>
      </w:r>
      <w:r w:rsidR="001F554E">
        <w:t xml:space="preserve">Proyecto de Reconstrucción del Tramo Mairana-Bermejo </w:t>
      </w:r>
      <w:r>
        <w:t>(BO-L1186)”</w:t>
      </w:r>
      <w:r w:rsidR="008C52F2">
        <w:rPr>
          <w:rStyle w:val="FootnoteReference"/>
        </w:rPr>
        <w:footnoteReference w:id="11"/>
      </w:r>
      <w:r w:rsidR="00715A8B">
        <w:t>.</w:t>
      </w:r>
    </w:p>
    <w:p w14:paraId="62D292B8" w14:textId="752060BD" w:rsidR="00715A8B" w:rsidRDefault="00715A8B" w:rsidP="0079341D"/>
    <w:p w14:paraId="762C223A" w14:textId="0910A41D" w:rsidR="00715A8B" w:rsidRPr="00FD3F4D" w:rsidRDefault="008C52F2" w:rsidP="0079341D">
      <w:r>
        <w:t>De otra parte, y en consideración a que en el contexto de Latinoamérica los registros muestran que los proyectos de infraestructura presentan costos adicionales importantes (en ocasiones del orden de 50% del presupuesto inicial), el BID ha determinado la conveniencia de estimar los posibles costos adicionales asociados a la ejecución del proyecto.</w:t>
      </w:r>
    </w:p>
    <w:p w14:paraId="3EFC9D32" w14:textId="77777777" w:rsidR="002A7F07" w:rsidRDefault="002A7F07" w:rsidP="0079341D"/>
    <w:p w14:paraId="774D7772" w14:textId="367EA7C7" w:rsidR="00F328D9" w:rsidRDefault="00421933" w:rsidP="00E25E91">
      <w:r>
        <w:t>En este marco, e</w:t>
      </w:r>
      <w:r w:rsidR="00061C59">
        <w:t xml:space="preserve">l presente documento contiene el análisis </w:t>
      </w:r>
      <w:r w:rsidR="00C97CD7">
        <w:t xml:space="preserve">y cuantificación </w:t>
      </w:r>
      <w:r w:rsidR="00061C59">
        <w:t>de</w:t>
      </w:r>
      <w:r w:rsidR="00C97CD7">
        <w:t>l</w:t>
      </w:r>
      <w:r w:rsidR="00061C59">
        <w:t xml:space="preserve"> riesgo de costos adicionales </w:t>
      </w:r>
      <w:r w:rsidR="008C52F2" w:rsidRPr="00C93591">
        <w:t xml:space="preserve">que se puedan presentar durante la implementación </w:t>
      </w:r>
      <w:r w:rsidR="008C52F2">
        <w:t xml:space="preserve">del </w:t>
      </w:r>
      <w:r w:rsidR="001F554E">
        <w:t>Proyecto de Reconstrucción del Tramo Mairana-Bermejo</w:t>
      </w:r>
      <w:r w:rsidR="008C52F2">
        <w:t xml:space="preserve"> (BO-L1186)</w:t>
      </w:r>
      <w:r w:rsidR="008C52F2" w:rsidRPr="00C93591">
        <w:t>, teniendo en cuenta el comportamiento histórico de las variables más representativas en un proyecto vial</w:t>
      </w:r>
      <w:r w:rsidR="008C52F2">
        <w:t>. Para lo cual se tomará como muestra representativa</w:t>
      </w:r>
      <w:r w:rsidR="008C52F2" w:rsidRPr="00C93591">
        <w:t xml:space="preserve">, el Proyecto </w:t>
      </w:r>
      <w:r w:rsidR="008C52F2">
        <w:t>“</w:t>
      </w:r>
      <w:r w:rsidR="008C52F2" w:rsidRPr="00D26710">
        <w:rPr>
          <w:b/>
        </w:rPr>
        <w:t>TRAMO MAIRANA-BERMEJO DE LA CARRETERA ANGOSTURA-COMARAPA</w:t>
      </w:r>
      <w:r w:rsidR="008C52F2">
        <w:t xml:space="preserve">”, </w:t>
      </w:r>
      <w:r w:rsidR="00F21906">
        <w:t xml:space="preserve">con una longitud aproximada de 58.24 kms, </w:t>
      </w:r>
      <w:r w:rsidR="008C52F2">
        <w:t xml:space="preserve">consistente en mantenimiento periódico y </w:t>
      </w:r>
      <w:r w:rsidR="00F21906">
        <w:t xml:space="preserve">rehabilitación en segundo grado. El análisis en cuestión se </w:t>
      </w:r>
      <w:r w:rsidR="00CB798A">
        <w:t>aborda desde tres perspectivas principales:</w:t>
      </w:r>
    </w:p>
    <w:p w14:paraId="6CE11062" w14:textId="77777777" w:rsidR="003058E5" w:rsidRDefault="003058E5" w:rsidP="00E25E91"/>
    <w:p w14:paraId="2F92A2AC" w14:textId="1F60D24B" w:rsidR="003058E5" w:rsidRPr="00CB798A" w:rsidRDefault="00DA1127" w:rsidP="00C80569">
      <w:pPr>
        <w:pStyle w:val="ListParagraph"/>
        <w:numPr>
          <w:ilvl w:val="0"/>
          <w:numId w:val="5"/>
        </w:numPr>
      </w:pPr>
      <w:r w:rsidRPr="00AF2D3D">
        <w:rPr>
          <w:i/>
        </w:rPr>
        <w:lastRenderedPageBreak/>
        <w:t xml:space="preserve">Variación </w:t>
      </w:r>
      <w:r w:rsidR="00AF2D3D" w:rsidRPr="00AF2D3D">
        <w:rPr>
          <w:i/>
        </w:rPr>
        <w:t>de precios en el proceso licitatorio:</w:t>
      </w:r>
      <w:r w:rsidR="00AF2D3D">
        <w:t xml:space="preserve"> entendido como la variación </w:t>
      </w:r>
      <w:r w:rsidRPr="00DA1127">
        <w:t xml:space="preserve">entre </w:t>
      </w:r>
      <w:r w:rsidR="003058E5" w:rsidRPr="00DA1127">
        <w:t>Precios Unitarios de Referencia</w:t>
      </w:r>
      <w:r>
        <w:t xml:space="preserve"> (empleados por </w:t>
      </w:r>
      <w:r w:rsidR="006C1CDE">
        <w:t xml:space="preserve">la Administradora Boliviana de Carreteras – ABC - </w:t>
      </w:r>
      <w:r>
        <w:t xml:space="preserve">para establecer el presupuesto de referencia en el proceso licitatorio) y los precios unitarios ofertados </w:t>
      </w:r>
      <w:r w:rsidR="006C1CDE">
        <w:t>por el proponente adjudicatario, así como la cesión de eficiencias que se refleje en la oferta licitatoria.</w:t>
      </w:r>
    </w:p>
    <w:p w14:paraId="3F2E8720" w14:textId="7D5971A5" w:rsidR="003058E5" w:rsidRPr="00CB798A" w:rsidRDefault="003058E5" w:rsidP="00C80569">
      <w:pPr>
        <w:pStyle w:val="ListParagraph"/>
        <w:numPr>
          <w:ilvl w:val="0"/>
          <w:numId w:val="5"/>
        </w:numPr>
      </w:pPr>
      <w:r w:rsidRPr="00421933">
        <w:rPr>
          <w:i/>
        </w:rPr>
        <w:t>Riesgo de Costos Adicionales</w:t>
      </w:r>
      <w:r>
        <w:t xml:space="preserve">: o riesgo de que el costo </w:t>
      </w:r>
      <w:r w:rsidR="006C1CDE">
        <w:t>del proyecto se incremente por obras adicionales no previstas.</w:t>
      </w:r>
    </w:p>
    <w:p w14:paraId="44943575" w14:textId="19F6C2F5" w:rsidR="0070275A" w:rsidRDefault="0070275A" w:rsidP="006C1CDE">
      <w:pPr>
        <w:pStyle w:val="ListParagraph"/>
        <w:numPr>
          <w:ilvl w:val="0"/>
          <w:numId w:val="5"/>
        </w:numPr>
      </w:pPr>
      <w:r w:rsidRPr="00421933">
        <w:rPr>
          <w:i/>
        </w:rPr>
        <w:t>Variación de Precios de Mercado en el Tiempo</w:t>
      </w:r>
      <w:r w:rsidR="00CB798A" w:rsidRPr="00421933">
        <w:rPr>
          <w:i/>
        </w:rPr>
        <w:t>:</w:t>
      </w:r>
      <w:r w:rsidR="00CB798A">
        <w:t xml:space="preserve"> </w:t>
      </w:r>
      <w:r w:rsidR="00AF2D3D">
        <w:t xml:space="preserve">o variación </w:t>
      </w:r>
      <w:r w:rsidR="0062432B">
        <w:t xml:space="preserve">en el plazo de ejecución del proyecto </w:t>
      </w:r>
      <w:r w:rsidR="00AF2D3D">
        <w:t xml:space="preserve">de los </w:t>
      </w:r>
      <w:r w:rsidR="0062432B">
        <w:t>precios de mercado de los insumos de obra</w:t>
      </w:r>
      <w:r w:rsidR="006C1CDE">
        <w:t xml:space="preserve"> (escalamiento)</w:t>
      </w:r>
      <w:r w:rsidR="00421933">
        <w:t>.</w:t>
      </w:r>
    </w:p>
    <w:p w14:paraId="2AA1DF03" w14:textId="758F1D6A" w:rsidR="006C1CDE" w:rsidRDefault="006C1CDE" w:rsidP="006C1CDE"/>
    <w:p w14:paraId="25CA09AA" w14:textId="12B8DD60" w:rsidR="006C1CDE" w:rsidRDefault="006C1CDE" w:rsidP="006C1CDE">
      <w:r>
        <w:t>Dichos aspectos se alinean con el desarrollo metodológico conceptual del “Manual para la Estimación y Seguimiento del Costo Final de un Programa de Infraestructura” (BID, 2016, Monteverde, Pereyra y Pérez), y la información disponible para análisis.</w:t>
      </w:r>
    </w:p>
    <w:p w14:paraId="0E686A84" w14:textId="7D1BCD28" w:rsidR="006C1CDE" w:rsidRPr="00CB798A" w:rsidRDefault="006C1CDE" w:rsidP="006C1CDE"/>
    <w:p w14:paraId="59142755" w14:textId="77777777" w:rsidR="0070275A" w:rsidRDefault="0070275A" w:rsidP="00E25E91"/>
    <w:p w14:paraId="07C1586B" w14:textId="77777777" w:rsidR="00385415" w:rsidRDefault="00385415" w:rsidP="00E25E91">
      <w:pPr>
        <w:rPr>
          <w:rFonts w:eastAsiaTheme="majorEastAsia" w:cstheme="majorBidi"/>
          <w:color w:val="365F91" w:themeColor="accent1" w:themeShade="BF"/>
          <w:sz w:val="28"/>
          <w:szCs w:val="28"/>
        </w:rPr>
      </w:pPr>
      <w:r>
        <w:br w:type="page"/>
      </w:r>
    </w:p>
    <w:p w14:paraId="01CFA253" w14:textId="08D72864" w:rsidR="00EE7580" w:rsidRDefault="00EE7580" w:rsidP="00E25E91">
      <w:pPr>
        <w:pStyle w:val="Heading1"/>
      </w:pPr>
      <w:bookmarkStart w:id="5" w:name="_Toc484602602"/>
      <w:r>
        <w:lastRenderedPageBreak/>
        <w:t>Objetivo</w:t>
      </w:r>
      <w:r w:rsidR="009A1189">
        <w:t xml:space="preserve"> y Alcance</w:t>
      </w:r>
      <w:bookmarkEnd w:id="5"/>
    </w:p>
    <w:p w14:paraId="1592FB9C" w14:textId="77777777" w:rsidR="00EE7580" w:rsidRPr="00B806FC" w:rsidRDefault="00EE7580" w:rsidP="00E25E91"/>
    <w:p w14:paraId="7D53F558" w14:textId="2984F712" w:rsidR="003443DC" w:rsidRDefault="006C1CDE" w:rsidP="006C1CDE">
      <w:r>
        <w:t>El presente</w:t>
      </w:r>
      <w:r w:rsidR="00760E3A">
        <w:t xml:space="preserve"> estudio</w:t>
      </w:r>
      <w:r>
        <w:t xml:space="preserve"> </w:t>
      </w:r>
      <w:r w:rsidR="003B1CC4">
        <w:t xml:space="preserve">tiene por objeto </w:t>
      </w:r>
      <w:r w:rsidR="00760E3A">
        <w:t>determinar con la mayor precisión, los posibles</w:t>
      </w:r>
      <w:r>
        <w:t xml:space="preserve"> </w:t>
      </w:r>
      <w:r w:rsidRPr="00C93591">
        <w:t xml:space="preserve">costos adicionales que se puedan presentar durante la implementación del </w:t>
      </w:r>
      <w:r>
        <w:t>“</w:t>
      </w:r>
      <w:r w:rsidR="001F554E">
        <w:t>Proyecto de Reconstrucción del Tramo Mairana-Bermejo</w:t>
      </w:r>
      <w:r>
        <w:t xml:space="preserve"> (BO-L1186)” </w:t>
      </w:r>
      <w:r w:rsidRPr="00C93591">
        <w:t xml:space="preserve">en </w:t>
      </w:r>
      <w:r>
        <w:t>BOLIVIA</w:t>
      </w:r>
      <w:r w:rsidRPr="00C93591">
        <w:t>, teniendo en cuenta el comportamiento histórico de las variables más representativas en un proyecto vial</w:t>
      </w:r>
      <w:r>
        <w:t>. En este contexto se analiza como muestra representativa</w:t>
      </w:r>
      <w:r w:rsidRPr="00C93591">
        <w:t xml:space="preserve">, el Proyecto </w:t>
      </w:r>
      <w:r>
        <w:t>“</w:t>
      </w:r>
      <w:r w:rsidRPr="00D26710">
        <w:rPr>
          <w:b/>
        </w:rPr>
        <w:t>TRAMO MAIRANA-BERMEJO DE LA CARRETERA ANGOSTURA-COMARAPA</w:t>
      </w:r>
      <w:r w:rsidR="00760E3A">
        <w:t>”.</w:t>
      </w:r>
    </w:p>
    <w:p w14:paraId="3888682D" w14:textId="73ED7A68" w:rsidR="00B93841" w:rsidRDefault="00B93841" w:rsidP="00E25E91"/>
    <w:p w14:paraId="787DEE6D" w14:textId="22B2F186" w:rsidR="00142750" w:rsidRDefault="00142750" w:rsidP="00E25E91">
      <w:r>
        <w:t>Para el l</w:t>
      </w:r>
      <w:r w:rsidR="001F61B7">
        <w:t>ogro del objetivo se desarrollaron</w:t>
      </w:r>
      <w:r>
        <w:t xml:space="preserve"> las siguientes actividades:</w:t>
      </w:r>
    </w:p>
    <w:p w14:paraId="2420C5B0" w14:textId="77777777" w:rsidR="00B93841" w:rsidRDefault="00B93841" w:rsidP="00E25E91"/>
    <w:p w14:paraId="7CC726DC" w14:textId="7DA4E2D2" w:rsidR="00EA0A8C" w:rsidRDefault="001F61B7" w:rsidP="00142750">
      <w:pPr>
        <w:pStyle w:val="ListParagraph"/>
        <w:numPr>
          <w:ilvl w:val="0"/>
          <w:numId w:val="41"/>
        </w:numPr>
        <w:rPr>
          <w:lang w:val="es-ES"/>
        </w:rPr>
      </w:pPr>
      <w:r>
        <w:rPr>
          <w:lang w:val="es-ES"/>
        </w:rPr>
        <w:t xml:space="preserve">Revisión y </w:t>
      </w:r>
      <w:r w:rsidR="00E7019D">
        <w:rPr>
          <w:lang w:val="es-ES"/>
        </w:rPr>
        <w:t>análisis</w:t>
      </w:r>
      <w:r>
        <w:rPr>
          <w:lang w:val="es-ES"/>
        </w:rPr>
        <w:t xml:space="preserve"> de</w:t>
      </w:r>
      <w:r w:rsidR="00142750" w:rsidRPr="002C640A">
        <w:rPr>
          <w:lang w:val="es-ES"/>
        </w:rPr>
        <w:t xml:space="preserve"> los informes, productos y otra documentación generada en el marco del diseño y estructuración de</w:t>
      </w:r>
      <w:r w:rsidR="00142750">
        <w:rPr>
          <w:lang w:val="es-ES"/>
        </w:rPr>
        <w:t xml:space="preserve">l </w:t>
      </w:r>
      <w:r w:rsidR="00142750" w:rsidRPr="002C640A">
        <w:rPr>
          <w:lang w:val="es-ES"/>
        </w:rPr>
        <w:t>p</w:t>
      </w:r>
      <w:r w:rsidR="00EA0A8C">
        <w:rPr>
          <w:lang w:val="es-ES"/>
        </w:rPr>
        <w:t>royecto objeto de análisis, en especial la relacionada con su alcance, consideraciones para la estimación de su presupuesto, factores de riesgo de costos adicionales, y presupuesto detallado a nivel de actividades y costos unitarios.</w:t>
      </w:r>
    </w:p>
    <w:p w14:paraId="519E6D47" w14:textId="0335AC89" w:rsidR="00142750" w:rsidRDefault="00EA0A8C" w:rsidP="00142750">
      <w:pPr>
        <w:pStyle w:val="ListParagraph"/>
        <w:numPr>
          <w:ilvl w:val="0"/>
          <w:numId w:val="41"/>
        </w:numPr>
        <w:rPr>
          <w:lang w:val="es-ES"/>
        </w:rPr>
      </w:pPr>
      <w:r>
        <w:rPr>
          <w:lang w:val="es-ES"/>
        </w:rPr>
        <w:t>R</w:t>
      </w:r>
      <w:r w:rsidR="001F61B7">
        <w:rPr>
          <w:lang w:val="es-ES"/>
        </w:rPr>
        <w:t>evisión</w:t>
      </w:r>
      <w:r w:rsidR="00E7019D">
        <w:rPr>
          <w:lang w:val="es-ES"/>
        </w:rPr>
        <w:t xml:space="preserve"> y análisis</w:t>
      </w:r>
      <w:r w:rsidR="001F61B7">
        <w:rPr>
          <w:lang w:val="es-ES"/>
        </w:rPr>
        <w:t xml:space="preserve"> de la</w:t>
      </w:r>
      <w:r w:rsidR="00142750" w:rsidRPr="002C640A">
        <w:rPr>
          <w:lang w:val="es-ES"/>
        </w:rPr>
        <w:t xml:space="preserve"> información histórica de proyectos similares en </w:t>
      </w:r>
      <w:r w:rsidR="001F61B7">
        <w:rPr>
          <w:lang w:val="es-ES"/>
        </w:rPr>
        <w:t>Bolivia</w:t>
      </w:r>
      <w:r w:rsidR="00142750" w:rsidRPr="002C640A">
        <w:rPr>
          <w:lang w:val="es-ES"/>
        </w:rPr>
        <w:t xml:space="preserve">, identificando costos adicionales que se hayan presentado, los factores generadores de riesgo de los mismos, y su comportamiento estadístico. </w:t>
      </w:r>
    </w:p>
    <w:p w14:paraId="4192F21D" w14:textId="689D1828" w:rsidR="003627F5" w:rsidRPr="002C640A" w:rsidRDefault="00E7019D" w:rsidP="00142750">
      <w:pPr>
        <w:pStyle w:val="ListParagraph"/>
        <w:numPr>
          <w:ilvl w:val="0"/>
          <w:numId w:val="41"/>
        </w:numPr>
        <w:rPr>
          <w:lang w:val="es-ES"/>
        </w:rPr>
      </w:pPr>
      <w:r>
        <w:rPr>
          <w:lang w:val="es-ES"/>
        </w:rPr>
        <w:t xml:space="preserve">Identificación de los principales insumos de obra (materiales, mano de obra y equipos), </w:t>
      </w:r>
      <w:r w:rsidR="00BF6D20">
        <w:rPr>
          <w:lang w:val="es-ES"/>
        </w:rPr>
        <w:t>estimación de su incidencia en el costo del proyecto; revisión y análisis de la evolución histórica del precio de mercado de dichos insumos; proyección a futuro empleando modelos ARIMA.</w:t>
      </w:r>
    </w:p>
    <w:p w14:paraId="3EBC3539" w14:textId="6239EC9C" w:rsidR="00BF6D20" w:rsidRDefault="00BF6D20" w:rsidP="00142750">
      <w:pPr>
        <w:pStyle w:val="ListParagraph"/>
        <w:numPr>
          <w:ilvl w:val="0"/>
          <w:numId w:val="41"/>
        </w:numPr>
        <w:rPr>
          <w:color w:val="000000"/>
          <w:lang w:val="es-ES"/>
        </w:rPr>
      </w:pPr>
      <w:r>
        <w:rPr>
          <w:color w:val="000000"/>
          <w:lang w:val="es-ES"/>
        </w:rPr>
        <w:t>Elaboración de un modelo</w:t>
      </w:r>
      <w:r w:rsidR="00BE054D">
        <w:rPr>
          <w:color w:val="000000"/>
          <w:lang w:val="es-ES"/>
        </w:rPr>
        <w:t xml:space="preserve"> matemático</w:t>
      </w:r>
      <w:r>
        <w:rPr>
          <w:color w:val="000000"/>
          <w:lang w:val="es-ES"/>
        </w:rPr>
        <w:t xml:space="preserve"> de costos </w:t>
      </w:r>
      <w:r w:rsidR="00E351A3">
        <w:rPr>
          <w:color w:val="000000"/>
          <w:lang w:val="es-ES"/>
        </w:rPr>
        <w:t xml:space="preserve">del proyecto </w:t>
      </w:r>
      <w:r w:rsidR="003B4106">
        <w:rPr>
          <w:color w:val="000000"/>
          <w:lang w:val="es-ES"/>
        </w:rPr>
        <w:t xml:space="preserve">y desarrollo </w:t>
      </w:r>
      <w:r w:rsidR="00BE054D">
        <w:rPr>
          <w:color w:val="000000"/>
          <w:lang w:val="es-ES"/>
        </w:rPr>
        <w:t>de un modelo probabilístico empleando el método de Montecarlo, considerando variables aleatorias relacionadas con los factores de</w:t>
      </w:r>
      <w:r w:rsidR="00E351A3">
        <w:rPr>
          <w:color w:val="000000"/>
          <w:lang w:val="es-ES"/>
        </w:rPr>
        <w:t>: oferta licitatoria,</w:t>
      </w:r>
      <w:r w:rsidR="00BE054D">
        <w:rPr>
          <w:color w:val="000000"/>
          <w:lang w:val="es-ES"/>
        </w:rPr>
        <w:t xml:space="preserve"> riesgo de costos adicionales, </w:t>
      </w:r>
      <w:r w:rsidR="00E351A3">
        <w:rPr>
          <w:color w:val="000000"/>
          <w:lang w:val="es-ES"/>
        </w:rPr>
        <w:t>escalamiento en el tiempo del precio de los insumos de obra.</w:t>
      </w:r>
    </w:p>
    <w:p w14:paraId="5981B67C" w14:textId="6000531A" w:rsidR="00142750" w:rsidRPr="00E351A3" w:rsidRDefault="00E351A3" w:rsidP="00492590">
      <w:pPr>
        <w:pStyle w:val="ListParagraph"/>
        <w:numPr>
          <w:ilvl w:val="0"/>
          <w:numId w:val="41"/>
        </w:numPr>
        <w:rPr>
          <w:color w:val="000000"/>
          <w:lang w:val="es-ES"/>
        </w:rPr>
      </w:pPr>
      <w:r w:rsidRPr="00E351A3">
        <w:rPr>
          <w:color w:val="000000"/>
          <w:lang w:val="es-ES"/>
        </w:rPr>
        <w:t>Estudio analítico de las causas de posibles costos adicionales en las obras a ejecutar y valoración de</w:t>
      </w:r>
      <w:r w:rsidR="00142750" w:rsidRPr="00E351A3">
        <w:rPr>
          <w:color w:val="000000"/>
          <w:lang w:val="es-ES"/>
        </w:rPr>
        <w:t xml:space="preserve"> la probabilidad de que se presenten costos adicionales durante la ejecu</w:t>
      </w:r>
      <w:r w:rsidRPr="00E351A3">
        <w:rPr>
          <w:color w:val="000000"/>
          <w:lang w:val="es-ES"/>
        </w:rPr>
        <w:t>ción del proyecto y su cuantía.</w:t>
      </w:r>
    </w:p>
    <w:p w14:paraId="60428C36" w14:textId="2EC32E67" w:rsidR="00142750" w:rsidRDefault="00E351A3" w:rsidP="00142750">
      <w:pPr>
        <w:pStyle w:val="ListParagraph"/>
        <w:numPr>
          <w:ilvl w:val="0"/>
          <w:numId w:val="41"/>
        </w:numPr>
        <w:rPr>
          <w:color w:val="000000"/>
          <w:lang w:val="es-ES"/>
        </w:rPr>
      </w:pPr>
      <w:r>
        <w:rPr>
          <w:lang w:val="es-ES_tradnl"/>
        </w:rPr>
        <w:t>R</w:t>
      </w:r>
      <w:r w:rsidR="00142750">
        <w:rPr>
          <w:lang w:val="es-ES_tradnl"/>
        </w:rPr>
        <w:t>ecomendaciones sobre la asignación de riesgos contractual, su cuantificación en proyectos futuros, y estrategias de prevención y mitigación.</w:t>
      </w:r>
    </w:p>
    <w:p w14:paraId="4ECB41DE" w14:textId="77777777" w:rsidR="002474B1" w:rsidRDefault="002474B1" w:rsidP="00E25E91"/>
    <w:p w14:paraId="35E22460" w14:textId="77777777" w:rsidR="00385415" w:rsidRDefault="00385415" w:rsidP="00E25E91">
      <w:pPr>
        <w:rPr>
          <w:rFonts w:eastAsiaTheme="majorEastAsia" w:cstheme="majorBidi"/>
          <w:color w:val="365F91" w:themeColor="accent1" w:themeShade="BF"/>
          <w:sz w:val="28"/>
          <w:szCs w:val="28"/>
        </w:rPr>
      </w:pPr>
      <w:r>
        <w:br w:type="page"/>
      </w:r>
    </w:p>
    <w:p w14:paraId="2BB5A32C" w14:textId="40D06B92" w:rsidR="00150FEA" w:rsidRDefault="00150FEA" w:rsidP="00E25E91">
      <w:pPr>
        <w:pStyle w:val="Heading1"/>
      </w:pPr>
      <w:bookmarkStart w:id="6" w:name="_Toc484602603"/>
      <w:r>
        <w:lastRenderedPageBreak/>
        <w:t>Metodología</w:t>
      </w:r>
      <w:bookmarkEnd w:id="6"/>
      <w:r w:rsidR="002303DE">
        <w:t xml:space="preserve"> </w:t>
      </w:r>
    </w:p>
    <w:p w14:paraId="4DA2809C" w14:textId="22EE3CC5" w:rsidR="00651848" w:rsidRDefault="00651848" w:rsidP="00BE4EAF"/>
    <w:p w14:paraId="289E0651" w14:textId="3A631D0E" w:rsidR="00BE4EAF" w:rsidRDefault="00BE4EAF" w:rsidP="00BE4EAF">
      <w:r>
        <w:t>La metodología adoptada parte de: la experiencia previa en estudios similares, el desarrollo metodológico y conceptual del “Manual para la Estimación y Seguimiento del Costo Final de un Programa de Infraestructura” (BID, 2016, Monteverde, Pereyra y Pérez), y la información disponible para análisis.</w:t>
      </w:r>
    </w:p>
    <w:p w14:paraId="075E855F" w14:textId="77777777" w:rsidR="00BE4EAF" w:rsidRDefault="00BE4EAF" w:rsidP="00BE4EAF"/>
    <w:p w14:paraId="68F9999A" w14:textId="76DF3EED" w:rsidR="000A4A58" w:rsidRDefault="000A4A58" w:rsidP="000A4A58">
      <w:pPr>
        <w:pStyle w:val="Heading2"/>
      </w:pPr>
      <w:bookmarkStart w:id="7" w:name="_Toc484602604"/>
      <w:r>
        <w:t>Etapas Metodológicas</w:t>
      </w:r>
      <w:bookmarkEnd w:id="7"/>
    </w:p>
    <w:p w14:paraId="4A868DA6" w14:textId="77777777" w:rsidR="000A4A58" w:rsidRDefault="000A4A58" w:rsidP="00651848">
      <w:pPr>
        <w:pStyle w:val="ListParagraph"/>
      </w:pPr>
    </w:p>
    <w:p w14:paraId="721BC169" w14:textId="020D0428" w:rsidR="00651848" w:rsidRDefault="00BE4EAF" w:rsidP="00FF22C2">
      <w:pPr>
        <w:pStyle w:val="ListParagraph"/>
        <w:ind w:left="0"/>
      </w:pPr>
      <w:r>
        <w:t xml:space="preserve">A </w:t>
      </w:r>
      <w:r w:rsidR="00F75703">
        <w:t>continuación,</w:t>
      </w:r>
      <w:r>
        <w:t xml:space="preserve"> se presentan las etapas de análisis ejecutadas:</w:t>
      </w:r>
    </w:p>
    <w:p w14:paraId="6ABC8E57" w14:textId="77777777" w:rsidR="00651848" w:rsidRDefault="00651848" w:rsidP="00FF22C2">
      <w:pPr>
        <w:pStyle w:val="ListParagraph"/>
        <w:ind w:left="0"/>
      </w:pPr>
    </w:p>
    <w:p w14:paraId="5EAD8AAD" w14:textId="536C4814" w:rsidR="00651848" w:rsidRPr="00BD6957" w:rsidRDefault="00FF22C2" w:rsidP="00C80569">
      <w:pPr>
        <w:pStyle w:val="ListParagraph"/>
        <w:numPr>
          <w:ilvl w:val="0"/>
          <w:numId w:val="14"/>
        </w:numPr>
        <w:rPr>
          <w:b/>
        </w:rPr>
      </w:pPr>
      <w:r w:rsidRPr="00BD6957">
        <w:rPr>
          <w:b/>
        </w:rPr>
        <w:t>Levantamiento de Información</w:t>
      </w:r>
    </w:p>
    <w:p w14:paraId="3ADD35F8" w14:textId="77777777" w:rsidR="00FF22C2" w:rsidRDefault="00FF22C2" w:rsidP="00FF22C2">
      <w:pPr>
        <w:pStyle w:val="ListParagraph"/>
        <w:ind w:left="0"/>
      </w:pPr>
    </w:p>
    <w:p w14:paraId="74ACCF6F" w14:textId="2C8AC5A1" w:rsidR="00FB72AC" w:rsidRDefault="00FB72AC" w:rsidP="00F75703">
      <w:pPr>
        <w:pStyle w:val="ListParagraph"/>
        <w:ind w:left="360"/>
      </w:pPr>
      <w:r>
        <w:t>Se realizaron entrevistas y levantamiento de información secundaria existente, con el propósito de:</w:t>
      </w:r>
    </w:p>
    <w:p w14:paraId="311BA474" w14:textId="77777777" w:rsidR="005A3C28" w:rsidRDefault="005A3C28" w:rsidP="00FF22C2">
      <w:pPr>
        <w:pStyle w:val="ListParagraph"/>
        <w:ind w:left="0"/>
      </w:pPr>
    </w:p>
    <w:p w14:paraId="0DC7295E" w14:textId="6C3C7D7D" w:rsidR="00FB72AC" w:rsidRDefault="00FB72AC" w:rsidP="00C80569">
      <w:pPr>
        <w:pStyle w:val="ListParagraph"/>
        <w:numPr>
          <w:ilvl w:val="0"/>
          <w:numId w:val="12"/>
        </w:numPr>
      </w:pPr>
      <w:r>
        <w:t>Relacionarse con las características del proyecto objeto de estudio y su presupuesto de referencia.</w:t>
      </w:r>
    </w:p>
    <w:p w14:paraId="4839CB63" w14:textId="2D433D20" w:rsidR="00FB72AC" w:rsidRDefault="00FB72AC" w:rsidP="00C80569">
      <w:pPr>
        <w:pStyle w:val="ListParagraph"/>
        <w:numPr>
          <w:ilvl w:val="0"/>
          <w:numId w:val="12"/>
        </w:numPr>
      </w:pPr>
      <w:r>
        <w:t xml:space="preserve">Identificar aspectos clave de la problemática de costos adicionales en proyectos de infraestructura en </w:t>
      </w:r>
      <w:r w:rsidR="007E74BF">
        <w:t>Bolivia</w:t>
      </w:r>
      <w:r>
        <w:t>.</w:t>
      </w:r>
    </w:p>
    <w:p w14:paraId="4EB15EFB" w14:textId="10FDD87A" w:rsidR="00FB72AC" w:rsidRDefault="007A0BF2" w:rsidP="00C80569">
      <w:pPr>
        <w:pStyle w:val="ListParagraph"/>
        <w:numPr>
          <w:ilvl w:val="0"/>
          <w:numId w:val="12"/>
        </w:numPr>
      </w:pPr>
      <w:r>
        <w:t xml:space="preserve">Obtener series históricas que permitan </w:t>
      </w:r>
      <w:r w:rsidR="005A3C28">
        <w:t xml:space="preserve">caracterizar cualitativa y cuantitativamente comportamientos de: variaciones entre presupuestos de referencia y presupuestos </w:t>
      </w:r>
      <w:r w:rsidR="00821EBD">
        <w:t>adjudicados; costos</w:t>
      </w:r>
      <w:r w:rsidR="005A3C28">
        <w:t xml:space="preserve"> adicionales en proyectos viales ejecutados por </w:t>
      </w:r>
      <w:r w:rsidR="007E74BF">
        <w:t>la Administradora Boliviana de Carreteras (ABC)</w:t>
      </w:r>
      <w:r w:rsidR="005A3C28">
        <w:t>; variaciones en el tiempo de costos unitarios de insumos operacionales.</w:t>
      </w:r>
    </w:p>
    <w:p w14:paraId="7C161110" w14:textId="77777777" w:rsidR="00FF22C2" w:rsidRDefault="00FF22C2" w:rsidP="00FF22C2">
      <w:pPr>
        <w:pStyle w:val="ListParagraph"/>
        <w:ind w:left="0"/>
      </w:pPr>
    </w:p>
    <w:p w14:paraId="75997EEE" w14:textId="5F3AF443" w:rsidR="00FF22C2" w:rsidRPr="005A3C28" w:rsidRDefault="00FF22C2" w:rsidP="00C80569">
      <w:pPr>
        <w:pStyle w:val="ListParagraph"/>
        <w:numPr>
          <w:ilvl w:val="0"/>
          <w:numId w:val="14"/>
        </w:numPr>
        <w:rPr>
          <w:b/>
        </w:rPr>
      </w:pPr>
      <w:r w:rsidRPr="005A3C28">
        <w:rPr>
          <w:b/>
        </w:rPr>
        <w:t>Diagnostico</w:t>
      </w:r>
    </w:p>
    <w:p w14:paraId="1CA774DD" w14:textId="77777777" w:rsidR="00FF22C2" w:rsidRDefault="00FF22C2" w:rsidP="00FF22C2">
      <w:pPr>
        <w:pStyle w:val="ListParagraph"/>
        <w:ind w:left="0"/>
      </w:pPr>
    </w:p>
    <w:p w14:paraId="5DF03488" w14:textId="4E48B505" w:rsidR="00F6463A" w:rsidRDefault="005A3C28" w:rsidP="00F75703">
      <w:pPr>
        <w:pStyle w:val="ListParagraph"/>
        <w:ind w:left="360"/>
      </w:pPr>
      <w:r>
        <w:t xml:space="preserve">Con la información secundaria obtenida se realizó un diagnóstico, abordando los tres aspectos </w:t>
      </w:r>
      <w:r w:rsidR="007E74BF">
        <w:t xml:space="preserve">identificados como de especial </w:t>
      </w:r>
      <w:r>
        <w:t xml:space="preserve">interés: </w:t>
      </w:r>
    </w:p>
    <w:p w14:paraId="26FF46E2" w14:textId="77777777" w:rsidR="00EA1049" w:rsidRDefault="00EA1049" w:rsidP="005A3C28">
      <w:pPr>
        <w:pStyle w:val="ListParagraph"/>
        <w:ind w:left="0"/>
      </w:pPr>
    </w:p>
    <w:p w14:paraId="4D2614AC" w14:textId="2BA6B6C5" w:rsidR="00F6463A" w:rsidRDefault="005A3C28" w:rsidP="00C80569">
      <w:pPr>
        <w:pStyle w:val="ListParagraph"/>
        <w:numPr>
          <w:ilvl w:val="0"/>
          <w:numId w:val="13"/>
        </w:numPr>
      </w:pPr>
      <w:r w:rsidRPr="00A22721">
        <w:rPr>
          <w:b/>
        </w:rPr>
        <w:t>Variación de pre</w:t>
      </w:r>
      <w:r w:rsidR="00F6463A" w:rsidRPr="00A22721">
        <w:rPr>
          <w:b/>
        </w:rPr>
        <w:t>cios en el proceso licitatorio:</w:t>
      </w:r>
      <w:r w:rsidR="00240EAF">
        <w:t xml:space="preserve"> </w:t>
      </w:r>
      <w:r w:rsidR="00A22721">
        <w:t>aspecto que se vincula a la variación entre los precios de referencia empleados por la entidad ejecutora (</w:t>
      </w:r>
      <w:r w:rsidR="003C7466">
        <w:t>ABC</w:t>
      </w:r>
      <w:r w:rsidR="00A22721">
        <w:t>) para la elaboración del presupuesto de referencia, y aquellos que se obtengan en la oferta licitatoria. La estimación de dicha variación parte de la comparación</w:t>
      </w:r>
      <w:r w:rsidR="00240EAF">
        <w:t xml:space="preserve"> entre presupuestos de referencia </w:t>
      </w:r>
      <w:r w:rsidR="008E794B">
        <w:t>para diferentes proyectos</w:t>
      </w:r>
      <w:r w:rsidR="00240EAF">
        <w:t xml:space="preserve">. En esta comparación se establecen </w:t>
      </w:r>
      <w:r w:rsidR="00EA1049">
        <w:t>rangos de variación por rubro de presupu</w:t>
      </w:r>
      <w:r w:rsidR="00AD4C04">
        <w:t>esto, cuestión que se emplea</w:t>
      </w:r>
      <w:r w:rsidR="00EA1049">
        <w:t xml:space="preserve"> para la simulación de Montecarlo en la siguiente etapa.</w:t>
      </w:r>
      <w:r w:rsidR="008E794B">
        <w:t xml:space="preserve"> De otra </w:t>
      </w:r>
      <w:r w:rsidR="00AD4C04">
        <w:t>parte, se considera</w:t>
      </w:r>
      <w:r w:rsidR="008E794B">
        <w:t xml:space="preserve"> un orden de magnitud de </w:t>
      </w:r>
      <w:r w:rsidR="008E794B">
        <w:lastRenderedPageBreak/>
        <w:t>eficiencias cedidas por los proponentes en el proceso licitatorio como parte de su “apuesta estratégica” para ser adjudicatarios del proyecto.</w:t>
      </w:r>
    </w:p>
    <w:p w14:paraId="68D21285" w14:textId="77777777" w:rsidR="00EA1049" w:rsidRDefault="00EA1049" w:rsidP="00EA1049">
      <w:pPr>
        <w:pStyle w:val="ListParagraph"/>
      </w:pPr>
    </w:p>
    <w:p w14:paraId="492515DF" w14:textId="7A8E23A0" w:rsidR="00A22721" w:rsidRDefault="005A3C28" w:rsidP="00C80569">
      <w:pPr>
        <w:pStyle w:val="ListParagraph"/>
        <w:numPr>
          <w:ilvl w:val="0"/>
          <w:numId w:val="13"/>
        </w:numPr>
        <w:ind w:left="708"/>
      </w:pPr>
      <w:r w:rsidRPr="00A22721">
        <w:rPr>
          <w:b/>
        </w:rPr>
        <w:t>Riesgo de Costos Adicionales</w:t>
      </w:r>
      <w:r w:rsidR="00F6463A">
        <w:t>:</w:t>
      </w:r>
      <w:r w:rsidR="00EA1049">
        <w:t xml:space="preserve"> </w:t>
      </w:r>
      <w:r w:rsidR="00A22721">
        <w:t>o riesgo de que el costo del proyecto se incremente por</w:t>
      </w:r>
      <w:r w:rsidR="008E794B">
        <w:t xml:space="preserve"> </w:t>
      </w:r>
      <w:r w:rsidR="00A22721">
        <w:t>obras adicionales</w:t>
      </w:r>
      <w:r w:rsidR="00E274B3">
        <w:t xml:space="preserve"> a solicitud de terceros o requerimientos del propietario</w:t>
      </w:r>
      <w:r w:rsidR="00A22721">
        <w:t>. La base del análisis corre</w:t>
      </w:r>
      <w:r w:rsidR="008E794B">
        <w:t xml:space="preserve">sponde al acontecer histórico </w:t>
      </w:r>
      <w:r w:rsidR="00A22721">
        <w:t xml:space="preserve">en proyectos de infraestructura ejecutados en </w:t>
      </w:r>
      <w:r w:rsidR="008E794B">
        <w:t>Bolivia por ABC</w:t>
      </w:r>
      <w:r w:rsidR="00A22721">
        <w:t xml:space="preserve"> </w:t>
      </w:r>
      <w:r w:rsidR="008E794B">
        <w:t>y la comparación del costo presupuestado por kilómetro para el proyecto objeto de análisis y el observado como costo final en proyectos ya ejecutados por ABC:</w:t>
      </w:r>
    </w:p>
    <w:p w14:paraId="54A1179F" w14:textId="77777777" w:rsidR="00A22721" w:rsidRDefault="00A22721" w:rsidP="00A22721"/>
    <w:p w14:paraId="73B98E18" w14:textId="50B002FC" w:rsidR="00FF22C2" w:rsidRDefault="005A3C28" w:rsidP="009E14E2">
      <w:pPr>
        <w:pStyle w:val="ListParagraph"/>
        <w:numPr>
          <w:ilvl w:val="0"/>
          <w:numId w:val="13"/>
        </w:numPr>
      </w:pPr>
      <w:r w:rsidRPr="003D00E8">
        <w:rPr>
          <w:b/>
        </w:rPr>
        <w:t>Variación de Precios de Mercado en el Tiempo</w:t>
      </w:r>
      <w:r w:rsidR="00E274B3">
        <w:rPr>
          <w:b/>
        </w:rPr>
        <w:t xml:space="preserve"> (Escalamiento)</w:t>
      </w:r>
      <w:r w:rsidR="00F6463A">
        <w:t>:</w:t>
      </w:r>
      <w:r w:rsidR="00414C1A">
        <w:t xml:space="preserve"> </w:t>
      </w:r>
      <w:r w:rsidR="00A22721" w:rsidRPr="00A22721">
        <w:t>punto en el cual se cuantifica la escalabilidad de costos del proyecto en el tiempo, por la variación de tendencia histórica del precio de mer</w:t>
      </w:r>
      <w:r w:rsidR="00A22721">
        <w:t>cado de sus insumos principales</w:t>
      </w:r>
      <w:r w:rsidR="00E274B3">
        <w:t xml:space="preserve"> (pueden ser positivas o negativas)</w:t>
      </w:r>
      <w:r w:rsidR="00A22721" w:rsidRPr="00A22721">
        <w:t>.</w:t>
      </w:r>
      <w:r w:rsidR="00A22721">
        <w:t xml:space="preserve"> </w:t>
      </w:r>
      <w:r w:rsidR="00414C1A">
        <w:t xml:space="preserve">Partiendo del presupuesto de referencia del proyecto </w:t>
      </w:r>
      <w:r w:rsidR="008E794B">
        <w:t>objeto de análisis</w:t>
      </w:r>
      <w:r w:rsidR="009E14E2" w:rsidRPr="009E14E2">
        <w:t xml:space="preserve"> </w:t>
      </w:r>
      <w:r w:rsidR="00D3519B">
        <w:t xml:space="preserve">y su desagregación por actividades, y estas a su vez detalladas en insumos, costos unitarios y cantidades de obra, se estableció una “canasta de costos de obra”, que comprende los principales insumos de obra (entre materiales, mano de obra, maquinaria y equipo), y su incidencia o participación porcentual en el costo total de obra. </w:t>
      </w:r>
    </w:p>
    <w:p w14:paraId="7923FECE" w14:textId="77777777" w:rsidR="00D3519B" w:rsidRDefault="00D3519B" w:rsidP="0094603C">
      <w:pPr>
        <w:pStyle w:val="ListParagraph"/>
      </w:pPr>
    </w:p>
    <w:p w14:paraId="14C4773C" w14:textId="7DBD0009" w:rsidR="0094603C" w:rsidRDefault="0094603C" w:rsidP="0094603C">
      <w:pPr>
        <w:pStyle w:val="ListParagraph"/>
      </w:pPr>
      <w:r>
        <w:t>Por otro lado, para cada uno de los principales insumos identificados anteriormente, se indag</w:t>
      </w:r>
      <w:r w:rsidR="00501E29">
        <w:t>ó</w:t>
      </w:r>
      <w:r>
        <w:t xml:space="preserve"> sobre le evolución histórica del precio de mercado, con base en información de fuentes oficiales, y expectativas en el corto plazo, estableciendo tendencias y distribuciones de probabilidad de dichas tendencias, las cuales </w:t>
      </w:r>
      <w:r w:rsidRPr="0094603C">
        <w:t>se emplearon para la simulación de Montecarlo en la siguiente etapa.</w:t>
      </w:r>
    </w:p>
    <w:p w14:paraId="308D342B" w14:textId="77777777" w:rsidR="00FF22C2" w:rsidRDefault="00FF22C2" w:rsidP="00FF22C2">
      <w:pPr>
        <w:pStyle w:val="ListParagraph"/>
        <w:ind w:left="0"/>
      </w:pPr>
    </w:p>
    <w:p w14:paraId="305E9D00" w14:textId="2FC245BC" w:rsidR="00A22721" w:rsidRDefault="00A22721">
      <w:pPr>
        <w:rPr>
          <w:b/>
        </w:rPr>
      </w:pPr>
    </w:p>
    <w:p w14:paraId="34171C6E" w14:textId="52D42A11" w:rsidR="00FF22C2" w:rsidRPr="007F0127" w:rsidRDefault="00FF22C2" w:rsidP="00C80569">
      <w:pPr>
        <w:pStyle w:val="ListParagraph"/>
        <w:numPr>
          <w:ilvl w:val="0"/>
          <w:numId w:val="14"/>
        </w:numPr>
        <w:rPr>
          <w:b/>
        </w:rPr>
      </w:pPr>
      <w:r w:rsidRPr="007F0127">
        <w:rPr>
          <w:b/>
        </w:rPr>
        <w:t>Procesamiento y Análisis</w:t>
      </w:r>
    </w:p>
    <w:p w14:paraId="75AA7463" w14:textId="77777777" w:rsidR="00FF22C2" w:rsidRDefault="00FF22C2" w:rsidP="00FF22C2">
      <w:pPr>
        <w:pStyle w:val="ListParagraph"/>
        <w:ind w:left="0"/>
      </w:pPr>
    </w:p>
    <w:p w14:paraId="44BE7F54" w14:textId="2B360A4D" w:rsidR="00325BB2" w:rsidRDefault="00EB73A8" w:rsidP="00AD4C04">
      <w:pPr>
        <w:pStyle w:val="ListParagraph"/>
        <w:ind w:left="360"/>
      </w:pPr>
      <w:r>
        <w:t>El procesamiento y análisis de la información</w:t>
      </w:r>
      <w:r w:rsidR="0038488A">
        <w:t>, parte del diagnóstico realizado, y se enfoca a la obtención de:</w:t>
      </w:r>
    </w:p>
    <w:p w14:paraId="57BDE639" w14:textId="77777777" w:rsidR="0038488A" w:rsidRDefault="0038488A" w:rsidP="00325BB2">
      <w:pPr>
        <w:pStyle w:val="ListParagraph"/>
      </w:pPr>
    </w:p>
    <w:p w14:paraId="5335ED89" w14:textId="263F3B17" w:rsidR="0038488A" w:rsidRDefault="0038488A" w:rsidP="00AD4C04">
      <w:pPr>
        <w:pStyle w:val="ListParagraph"/>
        <w:numPr>
          <w:ilvl w:val="1"/>
          <w:numId w:val="14"/>
        </w:numPr>
        <w:ind w:left="851" w:hanging="425"/>
      </w:pPr>
      <w:r>
        <w:t xml:space="preserve">La curva de distribución de probabilidad de la relación entre presupuesto de referencia y presupuesto adjudicado en el proceso licitatorio, lo que representa </w:t>
      </w:r>
      <w:r w:rsidR="00FF5DCF">
        <w:t>la probabilidad de obtener economías en el proceso de competencia por el proyecto que se surte en licitación.</w:t>
      </w:r>
    </w:p>
    <w:p w14:paraId="3E999D95" w14:textId="298CA58F" w:rsidR="00FF5DCF" w:rsidRDefault="00542E77" w:rsidP="00AD4C04">
      <w:pPr>
        <w:pStyle w:val="ListParagraph"/>
        <w:numPr>
          <w:ilvl w:val="1"/>
          <w:numId w:val="14"/>
        </w:numPr>
        <w:ind w:left="851" w:hanging="425"/>
      </w:pPr>
      <w:r>
        <w:t>La curva de distribución de probabilidad de costos adicionales</w:t>
      </w:r>
      <w:r w:rsidR="00935A41">
        <w:t xml:space="preserve"> por obras adicionales no previstas</w:t>
      </w:r>
      <w:r>
        <w:t xml:space="preserve"> como porcentaje del valor del presup</w:t>
      </w:r>
      <w:r w:rsidR="00935A41">
        <w:t>uesto de referencia.</w:t>
      </w:r>
    </w:p>
    <w:p w14:paraId="6915210E" w14:textId="73A3724B" w:rsidR="00A93739" w:rsidRDefault="001E5198" w:rsidP="00AD4C04">
      <w:pPr>
        <w:pStyle w:val="ListParagraph"/>
        <w:numPr>
          <w:ilvl w:val="1"/>
          <w:numId w:val="14"/>
        </w:numPr>
        <w:ind w:left="851" w:hanging="425"/>
      </w:pPr>
      <w:r>
        <w:lastRenderedPageBreak/>
        <w:t>E</w:t>
      </w:r>
      <w:r w:rsidR="00A93739">
        <w:t xml:space="preserve">stimación de la provisión por </w:t>
      </w:r>
      <w:r>
        <w:t>escalamiento</w:t>
      </w:r>
      <w:r w:rsidR="00A93739">
        <w:t xml:space="preserve"> como porcentaje del presupuesto de referencia.</w:t>
      </w:r>
    </w:p>
    <w:p w14:paraId="60648AAD" w14:textId="2F0292F7" w:rsidR="00935A41" w:rsidRDefault="00935A41" w:rsidP="00AD4C04">
      <w:pPr>
        <w:pStyle w:val="ListParagraph"/>
        <w:numPr>
          <w:ilvl w:val="1"/>
          <w:numId w:val="14"/>
        </w:numPr>
        <w:ind w:left="851" w:hanging="425"/>
      </w:pPr>
      <w:r>
        <w:t>La curva de distribución de probabilidad de costos adicionales como porcentaje del valor del presupuesto de referencia, que agrupe los efectos mencionados en los puntos anteriores.</w:t>
      </w:r>
    </w:p>
    <w:p w14:paraId="640C7C5F" w14:textId="77777777" w:rsidR="00A93739" w:rsidRDefault="00A93739" w:rsidP="00A93739">
      <w:pPr>
        <w:ind w:left="708"/>
      </w:pPr>
    </w:p>
    <w:p w14:paraId="6E681C62" w14:textId="459F6799" w:rsidR="00757825" w:rsidRDefault="00AD4C04" w:rsidP="00AD4C04">
      <w:r>
        <w:t>El análisis se apoya</w:t>
      </w:r>
      <w:r w:rsidR="00757825">
        <w:t xml:space="preserve"> en modelos matemáticos de costos y </w:t>
      </w:r>
      <w:r w:rsidR="002622DF">
        <w:t>modelos probabilísticos de simulación empleando el Método de Montecarlo</w:t>
      </w:r>
      <w:r w:rsidR="003E66F0">
        <w:t>.</w:t>
      </w:r>
    </w:p>
    <w:p w14:paraId="0062F9CF" w14:textId="4663EB74" w:rsidR="00935A41" w:rsidRDefault="00935A41" w:rsidP="00AD4C04"/>
    <w:p w14:paraId="024C94EA" w14:textId="48B1E362" w:rsidR="00935A41" w:rsidRDefault="00AD4C04" w:rsidP="00AD4C04">
      <w:r>
        <w:t>Para el caso del “e</w:t>
      </w:r>
      <w:r w:rsidR="003E66F0">
        <w:t>scalamiento</w:t>
      </w:r>
      <w:r>
        <w:t>”</w:t>
      </w:r>
      <w:r w:rsidR="003E66F0">
        <w:t xml:space="preserve"> o análisis de variación del </w:t>
      </w:r>
      <w:r w:rsidR="00C73093">
        <w:t>precio</w:t>
      </w:r>
      <w:r w:rsidR="003E66F0">
        <w:t xml:space="preserve"> de insumos de obra en el tiempo</w:t>
      </w:r>
      <w:r w:rsidR="00C73093">
        <w:t xml:space="preserve"> (materiales, mano de obra y equipos), es necesario proyectar a futuro la evolución del precio de mercado de dichos insumos con base en su comportamiento histórico, para lo cual se empleó un modelo de predicción ARIMA y se complementó el análisis con expectativas de mercado.</w:t>
      </w:r>
    </w:p>
    <w:p w14:paraId="04CA15E7" w14:textId="77777777" w:rsidR="00EB73A8" w:rsidRDefault="00EB73A8" w:rsidP="00325BB2">
      <w:pPr>
        <w:pStyle w:val="ListParagraph"/>
      </w:pPr>
    </w:p>
    <w:p w14:paraId="5B279C1F" w14:textId="71D3C3D3" w:rsidR="00325BB2" w:rsidRPr="00651848" w:rsidRDefault="00A93739" w:rsidP="00A93739">
      <w:r w:rsidRPr="00A93739">
        <w:t xml:space="preserve">Finalmente, se </w:t>
      </w:r>
      <w:r>
        <w:t>dan</w:t>
      </w:r>
      <w:r w:rsidRPr="00A93739">
        <w:t xml:space="preserve"> recomendaciones sobre la asignación de riesgos contractual, su cuantificación en proyectos futuros, y estrategias de prevención y mitigación.</w:t>
      </w:r>
    </w:p>
    <w:p w14:paraId="204FA72A" w14:textId="77777777" w:rsidR="00325BB2" w:rsidRDefault="00325BB2" w:rsidP="00325BB2">
      <w:pPr>
        <w:pStyle w:val="ListParagraph"/>
      </w:pPr>
    </w:p>
    <w:p w14:paraId="096312B5" w14:textId="3F86124B" w:rsidR="002622DF" w:rsidRDefault="002622DF" w:rsidP="000A4A58">
      <w:pPr>
        <w:pStyle w:val="Heading2"/>
      </w:pPr>
      <w:bookmarkStart w:id="8" w:name="_Toc484602605"/>
      <w:r>
        <w:t>Metodología para el Análisis de Riesgos y Simulación de Montecarlo</w:t>
      </w:r>
      <w:bookmarkEnd w:id="8"/>
    </w:p>
    <w:p w14:paraId="75D37DD3" w14:textId="77777777" w:rsidR="002622DF" w:rsidRPr="002622DF" w:rsidRDefault="002622DF" w:rsidP="002622DF"/>
    <w:p w14:paraId="42B64102" w14:textId="77777777" w:rsidR="002622DF" w:rsidRDefault="002622DF" w:rsidP="002622DF">
      <w:pPr>
        <w:rPr>
          <w:lang w:val="es-ES_tradnl"/>
        </w:rPr>
      </w:pPr>
      <w:r>
        <w:rPr>
          <w:lang w:val="es-ES_tradnl"/>
        </w:rPr>
        <w:t>El manejo de los riesgos en un proyecto pasa por las siguientes etapas principales:</w:t>
      </w:r>
    </w:p>
    <w:p w14:paraId="64E8CB5B" w14:textId="77777777" w:rsidR="002622DF" w:rsidRDefault="002622DF" w:rsidP="002622DF">
      <w:pPr>
        <w:rPr>
          <w:lang w:val="es-ES_tradnl"/>
        </w:rPr>
      </w:pPr>
    </w:p>
    <w:p w14:paraId="51CE55E6" w14:textId="77777777" w:rsidR="002622DF" w:rsidRPr="00CF53D8" w:rsidRDefault="002622DF" w:rsidP="00C80569">
      <w:pPr>
        <w:pStyle w:val="ListParagraph"/>
        <w:numPr>
          <w:ilvl w:val="0"/>
          <w:numId w:val="15"/>
        </w:numPr>
        <w:spacing w:line="240" w:lineRule="auto"/>
        <w:ind w:left="360"/>
        <w:rPr>
          <w:lang w:val="es-MX"/>
        </w:rPr>
      </w:pPr>
      <w:r w:rsidRPr="00CF53D8">
        <w:rPr>
          <w:lang w:val="es-MX"/>
        </w:rPr>
        <w:t>Identificación del riesgo</w:t>
      </w:r>
      <w:r>
        <w:rPr>
          <w:lang w:val="es-MX"/>
        </w:rPr>
        <w:t xml:space="preserve"> (asociado al alcance, costo, calidad o tiempo)</w:t>
      </w:r>
    </w:p>
    <w:p w14:paraId="73C22B59" w14:textId="77777777" w:rsidR="002622DF" w:rsidRPr="00CF53D8" w:rsidRDefault="002622DF" w:rsidP="00C80569">
      <w:pPr>
        <w:pStyle w:val="ListParagraph"/>
        <w:numPr>
          <w:ilvl w:val="0"/>
          <w:numId w:val="15"/>
        </w:numPr>
        <w:spacing w:line="240" w:lineRule="auto"/>
        <w:ind w:left="360"/>
        <w:rPr>
          <w:lang w:val="es-MX"/>
        </w:rPr>
      </w:pPr>
      <w:r w:rsidRPr="00CF53D8">
        <w:rPr>
          <w:lang w:val="es-MX"/>
        </w:rPr>
        <w:t>Cuantificación del daño</w:t>
      </w:r>
    </w:p>
    <w:p w14:paraId="7B05EA84" w14:textId="77777777" w:rsidR="002622DF" w:rsidRPr="00CF53D8" w:rsidRDefault="002622DF" w:rsidP="00C80569">
      <w:pPr>
        <w:pStyle w:val="ListParagraph"/>
        <w:numPr>
          <w:ilvl w:val="0"/>
          <w:numId w:val="15"/>
        </w:numPr>
        <w:spacing w:line="240" w:lineRule="auto"/>
        <w:ind w:left="360"/>
        <w:rPr>
          <w:lang w:val="es-MX"/>
        </w:rPr>
      </w:pPr>
      <w:r w:rsidRPr="00CF53D8">
        <w:rPr>
          <w:lang w:val="es-MX"/>
        </w:rPr>
        <w:t>Evaluación de la probabilidad</w:t>
      </w:r>
    </w:p>
    <w:p w14:paraId="2D02CD74" w14:textId="77777777" w:rsidR="002622DF" w:rsidRPr="00CF53D8" w:rsidRDefault="002622DF" w:rsidP="00C80569">
      <w:pPr>
        <w:pStyle w:val="ListParagraph"/>
        <w:numPr>
          <w:ilvl w:val="0"/>
          <w:numId w:val="15"/>
        </w:numPr>
        <w:spacing w:line="240" w:lineRule="auto"/>
        <w:ind w:left="360"/>
        <w:rPr>
          <w:lang w:val="es-MX"/>
        </w:rPr>
      </w:pPr>
      <w:r w:rsidRPr="00CF53D8">
        <w:rPr>
          <w:lang w:val="es-MX"/>
        </w:rPr>
        <w:t>Respuesta al riesgo</w:t>
      </w:r>
    </w:p>
    <w:p w14:paraId="5F90AC96" w14:textId="77777777" w:rsidR="002622DF" w:rsidRDefault="002622DF" w:rsidP="002622DF">
      <w:pPr>
        <w:rPr>
          <w:lang w:val="es-MX"/>
        </w:rPr>
      </w:pPr>
    </w:p>
    <w:p w14:paraId="4C39E157" w14:textId="40C9CB0B" w:rsidR="002622DF" w:rsidRDefault="002622DF" w:rsidP="002622DF">
      <w:pPr>
        <w:rPr>
          <w:lang w:val="es-MX"/>
        </w:rPr>
      </w:pPr>
      <w:r>
        <w:rPr>
          <w:lang w:val="es-MX"/>
        </w:rPr>
        <w:t xml:space="preserve">Siguiendo </w:t>
      </w:r>
      <w:r w:rsidRPr="0079153B">
        <w:rPr>
          <w:lang w:val="es-ES_tradnl"/>
        </w:rPr>
        <w:t>los lineamientos establecidos por el PMI</w:t>
      </w:r>
      <w:r>
        <w:rPr>
          <w:rStyle w:val="FootnoteReference"/>
          <w:lang w:val="es-ES_tradnl"/>
        </w:rPr>
        <w:footnoteReference w:id="12"/>
      </w:r>
      <w:r w:rsidRPr="0079153B">
        <w:rPr>
          <w:lang w:val="es-ES_tradnl"/>
        </w:rPr>
        <w:t xml:space="preserve"> en la guía PMBoK</w:t>
      </w:r>
      <w:r>
        <w:rPr>
          <w:rStyle w:val="FootnoteReference"/>
          <w:lang w:val="es-ES_tradnl"/>
        </w:rPr>
        <w:footnoteReference w:id="13"/>
      </w:r>
      <w:r>
        <w:rPr>
          <w:lang w:val="es-ES_tradnl"/>
        </w:rPr>
        <w:t>, la cuantificación del daño y la evaluación de la probabilidad se relacionan con la e</w:t>
      </w:r>
      <w:r>
        <w:rPr>
          <w:lang w:val="es-MX"/>
        </w:rPr>
        <w:t>valuación c</w:t>
      </w:r>
      <w:r w:rsidRPr="0079153B">
        <w:rPr>
          <w:lang w:val="es-MX"/>
        </w:rPr>
        <w:t xml:space="preserve">ualitativa </w:t>
      </w:r>
      <w:r>
        <w:rPr>
          <w:lang w:val="es-MX"/>
        </w:rPr>
        <w:t xml:space="preserve">y cuantitativa </w:t>
      </w:r>
      <w:r w:rsidRPr="0079153B">
        <w:rPr>
          <w:lang w:val="es-MX"/>
        </w:rPr>
        <w:t>de los riesgos</w:t>
      </w:r>
      <w:r>
        <w:rPr>
          <w:lang w:val="es-MX"/>
        </w:rPr>
        <w:t>.</w:t>
      </w:r>
    </w:p>
    <w:p w14:paraId="6386A131" w14:textId="77777777" w:rsidR="002622DF" w:rsidRDefault="002622DF" w:rsidP="002622DF">
      <w:pPr>
        <w:rPr>
          <w:lang w:val="es-MX"/>
        </w:rPr>
      </w:pPr>
    </w:p>
    <w:p w14:paraId="3EE2C5CB" w14:textId="504E1D19" w:rsidR="002622DF" w:rsidRPr="007B64E9" w:rsidRDefault="002622DF" w:rsidP="00F26517">
      <w:pPr>
        <w:rPr>
          <w:lang w:val="es-MX"/>
        </w:rPr>
      </w:pPr>
      <w:r w:rsidRPr="0079153B">
        <w:rPr>
          <w:lang w:val="es-MX"/>
        </w:rPr>
        <w:t>Una vez identificados los riesgos</w:t>
      </w:r>
      <w:r>
        <w:rPr>
          <w:lang w:val="es-MX"/>
        </w:rPr>
        <w:t xml:space="preserve">, </w:t>
      </w:r>
      <w:r w:rsidRPr="002622DF">
        <w:rPr>
          <w:b/>
          <w:lang w:val="es-MX"/>
        </w:rPr>
        <w:t>la evaluación cualitativa</w:t>
      </w:r>
      <w:r>
        <w:rPr>
          <w:lang w:val="es-MX"/>
        </w:rPr>
        <w:t xml:space="preserve"> busca </w:t>
      </w:r>
      <w:r w:rsidRPr="0079153B">
        <w:rPr>
          <w:lang w:val="es-MX"/>
        </w:rPr>
        <w:t xml:space="preserve">determinar la importancia de cada uno de </w:t>
      </w:r>
      <w:r>
        <w:rPr>
          <w:lang w:val="es-MX"/>
        </w:rPr>
        <w:t xml:space="preserve">ellos, con </w:t>
      </w:r>
      <w:r w:rsidRPr="0079153B">
        <w:rPr>
          <w:lang w:val="es-MX"/>
        </w:rPr>
        <w:t>base a un análisis donde a cada riesgo se le asigna una</w:t>
      </w:r>
      <w:r>
        <w:rPr>
          <w:lang w:val="es-MX"/>
        </w:rPr>
        <w:t xml:space="preserve"> </w:t>
      </w:r>
      <w:r w:rsidRPr="0079153B">
        <w:rPr>
          <w:lang w:val="es-MX"/>
        </w:rPr>
        <w:t>probabilidad de ocurrencia y un impacto en caso de ocurrir</w:t>
      </w:r>
      <w:r>
        <w:rPr>
          <w:lang w:val="es-MX"/>
        </w:rPr>
        <w:t>.  Con es</w:t>
      </w:r>
      <w:r w:rsidRPr="0079153B">
        <w:rPr>
          <w:lang w:val="es-MX"/>
        </w:rPr>
        <w:t>as dos variables se le asigna una categoría de riesgo a cada uno de ellos.</w:t>
      </w:r>
      <w:r>
        <w:rPr>
          <w:lang w:val="es-MX"/>
        </w:rPr>
        <w:t xml:space="preserve">  Para ello se utiliza e</w:t>
      </w:r>
      <w:r w:rsidRPr="0079153B">
        <w:rPr>
          <w:lang w:val="es-MX"/>
        </w:rPr>
        <w:t>l criterio de experto y bases de datos de otros proyectos similares.</w:t>
      </w:r>
      <w:r>
        <w:rPr>
          <w:lang w:val="es-MX"/>
        </w:rPr>
        <w:t xml:space="preserve">  A la </w:t>
      </w:r>
      <w:r>
        <w:rPr>
          <w:lang w:val="es-MX"/>
        </w:rPr>
        <w:lastRenderedPageBreak/>
        <w:t xml:space="preserve">probabilidad de ocurrencia se le puede asignar un número por categoría, yendo desde </w:t>
      </w:r>
      <w:r w:rsidRPr="00C91BAA">
        <w:rPr>
          <w:lang w:val="es-MX"/>
        </w:rPr>
        <w:t>100% probables (Altamente Probables) hasta 0% probables (Improbables)</w:t>
      </w:r>
      <w:r>
        <w:rPr>
          <w:lang w:val="es-MX"/>
        </w:rPr>
        <w:t xml:space="preserve">, como se </w:t>
      </w:r>
      <w:r w:rsidRPr="007B64E9">
        <w:rPr>
          <w:lang w:val="es-MX"/>
        </w:rPr>
        <w:t xml:space="preserve">muestra en la </w:t>
      </w:r>
      <w:r>
        <w:fldChar w:fldCharType="begin"/>
      </w:r>
      <w:r w:rsidRPr="006A19CD">
        <w:rPr>
          <w:lang w:val="es-MX"/>
        </w:rPr>
        <w:instrText xml:space="preserve"> REF _Ref351536111 \h  \* MERGEFORMAT </w:instrText>
      </w:r>
      <w:r>
        <w:fldChar w:fldCharType="separate"/>
      </w:r>
      <w:r w:rsidR="00011CB8" w:rsidRPr="00011CB8">
        <w:rPr>
          <w:lang w:val="es-MX"/>
        </w:rPr>
        <w:t xml:space="preserve">Tabla </w:t>
      </w:r>
      <w:r w:rsidR="00011CB8" w:rsidRPr="00011CB8">
        <w:rPr>
          <w:noProof/>
          <w:lang w:val="es-MX"/>
        </w:rPr>
        <w:t>1</w:t>
      </w:r>
      <w:r>
        <w:fldChar w:fldCharType="end"/>
      </w:r>
      <w:r w:rsidRPr="007B64E9">
        <w:rPr>
          <w:lang w:val="es-MX"/>
        </w:rPr>
        <w:t>. Por su parte, al impacto se le puede dar también una categoría dependiendo de la gravedad en caso de ocurrencia, según la clasificación que se observa en la</w:t>
      </w:r>
      <w:r>
        <w:rPr>
          <w:lang w:val="es-MX"/>
        </w:rPr>
        <w:t xml:space="preserve"> </w:t>
      </w:r>
      <w:r>
        <w:fldChar w:fldCharType="begin"/>
      </w:r>
      <w:r w:rsidRPr="006A19CD">
        <w:rPr>
          <w:lang w:val="es-MX"/>
        </w:rPr>
        <w:instrText xml:space="preserve"> REF _Ref351478450 \h  \* MERGEFORMAT </w:instrText>
      </w:r>
      <w:r>
        <w:fldChar w:fldCharType="separate"/>
      </w:r>
      <w:r w:rsidR="00011CB8" w:rsidRPr="00011CB8">
        <w:rPr>
          <w:lang w:val="es-MX"/>
        </w:rPr>
        <w:t xml:space="preserve">Tabla </w:t>
      </w:r>
      <w:r w:rsidR="00011CB8" w:rsidRPr="00011CB8">
        <w:rPr>
          <w:noProof/>
          <w:lang w:val="es-MX"/>
        </w:rPr>
        <w:t>2</w:t>
      </w:r>
      <w:r>
        <w:fldChar w:fldCharType="end"/>
      </w:r>
      <w:r w:rsidRPr="007B64E9">
        <w:rPr>
          <w:lang w:val="es-MX"/>
        </w:rPr>
        <w:t>.   Al analizar la probabilidad y el impacto conjuntamente se pueden calificar los riesgos con miras a determinar a cuáles se les debe prestar mayor atención, lo cual se facilita construyendo una matr</w:t>
      </w:r>
      <w:r>
        <w:rPr>
          <w:lang w:val="es-MX"/>
        </w:rPr>
        <w:t>iz como la que se muestra en la</w:t>
      </w:r>
      <w:r w:rsidRPr="007B64E9">
        <w:rPr>
          <w:lang w:val="es-MX"/>
        </w:rPr>
        <w:t xml:space="preserve"> </w:t>
      </w:r>
      <w:r w:rsidR="00F26517">
        <w:rPr>
          <w:lang w:val="es-MX"/>
        </w:rPr>
        <w:t>Tabla 3.</w:t>
      </w:r>
    </w:p>
    <w:p w14:paraId="1CCAD34A" w14:textId="77777777" w:rsidR="002622DF" w:rsidRPr="007B64E9" w:rsidRDefault="002622DF" w:rsidP="002622DF">
      <w:pPr>
        <w:rPr>
          <w:lang w:val="es-MX"/>
        </w:rPr>
      </w:pPr>
    </w:p>
    <w:p w14:paraId="45539375" w14:textId="78DA964A" w:rsidR="002622DF" w:rsidRPr="00AC70BA" w:rsidRDefault="002622DF" w:rsidP="002622DF">
      <w:pPr>
        <w:pStyle w:val="Caption"/>
        <w:keepNext/>
        <w:jc w:val="center"/>
        <w:rPr>
          <w:sz w:val="20"/>
          <w:szCs w:val="20"/>
          <w:lang w:val="es-MX"/>
        </w:rPr>
      </w:pPr>
      <w:bookmarkStart w:id="9" w:name="_Ref351476456"/>
      <w:bookmarkStart w:id="10" w:name="_Ref351536111"/>
      <w:bookmarkStart w:id="11" w:name="_Toc360037280"/>
      <w:bookmarkStart w:id="12" w:name="_Toc484602621"/>
      <w:r w:rsidRPr="00AC70BA">
        <w:rPr>
          <w:sz w:val="20"/>
          <w:szCs w:val="20"/>
          <w:lang w:val="es-MX"/>
        </w:rPr>
        <w:t xml:space="preserve">Tabla </w:t>
      </w:r>
      <w:r w:rsidRPr="00AC70BA">
        <w:rPr>
          <w:sz w:val="20"/>
          <w:szCs w:val="20"/>
          <w:lang w:val="es-MX"/>
        </w:rPr>
        <w:fldChar w:fldCharType="begin"/>
      </w:r>
      <w:r w:rsidRPr="00AC70BA">
        <w:rPr>
          <w:sz w:val="20"/>
          <w:szCs w:val="20"/>
          <w:lang w:val="es-MX"/>
        </w:rPr>
        <w:instrText xml:space="preserve"> SEQ Tabla \* ARABIC </w:instrText>
      </w:r>
      <w:r w:rsidRPr="00AC70BA">
        <w:rPr>
          <w:sz w:val="20"/>
          <w:szCs w:val="20"/>
          <w:lang w:val="es-MX"/>
        </w:rPr>
        <w:fldChar w:fldCharType="separate"/>
      </w:r>
      <w:r w:rsidR="00011CB8">
        <w:rPr>
          <w:noProof/>
          <w:sz w:val="20"/>
          <w:szCs w:val="20"/>
          <w:lang w:val="es-MX"/>
        </w:rPr>
        <w:t>1</w:t>
      </w:r>
      <w:r w:rsidRPr="00AC70BA">
        <w:rPr>
          <w:sz w:val="20"/>
          <w:szCs w:val="20"/>
          <w:lang w:val="es-MX"/>
        </w:rPr>
        <w:fldChar w:fldCharType="end"/>
      </w:r>
      <w:bookmarkEnd w:id="9"/>
      <w:bookmarkEnd w:id="10"/>
      <w:r w:rsidRPr="00AC70BA">
        <w:rPr>
          <w:sz w:val="20"/>
          <w:szCs w:val="20"/>
          <w:lang w:val="es-MX"/>
        </w:rPr>
        <w:t>.  Categorías de probabilidad de los riesgos</w:t>
      </w:r>
      <w:bookmarkEnd w:id="11"/>
      <w:bookmarkEnd w:id="12"/>
    </w:p>
    <w:p w14:paraId="485ED4EC" w14:textId="77777777" w:rsidR="002622DF" w:rsidRPr="009D57C3" w:rsidRDefault="002622DF" w:rsidP="002622DF">
      <w:pPr>
        <w:jc w:val="center"/>
        <w:rPr>
          <w:sz w:val="20"/>
          <w:szCs w:val="20"/>
          <w:lang w:val="es-MX"/>
        </w:rPr>
      </w:pPr>
      <w:r w:rsidRPr="009D57C3">
        <w:rPr>
          <w:noProof/>
          <w:sz w:val="20"/>
          <w:szCs w:val="20"/>
        </w:rPr>
        <w:drawing>
          <wp:inline distT="0" distB="0" distL="0" distR="0" wp14:anchorId="3E9EB206" wp14:editId="69205BEE">
            <wp:extent cx="3400425" cy="1362075"/>
            <wp:effectExtent l="0" t="0" r="9525" b="952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00425" cy="1362075"/>
                    </a:xfrm>
                    <a:prstGeom prst="rect">
                      <a:avLst/>
                    </a:prstGeom>
                    <a:noFill/>
                    <a:ln>
                      <a:noFill/>
                    </a:ln>
                  </pic:spPr>
                </pic:pic>
              </a:graphicData>
            </a:graphic>
          </wp:inline>
        </w:drawing>
      </w:r>
    </w:p>
    <w:p w14:paraId="791B45FC" w14:textId="77777777" w:rsidR="002622DF" w:rsidRDefault="002622DF" w:rsidP="002622DF">
      <w:pPr>
        <w:jc w:val="center"/>
        <w:rPr>
          <w:sz w:val="20"/>
          <w:szCs w:val="20"/>
          <w:lang w:val="es-ES_tradnl"/>
        </w:rPr>
      </w:pPr>
      <w:r w:rsidRPr="009D57C3">
        <w:rPr>
          <w:sz w:val="20"/>
          <w:szCs w:val="20"/>
          <w:lang w:val="es-MX"/>
        </w:rPr>
        <w:t xml:space="preserve">Fuente: </w:t>
      </w:r>
      <w:r w:rsidRPr="009D57C3">
        <w:rPr>
          <w:sz w:val="20"/>
          <w:szCs w:val="20"/>
          <w:lang w:val="es-ES_tradnl"/>
        </w:rPr>
        <w:t>Guía PMBoK – Gestión de riesgos. PMI</w:t>
      </w:r>
    </w:p>
    <w:p w14:paraId="2658D61A" w14:textId="77777777" w:rsidR="002622DF" w:rsidRDefault="002622DF" w:rsidP="002622DF">
      <w:pPr>
        <w:jc w:val="center"/>
        <w:rPr>
          <w:sz w:val="20"/>
          <w:szCs w:val="20"/>
          <w:lang w:val="es-ES_tradnl"/>
        </w:rPr>
      </w:pPr>
    </w:p>
    <w:p w14:paraId="391A592B" w14:textId="77777777" w:rsidR="002622DF" w:rsidRDefault="002622DF" w:rsidP="002622DF">
      <w:pPr>
        <w:jc w:val="center"/>
        <w:rPr>
          <w:sz w:val="20"/>
          <w:szCs w:val="20"/>
          <w:lang w:val="es-ES_tradnl"/>
        </w:rPr>
      </w:pPr>
    </w:p>
    <w:p w14:paraId="42DBA987" w14:textId="07CD08C3" w:rsidR="002622DF" w:rsidRDefault="002622DF" w:rsidP="002622DF">
      <w:pPr>
        <w:pStyle w:val="Caption"/>
        <w:keepNext/>
        <w:jc w:val="center"/>
        <w:rPr>
          <w:sz w:val="20"/>
          <w:szCs w:val="20"/>
          <w:lang w:val="es-MX"/>
        </w:rPr>
      </w:pPr>
      <w:bookmarkStart w:id="13" w:name="_Ref351478450"/>
      <w:bookmarkStart w:id="14" w:name="_Toc360037281"/>
      <w:bookmarkStart w:id="15" w:name="_Toc484602622"/>
      <w:r w:rsidRPr="009D57C3">
        <w:rPr>
          <w:sz w:val="20"/>
          <w:szCs w:val="20"/>
          <w:lang w:val="es-MX"/>
        </w:rPr>
        <w:t xml:space="preserve">Tabla </w:t>
      </w:r>
      <w:r w:rsidRPr="009D57C3">
        <w:rPr>
          <w:sz w:val="20"/>
          <w:szCs w:val="20"/>
        </w:rPr>
        <w:fldChar w:fldCharType="begin"/>
      </w:r>
      <w:r w:rsidRPr="009D57C3">
        <w:rPr>
          <w:sz w:val="20"/>
          <w:szCs w:val="20"/>
          <w:lang w:val="es-MX"/>
        </w:rPr>
        <w:instrText xml:space="preserve"> SEQ Tabla \* ARABIC </w:instrText>
      </w:r>
      <w:r w:rsidRPr="009D57C3">
        <w:rPr>
          <w:sz w:val="20"/>
          <w:szCs w:val="20"/>
        </w:rPr>
        <w:fldChar w:fldCharType="separate"/>
      </w:r>
      <w:r w:rsidR="00011CB8">
        <w:rPr>
          <w:noProof/>
          <w:sz w:val="20"/>
          <w:szCs w:val="20"/>
          <w:lang w:val="es-MX"/>
        </w:rPr>
        <w:t>2</w:t>
      </w:r>
      <w:r w:rsidRPr="009D57C3">
        <w:rPr>
          <w:sz w:val="20"/>
          <w:szCs w:val="20"/>
        </w:rPr>
        <w:fldChar w:fldCharType="end"/>
      </w:r>
      <w:bookmarkEnd w:id="13"/>
      <w:r w:rsidRPr="009D57C3">
        <w:rPr>
          <w:sz w:val="20"/>
          <w:szCs w:val="20"/>
          <w:lang w:val="es-MX"/>
        </w:rPr>
        <w:t xml:space="preserve">.  Categorías de </w:t>
      </w:r>
      <w:r>
        <w:rPr>
          <w:sz w:val="20"/>
          <w:szCs w:val="20"/>
          <w:lang w:val="es-MX"/>
        </w:rPr>
        <w:t>clasificación de los impactos</w:t>
      </w:r>
      <w:bookmarkEnd w:id="14"/>
      <w:bookmarkEnd w:id="15"/>
    </w:p>
    <w:p w14:paraId="1F0EB44B" w14:textId="77777777" w:rsidR="002622DF" w:rsidRPr="00937F7F" w:rsidRDefault="002622DF" w:rsidP="002622DF">
      <w:pPr>
        <w:jc w:val="center"/>
        <w:rPr>
          <w:lang w:val="es-MX"/>
        </w:rPr>
      </w:pPr>
      <w:r w:rsidRPr="00937F7F">
        <w:rPr>
          <w:noProof/>
        </w:rPr>
        <w:drawing>
          <wp:inline distT="0" distB="0" distL="0" distR="0" wp14:anchorId="1973ABCE" wp14:editId="0592B85C">
            <wp:extent cx="3486150" cy="2314575"/>
            <wp:effectExtent l="0" t="0" r="0"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86150" cy="2314575"/>
                    </a:xfrm>
                    <a:prstGeom prst="rect">
                      <a:avLst/>
                    </a:prstGeom>
                    <a:noFill/>
                    <a:ln>
                      <a:noFill/>
                    </a:ln>
                  </pic:spPr>
                </pic:pic>
              </a:graphicData>
            </a:graphic>
          </wp:inline>
        </w:drawing>
      </w:r>
    </w:p>
    <w:p w14:paraId="12277672" w14:textId="77777777" w:rsidR="002622DF" w:rsidRDefault="002622DF" w:rsidP="002622DF">
      <w:pPr>
        <w:jc w:val="center"/>
        <w:rPr>
          <w:sz w:val="20"/>
          <w:szCs w:val="20"/>
          <w:lang w:val="es-ES_tradnl"/>
        </w:rPr>
      </w:pPr>
      <w:r w:rsidRPr="009D57C3">
        <w:rPr>
          <w:sz w:val="20"/>
          <w:szCs w:val="20"/>
          <w:lang w:val="es-MX"/>
        </w:rPr>
        <w:t xml:space="preserve">Fuente: </w:t>
      </w:r>
      <w:r w:rsidRPr="009D57C3">
        <w:rPr>
          <w:sz w:val="20"/>
          <w:szCs w:val="20"/>
          <w:lang w:val="es-ES_tradnl"/>
        </w:rPr>
        <w:t>Guía PMBoK – Gestión de riesgos. PMI</w:t>
      </w:r>
    </w:p>
    <w:p w14:paraId="0EF7A283" w14:textId="77777777" w:rsidR="002622DF" w:rsidRPr="00AC70BA" w:rsidRDefault="002622DF" w:rsidP="002622DF">
      <w:pPr>
        <w:jc w:val="center"/>
        <w:rPr>
          <w:lang w:val="es-MX"/>
        </w:rPr>
      </w:pPr>
    </w:p>
    <w:p w14:paraId="4D222211" w14:textId="77777777" w:rsidR="002622DF" w:rsidRPr="00D55192" w:rsidRDefault="002622DF" w:rsidP="002622DF">
      <w:pPr>
        <w:jc w:val="center"/>
        <w:rPr>
          <w:b/>
          <w:sz w:val="20"/>
          <w:szCs w:val="20"/>
          <w:lang w:val="es-MX"/>
        </w:rPr>
      </w:pPr>
    </w:p>
    <w:p w14:paraId="59046B54" w14:textId="77777777" w:rsidR="008770DA" w:rsidRDefault="008770DA" w:rsidP="002622DF">
      <w:pPr>
        <w:jc w:val="center"/>
        <w:rPr>
          <w:b/>
          <w:sz w:val="20"/>
          <w:szCs w:val="20"/>
          <w:lang w:val="es-MX"/>
        </w:rPr>
      </w:pPr>
      <w:bookmarkStart w:id="16" w:name="_Ref351536133"/>
      <w:bookmarkStart w:id="17" w:name="_Toc360037282"/>
    </w:p>
    <w:p w14:paraId="6E12259E" w14:textId="77777777" w:rsidR="008770DA" w:rsidRDefault="008770DA" w:rsidP="002622DF">
      <w:pPr>
        <w:jc w:val="center"/>
        <w:rPr>
          <w:b/>
          <w:sz w:val="20"/>
          <w:szCs w:val="20"/>
          <w:lang w:val="es-MX"/>
        </w:rPr>
      </w:pPr>
    </w:p>
    <w:p w14:paraId="685063C4" w14:textId="77777777" w:rsidR="008770DA" w:rsidRDefault="008770DA" w:rsidP="002622DF">
      <w:pPr>
        <w:jc w:val="center"/>
        <w:rPr>
          <w:b/>
          <w:sz w:val="20"/>
          <w:szCs w:val="20"/>
          <w:lang w:val="es-MX"/>
        </w:rPr>
      </w:pPr>
    </w:p>
    <w:p w14:paraId="1E168705" w14:textId="77777777" w:rsidR="008770DA" w:rsidRDefault="008770DA" w:rsidP="002622DF">
      <w:pPr>
        <w:jc w:val="center"/>
        <w:rPr>
          <w:b/>
          <w:sz w:val="20"/>
          <w:szCs w:val="20"/>
          <w:lang w:val="es-MX"/>
        </w:rPr>
      </w:pPr>
    </w:p>
    <w:p w14:paraId="0B28D974" w14:textId="77777777" w:rsidR="008770DA" w:rsidRDefault="008770DA" w:rsidP="002622DF">
      <w:pPr>
        <w:jc w:val="center"/>
        <w:rPr>
          <w:b/>
          <w:sz w:val="20"/>
          <w:szCs w:val="20"/>
          <w:lang w:val="es-MX"/>
        </w:rPr>
      </w:pPr>
    </w:p>
    <w:p w14:paraId="1CD7DCBD" w14:textId="77777777" w:rsidR="008770DA" w:rsidRDefault="008770DA" w:rsidP="002622DF">
      <w:pPr>
        <w:jc w:val="center"/>
        <w:rPr>
          <w:b/>
          <w:sz w:val="20"/>
          <w:szCs w:val="20"/>
          <w:lang w:val="es-MX"/>
        </w:rPr>
      </w:pPr>
    </w:p>
    <w:p w14:paraId="3181B749" w14:textId="2F28D70E" w:rsidR="002622DF" w:rsidRPr="00D55192" w:rsidRDefault="002622DF" w:rsidP="002622DF">
      <w:pPr>
        <w:jc w:val="center"/>
        <w:rPr>
          <w:b/>
          <w:sz w:val="20"/>
          <w:szCs w:val="20"/>
          <w:lang w:val="es-MX"/>
        </w:rPr>
      </w:pPr>
      <w:bookmarkStart w:id="18" w:name="_Toc484602623"/>
      <w:r w:rsidRPr="00D55192">
        <w:rPr>
          <w:b/>
          <w:sz w:val="20"/>
          <w:szCs w:val="20"/>
          <w:lang w:val="es-MX"/>
        </w:rPr>
        <w:lastRenderedPageBreak/>
        <w:t xml:space="preserve">Tabla </w:t>
      </w:r>
      <w:r w:rsidRPr="00D55192">
        <w:rPr>
          <w:b/>
          <w:sz w:val="20"/>
          <w:szCs w:val="20"/>
        </w:rPr>
        <w:fldChar w:fldCharType="begin"/>
      </w:r>
      <w:r w:rsidRPr="00D55192">
        <w:rPr>
          <w:b/>
          <w:sz w:val="20"/>
          <w:szCs w:val="20"/>
          <w:lang w:val="es-MX"/>
        </w:rPr>
        <w:instrText xml:space="preserve"> SEQ Tabla \* ARABIC </w:instrText>
      </w:r>
      <w:r w:rsidRPr="00D55192">
        <w:rPr>
          <w:b/>
          <w:sz w:val="20"/>
          <w:szCs w:val="20"/>
        </w:rPr>
        <w:fldChar w:fldCharType="separate"/>
      </w:r>
      <w:r w:rsidR="00011CB8">
        <w:rPr>
          <w:b/>
          <w:noProof/>
          <w:sz w:val="20"/>
          <w:szCs w:val="20"/>
          <w:lang w:val="es-MX"/>
        </w:rPr>
        <w:t>3</w:t>
      </w:r>
      <w:r w:rsidRPr="00D55192">
        <w:rPr>
          <w:b/>
          <w:sz w:val="20"/>
          <w:szCs w:val="20"/>
        </w:rPr>
        <w:fldChar w:fldCharType="end"/>
      </w:r>
      <w:bookmarkEnd w:id="16"/>
      <w:r w:rsidRPr="00D55192">
        <w:rPr>
          <w:b/>
          <w:sz w:val="20"/>
          <w:szCs w:val="20"/>
          <w:lang w:val="es-MX"/>
        </w:rPr>
        <w:t>.  Matriz de riesgos e impactos</w:t>
      </w:r>
      <w:bookmarkEnd w:id="17"/>
      <w:bookmarkEnd w:id="18"/>
    </w:p>
    <w:p w14:paraId="58614A3A" w14:textId="77777777" w:rsidR="002622DF" w:rsidRPr="00D55192" w:rsidRDefault="002622DF" w:rsidP="002622DF">
      <w:pPr>
        <w:jc w:val="center"/>
        <w:rPr>
          <w:b/>
          <w:sz w:val="20"/>
          <w:szCs w:val="20"/>
          <w:lang w:val="es-MX"/>
        </w:rPr>
      </w:pPr>
    </w:p>
    <w:p w14:paraId="276983B0" w14:textId="77777777" w:rsidR="002622DF" w:rsidRDefault="002622DF" w:rsidP="002622DF">
      <w:pPr>
        <w:jc w:val="center"/>
        <w:rPr>
          <w:lang w:val="es-MX"/>
        </w:rPr>
      </w:pPr>
      <w:r w:rsidRPr="00937F7F">
        <w:rPr>
          <w:noProof/>
        </w:rPr>
        <w:drawing>
          <wp:inline distT="0" distB="0" distL="0" distR="0" wp14:anchorId="68B74F93" wp14:editId="5B74B668">
            <wp:extent cx="4314825" cy="1516726"/>
            <wp:effectExtent l="0" t="0" r="0" b="762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14825" cy="1516726"/>
                    </a:xfrm>
                    <a:prstGeom prst="rect">
                      <a:avLst/>
                    </a:prstGeom>
                    <a:noFill/>
                    <a:ln>
                      <a:noFill/>
                    </a:ln>
                  </pic:spPr>
                </pic:pic>
              </a:graphicData>
            </a:graphic>
          </wp:inline>
        </w:drawing>
      </w:r>
    </w:p>
    <w:p w14:paraId="15EDD101" w14:textId="77777777" w:rsidR="002622DF" w:rsidRDefault="002622DF" w:rsidP="002622DF">
      <w:pPr>
        <w:rPr>
          <w:lang w:val="es-MX"/>
        </w:rPr>
      </w:pPr>
    </w:p>
    <w:p w14:paraId="5F77D393" w14:textId="77777777" w:rsidR="002622DF" w:rsidRDefault="002622DF" w:rsidP="002622DF">
      <w:pPr>
        <w:jc w:val="center"/>
        <w:rPr>
          <w:sz w:val="20"/>
          <w:szCs w:val="20"/>
          <w:lang w:val="es-ES_tradnl"/>
        </w:rPr>
      </w:pPr>
      <w:r w:rsidRPr="009D57C3">
        <w:rPr>
          <w:sz w:val="20"/>
          <w:szCs w:val="20"/>
          <w:lang w:val="es-MX"/>
        </w:rPr>
        <w:t xml:space="preserve">Fuente: </w:t>
      </w:r>
      <w:r w:rsidRPr="009D57C3">
        <w:rPr>
          <w:sz w:val="20"/>
          <w:szCs w:val="20"/>
          <w:lang w:val="es-ES_tradnl"/>
        </w:rPr>
        <w:t>Guía PMBoK – Gestión de riesgos. PMI</w:t>
      </w:r>
    </w:p>
    <w:p w14:paraId="12FCA1CC" w14:textId="77777777" w:rsidR="002622DF" w:rsidRDefault="002622DF" w:rsidP="002622DF">
      <w:pPr>
        <w:ind w:firstLine="360"/>
        <w:rPr>
          <w:lang w:val="es-MX"/>
        </w:rPr>
      </w:pPr>
    </w:p>
    <w:p w14:paraId="4F845241" w14:textId="77777777" w:rsidR="00017B9A" w:rsidRDefault="002622DF" w:rsidP="002622DF">
      <w:pPr>
        <w:rPr>
          <w:lang w:val="es-MX"/>
        </w:rPr>
      </w:pPr>
      <w:r w:rsidRPr="002622DF">
        <w:rPr>
          <w:lang w:val="es-MX"/>
        </w:rPr>
        <w:t xml:space="preserve">Paso siguiente, es la </w:t>
      </w:r>
      <w:r w:rsidRPr="002622DF">
        <w:rPr>
          <w:b/>
          <w:lang w:val="es-MX"/>
        </w:rPr>
        <w:t>evaluación cuantitativa</w:t>
      </w:r>
      <w:r w:rsidRPr="002622DF">
        <w:rPr>
          <w:lang w:val="es-MX"/>
        </w:rPr>
        <w:t xml:space="preserve"> del</w:t>
      </w:r>
      <w:r>
        <w:rPr>
          <w:lang w:val="es-MX"/>
        </w:rPr>
        <w:t xml:space="preserve"> riesgo</w:t>
      </w:r>
      <w:r w:rsidR="003C11E9">
        <w:rPr>
          <w:lang w:val="es-MX"/>
        </w:rPr>
        <w:t xml:space="preserve">, caso en el cual se cuantifica su probabilidad de ocurrencia con base en el acontecer histórico en proyectos similares al objeto de </w:t>
      </w:r>
      <w:r w:rsidR="00017B9A">
        <w:rPr>
          <w:lang w:val="es-MX"/>
        </w:rPr>
        <w:t xml:space="preserve">análisis, definiendo distribuciones de probabilidad; en cuanto a su impacto, se determina como el costo en el proyecto que su ocurrencia acarrea. Específicamente para el caso de análisis, el resultado se resume en una curva de distribución de probabilidad, que indica la probabilidad de ocurrencia de costos adicionales como porcentaje del costo de obra del proyecto, y cuya lectura se realiza en función del valor esperado o de un nivel de certeza o cobertura requerido, cuestión que indica impacto y probabilidad del mismo. </w:t>
      </w:r>
    </w:p>
    <w:p w14:paraId="1DA688B9" w14:textId="77777777" w:rsidR="00017B9A" w:rsidRDefault="00017B9A" w:rsidP="002622DF">
      <w:pPr>
        <w:rPr>
          <w:lang w:val="es-MX"/>
        </w:rPr>
      </w:pPr>
    </w:p>
    <w:p w14:paraId="174D29F5" w14:textId="0CFF343C" w:rsidR="002622DF" w:rsidRPr="002622DF" w:rsidRDefault="00017B9A" w:rsidP="00017B9A">
      <w:pPr>
        <w:rPr>
          <w:lang w:val="es-MX"/>
        </w:rPr>
      </w:pPr>
      <w:r>
        <w:rPr>
          <w:color w:val="000000"/>
          <w:shd w:val="clear" w:color="auto" w:fill="FFFFFF"/>
          <w:lang w:val="es-MX"/>
        </w:rPr>
        <w:t>En este contexto</w:t>
      </w:r>
      <w:r w:rsidR="002622DF" w:rsidRPr="002622DF">
        <w:rPr>
          <w:color w:val="000000"/>
          <w:shd w:val="clear" w:color="auto" w:fill="FFFFFF"/>
          <w:lang w:val="es-MX"/>
        </w:rPr>
        <w:t xml:space="preserve">, uno de los métodos </w:t>
      </w:r>
      <w:r>
        <w:rPr>
          <w:color w:val="000000"/>
          <w:shd w:val="clear" w:color="auto" w:fill="FFFFFF"/>
          <w:lang w:val="es-MX"/>
        </w:rPr>
        <w:t xml:space="preserve">más </w:t>
      </w:r>
      <w:r w:rsidR="002622DF" w:rsidRPr="002622DF">
        <w:rPr>
          <w:color w:val="000000"/>
          <w:shd w:val="clear" w:color="auto" w:fill="FFFFFF"/>
          <w:lang w:val="es-MX"/>
        </w:rPr>
        <w:t>utilizados es l</w:t>
      </w:r>
      <w:r w:rsidR="002622DF" w:rsidRPr="002622DF">
        <w:rPr>
          <w:lang w:val="es-MX"/>
        </w:rPr>
        <w:t>a simulación de Montecarlo</w:t>
      </w:r>
      <w:r>
        <w:rPr>
          <w:lang w:val="es-MX"/>
        </w:rPr>
        <w:t>, que</w:t>
      </w:r>
      <w:r w:rsidR="002622DF" w:rsidRPr="002622DF">
        <w:rPr>
          <w:lang w:val="es-MX"/>
        </w:rPr>
        <w:t xml:space="preserve"> </w:t>
      </w:r>
      <w:r>
        <w:rPr>
          <w:lang w:val="es-MX"/>
        </w:rPr>
        <w:t xml:space="preserve">parte de un modelo </w:t>
      </w:r>
      <w:r w:rsidR="00953DF9">
        <w:rPr>
          <w:lang w:val="es-MX"/>
        </w:rPr>
        <w:t>matemático que simula</w:t>
      </w:r>
      <w:r>
        <w:rPr>
          <w:lang w:val="es-MX"/>
        </w:rPr>
        <w:t xml:space="preserve"> la problemática objeto de análisis (en este caso un modelo de costos del proyecto), sobre el cual se asignan</w:t>
      </w:r>
      <w:r w:rsidR="002622DF" w:rsidRPr="002622DF">
        <w:rPr>
          <w:lang w:val="es-MX"/>
        </w:rPr>
        <w:t xml:space="preserve"> distribuciones de frecuencias a las variables del modelo que tienen riesgo</w:t>
      </w:r>
      <w:r w:rsidR="000048FD">
        <w:rPr>
          <w:lang w:val="es-MX"/>
        </w:rPr>
        <w:t xml:space="preserve"> (variables con riesgo de variación, como costos unitarios y cantidades de obra)</w:t>
      </w:r>
      <w:r w:rsidR="002622DF" w:rsidRPr="002622DF">
        <w:rPr>
          <w:lang w:val="es-MX"/>
        </w:rPr>
        <w:t xml:space="preserve">, para posteriormente generar números aleatorios acordes a esas distribuciones “simulando” </w:t>
      </w:r>
      <w:r w:rsidR="008335E9">
        <w:rPr>
          <w:lang w:val="es-MX"/>
        </w:rPr>
        <w:t xml:space="preserve">la posible activación de riesgos </w:t>
      </w:r>
      <w:r>
        <w:rPr>
          <w:lang w:val="es-MX"/>
        </w:rPr>
        <w:t>en el futuro; por otro lado, se tiene una variable dependiente que mide el impacto de la activación de los diferentes riesgos, a la cual se le hace un seguimiento en el proceso de generación aleatoria de variables de riesgo</w:t>
      </w:r>
      <w:r w:rsidR="008335E9">
        <w:rPr>
          <w:lang w:val="es-MX"/>
        </w:rPr>
        <w:t>, y al final de una serie de iteraciones, se obtiene una curva que relaciona impacto con probabilidad de ocurrencia del mismo</w:t>
      </w:r>
      <w:r w:rsidR="000048FD">
        <w:rPr>
          <w:lang w:val="es-MX"/>
        </w:rPr>
        <w:t xml:space="preserve"> (costos adicionales)</w:t>
      </w:r>
      <w:r w:rsidR="008335E9">
        <w:rPr>
          <w:lang w:val="es-MX"/>
        </w:rPr>
        <w:t>.</w:t>
      </w:r>
    </w:p>
    <w:p w14:paraId="064F67C3" w14:textId="77777777" w:rsidR="002622DF" w:rsidRPr="002622DF" w:rsidRDefault="002622DF" w:rsidP="002622DF">
      <w:pPr>
        <w:rPr>
          <w:lang w:val="es-MX"/>
        </w:rPr>
      </w:pPr>
    </w:p>
    <w:p w14:paraId="2F4C4975" w14:textId="77777777" w:rsidR="002622DF" w:rsidRDefault="002622DF" w:rsidP="002622DF">
      <w:pPr>
        <w:rPr>
          <w:color w:val="000000"/>
          <w:shd w:val="clear" w:color="auto" w:fill="FFFFFF"/>
          <w:lang w:val="es-ES_tradnl"/>
        </w:rPr>
      </w:pPr>
      <w:r w:rsidRPr="002622DF">
        <w:rPr>
          <w:color w:val="000000"/>
          <w:shd w:val="clear" w:color="auto" w:fill="FFFFFF"/>
          <w:lang w:val="es-ES_tradnl"/>
        </w:rPr>
        <w:t xml:space="preserve">Los análisis de riesgo tradicionales se efectuaban con base en la generación de escenarios estáticos y unidimensionales, por ejemplo, un escenario pesimista, uno medio y uno optimista prediciendo solo un resultado al sensibilizar las variables.  A través de la simulación de Montecarlo </w:t>
      </w:r>
      <w:r w:rsidRPr="002622DF">
        <w:rPr>
          <w:iCs/>
          <w:color w:val="000000"/>
          <w:shd w:val="clear" w:color="auto" w:fill="FFFFFF"/>
          <w:lang w:val="es-ES_tradnl"/>
        </w:rPr>
        <w:t>es posible</w:t>
      </w:r>
      <w:r w:rsidRPr="002622DF">
        <w:rPr>
          <w:color w:val="000000"/>
          <w:shd w:val="clear" w:color="auto" w:fill="FFFFFF"/>
          <w:lang w:val="es-ES_tradnl"/>
        </w:rPr>
        <w:t xml:space="preserve"> obtener no solo los puntos extremos sino todos aquellos escenarios intermedios.</w:t>
      </w:r>
    </w:p>
    <w:p w14:paraId="40016DD5" w14:textId="77777777" w:rsidR="00953DF9" w:rsidRPr="002622DF" w:rsidRDefault="00953DF9" w:rsidP="002622DF">
      <w:pPr>
        <w:rPr>
          <w:lang w:val="es-MX"/>
        </w:rPr>
      </w:pPr>
    </w:p>
    <w:p w14:paraId="5EC862B2" w14:textId="77777777" w:rsidR="002622DF" w:rsidRPr="002622DF" w:rsidRDefault="002622DF" w:rsidP="002622DF">
      <w:pPr>
        <w:rPr>
          <w:rFonts w:cstheme="minorHAnsi"/>
          <w:shd w:val="clear" w:color="auto" w:fill="FFFFFF"/>
          <w:lang w:val="es-MX"/>
        </w:rPr>
      </w:pPr>
      <w:r w:rsidRPr="002622DF">
        <w:rPr>
          <w:rFonts w:cstheme="minorHAnsi"/>
          <w:lang w:val="es-MX" w:eastAsia="es-MX"/>
        </w:rPr>
        <w:lastRenderedPageBreak/>
        <w:t xml:space="preserve">La simulación Montecarlo tiene las ventajas que se mencionan a continuación:  </w:t>
      </w:r>
    </w:p>
    <w:p w14:paraId="35839D11" w14:textId="77777777" w:rsidR="000048FD" w:rsidRDefault="000048FD" w:rsidP="002622DF">
      <w:pPr>
        <w:rPr>
          <w:rFonts w:cstheme="minorHAnsi"/>
          <w:iCs/>
          <w:lang w:val="es-MX" w:eastAsia="es-MX"/>
        </w:rPr>
      </w:pPr>
    </w:p>
    <w:p w14:paraId="552D8B90" w14:textId="74D73274" w:rsidR="002622DF" w:rsidRPr="000048FD" w:rsidRDefault="002622DF" w:rsidP="00C80569">
      <w:pPr>
        <w:pStyle w:val="ListParagraph"/>
        <w:numPr>
          <w:ilvl w:val="0"/>
          <w:numId w:val="16"/>
        </w:numPr>
        <w:rPr>
          <w:rFonts w:cstheme="minorHAnsi"/>
          <w:lang w:val="es-MX" w:eastAsia="es-MX"/>
        </w:rPr>
      </w:pPr>
      <w:r w:rsidRPr="000048FD">
        <w:rPr>
          <w:rFonts w:cstheme="minorHAnsi"/>
          <w:iCs/>
          <w:lang w:val="es-MX" w:eastAsia="es-MX"/>
        </w:rPr>
        <w:t xml:space="preserve">Resultados probabilísticos: Se </w:t>
      </w:r>
      <w:r w:rsidRPr="000048FD">
        <w:rPr>
          <w:rFonts w:cstheme="minorHAnsi"/>
          <w:lang w:val="es-MX" w:eastAsia="es-MX"/>
        </w:rPr>
        <w:t>muestra no sólo lo que puede suceder, sino lo probable que es un resultado.</w:t>
      </w:r>
    </w:p>
    <w:p w14:paraId="484F8295" w14:textId="09F21E9A" w:rsidR="002622DF" w:rsidRPr="000048FD" w:rsidRDefault="002622DF" w:rsidP="00C80569">
      <w:pPr>
        <w:pStyle w:val="ListParagraph"/>
        <w:numPr>
          <w:ilvl w:val="0"/>
          <w:numId w:val="16"/>
        </w:numPr>
        <w:rPr>
          <w:rFonts w:cstheme="minorHAnsi"/>
          <w:lang w:val="es-MX" w:eastAsia="es-MX"/>
        </w:rPr>
      </w:pPr>
      <w:r w:rsidRPr="000048FD">
        <w:rPr>
          <w:rFonts w:cstheme="minorHAnsi"/>
          <w:iCs/>
          <w:lang w:val="es-MX" w:eastAsia="es-MX"/>
        </w:rPr>
        <w:t>Análisis de sensibilidad: Se</w:t>
      </w:r>
      <w:r w:rsidRPr="000048FD">
        <w:rPr>
          <w:rFonts w:cstheme="minorHAnsi"/>
          <w:lang w:val="es-MX" w:eastAsia="es-MX"/>
        </w:rPr>
        <w:t xml:space="preserve"> evidencia cuáles de las variables introducidas tienen mayor influencia sobre los resultados finales.</w:t>
      </w:r>
    </w:p>
    <w:p w14:paraId="25C0F5C5" w14:textId="243EE44B" w:rsidR="002622DF" w:rsidRPr="000048FD" w:rsidRDefault="002622DF" w:rsidP="00C80569">
      <w:pPr>
        <w:pStyle w:val="ListParagraph"/>
        <w:numPr>
          <w:ilvl w:val="0"/>
          <w:numId w:val="16"/>
        </w:numPr>
        <w:rPr>
          <w:rFonts w:cstheme="minorHAnsi"/>
          <w:lang w:val="es-MX" w:eastAsia="es-MX"/>
        </w:rPr>
      </w:pPr>
      <w:r w:rsidRPr="000048FD">
        <w:rPr>
          <w:rFonts w:cstheme="minorHAnsi"/>
          <w:iCs/>
          <w:lang w:val="es-MX" w:eastAsia="es-MX"/>
        </w:rPr>
        <w:t xml:space="preserve">Análisis de escenarios: Dado que </w:t>
      </w:r>
      <w:r w:rsidRPr="000048FD">
        <w:rPr>
          <w:rFonts w:cstheme="minorHAnsi"/>
          <w:lang w:val="es-MX" w:eastAsia="es-MX"/>
        </w:rPr>
        <w:t>es posible ver exactamente los valores que tiene cada variable cuando se producen ciertos resultados, se facilita profundizar en los análisis.</w:t>
      </w:r>
    </w:p>
    <w:p w14:paraId="24D1ABED" w14:textId="5D5E5D17" w:rsidR="002622DF" w:rsidRPr="000048FD" w:rsidRDefault="002622DF" w:rsidP="00C80569">
      <w:pPr>
        <w:pStyle w:val="ListParagraph"/>
        <w:numPr>
          <w:ilvl w:val="0"/>
          <w:numId w:val="16"/>
        </w:numPr>
        <w:rPr>
          <w:rFonts w:cstheme="minorHAnsi"/>
          <w:lang w:val="es-MX" w:eastAsia="es-MX"/>
        </w:rPr>
      </w:pPr>
      <w:r w:rsidRPr="000048FD">
        <w:rPr>
          <w:rFonts w:cstheme="minorHAnsi"/>
          <w:iCs/>
          <w:lang w:val="es-MX" w:eastAsia="es-MX"/>
        </w:rPr>
        <w:t xml:space="preserve">Correlación de variables de entrada: </w:t>
      </w:r>
      <w:r w:rsidRPr="000048FD">
        <w:rPr>
          <w:rFonts w:cstheme="minorHAnsi"/>
          <w:lang w:val="es-MX" w:eastAsia="es-MX"/>
        </w:rPr>
        <w:t>Es posible modelar relaciones interdependientes entre diferentes variables de entrada.  Esto es importante para averiguar con precisión la razón real por la que, cuando algunos factores suben, otros suben o bajan paralelamente.</w:t>
      </w:r>
    </w:p>
    <w:p w14:paraId="1ABD615E" w14:textId="77777777" w:rsidR="002622DF" w:rsidRPr="000048FD" w:rsidRDefault="002622DF" w:rsidP="00C80569">
      <w:pPr>
        <w:pStyle w:val="ListParagraph"/>
        <w:numPr>
          <w:ilvl w:val="0"/>
          <w:numId w:val="16"/>
        </w:numPr>
        <w:rPr>
          <w:rFonts w:cstheme="minorHAnsi"/>
          <w:shd w:val="clear" w:color="auto" w:fill="FFFFFF"/>
          <w:lang w:val="es-MX"/>
        </w:rPr>
      </w:pPr>
      <w:r w:rsidRPr="000048FD">
        <w:rPr>
          <w:rFonts w:cstheme="minorHAnsi"/>
          <w:iCs/>
          <w:lang w:val="es-MX" w:eastAsia="es-MX"/>
        </w:rPr>
        <w:t xml:space="preserve">Resultados gráficos: </w:t>
      </w:r>
      <w:r w:rsidRPr="000048FD">
        <w:rPr>
          <w:rFonts w:cstheme="minorHAnsi"/>
          <w:lang w:val="es-MX" w:eastAsia="es-MX"/>
        </w:rPr>
        <w:t>Los datos que genera la simulación de Montecarlo permiten la creación de gráficos de diferentes resultados y las posibilidades de que sucedan.</w:t>
      </w:r>
    </w:p>
    <w:p w14:paraId="6E4D0473" w14:textId="77777777" w:rsidR="002622DF" w:rsidRPr="000048FD" w:rsidRDefault="002622DF" w:rsidP="00C80569">
      <w:pPr>
        <w:pStyle w:val="ListParagraph"/>
        <w:numPr>
          <w:ilvl w:val="0"/>
          <w:numId w:val="16"/>
        </w:numPr>
        <w:rPr>
          <w:rFonts w:cstheme="minorHAnsi"/>
          <w:shd w:val="clear" w:color="auto" w:fill="FFFFFF"/>
          <w:lang w:val="es-ES_tradnl"/>
        </w:rPr>
      </w:pPr>
      <w:r w:rsidRPr="000048FD">
        <w:rPr>
          <w:rFonts w:cstheme="minorHAnsi"/>
          <w:shd w:val="clear" w:color="auto" w:fill="FFFFFF"/>
          <w:lang w:val="es-ES_tradnl"/>
        </w:rPr>
        <w:t>El análisis de riesgo que se realiza con la simulación de Montecarlo puede ser cualitativo y cuantitativo. En los análisis cualitativos se incluyen evaluaciones instintivas, mientras que en el cuantitativo se asignan valores numéricos a los riesgos, ya sea con datos empíricos o cuantificando evaluaciones cualitativas.  En el caso del análisis objeto de esta consultoría se utilizarán análisis cuantitativos.</w:t>
      </w:r>
    </w:p>
    <w:p w14:paraId="1BB09D8D" w14:textId="08F76642" w:rsidR="002622DF" w:rsidRPr="000048FD" w:rsidRDefault="002622DF" w:rsidP="00C80569">
      <w:pPr>
        <w:pStyle w:val="ListParagraph"/>
        <w:numPr>
          <w:ilvl w:val="0"/>
          <w:numId w:val="16"/>
        </w:numPr>
        <w:rPr>
          <w:rFonts w:cstheme="minorHAnsi"/>
          <w:lang w:val="es-MX" w:eastAsia="es-MX"/>
        </w:rPr>
      </w:pPr>
      <w:r w:rsidRPr="000048FD">
        <w:rPr>
          <w:rFonts w:cstheme="minorHAnsi"/>
          <w:lang w:val="es-MX" w:eastAsia="es-MX"/>
        </w:rPr>
        <w:t>Mediante el uso de distribuciones de probabilidad se describe la incertidumbre en las variables de un análisis de riesgo.  Las distribuciones de probabilidad más comunes son:</w:t>
      </w:r>
    </w:p>
    <w:p w14:paraId="08262947" w14:textId="77777777" w:rsidR="000048FD" w:rsidRPr="002622DF" w:rsidRDefault="000048FD" w:rsidP="002622DF">
      <w:pPr>
        <w:rPr>
          <w:rFonts w:cstheme="minorHAnsi"/>
          <w:lang w:val="es-MX" w:eastAsia="es-MX"/>
        </w:rPr>
      </w:pPr>
    </w:p>
    <w:p w14:paraId="6198E1BE" w14:textId="24CA761F" w:rsidR="002622DF" w:rsidRPr="000048FD" w:rsidRDefault="002622DF" w:rsidP="00C80569">
      <w:pPr>
        <w:pStyle w:val="ListParagraph"/>
        <w:numPr>
          <w:ilvl w:val="0"/>
          <w:numId w:val="17"/>
        </w:numPr>
        <w:rPr>
          <w:rFonts w:cstheme="minorHAnsi"/>
          <w:lang w:val="es-MX" w:eastAsia="es-MX"/>
        </w:rPr>
      </w:pPr>
      <w:r w:rsidRPr="0027562A">
        <w:rPr>
          <w:rFonts w:cstheme="minorHAnsi"/>
          <w:i/>
          <w:iCs/>
          <w:lang w:val="es-ES_tradnl" w:eastAsia="es-MX"/>
        </w:rPr>
        <w:t>Normal</w:t>
      </w:r>
      <w:r w:rsidRPr="0027562A">
        <w:rPr>
          <w:rFonts w:cstheme="minorHAnsi"/>
          <w:lang w:val="es-ES_tradnl" w:eastAsia="es-MX"/>
        </w:rPr>
        <w:t xml:space="preserve"> – “curva de campana”.  </w:t>
      </w:r>
      <w:r w:rsidRPr="000048FD">
        <w:rPr>
          <w:rFonts w:cstheme="minorHAnsi"/>
          <w:lang w:val="es-MX" w:eastAsia="es-MX"/>
        </w:rPr>
        <w:t xml:space="preserve">Se define la media o valor esperado y una desviación estándar para describir la variación con respecto a la media.  </w:t>
      </w:r>
    </w:p>
    <w:p w14:paraId="411926B7" w14:textId="77777777" w:rsidR="002622DF" w:rsidRPr="000048FD" w:rsidRDefault="002622DF" w:rsidP="00C80569">
      <w:pPr>
        <w:pStyle w:val="ListParagraph"/>
        <w:numPr>
          <w:ilvl w:val="0"/>
          <w:numId w:val="17"/>
        </w:numPr>
        <w:rPr>
          <w:rFonts w:cstheme="minorHAnsi"/>
          <w:lang w:val="es-MX" w:eastAsia="es-MX"/>
        </w:rPr>
      </w:pPr>
      <w:r w:rsidRPr="000048FD">
        <w:rPr>
          <w:rFonts w:cstheme="minorHAnsi"/>
          <w:i/>
          <w:iCs/>
          <w:lang w:val="es-MX" w:eastAsia="es-MX"/>
        </w:rPr>
        <w:t>Lognormal</w:t>
      </w:r>
      <w:r w:rsidRPr="000048FD">
        <w:rPr>
          <w:rFonts w:cstheme="minorHAnsi"/>
          <w:lang w:val="es-MX" w:eastAsia="es-MX"/>
        </w:rPr>
        <w:t xml:space="preserve"> – Los valores muestran una clara desviación, y no son simétricos como en la distribución normal.  Se utiliza para representar valores que no bajan por debajo del cero, pero tienen un potencial positivo ilimitado.  </w:t>
      </w:r>
    </w:p>
    <w:p w14:paraId="7CEF1B82" w14:textId="56B75F9D" w:rsidR="002622DF" w:rsidRPr="000048FD" w:rsidRDefault="002622DF" w:rsidP="00C80569">
      <w:pPr>
        <w:pStyle w:val="ListParagraph"/>
        <w:numPr>
          <w:ilvl w:val="0"/>
          <w:numId w:val="17"/>
        </w:numPr>
        <w:rPr>
          <w:rFonts w:cstheme="minorHAnsi"/>
          <w:lang w:val="es-MX" w:eastAsia="es-MX"/>
        </w:rPr>
      </w:pPr>
      <w:r w:rsidRPr="000048FD">
        <w:rPr>
          <w:rFonts w:cstheme="minorHAnsi"/>
          <w:i/>
          <w:iCs/>
          <w:lang w:val="es-MX" w:eastAsia="es-MX"/>
        </w:rPr>
        <w:t>Uniform</w:t>
      </w:r>
      <w:r w:rsidR="00AA4CB7">
        <w:rPr>
          <w:rFonts w:cstheme="minorHAnsi"/>
          <w:i/>
          <w:iCs/>
          <w:lang w:val="es-MX" w:eastAsia="es-MX"/>
        </w:rPr>
        <w:t>e</w:t>
      </w:r>
      <w:r w:rsidRPr="000048FD">
        <w:rPr>
          <w:rFonts w:cstheme="minorHAnsi"/>
          <w:lang w:val="es-MX" w:eastAsia="es-MX"/>
        </w:rPr>
        <w:t xml:space="preserve"> – Todos los valores tienen las mismas probabilidades de producirse, se deben definir el mínimo y el máximo.  </w:t>
      </w:r>
    </w:p>
    <w:p w14:paraId="7BFF530B" w14:textId="652B3DEA" w:rsidR="002622DF" w:rsidRPr="000048FD" w:rsidRDefault="002622DF" w:rsidP="00C80569">
      <w:pPr>
        <w:pStyle w:val="ListParagraph"/>
        <w:numPr>
          <w:ilvl w:val="0"/>
          <w:numId w:val="17"/>
        </w:numPr>
        <w:rPr>
          <w:rFonts w:cstheme="minorHAnsi"/>
          <w:lang w:val="es-MX" w:eastAsia="es-MX"/>
        </w:rPr>
      </w:pPr>
      <w:r w:rsidRPr="000048FD">
        <w:rPr>
          <w:rFonts w:cstheme="minorHAnsi"/>
          <w:i/>
          <w:iCs/>
          <w:lang w:val="es-MX" w:eastAsia="es-MX"/>
        </w:rPr>
        <w:t>Triangular</w:t>
      </w:r>
      <w:r w:rsidRPr="000048FD">
        <w:rPr>
          <w:rFonts w:cstheme="minorHAnsi"/>
          <w:lang w:val="es-MX" w:eastAsia="es-MX"/>
        </w:rPr>
        <w:t xml:space="preserve"> – Se definen los valores mínimo, más probable y máximo. </w:t>
      </w:r>
    </w:p>
    <w:p w14:paraId="0D21C0EA" w14:textId="752DABD1" w:rsidR="002622DF" w:rsidRPr="000048FD" w:rsidRDefault="00BD4C1E" w:rsidP="00C80569">
      <w:pPr>
        <w:pStyle w:val="ListParagraph"/>
        <w:numPr>
          <w:ilvl w:val="0"/>
          <w:numId w:val="17"/>
        </w:numPr>
        <w:rPr>
          <w:rFonts w:cstheme="minorHAnsi"/>
          <w:lang w:val="es-MX" w:eastAsia="es-MX"/>
        </w:rPr>
      </w:pPr>
      <w:r>
        <w:rPr>
          <w:rFonts w:cstheme="minorHAnsi"/>
          <w:i/>
          <w:iCs/>
          <w:lang w:val="es-MX" w:eastAsia="es-MX"/>
        </w:rPr>
        <w:t>Extremo Máximo y Extremo Mínimo</w:t>
      </w:r>
      <w:r w:rsidR="002622DF" w:rsidRPr="000048FD">
        <w:rPr>
          <w:rFonts w:cstheme="minorHAnsi"/>
          <w:lang w:val="es-MX" w:eastAsia="es-MX"/>
        </w:rPr>
        <w:t> – Se definen lo</w:t>
      </w:r>
      <w:r>
        <w:rPr>
          <w:rFonts w:cstheme="minorHAnsi"/>
          <w:lang w:val="es-MX" w:eastAsia="es-MX"/>
        </w:rPr>
        <w:t>s valores mínimo, más probable o</w:t>
      </w:r>
      <w:r w:rsidR="002622DF" w:rsidRPr="000048FD">
        <w:rPr>
          <w:rFonts w:cstheme="minorHAnsi"/>
          <w:lang w:val="es-MX" w:eastAsia="es-MX"/>
        </w:rPr>
        <w:t xml:space="preserve"> máximo, como en la distribución triangular, sin embargo, los valores situados entre el más probable y los extremos tienen más probabilidades de producirse que en la distribución triangular.  </w:t>
      </w:r>
    </w:p>
    <w:p w14:paraId="62F2847B" w14:textId="39AFECC9" w:rsidR="002622DF" w:rsidRPr="000048FD" w:rsidRDefault="002622DF" w:rsidP="00C80569">
      <w:pPr>
        <w:pStyle w:val="ListParagraph"/>
        <w:numPr>
          <w:ilvl w:val="0"/>
          <w:numId w:val="17"/>
        </w:numPr>
        <w:rPr>
          <w:rFonts w:cstheme="minorHAnsi"/>
          <w:lang w:val="es-MX" w:eastAsia="es-MX"/>
        </w:rPr>
      </w:pPr>
      <w:r w:rsidRPr="000048FD">
        <w:rPr>
          <w:rFonts w:cstheme="minorHAnsi"/>
          <w:i/>
          <w:iCs/>
          <w:lang w:val="es-MX" w:eastAsia="es-MX"/>
        </w:rPr>
        <w:lastRenderedPageBreak/>
        <w:t>Discret</w:t>
      </w:r>
      <w:r w:rsidR="00AA4CB7">
        <w:rPr>
          <w:rFonts w:cstheme="minorHAnsi"/>
          <w:i/>
          <w:iCs/>
          <w:lang w:val="es-MX" w:eastAsia="es-MX"/>
        </w:rPr>
        <w:t>a</w:t>
      </w:r>
      <w:r w:rsidRPr="000048FD">
        <w:rPr>
          <w:rFonts w:cstheme="minorHAnsi"/>
          <w:lang w:val="es-MX" w:eastAsia="es-MX"/>
        </w:rPr>
        <w:t xml:space="preserve"> – El usuario define los valores específicos que pueden ocurrir y la probabilidad de cada uno.  </w:t>
      </w:r>
    </w:p>
    <w:p w14:paraId="1266F459" w14:textId="77777777" w:rsidR="000A4A58" w:rsidRDefault="000A4A58" w:rsidP="00FF22C2">
      <w:pPr>
        <w:pStyle w:val="ListParagraph"/>
        <w:ind w:left="0"/>
        <w:rPr>
          <w:b/>
        </w:rPr>
      </w:pPr>
    </w:p>
    <w:p w14:paraId="73654A42" w14:textId="14EEF205" w:rsidR="005A3C28" w:rsidRDefault="001B234F" w:rsidP="000A4A58">
      <w:pPr>
        <w:pStyle w:val="Heading2"/>
      </w:pPr>
      <w:bookmarkStart w:id="19" w:name="_Ref462396062"/>
      <w:bookmarkStart w:id="20" w:name="_Ref462396065"/>
      <w:bookmarkStart w:id="21" w:name="_Toc484602606"/>
      <w:r w:rsidRPr="001B234F">
        <w:t>Información Base</w:t>
      </w:r>
      <w:bookmarkEnd w:id="19"/>
      <w:bookmarkEnd w:id="20"/>
      <w:bookmarkEnd w:id="21"/>
    </w:p>
    <w:p w14:paraId="56CB3B77" w14:textId="77777777" w:rsidR="00325BB2" w:rsidRPr="001B234F" w:rsidRDefault="00325BB2" w:rsidP="00FF22C2">
      <w:pPr>
        <w:pStyle w:val="ListParagraph"/>
        <w:ind w:left="0"/>
        <w:rPr>
          <w:b/>
        </w:rPr>
      </w:pPr>
    </w:p>
    <w:p w14:paraId="3DB0784A" w14:textId="3A94B3DC" w:rsidR="00FF22C2" w:rsidRPr="00FF22C2" w:rsidRDefault="001B234F" w:rsidP="00FF22C2">
      <w:pPr>
        <w:pStyle w:val="ListParagraph"/>
        <w:ind w:left="0"/>
        <w:rPr>
          <w:b/>
          <w:u w:val="single"/>
        </w:rPr>
      </w:pPr>
      <w:r>
        <w:t xml:space="preserve">Con respecto a la información obtenida en el levantamiento y que sirvió de base para el análisis contenido en el presente documento, se tiene </w:t>
      </w:r>
    </w:p>
    <w:p w14:paraId="1B6646A2" w14:textId="405A77A9" w:rsidR="00FF22C2" w:rsidRDefault="00FF22C2" w:rsidP="005243CF"/>
    <w:p w14:paraId="013B35E2" w14:textId="7BF72B66" w:rsidR="00F676D7" w:rsidRDefault="002868E2" w:rsidP="002868E2">
      <w:pPr>
        <w:pStyle w:val="ListParagraph"/>
        <w:numPr>
          <w:ilvl w:val="0"/>
          <w:numId w:val="32"/>
        </w:numPr>
      </w:pPr>
      <w:r w:rsidRPr="002868E2">
        <w:t>Estudio Integral Técnico, Económico, Social y Ambiental - TESA – para el diseño de obras de mantenimiento periódico en la Red Vial Fundamental - Tramo Angostura-Comarapa / Subtramo III – Mairana-Bermejo. ABC – BID, CPS DE INGEGNIERÍA S.A.C. - BELMONTE INGENIEROS SRL, 2016</w:t>
      </w:r>
    </w:p>
    <w:p w14:paraId="4558FDB5" w14:textId="77777777" w:rsidR="00F676D7" w:rsidRDefault="00F676D7" w:rsidP="00F676D7">
      <w:pPr>
        <w:pStyle w:val="ListParagraph"/>
      </w:pPr>
    </w:p>
    <w:p w14:paraId="08480518" w14:textId="2415887B" w:rsidR="002868E2" w:rsidRDefault="002868E2" w:rsidP="002868E2">
      <w:pPr>
        <w:pStyle w:val="ListParagraph"/>
        <w:numPr>
          <w:ilvl w:val="0"/>
          <w:numId w:val="32"/>
        </w:numPr>
      </w:pPr>
      <w:r w:rsidRPr="002868E2">
        <w:t>“Estudio de Costos de Proyectos de Transporte en Bolivia y Evaluación Económica y Social de Proyectos para el Programa de Inversión -  ATN/OC–14682-BO // Valoración de la Incertidumbre Asociada a la Estimación de los Precios de Referencia y Estimació</w:t>
      </w:r>
      <w:r>
        <w:t>n de Costos Adicionales “ , Ing. Leonardo Vásquez para BID, 2016.</w:t>
      </w:r>
    </w:p>
    <w:p w14:paraId="2866F7F0" w14:textId="77777777" w:rsidR="002868E2" w:rsidRDefault="002868E2" w:rsidP="002868E2">
      <w:pPr>
        <w:pStyle w:val="ListParagraph"/>
      </w:pPr>
    </w:p>
    <w:p w14:paraId="04F667D3" w14:textId="527D6B15" w:rsidR="00387F32" w:rsidRDefault="009B319D" w:rsidP="003E3BAB">
      <w:pPr>
        <w:pStyle w:val="ListParagraph"/>
      </w:pPr>
      <w:r>
        <w:t>De este estudio se tomó la metodología de evaluación y la base de datos de proyectos de infraestructura</w:t>
      </w:r>
      <w:r w:rsidR="00457037">
        <w:t xml:space="preserve"> con su respectivo análisis estadístico. Con respecto a la mencionada base de datos, se compone de</w:t>
      </w:r>
      <w:r w:rsidR="003E3BAB">
        <w:t xml:space="preserve"> i</w:t>
      </w:r>
      <w:r w:rsidR="002303DE">
        <w:t xml:space="preserve">nformación histórica de proyectos viales ejecutados por </w:t>
      </w:r>
      <w:r w:rsidR="002868E2">
        <w:t>ABC</w:t>
      </w:r>
      <w:r w:rsidR="00BD6957">
        <w:t xml:space="preserve"> (años de 2007 a 2014)</w:t>
      </w:r>
      <w:r w:rsidR="000703D0">
        <w:t>, la cual abarca:</w:t>
      </w:r>
    </w:p>
    <w:p w14:paraId="407496B4" w14:textId="77777777" w:rsidR="00A173B8" w:rsidRDefault="00A173B8" w:rsidP="00A173B8">
      <w:pPr>
        <w:pStyle w:val="ListParagraph"/>
      </w:pPr>
    </w:p>
    <w:p w14:paraId="588423DB" w14:textId="4C0647D7" w:rsidR="000703D0" w:rsidRDefault="00A173B8" w:rsidP="00762E30">
      <w:pPr>
        <w:pStyle w:val="ListParagraph"/>
        <w:numPr>
          <w:ilvl w:val="0"/>
          <w:numId w:val="35"/>
        </w:numPr>
      </w:pPr>
      <w:r>
        <w:t xml:space="preserve">Información de presupuestos </w:t>
      </w:r>
      <w:r w:rsidR="002868E2">
        <w:t>iniciales</w:t>
      </w:r>
      <w:r>
        <w:t xml:space="preserve"> y presupuestos </w:t>
      </w:r>
      <w:r w:rsidR="002868E2">
        <w:t>finales de proyectos de construcción y rehabilitación de vías.</w:t>
      </w:r>
    </w:p>
    <w:p w14:paraId="5B4654B3" w14:textId="5B2BF4FA" w:rsidR="00A173B8" w:rsidRDefault="00A173B8" w:rsidP="00762E30">
      <w:pPr>
        <w:pStyle w:val="ListParagraph"/>
        <w:numPr>
          <w:ilvl w:val="0"/>
          <w:numId w:val="35"/>
        </w:numPr>
      </w:pPr>
      <w:r>
        <w:t>Series históricas de costos unitarios de insumos operacionales (</w:t>
      </w:r>
      <w:r w:rsidR="002868E2">
        <w:t xml:space="preserve">asfalto, </w:t>
      </w:r>
      <w:r w:rsidR="00FF22C2">
        <w:t xml:space="preserve">cemento portland, </w:t>
      </w:r>
      <w:r w:rsidR="002868E2">
        <w:t>fierro</w:t>
      </w:r>
      <w:r w:rsidR="00FF22C2">
        <w:t>, mano de obra</w:t>
      </w:r>
      <w:r w:rsidR="002868E2">
        <w:t>, equipos</w:t>
      </w:r>
      <w:r w:rsidR="00FF22C2">
        <w:t>).</w:t>
      </w:r>
    </w:p>
    <w:p w14:paraId="7FA5FD9B" w14:textId="77777777" w:rsidR="00F676D7" w:rsidRDefault="00F676D7" w:rsidP="00196FC6">
      <w:pPr>
        <w:pStyle w:val="ListParagraph"/>
      </w:pPr>
    </w:p>
    <w:p w14:paraId="123EB499" w14:textId="3CC78A6D" w:rsidR="00325BB2" w:rsidRDefault="00325BB2" w:rsidP="009B319D">
      <w:pPr>
        <w:pStyle w:val="ListParagraph"/>
        <w:numPr>
          <w:ilvl w:val="0"/>
          <w:numId w:val="32"/>
        </w:numPr>
      </w:pPr>
      <w:r>
        <w:t>I</w:t>
      </w:r>
      <w:r w:rsidR="00FF22C2">
        <w:t xml:space="preserve">nformación de variación </w:t>
      </w:r>
      <w:r w:rsidR="00BD6957">
        <w:t xml:space="preserve">en el tiempo </w:t>
      </w:r>
      <w:r w:rsidR="00FF22C2">
        <w:t xml:space="preserve">de costos de insumos </w:t>
      </w:r>
      <w:r w:rsidR="00BD6957">
        <w:t>(</w:t>
      </w:r>
      <w:r w:rsidR="002868E2">
        <w:t>asfalto, cemento portland, fierro, mano de obra, equipos</w:t>
      </w:r>
      <w:r w:rsidR="00BD6957">
        <w:t>), en las bases de datos</w:t>
      </w:r>
      <w:r w:rsidR="004F6B12">
        <w:t xml:space="preserve"> del</w:t>
      </w:r>
      <w:r w:rsidR="002868E2">
        <w:t xml:space="preserve"> Instituto Nacional de Estadística</w:t>
      </w:r>
      <w:r w:rsidR="002868E2">
        <w:rPr>
          <w:rStyle w:val="FootnoteReference"/>
        </w:rPr>
        <w:footnoteReference w:id="14"/>
      </w:r>
      <w:r w:rsidR="002868E2">
        <w:t>, Administradora Boliviana de Carreteras</w:t>
      </w:r>
      <w:r w:rsidR="002868E2">
        <w:rPr>
          <w:rStyle w:val="FootnoteReference"/>
        </w:rPr>
        <w:footnoteReference w:id="15"/>
      </w:r>
      <w:r w:rsidR="002868E2">
        <w:t>, y</w:t>
      </w:r>
      <w:r w:rsidR="00BD6957">
        <w:t xml:space="preserve"> Banco Central de </w:t>
      </w:r>
      <w:r w:rsidR="002868E2">
        <w:t>Bolivia</w:t>
      </w:r>
      <w:r w:rsidR="00BD6957">
        <w:rPr>
          <w:rStyle w:val="FootnoteReference"/>
        </w:rPr>
        <w:footnoteReference w:id="16"/>
      </w:r>
      <w:r>
        <w:t xml:space="preserve">. </w:t>
      </w:r>
    </w:p>
    <w:p w14:paraId="1741E956" w14:textId="696366AE" w:rsidR="002474B1" w:rsidRDefault="00A003A7" w:rsidP="00E25E91">
      <w:pPr>
        <w:pStyle w:val="Heading1"/>
      </w:pPr>
      <w:bookmarkStart w:id="22" w:name="_Toc484602607"/>
      <w:r>
        <w:lastRenderedPageBreak/>
        <w:t>Descripción del Proyecto</w:t>
      </w:r>
      <w:r w:rsidR="00D02505">
        <w:rPr>
          <w:rStyle w:val="FootnoteReference"/>
        </w:rPr>
        <w:footnoteReference w:id="17"/>
      </w:r>
      <w:bookmarkEnd w:id="22"/>
    </w:p>
    <w:p w14:paraId="3E0A5E36" w14:textId="77777777" w:rsidR="00A003A7" w:rsidRPr="00AA2CDC" w:rsidRDefault="00A003A7" w:rsidP="00E25E91"/>
    <w:p w14:paraId="4A821941" w14:textId="2F18E142" w:rsidR="002868E2" w:rsidRDefault="00553F46" w:rsidP="00E25E91">
      <w:r>
        <w:t>El proyecto</w:t>
      </w:r>
      <w:r w:rsidR="00F8412C">
        <w:t xml:space="preserve"> </w:t>
      </w:r>
      <w:r w:rsidR="002868E2" w:rsidRPr="00C93591">
        <w:t>vial</w:t>
      </w:r>
      <w:r w:rsidR="002868E2">
        <w:t xml:space="preserve"> mantenimiento periódico y rehabilitación en segundo grado del “</w:t>
      </w:r>
      <w:r w:rsidR="002868E2" w:rsidRPr="00D26710">
        <w:rPr>
          <w:b/>
        </w:rPr>
        <w:t>TRAMO MAIRANA-BERMEJO DE LA CARRETERA ANGOSTURA-COMARAPA</w:t>
      </w:r>
      <w:r w:rsidR="002868E2">
        <w:t xml:space="preserve">” </w:t>
      </w:r>
      <w:r w:rsidR="00081655">
        <w:t xml:space="preserve">tiene como objetivo </w:t>
      </w:r>
      <w:r w:rsidR="00081655" w:rsidRPr="00AA4CB7">
        <w:t xml:space="preserve">incrementar la accesibilidad física </w:t>
      </w:r>
      <w:r w:rsidR="00081655">
        <w:t>contribuyendo</w:t>
      </w:r>
      <w:r w:rsidR="002868E2">
        <w:t xml:space="preserve"> a mejorar las condiciones de transitabilidad, reduciendo los tiempos de viaje y la accidentalidad, en el área de influencia</w:t>
      </w:r>
    </w:p>
    <w:p w14:paraId="69897194" w14:textId="77777777" w:rsidR="00553F46" w:rsidRDefault="00553F46" w:rsidP="00E25E91"/>
    <w:p w14:paraId="7FA9BD00" w14:textId="77777777" w:rsidR="00011CB8" w:rsidRDefault="00B670C4">
      <w:pPr>
        <w:rPr>
          <w:b/>
          <w:bCs/>
          <w:color w:val="4F81BD" w:themeColor="accent1"/>
          <w:sz w:val="18"/>
          <w:szCs w:val="18"/>
        </w:rPr>
      </w:pPr>
      <w:r>
        <w:t xml:space="preserve">El </w:t>
      </w:r>
      <w:r w:rsidR="00081655" w:rsidRPr="00081655">
        <w:t xml:space="preserve">TRAMO MAIRANA-BERMEJO </w:t>
      </w:r>
      <w:r>
        <w:t xml:space="preserve">tiene una </w:t>
      </w:r>
      <w:r w:rsidR="00081655">
        <w:t>longitud aproximada de 58.24 kms</w:t>
      </w:r>
      <w:r>
        <w:t xml:space="preserve">, y </w:t>
      </w:r>
      <w:r w:rsidR="00BA40DD" w:rsidRPr="00BA40DD">
        <w:t>está localizado en la región oriental de Bolivia, en las Provincias Ibáñez, Florida y Caballero</w:t>
      </w:r>
      <w:r w:rsidR="00BA40DD">
        <w:t xml:space="preserve"> (ver localización en </w:t>
      </w:r>
      <w:r w:rsidR="00BA40DD">
        <w:fldChar w:fldCharType="begin"/>
      </w:r>
      <w:r w:rsidR="00BA40DD">
        <w:instrText xml:space="preserve"> REF _Ref461373680 \h </w:instrText>
      </w:r>
      <w:r w:rsidR="00BA40DD">
        <w:fldChar w:fldCharType="separate"/>
      </w:r>
    </w:p>
    <w:p w14:paraId="082DAD2E" w14:textId="6E063157" w:rsidR="00B670C4" w:rsidRDefault="00011CB8" w:rsidP="00ED10F7">
      <w:r w:rsidRPr="00673886">
        <w:t xml:space="preserve">Ilustración </w:t>
      </w:r>
      <w:r>
        <w:rPr>
          <w:noProof/>
        </w:rPr>
        <w:t>1</w:t>
      </w:r>
      <w:r w:rsidR="00BA40DD">
        <w:fldChar w:fldCharType="end"/>
      </w:r>
      <w:r w:rsidR="00BA40DD">
        <w:t xml:space="preserve">). La vía </w:t>
      </w:r>
      <w:r w:rsidR="00BA40DD" w:rsidRPr="00BA40DD">
        <w:t>se desarrolla sobre una topografía predominantemente llana, con alturas que oscilan entre los 642 m.s.n.m. a los 2135 m.s.n.m. El clima es cálido en toda la región, con frecuentes precipitaciones, una humedad relativa alta; corrientes frías polares (surazos) frecuentes en invierno</w:t>
      </w:r>
      <w:r w:rsidR="00BA40DD">
        <w:t xml:space="preserve">. </w:t>
      </w:r>
      <w:r w:rsidR="00BA40DD" w:rsidRPr="00BA40DD">
        <w:t>La zona tiene mucha actividad agrícola y agropecuaria, es una zona productora de maíz existiendo una abundante crianza de aves como el pollo</w:t>
      </w:r>
      <w:r w:rsidR="00BA40DD">
        <w:rPr>
          <w:rStyle w:val="FootnoteReference"/>
        </w:rPr>
        <w:footnoteReference w:id="18"/>
      </w:r>
      <w:r w:rsidR="00BA40DD" w:rsidRPr="00BA40DD">
        <w:t>.</w:t>
      </w:r>
    </w:p>
    <w:p w14:paraId="0553130F" w14:textId="3F308C3E" w:rsidR="002B308E" w:rsidRDefault="002B308E">
      <w:pPr>
        <w:rPr>
          <w:b/>
          <w:bCs/>
          <w:color w:val="4F81BD" w:themeColor="accent1"/>
          <w:sz w:val="18"/>
          <w:szCs w:val="18"/>
        </w:rPr>
      </w:pPr>
      <w:bookmarkStart w:id="23" w:name="_Ref461373680"/>
    </w:p>
    <w:p w14:paraId="31AE6D3C" w14:textId="3F793B00" w:rsidR="000A2EE7" w:rsidRDefault="000A2EE7" w:rsidP="00E25E91">
      <w:pPr>
        <w:pStyle w:val="Caption"/>
        <w:jc w:val="center"/>
      </w:pPr>
      <w:bookmarkStart w:id="24" w:name="_Toc484602633"/>
      <w:r w:rsidRPr="00673886">
        <w:t xml:space="preserve">Ilustración </w:t>
      </w:r>
      <w:r w:rsidRPr="00673886">
        <w:fldChar w:fldCharType="begin"/>
      </w:r>
      <w:r w:rsidRPr="00673886">
        <w:instrText xml:space="preserve"> SEQ Ilustración \* ARABIC </w:instrText>
      </w:r>
      <w:r w:rsidRPr="00673886">
        <w:fldChar w:fldCharType="separate"/>
      </w:r>
      <w:r w:rsidR="00011CB8">
        <w:rPr>
          <w:noProof/>
        </w:rPr>
        <w:t>1</w:t>
      </w:r>
      <w:r w:rsidRPr="00673886">
        <w:fldChar w:fldCharType="end"/>
      </w:r>
      <w:bookmarkEnd w:id="23"/>
      <w:r w:rsidRPr="00673886">
        <w:t xml:space="preserve"> –Ubicación </w:t>
      </w:r>
      <w:r w:rsidR="00E64825">
        <w:t xml:space="preserve">del </w:t>
      </w:r>
      <w:r w:rsidR="00BA40DD" w:rsidRPr="00BA40DD">
        <w:t>TRAMO MAIRANA-BERMEJO</w:t>
      </w:r>
      <w:bookmarkEnd w:id="24"/>
    </w:p>
    <w:p w14:paraId="48CD2D05" w14:textId="37FECEFE" w:rsidR="000A2EE7" w:rsidRDefault="002B308E" w:rsidP="00E25E91">
      <w:pPr>
        <w:jc w:val="center"/>
      </w:pPr>
      <w:r w:rsidRPr="002B308E">
        <w:rPr>
          <w:noProof/>
        </w:rPr>
        <w:drawing>
          <wp:inline distT="0" distB="0" distL="0" distR="0" wp14:anchorId="4C67E7AB" wp14:editId="0D4425CB">
            <wp:extent cx="5612130" cy="2228563"/>
            <wp:effectExtent l="0" t="0" r="762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2130" cy="2228563"/>
                    </a:xfrm>
                    <a:prstGeom prst="rect">
                      <a:avLst/>
                    </a:prstGeom>
                    <a:noFill/>
                    <a:ln>
                      <a:noFill/>
                    </a:ln>
                  </pic:spPr>
                </pic:pic>
              </a:graphicData>
            </a:graphic>
          </wp:inline>
        </w:drawing>
      </w:r>
    </w:p>
    <w:p w14:paraId="4F144C0F" w14:textId="124BB391" w:rsidR="00E64825" w:rsidRPr="00E25E91" w:rsidRDefault="00E64825" w:rsidP="00ED10F7">
      <w:pPr>
        <w:jc w:val="center"/>
        <w:rPr>
          <w:sz w:val="18"/>
          <w:szCs w:val="18"/>
        </w:rPr>
      </w:pPr>
      <w:r w:rsidRPr="00EE5D95">
        <w:rPr>
          <w:sz w:val="18"/>
          <w:szCs w:val="18"/>
        </w:rPr>
        <w:t>Fuente</w:t>
      </w:r>
      <w:r w:rsidR="00EE5D95" w:rsidRPr="00EE5D95">
        <w:rPr>
          <w:sz w:val="18"/>
          <w:szCs w:val="18"/>
        </w:rPr>
        <w:t>:</w:t>
      </w:r>
      <w:r w:rsidR="00EE5D95">
        <w:rPr>
          <w:sz w:val="18"/>
          <w:szCs w:val="18"/>
        </w:rPr>
        <w:t xml:space="preserve"> </w:t>
      </w:r>
      <w:r w:rsidR="002B308E">
        <w:rPr>
          <w:sz w:val="18"/>
          <w:szCs w:val="18"/>
        </w:rPr>
        <w:t>Estudio TESA, 2016</w:t>
      </w:r>
      <w:r w:rsidR="00ED10F7">
        <w:rPr>
          <w:sz w:val="18"/>
          <w:szCs w:val="18"/>
        </w:rPr>
        <w:t>.</w:t>
      </w:r>
    </w:p>
    <w:p w14:paraId="30DADD16" w14:textId="77777777" w:rsidR="00E64825" w:rsidRDefault="00E64825" w:rsidP="00E25E91"/>
    <w:p w14:paraId="2C3DCDAD" w14:textId="4CF35F00" w:rsidR="006B7695" w:rsidRDefault="00E64825" w:rsidP="00E25E91">
      <w:pPr>
        <w:rPr>
          <w:rFonts w:eastAsiaTheme="majorEastAsia" w:cstheme="majorBidi"/>
          <w:color w:val="365F91" w:themeColor="accent1" w:themeShade="BF"/>
          <w:sz w:val="28"/>
          <w:szCs w:val="28"/>
        </w:rPr>
      </w:pPr>
      <w:r>
        <w:t>La obra en</w:t>
      </w:r>
      <w:r w:rsidR="00BB5F87" w:rsidRPr="00BB5F87">
        <w:t xml:space="preserve"> general, </w:t>
      </w:r>
      <w:r w:rsidR="002B308E">
        <w:t xml:space="preserve">consiste en una intervención de mantenimiento periódico y rehabilitación en segundo grado, que comprende: </w:t>
      </w:r>
      <w:r w:rsidR="002B308E" w:rsidRPr="00972A54">
        <w:t xml:space="preserve">movimientos de tierras, pavimentación, obras de drenaje, obras </w:t>
      </w:r>
      <w:r w:rsidR="002B308E">
        <w:t>de arte mayor y menor</w:t>
      </w:r>
      <w:r w:rsidR="002B308E" w:rsidRPr="00972A54">
        <w:t>,</w:t>
      </w:r>
      <w:r w:rsidR="002B308E">
        <w:t xml:space="preserve"> obras </w:t>
      </w:r>
      <w:r w:rsidR="002B308E">
        <w:lastRenderedPageBreak/>
        <w:t>complementarias (173 muros nuevos, y mantenimiento de 11 puentes),</w:t>
      </w:r>
      <w:r w:rsidR="002B308E" w:rsidRPr="00972A54">
        <w:t xml:space="preserve"> mitigación ambiental</w:t>
      </w:r>
      <w:r w:rsidR="002B308E">
        <w:t>, señalización y seguridad vial, y la construcción del peaje de Samaipata; e</w:t>
      </w:r>
      <w:r w:rsidR="002B308E" w:rsidRPr="00972A54">
        <w:t>n cuanto a la pavimentación, se empleará el método de “</w:t>
      </w:r>
      <w:r w:rsidR="002B308E" w:rsidRPr="00071E56">
        <w:t xml:space="preserve">Concreto </w:t>
      </w:r>
      <w:r w:rsidR="002B308E">
        <w:t>Asfáltico con Polímeros de 8 cm</w:t>
      </w:r>
      <w:r w:rsidR="002B308E" w:rsidRPr="00972A54">
        <w:t>”</w:t>
      </w:r>
      <w:r w:rsidR="002B308E">
        <w:t>.</w:t>
      </w:r>
    </w:p>
    <w:p w14:paraId="09E62B03" w14:textId="5E0CB89A" w:rsidR="00AF7A2D" w:rsidRDefault="00AF7A2D" w:rsidP="00E25E91">
      <w:pPr>
        <w:pStyle w:val="Heading1"/>
      </w:pPr>
      <w:bookmarkStart w:id="25" w:name="_Toc484602608"/>
      <w:r>
        <w:t>Presupuesto del Proyecto</w:t>
      </w:r>
      <w:bookmarkEnd w:id="25"/>
    </w:p>
    <w:p w14:paraId="56CC52A1" w14:textId="77777777" w:rsidR="00AF7A2D" w:rsidRDefault="00AF7A2D" w:rsidP="00E25E91"/>
    <w:p w14:paraId="05B44C6A" w14:textId="6BD36F39" w:rsidR="00AF7A2D" w:rsidRDefault="00AF7A2D" w:rsidP="00E25E91">
      <w:r>
        <w:t>En este numeral se presenta el presupuesto del proyecto “</w:t>
      </w:r>
      <w:r w:rsidR="002B308E" w:rsidRPr="002B308E">
        <w:t>TRAMO MAIRANA-BERMEJO</w:t>
      </w:r>
      <w:r>
        <w:t>”</w:t>
      </w:r>
      <w:r w:rsidRPr="006B7695">
        <w:t xml:space="preserve"> </w:t>
      </w:r>
      <w:r>
        <w:t xml:space="preserve">actualizado </w:t>
      </w:r>
      <w:r w:rsidR="001C31AD">
        <w:t xml:space="preserve">en </w:t>
      </w:r>
      <w:r w:rsidR="002B308E">
        <w:t>2016</w:t>
      </w:r>
      <w:r w:rsidR="00153F65">
        <w:t xml:space="preserve">, </w:t>
      </w:r>
      <w:r w:rsidR="001D35D9">
        <w:t xml:space="preserve">basado en una solución en </w:t>
      </w:r>
      <w:r w:rsidR="00153F65">
        <w:t xml:space="preserve">pavimento </w:t>
      </w:r>
      <w:r w:rsidR="001D35D9">
        <w:t>de</w:t>
      </w:r>
      <w:r w:rsidR="00153F65">
        <w:t xml:space="preserve"> </w:t>
      </w:r>
      <w:r w:rsidR="002B308E" w:rsidRPr="00071E56">
        <w:t xml:space="preserve">Concreto </w:t>
      </w:r>
      <w:r w:rsidR="002B308E">
        <w:t xml:space="preserve">Asfáltico con Polímeros de espesor de </w:t>
      </w:r>
      <w:r w:rsidR="00DA3B92">
        <w:t>ocho centímetros (8 cm)</w:t>
      </w:r>
      <w:r>
        <w:t xml:space="preserve">, </w:t>
      </w:r>
      <w:r w:rsidR="001C31AD">
        <w:t xml:space="preserve">información </w:t>
      </w:r>
      <w:r w:rsidR="008375FD">
        <w:t>suministrada</w:t>
      </w:r>
      <w:r w:rsidR="001C31AD">
        <w:t xml:space="preserve"> </w:t>
      </w:r>
      <w:r w:rsidR="008375FD">
        <w:t xml:space="preserve">por la </w:t>
      </w:r>
      <w:r w:rsidR="008375FD" w:rsidRPr="00F864BB">
        <w:t>Administradora Boliviana de Carreteras</w:t>
      </w:r>
      <w:r w:rsidR="00DA3B92">
        <w:t xml:space="preserve"> – ABC (TESA, 2016)</w:t>
      </w:r>
      <w:r w:rsidR="008375FD">
        <w:t>,</w:t>
      </w:r>
      <w:r>
        <w:t xml:space="preserve"> a un nivel de detalle de actividades y costos unitarios, lo que permite establecer los principales insumos básicos del proyecto (materiales, mano de obra y equipos) y su incidencia en el costo total del proyecto. </w:t>
      </w:r>
    </w:p>
    <w:p w14:paraId="410F0E8C" w14:textId="77777777" w:rsidR="00AF7A2D" w:rsidRDefault="00AF7A2D" w:rsidP="00E25E91"/>
    <w:p w14:paraId="57132590" w14:textId="06FF6F9A" w:rsidR="009C2F01" w:rsidRDefault="00AF7A2D" w:rsidP="009C2F01">
      <w:pPr>
        <w:pStyle w:val="Caption"/>
        <w:jc w:val="center"/>
      </w:pPr>
      <w:bookmarkStart w:id="26" w:name="_Ref421777032"/>
      <w:bookmarkStart w:id="27" w:name="_Toc484602624"/>
      <w:r>
        <w:t xml:space="preserve">Tabla </w:t>
      </w:r>
      <w:r>
        <w:fldChar w:fldCharType="begin"/>
      </w:r>
      <w:r>
        <w:instrText xml:space="preserve"> SEQ Tabla \* ARABIC </w:instrText>
      </w:r>
      <w:r>
        <w:fldChar w:fldCharType="separate"/>
      </w:r>
      <w:r w:rsidR="00011CB8">
        <w:rPr>
          <w:noProof/>
        </w:rPr>
        <w:t>4</w:t>
      </w:r>
      <w:r>
        <w:fldChar w:fldCharType="end"/>
      </w:r>
      <w:bookmarkEnd w:id="26"/>
      <w:r>
        <w:t xml:space="preserve">. Presupuesto </w:t>
      </w:r>
      <w:r w:rsidR="00BD25C4" w:rsidRPr="00BD25C4">
        <w:t xml:space="preserve">mejoramiento del camino </w:t>
      </w:r>
      <w:r w:rsidR="008375FD" w:rsidRPr="008375FD">
        <w:t xml:space="preserve">TRAMO MAIRANA-BERMEJO </w:t>
      </w:r>
      <w:r w:rsidR="008375FD">
        <w:t>(US$ de 2016</w:t>
      </w:r>
      <w:r>
        <w:t>)</w:t>
      </w:r>
      <w:bookmarkEnd w:id="27"/>
    </w:p>
    <w:tbl>
      <w:tblPr>
        <w:tblW w:w="7919" w:type="dxa"/>
        <w:tblInd w:w="421" w:type="dxa"/>
        <w:tblCellMar>
          <w:left w:w="70" w:type="dxa"/>
          <w:right w:w="70" w:type="dxa"/>
        </w:tblCellMar>
        <w:tblLook w:val="04A0" w:firstRow="1" w:lastRow="0" w:firstColumn="1" w:lastColumn="0" w:noHBand="0" w:noVBand="1"/>
      </w:tblPr>
      <w:tblGrid>
        <w:gridCol w:w="4819"/>
        <w:gridCol w:w="1980"/>
        <w:gridCol w:w="1120"/>
      </w:tblGrid>
      <w:tr w:rsidR="009C2F01" w:rsidRPr="009C2F01" w14:paraId="30943CCE" w14:textId="77777777" w:rsidTr="009C2F01">
        <w:trPr>
          <w:trHeight w:val="630"/>
        </w:trPr>
        <w:tc>
          <w:tcPr>
            <w:tcW w:w="4819" w:type="dxa"/>
            <w:tcBorders>
              <w:top w:val="single" w:sz="4" w:space="0" w:color="auto"/>
              <w:left w:val="single" w:sz="4" w:space="0" w:color="auto"/>
              <w:bottom w:val="single" w:sz="4" w:space="0" w:color="auto"/>
              <w:right w:val="single" w:sz="4" w:space="0" w:color="auto"/>
            </w:tcBorders>
            <w:shd w:val="clear" w:color="000000" w:fill="DAEEF3"/>
            <w:hideMark/>
          </w:tcPr>
          <w:p w14:paraId="080D47B1" w14:textId="77777777" w:rsidR="009C2F01" w:rsidRPr="009C2F01" w:rsidRDefault="009C2F01" w:rsidP="00895FD8">
            <w:pPr>
              <w:spacing w:line="240" w:lineRule="auto"/>
              <w:jc w:val="center"/>
              <w:rPr>
                <w:b/>
                <w:bCs/>
                <w:sz w:val="20"/>
                <w:szCs w:val="20"/>
              </w:rPr>
            </w:pPr>
            <w:r w:rsidRPr="009C2F01">
              <w:rPr>
                <w:b/>
                <w:bCs/>
                <w:sz w:val="20"/>
                <w:szCs w:val="20"/>
              </w:rPr>
              <w:t>DESCRIPCIÓN</w:t>
            </w:r>
          </w:p>
        </w:tc>
        <w:tc>
          <w:tcPr>
            <w:tcW w:w="1980" w:type="dxa"/>
            <w:tcBorders>
              <w:top w:val="single" w:sz="4" w:space="0" w:color="auto"/>
              <w:left w:val="nil"/>
              <w:bottom w:val="single" w:sz="4" w:space="0" w:color="auto"/>
              <w:right w:val="single" w:sz="4" w:space="0" w:color="auto"/>
            </w:tcBorders>
            <w:shd w:val="clear" w:color="000000" w:fill="DAEEF3"/>
            <w:hideMark/>
          </w:tcPr>
          <w:p w14:paraId="0083FC17" w14:textId="77777777" w:rsidR="009C2F01" w:rsidRPr="009C2F01" w:rsidRDefault="009C2F01" w:rsidP="00895FD8">
            <w:pPr>
              <w:spacing w:line="240" w:lineRule="auto"/>
              <w:jc w:val="center"/>
              <w:rPr>
                <w:b/>
                <w:bCs/>
                <w:sz w:val="20"/>
                <w:szCs w:val="20"/>
              </w:rPr>
            </w:pPr>
            <w:r w:rsidRPr="009C2F01">
              <w:rPr>
                <w:b/>
                <w:bCs/>
                <w:sz w:val="20"/>
                <w:szCs w:val="20"/>
              </w:rPr>
              <w:t>Costo Total (USD de 2016)</w:t>
            </w:r>
          </w:p>
        </w:tc>
        <w:tc>
          <w:tcPr>
            <w:tcW w:w="1120" w:type="dxa"/>
            <w:tcBorders>
              <w:top w:val="single" w:sz="4" w:space="0" w:color="auto"/>
              <w:left w:val="nil"/>
              <w:bottom w:val="single" w:sz="4" w:space="0" w:color="auto"/>
              <w:right w:val="single" w:sz="4" w:space="0" w:color="auto"/>
            </w:tcBorders>
            <w:shd w:val="clear" w:color="000000" w:fill="DAEEF3"/>
            <w:hideMark/>
          </w:tcPr>
          <w:p w14:paraId="626AA6F7" w14:textId="77777777" w:rsidR="009C2F01" w:rsidRPr="009C2F01" w:rsidRDefault="009C2F01" w:rsidP="00895FD8">
            <w:pPr>
              <w:spacing w:line="240" w:lineRule="auto"/>
              <w:jc w:val="center"/>
              <w:rPr>
                <w:b/>
                <w:bCs/>
                <w:sz w:val="20"/>
                <w:szCs w:val="20"/>
              </w:rPr>
            </w:pPr>
            <w:r w:rsidRPr="009C2F01">
              <w:rPr>
                <w:b/>
                <w:bCs/>
                <w:sz w:val="20"/>
                <w:szCs w:val="20"/>
              </w:rPr>
              <w:t>%</w:t>
            </w:r>
          </w:p>
        </w:tc>
      </w:tr>
      <w:tr w:rsidR="009C2F01" w:rsidRPr="009C2F01" w14:paraId="3F310CC9" w14:textId="77777777" w:rsidTr="009C2F01">
        <w:trPr>
          <w:trHeight w:val="402"/>
        </w:trPr>
        <w:tc>
          <w:tcPr>
            <w:tcW w:w="4819" w:type="dxa"/>
            <w:tcBorders>
              <w:top w:val="nil"/>
              <w:left w:val="single" w:sz="4" w:space="0" w:color="auto"/>
              <w:bottom w:val="single" w:sz="4" w:space="0" w:color="auto"/>
              <w:right w:val="single" w:sz="4" w:space="0" w:color="auto"/>
            </w:tcBorders>
            <w:shd w:val="clear" w:color="auto" w:fill="auto"/>
            <w:noWrap/>
            <w:vAlign w:val="center"/>
            <w:hideMark/>
          </w:tcPr>
          <w:p w14:paraId="41ED7F6E" w14:textId="77777777" w:rsidR="009C2F01" w:rsidRPr="009C2F01" w:rsidRDefault="009C2F01" w:rsidP="00895FD8">
            <w:pPr>
              <w:spacing w:line="240" w:lineRule="auto"/>
              <w:jc w:val="left"/>
              <w:rPr>
                <w:sz w:val="20"/>
                <w:szCs w:val="20"/>
              </w:rPr>
            </w:pPr>
            <w:r w:rsidRPr="009C2F01">
              <w:rPr>
                <w:sz w:val="20"/>
                <w:szCs w:val="20"/>
              </w:rPr>
              <w:t>MOVIMIENTO DE TIERRAS</w:t>
            </w:r>
          </w:p>
        </w:tc>
        <w:tc>
          <w:tcPr>
            <w:tcW w:w="1980" w:type="dxa"/>
            <w:tcBorders>
              <w:top w:val="nil"/>
              <w:left w:val="nil"/>
              <w:bottom w:val="single" w:sz="4" w:space="0" w:color="auto"/>
              <w:right w:val="single" w:sz="4" w:space="0" w:color="auto"/>
            </w:tcBorders>
            <w:shd w:val="clear" w:color="auto" w:fill="auto"/>
            <w:noWrap/>
            <w:vAlign w:val="center"/>
            <w:hideMark/>
          </w:tcPr>
          <w:p w14:paraId="4F3E7B92" w14:textId="77777777" w:rsidR="009C2F01" w:rsidRPr="009C2F01" w:rsidRDefault="009C2F01" w:rsidP="00895FD8">
            <w:pPr>
              <w:spacing w:line="240" w:lineRule="auto"/>
              <w:jc w:val="center"/>
              <w:rPr>
                <w:sz w:val="20"/>
                <w:szCs w:val="20"/>
              </w:rPr>
            </w:pPr>
            <w:r w:rsidRPr="009C2F01">
              <w:rPr>
                <w:sz w:val="20"/>
                <w:szCs w:val="20"/>
              </w:rPr>
              <w:t xml:space="preserve">                   537.640 </w:t>
            </w:r>
          </w:p>
        </w:tc>
        <w:tc>
          <w:tcPr>
            <w:tcW w:w="1120" w:type="dxa"/>
            <w:tcBorders>
              <w:top w:val="nil"/>
              <w:left w:val="nil"/>
              <w:bottom w:val="single" w:sz="4" w:space="0" w:color="auto"/>
              <w:right w:val="single" w:sz="4" w:space="0" w:color="auto"/>
            </w:tcBorders>
            <w:shd w:val="clear" w:color="auto" w:fill="auto"/>
            <w:noWrap/>
            <w:vAlign w:val="center"/>
            <w:hideMark/>
          </w:tcPr>
          <w:p w14:paraId="2B177D5C" w14:textId="77777777" w:rsidR="009C2F01" w:rsidRPr="009C2F01" w:rsidRDefault="009C2F01" w:rsidP="00895FD8">
            <w:pPr>
              <w:spacing w:line="240" w:lineRule="auto"/>
              <w:ind w:firstLineChars="100" w:firstLine="200"/>
              <w:jc w:val="right"/>
              <w:rPr>
                <w:sz w:val="20"/>
                <w:szCs w:val="20"/>
              </w:rPr>
            </w:pPr>
            <w:r w:rsidRPr="009C2F01">
              <w:rPr>
                <w:sz w:val="20"/>
                <w:szCs w:val="20"/>
              </w:rPr>
              <w:t>1,0%</w:t>
            </w:r>
          </w:p>
        </w:tc>
      </w:tr>
      <w:tr w:rsidR="009C2F01" w:rsidRPr="009C2F01" w14:paraId="139429FC" w14:textId="77777777" w:rsidTr="009C2F01">
        <w:trPr>
          <w:trHeight w:val="402"/>
        </w:trPr>
        <w:tc>
          <w:tcPr>
            <w:tcW w:w="4819" w:type="dxa"/>
            <w:tcBorders>
              <w:top w:val="nil"/>
              <w:left w:val="single" w:sz="4" w:space="0" w:color="auto"/>
              <w:bottom w:val="single" w:sz="4" w:space="0" w:color="auto"/>
              <w:right w:val="single" w:sz="4" w:space="0" w:color="auto"/>
            </w:tcBorders>
            <w:shd w:val="clear" w:color="auto" w:fill="auto"/>
            <w:noWrap/>
            <w:vAlign w:val="center"/>
            <w:hideMark/>
          </w:tcPr>
          <w:p w14:paraId="57C4571B" w14:textId="77777777" w:rsidR="009C2F01" w:rsidRPr="009C2F01" w:rsidRDefault="009C2F01" w:rsidP="00895FD8">
            <w:pPr>
              <w:spacing w:line="240" w:lineRule="auto"/>
              <w:jc w:val="left"/>
              <w:rPr>
                <w:sz w:val="20"/>
                <w:szCs w:val="20"/>
              </w:rPr>
            </w:pPr>
            <w:r w:rsidRPr="009C2F01">
              <w:rPr>
                <w:sz w:val="20"/>
                <w:szCs w:val="20"/>
              </w:rPr>
              <w:t>PAVIMENTOS</w:t>
            </w:r>
          </w:p>
        </w:tc>
        <w:tc>
          <w:tcPr>
            <w:tcW w:w="1980" w:type="dxa"/>
            <w:tcBorders>
              <w:top w:val="nil"/>
              <w:left w:val="nil"/>
              <w:bottom w:val="single" w:sz="4" w:space="0" w:color="auto"/>
              <w:right w:val="single" w:sz="4" w:space="0" w:color="auto"/>
            </w:tcBorders>
            <w:shd w:val="clear" w:color="auto" w:fill="auto"/>
            <w:noWrap/>
            <w:vAlign w:val="center"/>
            <w:hideMark/>
          </w:tcPr>
          <w:p w14:paraId="224E89B7" w14:textId="77777777" w:rsidR="009C2F01" w:rsidRPr="009C2F01" w:rsidRDefault="009C2F01" w:rsidP="00895FD8">
            <w:pPr>
              <w:spacing w:line="240" w:lineRule="auto"/>
              <w:jc w:val="center"/>
              <w:rPr>
                <w:sz w:val="20"/>
                <w:szCs w:val="20"/>
              </w:rPr>
            </w:pPr>
            <w:r w:rsidRPr="009C2F01">
              <w:rPr>
                <w:sz w:val="20"/>
                <w:szCs w:val="20"/>
              </w:rPr>
              <w:t xml:space="preserve">              27.013.770 </w:t>
            </w:r>
          </w:p>
        </w:tc>
        <w:tc>
          <w:tcPr>
            <w:tcW w:w="1120" w:type="dxa"/>
            <w:tcBorders>
              <w:top w:val="nil"/>
              <w:left w:val="nil"/>
              <w:bottom w:val="single" w:sz="4" w:space="0" w:color="auto"/>
              <w:right w:val="single" w:sz="4" w:space="0" w:color="auto"/>
            </w:tcBorders>
            <w:shd w:val="clear" w:color="auto" w:fill="auto"/>
            <w:noWrap/>
            <w:vAlign w:val="center"/>
            <w:hideMark/>
          </w:tcPr>
          <w:p w14:paraId="3A060254" w14:textId="77777777" w:rsidR="009C2F01" w:rsidRPr="009C2F01" w:rsidRDefault="009C2F01" w:rsidP="00895FD8">
            <w:pPr>
              <w:spacing w:line="240" w:lineRule="auto"/>
              <w:ind w:firstLineChars="100" w:firstLine="200"/>
              <w:jc w:val="right"/>
              <w:rPr>
                <w:sz w:val="20"/>
                <w:szCs w:val="20"/>
              </w:rPr>
            </w:pPr>
            <w:r w:rsidRPr="009C2F01">
              <w:rPr>
                <w:sz w:val="20"/>
                <w:szCs w:val="20"/>
              </w:rPr>
              <w:t>52,7%</w:t>
            </w:r>
          </w:p>
        </w:tc>
      </w:tr>
      <w:tr w:rsidR="009C2F01" w:rsidRPr="009C2F01" w14:paraId="19114B26" w14:textId="77777777" w:rsidTr="009C2F01">
        <w:trPr>
          <w:trHeight w:val="402"/>
        </w:trPr>
        <w:tc>
          <w:tcPr>
            <w:tcW w:w="4819" w:type="dxa"/>
            <w:tcBorders>
              <w:top w:val="nil"/>
              <w:left w:val="single" w:sz="4" w:space="0" w:color="auto"/>
              <w:bottom w:val="single" w:sz="4" w:space="0" w:color="auto"/>
              <w:right w:val="single" w:sz="4" w:space="0" w:color="auto"/>
            </w:tcBorders>
            <w:shd w:val="clear" w:color="auto" w:fill="auto"/>
            <w:noWrap/>
            <w:vAlign w:val="center"/>
            <w:hideMark/>
          </w:tcPr>
          <w:p w14:paraId="361B5761" w14:textId="77777777" w:rsidR="009C2F01" w:rsidRPr="009C2F01" w:rsidRDefault="009C2F01" w:rsidP="00895FD8">
            <w:pPr>
              <w:spacing w:line="240" w:lineRule="auto"/>
              <w:jc w:val="left"/>
              <w:rPr>
                <w:sz w:val="20"/>
                <w:szCs w:val="20"/>
              </w:rPr>
            </w:pPr>
            <w:r w:rsidRPr="009C2F01">
              <w:rPr>
                <w:sz w:val="20"/>
                <w:szCs w:val="20"/>
              </w:rPr>
              <w:t>DRENAJE</w:t>
            </w:r>
          </w:p>
        </w:tc>
        <w:tc>
          <w:tcPr>
            <w:tcW w:w="1980" w:type="dxa"/>
            <w:tcBorders>
              <w:top w:val="nil"/>
              <w:left w:val="nil"/>
              <w:bottom w:val="single" w:sz="4" w:space="0" w:color="auto"/>
              <w:right w:val="single" w:sz="4" w:space="0" w:color="auto"/>
            </w:tcBorders>
            <w:shd w:val="clear" w:color="auto" w:fill="auto"/>
            <w:noWrap/>
            <w:vAlign w:val="center"/>
            <w:hideMark/>
          </w:tcPr>
          <w:p w14:paraId="51F3EBDE" w14:textId="77777777" w:rsidR="009C2F01" w:rsidRPr="009C2F01" w:rsidRDefault="009C2F01" w:rsidP="00895FD8">
            <w:pPr>
              <w:spacing w:line="240" w:lineRule="auto"/>
              <w:jc w:val="center"/>
              <w:rPr>
                <w:sz w:val="20"/>
                <w:szCs w:val="20"/>
              </w:rPr>
            </w:pPr>
            <w:r w:rsidRPr="009C2F01">
              <w:rPr>
                <w:sz w:val="20"/>
                <w:szCs w:val="20"/>
              </w:rPr>
              <w:t xml:space="preserve">                7.877.876 </w:t>
            </w:r>
          </w:p>
        </w:tc>
        <w:tc>
          <w:tcPr>
            <w:tcW w:w="1120" w:type="dxa"/>
            <w:tcBorders>
              <w:top w:val="nil"/>
              <w:left w:val="nil"/>
              <w:bottom w:val="single" w:sz="4" w:space="0" w:color="auto"/>
              <w:right w:val="single" w:sz="4" w:space="0" w:color="auto"/>
            </w:tcBorders>
            <w:shd w:val="clear" w:color="auto" w:fill="auto"/>
            <w:noWrap/>
            <w:vAlign w:val="center"/>
            <w:hideMark/>
          </w:tcPr>
          <w:p w14:paraId="15AC965E" w14:textId="77777777" w:rsidR="009C2F01" w:rsidRPr="009C2F01" w:rsidRDefault="009C2F01" w:rsidP="00895FD8">
            <w:pPr>
              <w:spacing w:line="240" w:lineRule="auto"/>
              <w:ind w:firstLineChars="100" w:firstLine="200"/>
              <w:jc w:val="right"/>
              <w:rPr>
                <w:sz w:val="20"/>
                <w:szCs w:val="20"/>
              </w:rPr>
            </w:pPr>
            <w:r w:rsidRPr="009C2F01">
              <w:rPr>
                <w:sz w:val="20"/>
                <w:szCs w:val="20"/>
              </w:rPr>
              <w:t>15,4%</w:t>
            </w:r>
          </w:p>
        </w:tc>
      </w:tr>
      <w:tr w:rsidR="009C2F01" w:rsidRPr="009C2F01" w14:paraId="06C8B2AB" w14:textId="77777777" w:rsidTr="009C2F01">
        <w:trPr>
          <w:trHeight w:val="402"/>
        </w:trPr>
        <w:tc>
          <w:tcPr>
            <w:tcW w:w="4819" w:type="dxa"/>
            <w:tcBorders>
              <w:top w:val="nil"/>
              <w:left w:val="single" w:sz="4" w:space="0" w:color="auto"/>
              <w:bottom w:val="single" w:sz="4" w:space="0" w:color="auto"/>
              <w:right w:val="single" w:sz="4" w:space="0" w:color="auto"/>
            </w:tcBorders>
            <w:shd w:val="clear" w:color="auto" w:fill="auto"/>
            <w:noWrap/>
            <w:vAlign w:val="center"/>
            <w:hideMark/>
          </w:tcPr>
          <w:p w14:paraId="477CB0B8" w14:textId="77777777" w:rsidR="009C2F01" w:rsidRPr="009C2F01" w:rsidRDefault="009C2F01" w:rsidP="00895FD8">
            <w:pPr>
              <w:spacing w:line="240" w:lineRule="auto"/>
              <w:jc w:val="left"/>
              <w:rPr>
                <w:sz w:val="20"/>
                <w:szCs w:val="20"/>
              </w:rPr>
            </w:pPr>
            <w:r w:rsidRPr="009C2F01">
              <w:rPr>
                <w:sz w:val="20"/>
                <w:szCs w:val="20"/>
              </w:rPr>
              <w:t>SITIOS CRITICOS</w:t>
            </w:r>
          </w:p>
        </w:tc>
        <w:tc>
          <w:tcPr>
            <w:tcW w:w="1980" w:type="dxa"/>
            <w:tcBorders>
              <w:top w:val="nil"/>
              <w:left w:val="nil"/>
              <w:bottom w:val="single" w:sz="4" w:space="0" w:color="auto"/>
              <w:right w:val="single" w:sz="4" w:space="0" w:color="auto"/>
            </w:tcBorders>
            <w:shd w:val="clear" w:color="auto" w:fill="auto"/>
            <w:noWrap/>
            <w:vAlign w:val="center"/>
            <w:hideMark/>
          </w:tcPr>
          <w:p w14:paraId="15945A5D" w14:textId="77777777" w:rsidR="009C2F01" w:rsidRPr="009C2F01" w:rsidRDefault="009C2F01" w:rsidP="00895FD8">
            <w:pPr>
              <w:spacing w:line="240" w:lineRule="auto"/>
              <w:jc w:val="center"/>
              <w:rPr>
                <w:sz w:val="20"/>
                <w:szCs w:val="20"/>
              </w:rPr>
            </w:pPr>
            <w:r w:rsidRPr="009C2F01">
              <w:rPr>
                <w:sz w:val="20"/>
                <w:szCs w:val="20"/>
              </w:rPr>
              <w:t xml:space="preserve">                3.277.108 </w:t>
            </w:r>
          </w:p>
        </w:tc>
        <w:tc>
          <w:tcPr>
            <w:tcW w:w="1120" w:type="dxa"/>
            <w:tcBorders>
              <w:top w:val="nil"/>
              <w:left w:val="nil"/>
              <w:bottom w:val="single" w:sz="4" w:space="0" w:color="auto"/>
              <w:right w:val="single" w:sz="4" w:space="0" w:color="auto"/>
            </w:tcBorders>
            <w:shd w:val="clear" w:color="auto" w:fill="auto"/>
            <w:noWrap/>
            <w:vAlign w:val="center"/>
            <w:hideMark/>
          </w:tcPr>
          <w:p w14:paraId="775B5B41" w14:textId="77777777" w:rsidR="009C2F01" w:rsidRPr="009C2F01" w:rsidRDefault="009C2F01" w:rsidP="00895FD8">
            <w:pPr>
              <w:spacing w:line="240" w:lineRule="auto"/>
              <w:ind w:firstLineChars="100" w:firstLine="200"/>
              <w:jc w:val="right"/>
              <w:rPr>
                <w:sz w:val="20"/>
                <w:szCs w:val="20"/>
              </w:rPr>
            </w:pPr>
            <w:r w:rsidRPr="009C2F01">
              <w:rPr>
                <w:sz w:val="20"/>
                <w:szCs w:val="20"/>
              </w:rPr>
              <w:t>6,4%</w:t>
            </w:r>
          </w:p>
        </w:tc>
      </w:tr>
      <w:tr w:rsidR="009C2F01" w:rsidRPr="009C2F01" w14:paraId="0C9EA108" w14:textId="77777777" w:rsidTr="009C2F01">
        <w:trPr>
          <w:trHeight w:val="402"/>
        </w:trPr>
        <w:tc>
          <w:tcPr>
            <w:tcW w:w="4819" w:type="dxa"/>
            <w:tcBorders>
              <w:top w:val="nil"/>
              <w:left w:val="single" w:sz="4" w:space="0" w:color="auto"/>
              <w:bottom w:val="single" w:sz="4" w:space="0" w:color="auto"/>
              <w:right w:val="single" w:sz="4" w:space="0" w:color="auto"/>
            </w:tcBorders>
            <w:shd w:val="clear" w:color="auto" w:fill="auto"/>
            <w:noWrap/>
            <w:vAlign w:val="center"/>
            <w:hideMark/>
          </w:tcPr>
          <w:p w14:paraId="5C7B0CE1" w14:textId="77777777" w:rsidR="009C2F01" w:rsidRPr="009C2F01" w:rsidRDefault="009C2F01" w:rsidP="00895FD8">
            <w:pPr>
              <w:spacing w:line="240" w:lineRule="auto"/>
              <w:jc w:val="left"/>
              <w:rPr>
                <w:sz w:val="20"/>
                <w:szCs w:val="20"/>
              </w:rPr>
            </w:pPr>
            <w:r w:rsidRPr="009C2F01">
              <w:rPr>
                <w:sz w:val="20"/>
                <w:szCs w:val="20"/>
              </w:rPr>
              <w:t>OBRAS DE ARTE MAYOR</w:t>
            </w:r>
          </w:p>
        </w:tc>
        <w:tc>
          <w:tcPr>
            <w:tcW w:w="1980" w:type="dxa"/>
            <w:tcBorders>
              <w:top w:val="nil"/>
              <w:left w:val="nil"/>
              <w:bottom w:val="single" w:sz="4" w:space="0" w:color="auto"/>
              <w:right w:val="single" w:sz="4" w:space="0" w:color="auto"/>
            </w:tcBorders>
            <w:shd w:val="clear" w:color="auto" w:fill="auto"/>
            <w:noWrap/>
            <w:vAlign w:val="center"/>
            <w:hideMark/>
          </w:tcPr>
          <w:p w14:paraId="77AA0DDE" w14:textId="77777777" w:rsidR="009C2F01" w:rsidRPr="009C2F01" w:rsidRDefault="009C2F01" w:rsidP="00895FD8">
            <w:pPr>
              <w:spacing w:line="240" w:lineRule="auto"/>
              <w:jc w:val="center"/>
              <w:rPr>
                <w:sz w:val="20"/>
                <w:szCs w:val="20"/>
              </w:rPr>
            </w:pPr>
            <w:r w:rsidRPr="009C2F01">
              <w:rPr>
                <w:sz w:val="20"/>
                <w:szCs w:val="20"/>
              </w:rPr>
              <w:t xml:space="preserve">                6.626.453 </w:t>
            </w:r>
          </w:p>
        </w:tc>
        <w:tc>
          <w:tcPr>
            <w:tcW w:w="1120" w:type="dxa"/>
            <w:tcBorders>
              <w:top w:val="nil"/>
              <w:left w:val="nil"/>
              <w:bottom w:val="single" w:sz="4" w:space="0" w:color="auto"/>
              <w:right w:val="single" w:sz="4" w:space="0" w:color="auto"/>
            </w:tcBorders>
            <w:shd w:val="clear" w:color="auto" w:fill="auto"/>
            <w:noWrap/>
            <w:vAlign w:val="center"/>
            <w:hideMark/>
          </w:tcPr>
          <w:p w14:paraId="51E300B2" w14:textId="77777777" w:rsidR="009C2F01" w:rsidRPr="009C2F01" w:rsidRDefault="009C2F01" w:rsidP="00895FD8">
            <w:pPr>
              <w:spacing w:line="240" w:lineRule="auto"/>
              <w:ind w:firstLineChars="100" w:firstLine="200"/>
              <w:jc w:val="right"/>
              <w:rPr>
                <w:sz w:val="20"/>
                <w:szCs w:val="20"/>
              </w:rPr>
            </w:pPr>
            <w:r w:rsidRPr="009C2F01">
              <w:rPr>
                <w:sz w:val="20"/>
                <w:szCs w:val="20"/>
              </w:rPr>
              <w:t>12,9%</w:t>
            </w:r>
          </w:p>
        </w:tc>
      </w:tr>
      <w:tr w:rsidR="009C2F01" w:rsidRPr="009C2F01" w14:paraId="08E7D5A4" w14:textId="77777777" w:rsidTr="009C2F01">
        <w:trPr>
          <w:trHeight w:val="402"/>
        </w:trPr>
        <w:tc>
          <w:tcPr>
            <w:tcW w:w="4819" w:type="dxa"/>
            <w:tcBorders>
              <w:top w:val="nil"/>
              <w:left w:val="single" w:sz="4" w:space="0" w:color="auto"/>
              <w:bottom w:val="single" w:sz="4" w:space="0" w:color="auto"/>
              <w:right w:val="single" w:sz="4" w:space="0" w:color="auto"/>
            </w:tcBorders>
            <w:shd w:val="clear" w:color="auto" w:fill="auto"/>
            <w:noWrap/>
            <w:vAlign w:val="center"/>
            <w:hideMark/>
          </w:tcPr>
          <w:p w14:paraId="3C9466C1" w14:textId="77777777" w:rsidR="009C2F01" w:rsidRPr="009C2F01" w:rsidRDefault="009C2F01" w:rsidP="00895FD8">
            <w:pPr>
              <w:spacing w:line="240" w:lineRule="auto"/>
              <w:jc w:val="left"/>
              <w:rPr>
                <w:sz w:val="20"/>
                <w:szCs w:val="20"/>
              </w:rPr>
            </w:pPr>
            <w:r w:rsidRPr="009C2F01">
              <w:rPr>
                <w:sz w:val="20"/>
                <w:szCs w:val="20"/>
              </w:rPr>
              <w:t>SEÑALIZACION Y SEGURIDAD VIAL</w:t>
            </w:r>
          </w:p>
        </w:tc>
        <w:tc>
          <w:tcPr>
            <w:tcW w:w="1980" w:type="dxa"/>
            <w:tcBorders>
              <w:top w:val="nil"/>
              <w:left w:val="nil"/>
              <w:bottom w:val="single" w:sz="4" w:space="0" w:color="auto"/>
              <w:right w:val="single" w:sz="4" w:space="0" w:color="auto"/>
            </w:tcBorders>
            <w:shd w:val="clear" w:color="auto" w:fill="auto"/>
            <w:noWrap/>
            <w:vAlign w:val="center"/>
            <w:hideMark/>
          </w:tcPr>
          <w:p w14:paraId="2436D275" w14:textId="77777777" w:rsidR="009C2F01" w:rsidRPr="009C2F01" w:rsidRDefault="009C2F01" w:rsidP="00895FD8">
            <w:pPr>
              <w:spacing w:line="240" w:lineRule="auto"/>
              <w:jc w:val="center"/>
              <w:rPr>
                <w:sz w:val="20"/>
                <w:szCs w:val="20"/>
              </w:rPr>
            </w:pPr>
            <w:r w:rsidRPr="009C2F01">
              <w:rPr>
                <w:sz w:val="20"/>
                <w:szCs w:val="20"/>
              </w:rPr>
              <w:t xml:space="preserve">                   842.327 </w:t>
            </w:r>
          </w:p>
        </w:tc>
        <w:tc>
          <w:tcPr>
            <w:tcW w:w="1120" w:type="dxa"/>
            <w:tcBorders>
              <w:top w:val="nil"/>
              <w:left w:val="nil"/>
              <w:bottom w:val="single" w:sz="4" w:space="0" w:color="auto"/>
              <w:right w:val="single" w:sz="4" w:space="0" w:color="auto"/>
            </w:tcBorders>
            <w:shd w:val="clear" w:color="auto" w:fill="auto"/>
            <w:noWrap/>
            <w:vAlign w:val="center"/>
            <w:hideMark/>
          </w:tcPr>
          <w:p w14:paraId="66348BE6" w14:textId="77777777" w:rsidR="009C2F01" w:rsidRPr="009C2F01" w:rsidRDefault="009C2F01" w:rsidP="00895FD8">
            <w:pPr>
              <w:spacing w:line="240" w:lineRule="auto"/>
              <w:ind w:firstLineChars="100" w:firstLine="200"/>
              <w:jc w:val="right"/>
              <w:rPr>
                <w:sz w:val="20"/>
                <w:szCs w:val="20"/>
              </w:rPr>
            </w:pPr>
            <w:r w:rsidRPr="009C2F01">
              <w:rPr>
                <w:sz w:val="20"/>
                <w:szCs w:val="20"/>
              </w:rPr>
              <w:t>1,6%</w:t>
            </w:r>
          </w:p>
        </w:tc>
      </w:tr>
      <w:tr w:rsidR="009C2F01" w:rsidRPr="009C2F01" w14:paraId="3188F7FC" w14:textId="77777777" w:rsidTr="009C2F01">
        <w:trPr>
          <w:trHeight w:val="402"/>
        </w:trPr>
        <w:tc>
          <w:tcPr>
            <w:tcW w:w="4819" w:type="dxa"/>
            <w:tcBorders>
              <w:top w:val="nil"/>
              <w:left w:val="single" w:sz="4" w:space="0" w:color="auto"/>
              <w:bottom w:val="single" w:sz="4" w:space="0" w:color="auto"/>
              <w:right w:val="single" w:sz="4" w:space="0" w:color="auto"/>
            </w:tcBorders>
            <w:shd w:val="clear" w:color="auto" w:fill="auto"/>
            <w:noWrap/>
            <w:vAlign w:val="center"/>
            <w:hideMark/>
          </w:tcPr>
          <w:p w14:paraId="40FBBB50" w14:textId="77777777" w:rsidR="009C2F01" w:rsidRPr="009C2F01" w:rsidRDefault="009C2F01" w:rsidP="00895FD8">
            <w:pPr>
              <w:spacing w:line="240" w:lineRule="auto"/>
              <w:jc w:val="left"/>
              <w:rPr>
                <w:sz w:val="20"/>
                <w:szCs w:val="20"/>
              </w:rPr>
            </w:pPr>
            <w:r w:rsidRPr="009C2F01">
              <w:rPr>
                <w:sz w:val="20"/>
                <w:szCs w:val="20"/>
              </w:rPr>
              <w:t>OBRAS COMPLEMENTARIAS</w:t>
            </w:r>
          </w:p>
        </w:tc>
        <w:tc>
          <w:tcPr>
            <w:tcW w:w="1980" w:type="dxa"/>
            <w:tcBorders>
              <w:top w:val="nil"/>
              <w:left w:val="nil"/>
              <w:bottom w:val="single" w:sz="4" w:space="0" w:color="auto"/>
              <w:right w:val="single" w:sz="4" w:space="0" w:color="auto"/>
            </w:tcBorders>
            <w:shd w:val="clear" w:color="auto" w:fill="auto"/>
            <w:noWrap/>
            <w:vAlign w:val="center"/>
            <w:hideMark/>
          </w:tcPr>
          <w:p w14:paraId="144DB186" w14:textId="77777777" w:rsidR="009C2F01" w:rsidRPr="009C2F01" w:rsidRDefault="009C2F01" w:rsidP="00895FD8">
            <w:pPr>
              <w:spacing w:line="240" w:lineRule="auto"/>
              <w:jc w:val="center"/>
              <w:rPr>
                <w:sz w:val="20"/>
                <w:szCs w:val="20"/>
              </w:rPr>
            </w:pPr>
            <w:r w:rsidRPr="009C2F01">
              <w:rPr>
                <w:sz w:val="20"/>
                <w:szCs w:val="20"/>
              </w:rPr>
              <w:t xml:space="preserve">                1.956.885 </w:t>
            </w:r>
          </w:p>
        </w:tc>
        <w:tc>
          <w:tcPr>
            <w:tcW w:w="1120" w:type="dxa"/>
            <w:tcBorders>
              <w:top w:val="nil"/>
              <w:left w:val="nil"/>
              <w:bottom w:val="single" w:sz="4" w:space="0" w:color="auto"/>
              <w:right w:val="single" w:sz="4" w:space="0" w:color="auto"/>
            </w:tcBorders>
            <w:shd w:val="clear" w:color="auto" w:fill="auto"/>
            <w:noWrap/>
            <w:vAlign w:val="center"/>
            <w:hideMark/>
          </w:tcPr>
          <w:p w14:paraId="03A023C5" w14:textId="77777777" w:rsidR="009C2F01" w:rsidRPr="009C2F01" w:rsidRDefault="009C2F01" w:rsidP="00895FD8">
            <w:pPr>
              <w:spacing w:line="240" w:lineRule="auto"/>
              <w:ind w:firstLineChars="100" w:firstLine="200"/>
              <w:jc w:val="right"/>
              <w:rPr>
                <w:sz w:val="20"/>
                <w:szCs w:val="20"/>
              </w:rPr>
            </w:pPr>
            <w:r w:rsidRPr="009C2F01">
              <w:rPr>
                <w:sz w:val="20"/>
                <w:szCs w:val="20"/>
              </w:rPr>
              <w:t>3,8%</w:t>
            </w:r>
          </w:p>
        </w:tc>
      </w:tr>
      <w:tr w:rsidR="009C2F01" w:rsidRPr="009C2F01" w14:paraId="7730C1A9" w14:textId="77777777" w:rsidTr="009C2F01">
        <w:trPr>
          <w:trHeight w:val="402"/>
        </w:trPr>
        <w:tc>
          <w:tcPr>
            <w:tcW w:w="4819" w:type="dxa"/>
            <w:tcBorders>
              <w:top w:val="nil"/>
              <w:left w:val="single" w:sz="4" w:space="0" w:color="auto"/>
              <w:bottom w:val="single" w:sz="4" w:space="0" w:color="auto"/>
              <w:right w:val="single" w:sz="4" w:space="0" w:color="auto"/>
            </w:tcBorders>
            <w:shd w:val="clear" w:color="auto" w:fill="auto"/>
            <w:noWrap/>
            <w:vAlign w:val="center"/>
            <w:hideMark/>
          </w:tcPr>
          <w:p w14:paraId="6E9E59F5" w14:textId="77777777" w:rsidR="009C2F01" w:rsidRPr="009C2F01" w:rsidRDefault="009C2F01" w:rsidP="00895FD8">
            <w:pPr>
              <w:spacing w:line="240" w:lineRule="auto"/>
              <w:jc w:val="left"/>
              <w:rPr>
                <w:sz w:val="20"/>
                <w:szCs w:val="20"/>
              </w:rPr>
            </w:pPr>
            <w:r w:rsidRPr="009C2F01">
              <w:rPr>
                <w:sz w:val="20"/>
                <w:szCs w:val="20"/>
              </w:rPr>
              <w:t xml:space="preserve"> MITIGACION AMBIENTAL</w:t>
            </w:r>
          </w:p>
        </w:tc>
        <w:tc>
          <w:tcPr>
            <w:tcW w:w="1980" w:type="dxa"/>
            <w:tcBorders>
              <w:top w:val="nil"/>
              <w:left w:val="nil"/>
              <w:bottom w:val="single" w:sz="4" w:space="0" w:color="auto"/>
              <w:right w:val="single" w:sz="4" w:space="0" w:color="auto"/>
            </w:tcBorders>
            <w:shd w:val="clear" w:color="auto" w:fill="auto"/>
            <w:noWrap/>
            <w:vAlign w:val="center"/>
            <w:hideMark/>
          </w:tcPr>
          <w:p w14:paraId="4BEDFCEC" w14:textId="77777777" w:rsidR="009C2F01" w:rsidRPr="009C2F01" w:rsidRDefault="009C2F01" w:rsidP="00895FD8">
            <w:pPr>
              <w:spacing w:line="240" w:lineRule="auto"/>
              <w:jc w:val="center"/>
              <w:rPr>
                <w:sz w:val="20"/>
                <w:szCs w:val="20"/>
              </w:rPr>
            </w:pPr>
            <w:r w:rsidRPr="009C2F01">
              <w:rPr>
                <w:sz w:val="20"/>
                <w:szCs w:val="20"/>
              </w:rPr>
              <w:t xml:space="preserve">                     39.680 </w:t>
            </w:r>
          </w:p>
        </w:tc>
        <w:tc>
          <w:tcPr>
            <w:tcW w:w="1120" w:type="dxa"/>
            <w:tcBorders>
              <w:top w:val="nil"/>
              <w:left w:val="nil"/>
              <w:bottom w:val="single" w:sz="4" w:space="0" w:color="auto"/>
              <w:right w:val="single" w:sz="4" w:space="0" w:color="auto"/>
            </w:tcBorders>
            <w:shd w:val="clear" w:color="auto" w:fill="auto"/>
            <w:noWrap/>
            <w:vAlign w:val="center"/>
            <w:hideMark/>
          </w:tcPr>
          <w:p w14:paraId="040CB963" w14:textId="77777777" w:rsidR="009C2F01" w:rsidRPr="009C2F01" w:rsidRDefault="009C2F01" w:rsidP="00895FD8">
            <w:pPr>
              <w:spacing w:line="240" w:lineRule="auto"/>
              <w:ind w:firstLineChars="100" w:firstLine="200"/>
              <w:jc w:val="right"/>
              <w:rPr>
                <w:sz w:val="20"/>
                <w:szCs w:val="20"/>
              </w:rPr>
            </w:pPr>
            <w:r w:rsidRPr="009C2F01">
              <w:rPr>
                <w:sz w:val="20"/>
                <w:szCs w:val="20"/>
              </w:rPr>
              <w:t>0,1%</w:t>
            </w:r>
          </w:p>
        </w:tc>
      </w:tr>
      <w:tr w:rsidR="009C2F01" w:rsidRPr="009C2F01" w14:paraId="35A9D6B6" w14:textId="77777777" w:rsidTr="009C2F01">
        <w:trPr>
          <w:trHeight w:val="402"/>
        </w:trPr>
        <w:tc>
          <w:tcPr>
            <w:tcW w:w="4819" w:type="dxa"/>
            <w:tcBorders>
              <w:top w:val="nil"/>
              <w:left w:val="single" w:sz="4" w:space="0" w:color="auto"/>
              <w:bottom w:val="single" w:sz="4" w:space="0" w:color="auto"/>
              <w:right w:val="single" w:sz="4" w:space="0" w:color="auto"/>
            </w:tcBorders>
            <w:shd w:val="clear" w:color="auto" w:fill="auto"/>
            <w:noWrap/>
            <w:vAlign w:val="center"/>
            <w:hideMark/>
          </w:tcPr>
          <w:p w14:paraId="2482612A" w14:textId="77777777" w:rsidR="009C2F01" w:rsidRPr="009C2F01" w:rsidRDefault="009C2F01" w:rsidP="00895FD8">
            <w:pPr>
              <w:spacing w:line="240" w:lineRule="auto"/>
              <w:jc w:val="left"/>
              <w:rPr>
                <w:sz w:val="20"/>
                <w:szCs w:val="20"/>
              </w:rPr>
            </w:pPr>
            <w:r w:rsidRPr="009C2F01">
              <w:rPr>
                <w:sz w:val="20"/>
                <w:szCs w:val="20"/>
              </w:rPr>
              <w:t>SERVICIO PARA SUPERVISION</w:t>
            </w:r>
          </w:p>
        </w:tc>
        <w:tc>
          <w:tcPr>
            <w:tcW w:w="1980" w:type="dxa"/>
            <w:tcBorders>
              <w:top w:val="nil"/>
              <w:left w:val="nil"/>
              <w:bottom w:val="single" w:sz="4" w:space="0" w:color="auto"/>
              <w:right w:val="single" w:sz="4" w:space="0" w:color="auto"/>
            </w:tcBorders>
            <w:shd w:val="clear" w:color="auto" w:fill="auto"/>
            <w:noWrap/>
            <w:vAlign w:val="center"/>
            <w:hideMark/>
          </w:tcPr>
          <w:p w14:paraId="38D649F8" w14:textId="77777777" w:rsidR="009C2F01" w:rsidRPr="009C2F01" w:rsidRDefault="009C2F01" w:rsidP="00895FD8">
            <w:pPr>
              <w:spacing w:line="240" w:lineRule="auto"/>
              <w:jc w:val="center"/>
              <w:rPr>
                <w:sz w:val="20"/>
                <w:szCs w:val="20"/>
              </w:rPr>
            </w:pPr>
            <w:r w:rsidRPr="009C2F01">
              <w:rPr>
                <w:sz w:val="20"/>
                <w:szCs w:val="20"/>
              </w:rPr>
              <w:t xml:space="preserve">                1.293.498 </w:t>
            </w:r>
          </w:p>
        </w:tc>
        <w:tc>
          <w:tcPr>
            <w:tcW w:w="1120" w:type="dxa"/>
            <w:tcBorders>
              <w:top w:val="nil"/>
              <w:left w:val="nil"/>
              <w:bottom w:val="single" w:sz="4" w:space="0" w:color="auto"/>
              <w:right w:val="single" w:sz="4" w:space="0" w:color="auto"/>
            </w:tcBorders>
            <w:shd w:val="clear" w:color="auto" w:fill="auto"/>
            <w:noWrap/>
            <w:vAlign w:val="center"/>
            <w:hideMark/>
          </w:tcPr>
          <w:p w14:paraId="0FE09466" w14:textId="77777777" w:rsidR="009C2F01" w:rsidRPr="009C2F01" w:rsidRDefault="009C2F01" w:rsidP="00895FD8">
            <w:pPr>
              <w:spacing w:line="240" w:lineRule="auto"/>
              <w:ind w:firstLineChars="100" w:firstLine="200"/>
              <w:jc w:val="right"/>
              <w:rPr>
                <w:sz w:val="20"/>
                <w:szCs w:val="20"/>
              </w:rPr>
            </w:pPr>
            <w:r w:rsidRPr="009C2F01">
              <w:rPr>
                <w:sz w:val="20"/>
                <w:szCs w:val="20"/>
              </w:rPr>
              <w:t>2,5%</w:t>
            </w:r>
          </w:p>
        </w:tc>
      </w:tr>
      <w:tr w:rsidR="009C2F01" w:rsidRPr="009C2F01" w14:paraId="7B5A3AF3" w14:textId="77777777" w:rsidTr="009C2F01">
        <w:trPr>
          <w:trHeight w:val="402"/>
        </w:trPr>
        <w:tc>
          <w:tcPr>
            <w:tcW w:w="4819" w:type="dxa"/>
            <w:tcBorders>
              <w:top w:val="nil"/>
              <w:left w:val="single" w:sz="4" w:space="0" w:color="auto"/>
              <w:bottom w:val="single" w:sz="4" w:space="0" w:color="auto"/>
              <w:right w:val="single" w:sz="4" w:space="0" w:color="auto"/>
            </w:tcBorders>
            <w:shd w:val="clear" w:color="auto" w:fill="auto"/>
            <w:noWrap/>
            <w:vAlign w:val="center"/>
            <w:hideMark/>
          </w:tcPr>
          <w:p w14:paraId="4F9ECCCC" w14:textId="77777777" w:rsidR="009C2F01" w:rsidRPr="009C2F01" w:rsidRDefault="009C2F01" w:rsidP="00895FD8">
            <w:pPr>
              <w:spacing w:line="240" w:lineRule="auto"/>
              <w:jc w:val="left"/>
              <w:rPr>
                <w:sz w:val="20"/>
                <w:szCs w:val="20"/>
              </w:rPr>
            </w:pPr>
            <w:r w:rsidRPr="009C2F01">
              <w:rPr>
                <w:sz w:val="20"/>
                <w:szCs w:val="20"/>
              </w:rPr>
              <w:t>PEAJE DE SAMAIPATA</w:t>
            </w:r>
          </w:p>
        </w:tc>
        <w:tc>
          <w:tcPr>
            <w:tcW w:w="1980" w:type="dxa"/>
            <w:tcBorders>
              <w:top w:val="nil"/>
              <w:left w:val="nil"/>
              <w:bottom w:val="single" w:sz="4" w:space="0" w:color="auto"/>
              <w:right w:val="single" w:sz="4" w:space="0" w:color="auto"/>
            </w:tcBorders>
            <w:shd w:val="clear" w:color="auto" w:fill="auto"/>
            <w:noWrap/>
            <w:vAlign w:val="center"/>
            <w:hideMark/>
          </w:tcPr>
          <w:p w14:paraId="1A238F4B" w14:textId="77777777" w:rsidR="009C2F01" w:rsidRPr="009C2F01" w:rsidRDefault="009C2F01" w:rsidP="00895FD8">
            <w:pPr>
              <w:spacing w:line="240" w:lineRule="auto"/>
              <w:jc w:val="center"/>
              <w:rPr>
                <w:sz w:val="20"/>
                <w:szCs w:val="20"/>
              </w:rPr>
            </w:pPr>
            <w:r w:rsidRPr="009C2F01">
              <w:rPr>
                <w:sz w:val="20"/>
                <w:szCs w:val="20"/>
              </w:rPr>
              <w:t xml:space="preserve">                1.773.203 </w:t>
            </w:r>
          </w:p>
        </w:tc>
        <w:tc>
          <w:tcPr>
            <w:tcW w:w="1120" w:type="dxa"/>
            <w:tcBorders>
              <w:top w:val="nil"/>
              <w:left w:val="nil"/>
              <w:bottom w:val="single" w:sz="4" w:space="0" w:color="auto"/>
              <w:right w:val="single" w:sz="4" w:space="0" w:color="auto"/>
            </w:tcBorders>
            <w:shd w:val="clear" w:color="auto" w:fill="auto"/>
            <w:noWrap/>
            <w:vAlign w:val="center"/>
            <w:hideMark/>
          </w:tcPr>
          <w:p w14:paraId="613CFA46" w14:textId="77777777" w:rsidR="009C2F01" w:rsidRPr="009C2F01" w:rsidRDefault="009C2F01" w:rsidP="00895FD8">
            <w:pPr>
              <w:spacing w:line="240" w:lineRule="auto"/>
              <w:ind w:firstLineChars="100" w:firstLine="200"/>
              <w:jc w:val="right"/>
              <w:rPr>
                <w:sz w:val="20"/>
                <w:szCs w:val="20"/>
              </w:rPr>
            </w:pPr>
            <w:r w:rsidRPr="009C2F01">
              <w:rPr>
                <w:sz w:val="20"/>
                <w:szCs w:val="20"/>
              </w:rPr>
              <w:t>3,5%</w:t>
            </w:r>
          </w:p>
        </w:tc>
      </w:tr>
      <w:tr w:rsidR="009C2F01" w:rsidRPr="009C2F01" w14:paraId="577E21E5" w14:textId="77777777" w:rsidTr="009C2F01">
        <w:trPr>
          <w:trHeight w:val="402"/>
        </w:trPr>
        <w:tc>
          <w:tcPr>
            <w:tcW w:w="4819" w:type="dxa"/>
            <w:tcBorders>
              <w:top w:val="nil"/>
              <w:left w:val="single" w:sz="4" w:space="0" w:color="auto"/>
              <w:bottom w:val="single" w:sz="4" w:space="0" w:color="auto"/>
              <w:right w:val="single" w:sz="4" w:space="0" w:color="auto"/>
            </w:tcBorders>
            <w:shd w:val="clear" w:color="auto" w:fill="auto"/>
            <w:noWrap/>
            <w:vAlign w:val="center"/>
            <w:hideMark/>
          </w:tcPr>
          <w:p w14:paraId="4F946F37" w14:textId="77777777" w:rsidR="009C2F01" w:rsidRPr="009C2F01" w:rsidRDefault="009C2F01" w:rsidP="00895FD8">
            <w:pPr>
              <w:spacing w:line="240" w:lineRule="auto"/>
              <w:jc w:val="left"/>
              <w:rPr>
                <w:sz w:val="20"/>
                <w:szCs w:val="20"/>
              </w:rPr>
            </w:pPr>
            <w:r w:rsidRPr="009C2F01">
              <w:rPr>
                <w:sz w:val="20"/>
                <w:szCs w:val="20"/>
              </w:rPr>
              <w:t>TOTAL OBRA Y SERVICIOS</w:t>
            </w:r>
          </w:p>
        </w:tc>
        <w:tc>
          <w:tcPr>
            <w:tcW w:w="1980" w:type="dxa"/>
            <w:tcBorders>
              <w:top w:val="nil"/>
              <w:left w:val="nil"/>
              <w:bottom w:val="single" w:sz="4" w:space="0" w:color="auto"/>
              <w:right w:val="single" w:sz="4" w:space="0" w:color="auto"/>
            </w:tcBorders>
            <w:shd w:val="clear" w:color="auto" w:fill="auto"/>
            <w:noWrap/>
            <w:vAlign w:val="center"/>
            <w:hideMark/>
          </w:tcPr>
          <w:p w14:paraId="0C7B8366" w14:textId="77777777" w:rsidR="009C2F01" w:rsidRPr="009C2F01" w:rsidRDefault="009C2F01" w:rsidP="00895FD8">
            <w:pPr>
              <w:spacing w:line="240" w:lineRule="auto"/>
              <w:jc w:val="center"/>
              <w:rPr>
                <w:sz w:val="20"/>
                <w:szCs w:val="20"/>
              </w:rPr>
            </w:pPr>
            <w:r w:rsidRPr="009C2F01">
              <w:rPr>
                <w:sz w:val="20"/>
                <w:szCs w:val="20"/>
              </w:rPr>
              <w:t xml:space="preserve">              51.238.439 </w:t>
            </w:r>
          </w:p>
        </w:tc>
        <w:tc>
          <w:tcPr>
            <w:tcW w:w="1120" w:type="dxa"/>
            <w:tcBorders>
              <w:top w:val="nil"/>
              <w:left w:val="nil"/>
              <w:bottom w:val="single" w:sz="4" w:space="0" w:color="auto"/>
              <w:right w:val="single" w:sz="4" w:space="0" w:color="auto"/>
            </w:tcBorders>
            <w:shd w:val="clear" w:color="auto" w:fill="auto"/>
            <w:noWrap/>
            <w:vAlign w:val="center"/>
            <w:hideMark/>
          </w:tcPr>
          <w:p w14:paraId="796CA18A" w14:textId="77777777" w:rsidR="009C2F01" w:rsidRPr="009C2F01" w:rsidRDefault="009C2F01" w:rsidP="00895FD8">
            <w:pPr>
              <w:spacing w:line="240" w:lineRule="auto"/>
              <w:ind w:firstLineChars="100" w:firstLine="200"/>
              <w:jc w:val="right"/>
              <w:rPr>
                <w:sz w:val="20"/>
                <w:szCs w:val="20"/>
              </w:rPr>
            </w:pPr>
            <w:r w:rsidRPr="009C2F01">
              <w:rPr>
                <w:sz w:val="20"/>
                <w:szCs w:val="20"/>
              </w:rPr>
              <w:t>100,0%</w:t>
            </w:r>
          </w:p>
        </w:tc>
      </w:tr>
    </w:tbl>
    <w:p w14:paraId="311A3BC1" w14:textId="497F76D2" w:rsidR="00AF7A2D" w:rsidRPr="00E25E91" w:rsidRDefault="00B50AF8" w:rsidP="00DA3B92">
      <w:pPr>
        <w:jc w:val="center"/>
        <w:rPr>
          <w:sz w:val="18"/>
          <w:szCs w:val="18"/>
        </w:rPr>
      </w:pPr>
      <w:r w:rsidRPr="00E25E91">
        <w:rPr>
          <w:sz w:val="18"/>
          <w:szCs w:val="18"/>
        </w:rPr>
        <w:t xml:space="preserve">Fuente: </w:t>
      </w:r>
      <w:r w:rsidR="004D76E7">
        <w:rPr>
          <w:sz w:val="18"/>
          <w:szCs w:val="18"/>
        </w:rPr>
        <w:t>ABC</w:t>
      </w:r>
    </w:p>
    <w:p w14:paraId="567317CE" w14:textId="77777777" w:rsidR="00AF7A2D" w:rsidRDefault="00AF7A2D" w:rsidP="00E25E91"/>
    <w:p w14:paraId="1865189F" w14:textId="474D7E42" w:rsidR="00AF7A2D" w:rsidRDefault="00E25E91" w:rsidP="00E25E91">
      <w:r>
        <w:t xml:space="preserve">El proyecto tiene un costo de US$ </w:t>
      </w:r>
      <w:r w:rsidR="00AC7B9F">
        <w:t>51,2</w:t>
      </w:r>
      <w:r>
        <w:t xml:space="preserve"> millones de dólares, </w:t>
      </w:r>
      <w:r w:rsidR="000B3B37">
        <w:t>lo que incluye el valor de obra, administración, ut</w:t>
      </w:r>
      <w:r w:rsidR="00AC7B9F">
        <w:t xml:space="preserve">ilidades, impuestos indirectos. A lo anterior se le adiciona en el estudio TESA: costos de supervisión (10% del costo de proyecto), costos de </w:t>
      </w:r>
      <w:r w:rsidR="00AC7B9F">
        <w:lastRenderedPageBreak/>
        <w:t xml:space="preserve">fiscalización (1,5% del costo de proyecto), e imprevistos </w:t>
      </w:r>
      <w:r w:rsidR="006F4907">
        <w:rPr>
          <w:rStyle w:val="FootnoteReference"/>
        </w:rPr>
        <w:footnoteReference w:id="19"/>
      </w:r>
      <w:r w:rsidR="00AC7B9F">
        <w:t xml:space="preserve">(15% del costo de proyecto, que incluye reserva para escalamiento e imprevistos); para un gran total de </w:t>
      </w:r>
      <w:r w:rsidR="00AC7B9F" w:rsidRPr="002032EA">
        <w:t>US$</w:t>
      </w:r>
      <w:r w:rsidR="00AC7B9F">
        <w:t xml:space="preserve"> 65,59 </w:t>
      </w:r>
      <w:r w:rsidR="00AC7B9F" w:rsidRPr="002032EA">
        <w:t>millones de dólares</w:t>
      </w:r>
      <w:r w:rsidR="00AC7B9F">
        <w:rPr>
          <w:rStyle w:val="FootnoteReference"/>
        </w:rPr>
        <w:footnoteReference w:id="20"/>
      </w:r>
      <w:r w:rsidR="00AC7B9F">
        <w:t>.</w:t>
      </w:r>
    </w:p>
    <w:p w14:paraId="796E5CFB" w14:textId="77777777" w:rsidR="00AF7A2D" w:rsidRDefault="00AF7A2D" w:rsidP="00E25E91"/>
    <w:p w14:paraId="44BBBAD4" w14:textId="4179C160" w:rsidR="00D07B4D" w:rsidRDefault="009C2F01">
      <w:r>
        <w:t>En cuanto al</w:t>
      </w:r>
      <w:r w:rsidRPr="002032EA">
        <w:t xml:space="preserve"> plazo de ejecución del proyecto </w:t>
      </w:r>
      <w:r>
        <w:t>se estima en 40 meses</w:t>
      </w:r>
      <w:r w:rsidRPr="002032EA">
        <w:t xml:space="preserve">, iniciando en el </w:t>
      </w:r>
      <w:r>
        <w:t>primer</w:t>
      </w:r>
      <w:r w:rsidRPr="002032EA">
        <w:t xml:space="preserve"> semestre</w:t>
      </w:r>
      <w:r>
        <w:t xml:space="preserve"> de 2018</w:t>
      </w:r>
      <w:r>
        <w:rPr>
          <w:rStyle w:val="FootnoteReference"/>
        </w:rPr>
        <w:footnoteReference w:id="21"/>
      </w:r>
      <w:r w:rsidR="00387D26">
        <w:t>, los cuales contemplan contingencia de paro de obra por periodo de lluvias</w:t>
      </w:r>
      <w:r>
        <w:rPr>
          <w:rStyle w:val="FootnoteReference"/>
        </w:rPr>
        <w:footnoteReference w:id="22"/>
      </w:r>
      <w:r w:rsidR="00387D26">
        <w:t>.</w:t>
      </w:r>
    </w:p>
    <w:p w14:paraId="4116C1E6" w14:textId="4AA93F88" w:rsidR="00A003A7" w:rsidRDefault="00277E7A" w:rsidP="00E25E91">
      <w:pPr>
        <w:pStyle w:val="Heading1"/>
      </w:pPr>
      <w:bookmarkStart w:id="28" w:name="_Toc484602609"/>
      <w:r>
        <w:t>Diagnó</w:t>
      </w:r>
      <w:r w:rsidR="00A003A7" w:rsidRPr="00A003A7">
        <w:t>stico</w:t>
      </w:r>
      <w:r>
        <w:t xml:space="preserve"> General de Costos</w:t>
      </w:r>
      <w:bookmarkEnd w:id="28"/>
    </w:p>
    <w:p w14:paraId="4BED5813" w14:textId="77777777" w:rsidR="00A003A7" w:rsidRDefault="00A003A7" w:rsidP="00E25E91"/>
    <w:p w14:paraId="0420CA30" w14:textId="5AFED5E8" w:rsidR="00112E1F" w:rsidRDefault="00112E1F" w:rsidP="00E25E91">
      <w:r>
        <w:t xml:space="preserve">En este numeral se presenta el </w:t>
      </w:r>
      <w:r w:rsidR="00BD4C1E">
        <w:t>diagnóstico</w:t>
      </w:r>
      <w:r>
        <w:t xml:space="preserve"> de costos encaminado a la identificación y cuantificación de costos adicionales, desarrollando los siguientes aspectos:</w:t>
      </w:r>
    </w:p>
    <w:p w14:paraId="6111BD9E" w14:textId="77777777" w:rsidR="00112E1F" w:rsidRDefault="00112E1F" w:rsidP="00E25E91"/>
    <w:p w14:paraId="69363D59" w14:textId="77777777" w:rsidR="00031240" w:rsidRDefault="00031240" w:rsidP="00C80569">
      <w:pPr>
        <w:pStyle w:val="ListParagraph"/>
        <w:numPr>
          <w:ilvl w:val="0"/>
          <w:numId w:val="8"/>
        </w:numPr>
      </w:pPr>
      <w:r>
        <w:t xml:space="preserve">Principales insumos y su incidencia en el presupuesto de referencia </w:t>
      </w:r>
    </w:p>
    <w:p w14:paraId="53C82A19" w14:textId="3529340D" w:rsidR="00112E1F" w:rsidRDefault="006E71F3" w:rsidP="00C80569">
      <w:pPr>
        <w:pStyle w:val="ListParagraph"/>
        <w:numPr>
          <w:ilvl w:val="0"/>
          <w:numId w:val="8"/>
        </w:numPr>
      </w:pPr>
      <w:r>
        <w:t>Variación entre precios de referencia</w:t>
      </w:r>
      <w:r w:rsidR="003216E7">
        <w:t xml:space="preserve"> del proyecto objeto de análisis y otros proyectos</w:t>
      </w:r>
      <w:r>
        <w:tab/>
      </w:r>
    </w:p>
    <w:p w14:paraId="12ECA7E4" w14:textId="5BC2CC58" w:rsidR="00AF7A2D" w:rsidRDefault="006E71F3" w:rsidP="00C80569">
      <w:pPr>
        <w:pStyle w:val="ListParagraph"/>
        <w:numPr>
          <w:ilvl w:val="0"/>
          <w:numId w:val="8"/>
        </w:numPr>
      </w:pPr>
      <w:r>
        <w:t>Variación de precios de mercado en el tiempo</w:t>
      </w:r>
      <w:r>
        <w:tab/>
      </w:r>
    </w:p>
    <w:p w14:paraId="026DE129" w14:textId="6411CA83" w:rsidR="00AF7A2D" w:rsidRDefault="006E71F3" w:rsidP="00C80569">
      <w:pPr>
        <w:pStyle w:val="ListParagraph"/>
        <w:numPr>
          <w:ilvl w:val="0"/>
          <w:numId w:val="8"/>
        </w:numPr>
      </w:pPr>
      <w:r>
        <w:t>Riesgo de costos adicionales</w:t>
      </w:r>
      <w:r>
        <w:tab/>
      </w:r>
    </w:p>
    <w:p w14:paraId="49AB5678" w14:textId="77777777" w:rsidR="002A78E2" w:rsidRDefault="002A78E2" w:rsidP="00E25E91"/>
    <w:p w14:paraId="6A03DF41" w14:textId="77777777" w:rsidR="00031240" w:rsidRDefault="00031240" w:rsidP="00031240">
      <w:pPr>
        <w:pStyle w:val="Heading2"/>
      </w:pPr>
      <w:bookmarkStart w:id="29" w:name="_Toc484602610"/>
      <w:r>
        <w:t>Principales Insumos y su Incidencia en el Presupuesto de Referencia</w:t>
      </w:r>
      <w:bookmarkEnd w:id="29"/>
    </w:p>
    <w:p w14:paraId="3198A3E5" w14:textId="77777777" w:rsidR="00031240" w:rsidRDefault="00031240" w:rsidP="00031240"/>
    <w:p w14:paraId="47D45584" w14:textId="62D76FD0" w:rsidR="00031240" w:rsidRDefault="00031240" w:rsidP="00031240">
      <w:r>
        <w:t xml:space="preserve">Como se mencionó anteriormente, el presupuesto del proyecto </w:t>
      </w:r>
      <w:r w:rsidR="00664967" w:rsidRPr="008375FD">
        <w:t>TRAMO MAIRANA-BERMEJO</w:t>
      </w:r>
      <w:r>
        <w:t>”</w:t>
      </w:r>
      <w:r w:rsidRPr="006B7695">
        <w:t xml:space="preserve"> </w:t>
      </w:r>
      <w:r>
        <w:t xml:space="preserve">proporcionado por </w:t>
      </w:r>
      <w:r w:rsidR="00664967" w:rsidRPr="00F864BB">
        <w:t>Administradora Boliviana de Carreteras</w:t>
      </w:r>
      <w:r w:rsidR="00664967">
        <w:t xml:space="preserve"> (ABC) </w:t>
      </w:r>
      <w:r>
        <w:t xml:space="preserve">se encuentra a un nivel de detalle de actividades y costos unitarios por insumo básico (materiales, mano de obra y equipos), lo que permite establecer su incidencia en el costo total del proyecto. Dicha identificación de insumos básicos y cuantificación de su incidencia, conlleva a la formulación de una ecuación de escalamiento, la cual se emplea para proyectar la variación del costo del proyecto en el plazo de ejecución de su construcción, motivada por la variación en el tiempo de los precios de mercado de los insumos básicos. </w:t>
      </w:r>
      <w:r w:rsidRPr="004B79F4">
        <w:t>En la siguiente tabla se presentan los resultados obtenidos:</w:t>
      </w:r>
    </w:p>
    <w:p w14:paraId="37E1942D" w14:textId="77777777" w:rsidR="00031240" w:rsidRDefault="00031240" w:rsidP="00031240"/>
    <w:p w14:paraId="43B549CC" w14:textId="77777777" w:rsidR="003B52D5" w:rsidRDefault="003B52D5">
      <w:pPr>
        <w:rPr>
          <w:b/>
          <w:bCs/>
          <w:color w:val="4F81BD" w:themeColor="accent1"/>
          <w:sz w:val="18"/>
          <w:szCs w:val="18"/>
        </w:rPr>
      </w:pPr>
      <w:bookmarkStart w:id="30" w:name="_Ref427640372"/>
      <w:bookmarkStart w:id="31" w:name="_Ref427635929"/>
      <w:bookmarkStart w:id="32" w:name="_Toc484602625"/>
      <w:r>
        <w:br w:type="page"/>
      </w:r>
    </w:p>
    <w:p w14:paraId="63FE596A" w14:textId="12C99FAD" w:rsidR="00031240" w:rsidRDefault="00031240" w:rsidP="00031240">
      <w:pPr>
        <w:pStyle w:val="Caption"/>
        <w:jc w:val="center"/>
      </w:pPr>
      <w:r>
        <w:lastRenderedPageBreak/>
        <w:t xml:space="preserve">Tabla </w:t>
      </w:r>
      <w:r>
        <w:fldChar w:fldCharType="begin"/>
      </w:r>
      <w:r>
        <w:instrText xml:space="preserve"> SEQ Tabla \* ARABIC </w:instrText>
      </w:r>
      <w:r>
        <w:fldChar w:fldCharType="separate"/>
      </w:r>
      <w:r w:rsidR="00011CB8">
        <w:rPr>
          <w:noProof/>
        </w:rPr>
        <w:t>5</w:t>
      </w:r>
      <w:r>
        <w:fldChar w:fldCharType="end"/>
      </w:r>
      <w:bookmarkEnd w:id="30"/>
      <w:r>
        <w:t>. Insumos Básicos e Incidencias</w:t>
      </w:r>
      <w:bookmarkEnd w:id="31"/>
      <w:bookmarkEnd w:id="32"/>
    </w:p>
    <w:tbl>
      <w:tblPr>
        <w:tblW w:w="6061" w:type="dxa"/>
        <w:tblInd w:w="846" w:type="dxa"/>
        <w:tblCellMar>
          <w:left w:w="70" w:type="dxa"/>
          <w:right w:w="70" w:type="dxa"/>
        </w:tblCellMar>
        <w:tblLook w:val="04A0" w:firstRow="1" w:lastRow="0" w:firstColumn="1" w:lastColumn="0" w:noHBand="0" w:noVBand="1"/>
      </w:tblPr>
      <w:tblGrid>
        <w:gridCol w:w="3921"/>
        <w:gridCol w:w="2140"/>
      </w:tblGrid>
      <w:tr w:rsidR="00550356" w:rsidRPr="00550356" w14:paraId="1DF52177" w14:textId="77777777" w:rsidTr="00BE1088">
        <w:trPr>
          <w:trHeight w:val="600"/>
          <w:tblHeader/>
        </w:trPr>
        <w:tc>
          <w:tcPr>
            <w:tcW w:w="3921" w:type="dxa"/>
            <w:tcBorders>
              <w:top w:val="single" w:sz="4" w:space="0" w:color="auto"/>
              <w:left w:val="single" w:sz="4" w:space="0" w:color="auto"/>
              <w:bottom w:val="single" w:sz="4" w:space="0" w:color="auto"/>
              <w:right w:val="single" w:sz="4" w:space="0" w:color="auto"/>
            </w:tcBorders>
            <w:shd w:val="clear" w:color="000000" w:fill="215967"/>
            <w:vAlign w:val="center"/>
            <w:hideMark/>
          </w:tcPr>
          <w:p w14:paraId="1DC60BDE" w14:textId="77777777" w:rsidR="00550356" w:rsidRPr="000B2591" w:rsidRDefault="00550356" w:rsidP="00550356">
            <w:pPr>
              <w:spacing w:line="240" w:lineRule="auto"/>
              <w:ind w:left="69"/>
              <w:jc w:val="center"/>
              <w:rPr>
                <w:b/>
                <w:bCs/>
                <w:color w:val="FFFFFF"/>
                <w:sz w:val="20"/>
                <w:szCs w:val="20"/>
              </w:rPr>
            </w:pPr>
            <w:r w:rsidRPr="000B2591">
              <w:rPr>
                <w:b/>
                <w:bCs/>
                <w:color w:val="FFFFFF"/>
                <w:sz w:val="20"/>
                <w:szCs w:val="20"/>
              </w:rPr>
              <w:t>MATERIAL</w:t>
            </w:r>
          </w:p>
        </w:tc>
        <w:tc>
          <w:tcPr>
            <w:tcW w:w="2140" w:type="dxa"/>
            <w:tcBorders>
              <w:top w:val="single" w:sz="4" w:space="0" w:color="auto"/>
              <w:left w:val="nil"/>
              <w:bottom w:val="single" w:sz="4" w:space="0" w:color="auto"/>
              <w:right w:val="single" w:sz="4" w:space="0" w:color="auto"/>
            </w:tcBorders>
            <w:shd w:val="clear" w:color="000000" w:fill="215967"/>
            <w:noWrap/>
            <w:vAlign w:val="center"/>
            <w:hideMark/>
          </w:tcPr>
          <w:p w14:paraId="51C216E5" w14:textId="77777777" w:rsidR="00550356" w:rsidRPr="000B2591" w:rsidRDefault="00550356" w:rsidP="00550356">
            <w:pPr>
              <w:spacing w:line="240" w:lineRule="auto"/>
              <w:jc w:val="center"/>
              <w:rPr>
                <w:b/>
                <w:bCs/>
                <w:color w:val="FFFFFF"/>
                <w:sz w:val="20"/>
                <w:szCs w:val="20"/>
              </w:rPr>
            </w:pPr>
            <w:r w:rsidRPr="000B2591">
              <w:rPr>
                <w:b/>
                <w:bCs/>
                <w:color w:val="FFFFFF"/>
                <w:sz w:val="20"/>
                <w:szCs w:val="20"/>
              </w:rPr>
              <w:t>TOTAL PROYECTO</w:t>
            </w:r>
          </w:p>
        </w:tc>
      </w:tr>
      <w:tr w:rsidR="00550356" w:rsidRPr="00550356" w14:paraId="5881A447" w14:textId="77777777" w:rsidTr="00550356">
        <w:trPr>
          <w:trHeight w:val="300"/>
        </w:trPr>
        <w:tc>
          <w:tcPr>
            <w:tcW w:w="3921" w:type="dxa"/>
            <w:tcBorders>
              <w:top w:val="nil"/>
              <w:left w:val="single" w:sz="4" w:space="0" w:color="auto"/>
              <w:bottom w:val="single" w:sz="4" w:space="0" w:color="auto"/>
              <w:right w:val="single" w:sz="4" w:space="0" w:color="auto"/>
            </w:tcBorders>
            <w:shd w:val="clear" w:color="auto" w:fill="auto"/>
            <w:vAlign w:val="center"/>
            <w:hideMark/>
          </w:tcPr>
          <w:p w14:paraId="601196A3" w14:textId="788A00C3" w:rsidR="00550356" w:rsidRPr="000B2591" w:rsidRDefault="000B2591" w:rsidP="00550356">
            <w:pPr>
              <w:spacing w:line="240" w:lineRule="auto"/>
              <w:jc w:val="left"/>
              <w:rPr>
                <w:sz w:val="20"/>
                <w:szCs w:val="20"/>
              </w:rPr>
            </w:pPr>
            <w:r w:rsidRPr="000B2591">
              <w:rPr>
                <w:sz w:val="20"/>
                <w:szCs w:val="20"/>
              </w:rPr>
              <w:t>Cemento asfaltico con polímero</w:t>
            </w:r>
          </w:p>
        </w:tc>
        <w:tc>
          <w:tcPr>
            <w:tcW w:w="2140" w:type="dxa"/>
            <w:tcBorders>
              <w:top w:val="nil"/>
              <w:left w:val="nil"/>
              <w:bottom w:val="single" w:sz="4" w:space="0" w:color="auto"/>
              <w:right w:val="single" w:sz="4" w:space="0" w:color="auto"/>
            </w:tcBorders>
            <w:shd w:val="clear" w:color="auto" w:fill="auto"/>
            <w:noWrap/>
            <w:vAlign w:val="bottom"/>
            <w:hideMark/>
          </w:tcPr>
          <w:p w14:paraId="1DCCE533" w14:textId="77777777" w:rsidR="00550356" w:rsidRPr="000B2591" w:rsidRDefault="00550356" w:rsidP="00550356">
            <w:pPr>
              <w:spacing w:line="240" w:lineRule="auto"/>
              <w:jc w:val="right"/>
              <w:rPr>
                <w:color w:val="000000"/>
                <w:sz w:val="20"/>
                <w:szCs w:val="20"/>
              </w:rPr>
            </w:pPr>
            <w:r w:rsidRPr="000B2591">
              <w:rPr>
                <w:color w:val="000000"/>
                <w:sz w:val="20"/>
                <w:szCs w:val="20"/>
              </w:rPr>
              <w:t>15,17%</w:t>
            </w:r>
          </w:p>
        </w:tc>
      </w:tr>
      <w:tr w:rsidR="00550356" w:rsidRPr="00550356" w14:paraId="6C12BA6D" w14:textId="77777777" w:rsidTr="00550356">
        <w:trPr>
          <w:trHeight w:val="300"/>
        </w:trPr>
        <w:tc>
          <w:tcPr>
            <w:tcW w:w="3921" w:type="dxa"/>
            <w:tcBorders>
              <w:top w:val="nil"/>
              <w:left w:val="single" w:sz="4" w:space="0" w:color="auto"/>
              <w:bottom w:val="single" w:sz="4" w:space="0" w:color="auto"/>
              <w:right w:val="single" w:sz="4" w:space="0" w:color="auto"/>
            </w:tcBorders>
            <w:shd w:val="clear" w:color="auto" w:fill="auto"/>
            <w:vAlign w:val="center"/>
            <w:hideMark/>
          </w:tcPr>
          <w:p w14:paraId="00880DF7" w14:textId="7FCF22DD" w:rsidR="00550356" w:rsidRPr="000B2591" w:rsidRDefault="000B2591" w:rsidP="00550356">
            <w:pPr>
              <w:spacing w:line="240" w:lineRule="auto"/>
              <w:jc w:val="left"/>
              <w:rPr>
                <w:sz w:val="20"/>
                <w:szCs w:val="20"/>
              </w:rPr>
            </w:pPr>
            <w:r w:rsidRPr="000B2591">
              <w:rPr>
                <w:sz w:val="20"/>
                <w:szCs w:val="20"/>
              </w:rPr>
              <w:t>Cemento portland</w:t>
            </w:r>
          </w:p>
        </w:tc>
        <w:tc>
          <w:tcPr>
            <w:tcW w:w="2140" w:type="dxa"/>
            <w:tcBorders>
              <w:top w:val="nil"/>
              <w:left w:val="nil"/>
              <w:bottom w:val="single" w:sz="4" w:space="0" w:color="auto"/>
              <w:right w:val="single" w:sz="4" w:space="0" w:color="auto"/>
            </w:tcBorders>
            <w:shd w:val="clear" w:color="auto" w:fill="auto"/>
            <w:noWrap/>
            <w:vAlign w:val="bottom"/>
            <w:hideMark/>
          </w:tcPr>
          <w:p w14:paraId="7E8C6BDB" w14:textId="77777777" w:rsidR="00550356" w:rsidRPr="000B2591" w:rsidRDefault="00550356" w:rsidP="00550356">
            <w:pPr>
              <w:spacing w:line="240" w:lineRule="auto"/>
              <w:jc w:val="right"/>
              <w:rPr>
                <w:color w:val="000000"/>
                <w:sz w:val="20"/>
                <w:szCs w:val="20"/>
              </w:rPr>
            </w:pPr>
            <w:r w:rsidRPr="000B2591">
              <w:rPr>
                <w:color w:val="000000"/>
                <w:sz w:val="20"/>
                <w:szCs w:val="20"/>
              </w:rPr>
              <w:t>7,66%</w:t>
            </w:r>
          </w:p>
        </w:tc>
      </w:tr>
      <w:tr w:rsidR="00550356" w:rsidRPr="00550356" w14:paraId="612F0499" w14:textId="77777777" w:rsidTr="00550356">
        <w:trPr>
          <w:trHeight w:val="300"/>
        </w:trPr>
        <w:tc>
          <w:tcPr>
            <w:tcW w:w="3921" w:type="dxa"/>
            <w:tcBorders>
              <w:top w:val="nil"/>
              <w:left w:val="single" w:sz="4" w:space="0" w:color="auto"/>
              <w:bottom w:val="single" w:sz="4" w:space="0" w:color="auto"/>
              <w:right w:val="single" w:sz="4" w:space="0" w:color="auto"/>
            </w:tcBorders>
            <w:shd w:val="clear" w:color="auto" w:fill="auto"/>
            <w:vAlign w:val="center"/>
            <w:hideMark/>
          </w:tcPr>
          <w:p w14:paraId="2586D55F" w14:textId="62F5413C" w:rsidR="00550356" w:rsidRPr="000B2591" w:rsidRDefault="000B2591" w:rsidP="00550356">
            <w:pPr>
              <w:spacing w:line="240" w:lineRule="auto"/>
              <w:jc w:val="left"/>
              <w:rPr>
                <w:sz w:val="20"/>
                <w:szCs w:val="20"/>
              </w:rPr>
            </w:pPr>
            <w:r w:rsidRPr="000B2591">
              <w:rPr>
                <w:sz w:val="20"/>
                <w:szCs w:val="20"/>
              </w:rPr>
              <w:t>Fierro (acero</w:t>
            </w:r>
            <w:r w:rsidR="007D473D" w:rsidRPr="000B2591">
              <w:rPr>
                <w:sz w:val="20"/>
                <w:szCs w:val="20"/>
              </w:rPr>
              <w:t>)</w:t>
            </w:r>
            <w:r w:rsidRPr="000B2591">
              <w:rPr>
                <w:sz w:val="20"/>
                <w:szCs w:val="20"/>
              </w:rPr>
              <w:t xml:space="preserve"> corrugado</w:t>
            </w:r>
          </w:p>
        </w:tc>
        <w:tc>
          <w:tcPr>
            <w:tcW w:w="2140" w:type="dxa"/>
            <w:tcBorders>
              <w:top w:val="nil"/>
              <w:left w:val="nil"/>
              <w:bottom w:val="single" w:sz="4" w:space="0" w:color="auto"/>
              <w:right w:val="single" w:sz="4" w:space="0" w:color="auto"/>
            </w:tcBorders>
            <w:shd w:val="clear" w:color="auto" w:fill="auto"/>
            <w:noWrap/>
            <w:vAlign w:val="bottom"/>
            <w:hideMark/>
          </w:tcPr>
          <w:p w14:paraId="40B45509" w14:textId="77777777" w:rsidR="00550356" w:rsidRPr="000B2591" w:rsidRDefault="00550356" w:rsidP="00550356">
            <w:pPr>
              <w:spacing w:line="240" w:lineRule="auto"/>
              <w:jc w:val="right"/>
              <w:rPr>
                <w:color w:val="000000"/>
                <w:sz w:val="20"/>
                <w:szCs w:val="20"/>
              </w:rPr>
            </w:pPr>
            <w:r w:rsidRPr="000B2591">
              <w:rPr>
                <w:color w:val="000000"/>
                <w:sz w:val="20"/>
                <w:szCs w:val="20"/>
              </w:rPr>
              <w:t>1,91%</w:t>
            </w:r>
          </w:p>
        </w:tc>
      </w:tr>
      <w:tr w:rsidR="00550356" w:rsidRPr="00550356" w14:paraId="3C2DA62D" w14:textId="77777777" w:rsidTr="00550356">
        <w:trPr>
          <w:trHeight w:val="300"/>
        </w:trPr>
        <w:tc>
          <w:tcPr>
            <w:tcW w:w="3921" w:type="dxa"/>
            <w:tcBorders>
              <w:top w:val="nil"/>
              <w:left w:val="single" w:sz="4" w:space="0" w:color="auto"/>
              <w:bottom w:val="single" w:sz="4" w:space="0" w:color="auto"/>
              <w:right w:val="single" w:sz="4" w:space="0" w:color="auto"/>
            </w:tcBorders>
            <w:shd w:val="clear" w:color="auto" w:fill="auto"/>
            <w:vAlign w:val="center"/>
            <w:hideMark/>
          </w:tcPr>
          <w:p w14:paraId="63D0429D" w14:textId="77008F8B" w:rsidR="00550356" w:rsidRPr="000B2591" w:rsidRDefault="000B2591" w:rsidP="00550356">
            <w:pPr>
              <w:spacing w:line="240" w:lineRule="auto"/>
              <w:jc w:val="left"/>
              <w:rPr>
                <w:sz w:val="20"/>
                <w:szCs w:val="20"/>
              </w:rPr>
            </w:pPr>
            <w:r w:rsidRPr="000B2591">
              <w:rPr>
                <w:sz w:val="20"/>
                <w:szCs w:val="20"/>
              </w:rPr>
              <w:t>Asfalto diluido</w:t>
            </w:r>
          </w:p>
        </w:tc>
        <w:tc>
          <w:tcPr>
            <w:tcW w:w="2140" w:type="dxa"/>
            <w:tcBorders>
              <w:top w:val="nil"/>
              <w:left w:val="nil"/>
              <w:bottom w:val="single" w:sz="4" w:space="0" w:color="auto"/>
              <w:right w:val="single" w:sz="4" w:space="0" w:color="auto"/>
            </w:tcBorders>
            <w:shd w:val="clear" w:color="auto" w:fill="auto"/>
            <w:noWrap/>
            <w:vAlign w:val="bottom"/>
            <w:hideMark/>
          </w:tcPr>
          <w:p w14:paraId="4798637E" w14:textId="77777777" w:rsidR="00550356" w:rsidRPr="000B2591" w:rsidRDefault="00550356" w:rsidP="00550356">
            <w:pPr>
              <w:spacing w:line="240" w:lineRule="auto"/>
              <w:jc w:val="right"/>
              <w:rPr>
                <w:color w:val="000000"/>
                <w:sz w:val="20"/>
                <w:szCs w:val="20"/>
              </w:rPr>
            </w:pPr>
            <w:r w:rsidRPr="000B2591">
              <w:rPr>
                <w:color w:val="000000"/>
                <w:sz w:val="20"/>
                <w:szCs w:val="20"/>
              </w:rPr>
              <w:t>1,73%</w:t>
            </w:r>
          </w:p>
        </w:tc>
      </w:tr>
      <w:tr w:rsidR="00550356" w:rsidRPr="00550356" w14:paraId="26875F02" w14:textId="77777777" w:rsidTr="00550356">
        <w:trPr>
          <w:trHeight w:val="300"/>
        </w:trPr>
        <w:tc>
          <w:tcPr>
            <w:tcW w:w="3921" w:type="dxa"/>
            <w:tcBorders>
              <w:top w:val="nil"/>
              <w:left w:val="single" w:sz="4" w:space="0" w:color="auto"/>
              <w:bottom w:val="single" w:sz="4" w:space="0" w:color="auto"/>
              <w:right w:val="single" w:sz="4" w:space="0" w:color="auto"/>
            </w:tcBorders>
            <w:shd w:val="clear" w:color="auto" w:fill="auto"/>
            <w:vAlign w:val="center"/>
            <w:hideMark/>
          </w:tcPr>
          <w:p w14:paraId="3E4CD82D" w14:textId="02271B3B" w:rsidR="00550356" w:rsidRPr="000B2591" w:rsidRDefault="000B2591" w:rsidP="00550356">
            <w:pPr>
              <w:spacing w:line="240" w:lineRule="auto"/>
              <w:jc w:val="left"/>
              <w:rPr>
                <w:sz w:val="20"/>
                <w:szCs w:val="20"/>
              </w:rPr>
            </w:pPr>
            <w:r w:rsidRPr="000B2591">
              <w:rPr>
                <w:sz w:val="20"/>
                <w:szCs w:val="20"/>
              </w:rPr>
              <w:t>Otros</w:t>
            </w:r>
          </w:p>
        </w:tc>
        <w:tc>
          <w:tcPr>
            <w:tcW w:w="2140" w:type="dxa"/>
            <w:tcBorders>
              <w:top w:val="nil"/>
              <w:left w:val="nil"/>
              <w:bottom w:val="single" w:sz="4" w:space="0" w:color="auto"/>
              <w:right w:val="single" w:sz="4" w:space="0" w:color="auto"/>
            </w:tcBorders>
            <w:shd w:val="clear" w:color="auto" w:fill="auto"/>
            <w:noWrap/>
            <w:vAlign w:val="bottom"/>
            <w:hideMark/>
          </w:tcPr>
          <w:p w14:paraId="250E094C" w14:textId="1147759F" w:rsidR="00550356" w:rsidRPr="000B2591" w:rsidRDefault="00550356" w:rsidP="00550356">
            <w:pPr>
              <w:spacing w:line="240" w:lineRule="auto"/>
              <w:jc w:val="right"/>
              <w:rPr>
                <w:color w:val="000000"/>
                <w:sz w:val="20"/>
                <w:szCs w:val="20"/>
              </w:rPr>
            </w:pPr>
            <w:r w:rsidRPr="000B2591">
              <w:rPr>
                <w:color w:val="000000"/>
                <w:sz w:val="20"/>
                <w:szCs w:val="20"/>
              </w:rPr>
              <w:t>7,34%</w:t>
            </w:r>
          </w:p>
        </w:tc>
      </w:tr>
      <w:tr w:rsidR="00550356" w:rsidRPr="00550356" w14:paraId="45856FF0" w14:textId="77777777" w:rsidTr="00162B13">
        <w:trPr>
          <w:trHeight w:val="300"/>
        </w:trPr>
        <w:tc>
          <w:tcPr>
            <w:tcW w:w="3921" w:type="dxa"/>
            <w:tcBorders>
              <w:top w:val="nil"/>
              <w:left w:val="single" w:sz="4" w:space="0" w:color="auto"/>
              <w:bottom w:val="single" w:sz="4" w:space="0" w:color="auto"/>
              <w:right w:val="single" w:sz="4" w:space="0" w:color="auto"/>
            </w:tcBorders>
            <w:shd w:val="clear" w:color="000000" w:fill="DAEEF3"/>
            <w:vAlign w:val="center"/>
            <w:hideMark/>
          </w:tcPr>
          <w:p w14:paraId="3254A49F" w14:textId="78AD8D28" w:rsidR="00550356" w:rsidRPr="000B2591" w:rsidRDefault="00550356" w:rsidP="00550356">
            <w:pPr>
              <w:spacing w:line="240" w:lineRule="auto"/>
              <w:jc w:val="left"/>
              <w:rPr>
                <w:sz w:val="20"/>
                <w:szCs w:val="20"/>
              </w:rPr>
            </w:pPr>
            <w:r w:rsidRPr="000B2591">
              <w:rPr>
                <w:b/>
                <w:bCs/>
                <w:sz w:val="20"/>
                <w:szCs w:val="20"/>
              </w:rPr>
              <w:t>TOTAL MATERIAL</w:t>
            </w:r>
          </w:p>
        </w:tc>
        <w:tc>
          <w:tcPr>
            <w:tcW w:w="2140" w:type="dxa"/>
            <w:tcBorders>
              <w:top w:val="nil"/>
              <w:left w:val="nil"/>
              <w:bottom w:val="single" w:sz="4" w:space="0" w:color="auto"/>
              <w:right w:val="single" w:sz="4" w:space="0" w:color="auto"/>
            </w:tcBorders>
            <w:shd w:val="clear" w:color="000000" w:fill="DAEEF3"/>
            <w:noWrap/>
            <w:vAlign w:val="bottom"/>
            <w:hideMark/>
          </w:tcPr>
          <w:p w14:paraId="743C39E1" w14:textId="560085FA" w:rsidR="00550356" w:rsidRPr="000B2591" w:rsidRDefault="00550356" w:rsidP="00550356">
            <w:pPr>
              <w:spacing w:line="240" w:lineRule="auto"/>
              <w:jc w:val="right"/>
              <w:rPr>
                <w:color w:val="000000"/>
                <w:sz w:val="20"/>
                <w:szCs w:val="20"/>
              </w:rPr>
            </w:pPr>
            <w:r w:rsidRPr="000B2591">
              <w:rPr>
                <w:b/>
                <w:bCs/>
                <w:sz w:val="20"/>
                <w:szCs w:val="20"/>
              </w:rPr>
              <w:t>33,82%</w:t>
            </w:r>
          </w:p>
        </w:tc>
      </w:tr>
      <w:tr w:rsidR="00550356" w:rsidRPr="00550356" w14:paraId="77BA964E" w14:textId="77777777" w:rsidTr="00162B13">
        <w:trPr>
          <w:trHeight w:val="300"/>
        </w:trPr>
        <w:tc>
          <w:tcPr>
            <w:tcW w:w="3921" w:type="dxa"/>
            <w:tcBorders>
              <w:top w:val="nil"/>
              <w:left w:val="single" w:sz="4" w:space="0" w:color="auto"/>
              <w:bottom w:val="single" w:sz="4" w:space="0" w:color="auto"/>
              <w:right w:val="single" w:sz="4" w:space="0" w:color="auto"/>
            </w:tcBorders>
            <w:shd w:val="clear" w:color="auto" w:fill="auto"/>
            <w:vAlign w:val="bottom"/>
            <w:hideMark/>
          </w:tcPr>
          <w:p w14:paraId="2B242620" w14:textId="176547E4" w:rsidR="00550356" w:rsidRPr="000B2591" w:rsidRDefault="00550356" w:rsidP="00550356">
            <w:pPr>
              <w:spacing w:line="240" w:lineRule="auto"/>
              <w:jc w:val="left"/>
              <w:rPr>
                <w:sz w:val="20"/>
                <w:szCs w:val="20"/>
              </w:rPr>
            </w:pPr>
            <w:r w:rsidRPr="000B2591">
              <w:rPr>
                <w:color w:val="000000"/>
                <w:sz w:val="20"/>
                <w:szCs w:val="20"/>
              </w:rPr>
              <w:t>Equipo y Herramientas</w:t>
            </w:r>
          </w:p>
        </w:tc>
        <w:tc>
          <w:tcPr>
            <w:tcW w:w="2140" w:type="dxa"/>
            <w:tcBorders>
              <w:top w:val="nil"/>
              <w:left w:val="nil"/>
              <w:bottom w:val="single" w:sz="4" w:space="0" w:color="auto"/>
              <w:right w:val="single" w:sz="4" w:space="0" w:color="auto"/>
            </w:tcBorders>
            <w:shd w:val="clear" w:color="auto" w:fill="auto"/>
            <w:noWrap/>
            <w:vAlign w:val="bottom"/>
            <w:hideMark/>
          </w:tcPr>
          <w:p w14:paraId="24D76E98" w14:textId="0C0032A7" w:rsidR="00550356" w:rsidRPr="000B2591" w:rsidRDefault="00550356" w:rsidP="00550356">
            <w:pPr>
              <w:spacing w:line="240" w:lineRule="auto"/>
              <w:jc w:val="right"/>
              <w:rPr>
                <w:color w:val="000000"/>
                <w:sz w:val="20"/>
                <w:szCs w:val="20"/>
              </w:rPr>
            </w:pPr>
            <w:r w:rsidRPr="000B2591">
              <w:rPr>
                <w:color w:val="000000"/>
                <w:sz w:val="20"/>
                <w:szCs w:val="20"/>
              </w:rPr>
              <w:t>24,26%</w:t>
            </w:r>
          </w:p>
        </w:tc>
      </w:tr>
      <w:tr w:rsidR="00550356" w:rsidRPr="00550356" w14:paraId="0737C4DF" w14:textId="77777777" w:rsidTr="00162B13">
        <w:trPr>
          <w:trHeight w:val="300"/>
        </w:trPr>
        <w:tc>
          <w:tcPr>
            <w:tcW w:w="3921" w:type="dxa"/>
            <w:tcBorders>
              <w:top w:val="nil"/>
              <w:left w:val="single" w:sz="4" w:space="0" w:color="auto"/>
              <w:bottom w:val="single" w:sz="4" w:space="0" w:color="auto"/>
              <w:right w:val="single" w:sz="4" w:space="0" w:color="auto"/>
            </w:tcBorders>
            <w:shd w:val="clear" w:color="000000" w:fill="FDE9D9"/>
            <w:vAlign w:val="bottom"/>
            <w:hideMark/>
          </w:tcPr>
          <w:p w14:paraId="4C252D6A" w14:textId="6E7A47DF" w:rsidR="00550356" w:rsidRPr="000B2591" w:rsidRDefault="00550356" w:rsidP="00550356">
            <w:pPr>
              <w:spacing w:line="240" w:lineRule="auto"/>
              <w:jc w:val="left"/>
              <w:rPr>
                <w:sz w:val="20"/>
                <w:szCs w:val="20"/>
              </w:rPr>
            </w:pPr>
            <w:r w:rsidRPr="000B2591">
              <w:rPr>
                <w:color w:val="000000"/>
                <w:sz w:val="20"/>
                <w:szCs w:val="20"/>
              </w:rPr>
              <w:t>Gastos Generales</w:t>
            </w:r>
          </w:p>
        </w:tc>
        <w:tc>
          <w:tcPr>
            <w:tcW w:w="2140" w:type="dxa"/>
            <w:tcBorders>
              <w:top w:val="nil"/>
              <w:left w:val="nil"/>
              <w:bottom w:val="single" w:sz="4" w:space="0" w:color="auto"/>
              <w:right w:val="single" w:sz="4" w:space="0" w:color="auto"/>
            </w:tcBorders>
            <w:shd w:val="clear" w:color="000000" w:fill="FDE9D9"/>
            <w:noWrap/>
            <w:vAlign w:val="bottom"/>
            <w:hideMark/>
          </w:tcPr>
          <w:p w14:paraId="494C17BF" w14:textId="5BAB3473" w:rsidR="00550356" w:rsidRPr="000B2591" w:rsidRDefault="00550356" w:rsidP="00550356">
            <w:pPr>
              <w:spacing w:line="240" w:lineRule="auto"/>
              <w:jc w:val="right"/>
              <w:rPr>
                <w:color w:val="000000"/>
                <w:sz w:val="20"/>
                <w:szCs w:val="20"/>
              </w:rPr>
            </w:pPr>
            <w:r w:rsidRPr="000B2591">
              <w:rPr>
                <w:color w:val="000000"/>
                <w:sz w:val="20"/>
                <w:szCs w:val="20"/>
              </w:rPr>
              <w:t>13,49%</w:t>
            </w:r>
          </w:p>
        </w:tc>
      </w:tr>
      <w:tr w:rsidR="00550356" w:rsidRPr="00550356" w14:paraId="17C3772B" w14:textId="77777777" w:rsidTr="00162B13">
        <w:trPr>
          <w:trHeight w:val="300"/>
        </w:trPr>
        <w:tc>
          <w:tcPr>
            <w:tcW w:w="3921" w:type="dxa"/>
            <w:tcBorders>
              <w:top w:val="nil"/>
              <w:left w:val="single" w:sz="4" w:space="0" w:color="auto"/>
              <w:bottom w:val="single" w:sz="4" w:space="0" w:color="auto"/>
              <w:right w:val="single" w:sz="4" w:space="0" w:color="auto"/>
            </w:tcBorders>
            <w:shd w:val="clear" w:color="auto" w:fill="auto"/>
            <w:vAlign w:val="bottom"/>
            <w:hideMark/>
          </w:tcPr>
          <w:p w14:paraId="162210F5" w14:textId="77777777" w:rsidR="007D473D" w:rsidRPr="000B2591" w:rsidRDefault="00550356" w:rsidP="00550356">
            <w:pPr>
              <w:spacing w:line="240" w:lineRule="auto"/>
              <w:jc w:val="left"/>
              <w:rPr>
                <w:color w:val="000000"/>
                <w:sz w:val="20"/>
                <w:szCs w:val="20"/>
              </w:rPr>
            </w:pPr>
            <w:r w:rsidRPr="000B2591">
              <w:rPr>
                <w:color w:val="000000"/>
                <w:sz w:val="20"/>
                <w:szCs w:val="20"/>
              </w:rPr>
              <w:t>Mano de Obra</w:t>
            </w:r>
            <w:r w:rsidR="007D473D" w:rsidRPr="000B2591">
              <w:rPr>
                <w:color w:val="000000"/>
                <w:sz w:val="20"/>
                <w:szCs w:val="20"/>
              </w:rPr>
              <w:t xml:space="preserve"> Calificada</w:t>
            </w:r>
            <w:r w:rsidRPr="000B2591">
              <w:rPr>
                <w:color w:val="000000"/>
                <w:sz w:val="20"/>
                <w:szCs w:val="20"/>
              </w:rPr>
              <w:t xml:space="preserve"> </w:t>
            </w:r>
          </w:p>
          <w:p w14:paraId="01884142" w14:textId="27417B40" w:rsidR="00550356" w:rsidRPr="000B2591" w:rsidRDefault="00550356" w:rsidP="00550356">
            <w:pPr>
              <w:spacing w:line="240" w:lineRule="auto"/>
              <w:jc w:val="left"/>
              <w:rPr>
                <w:sz w:val="20"/>
                <w:szCs w:val="20"/>
              </w:rPr>
            </w:pPr>
            <w:r w:rsidRPr="000B2591">
              <w:rPr>
                <w:color w:val="000000"/>
                <w:sz w:val="20"/>
                <w:szCs w:val="20"/>
              </w:rPr>
              <w:t>+ Cargas Sociales + IVA</w:t>
            </w:r>
          </w:p>
        </w:tc>
        <w:tc>
          <w:tcPr>
            <w:tcW w:w="2140" w:type="dxa"/>
            <w:tcBorders>
              <w:top w:val="nil"/>
              <w:left w:val="nil"/>
              <w:bottom w:val="single" w:sz="4" w:space="0" w:color="auto"/>
              <w:right w:val="single" w:sz="4" w:space="0" w:color="auto"/>
            </w:tcBorders>
            <w:shd w:val="clear" w:color="auto" w:fill="auto"/>
            <w:noWrap/>
            <w:vAlign w:val="bottom"/>
            <w:hideMark/>
          </w:tcPr>
          <w:p w14:paraId="633C34D3" w14:textId="4CEFCA28" w:rsidR="00550356" w:rsidRPr="000B2591" w:rsidRDefault="00550356" w:rsidP="00550356">
            <w:pPr>
              <w:spacing w:line="240" w:lineRule="auto"/>
              <w:jc w:val="right"/>
              <w:rPr>
                <w:color w:val="000000"/>
                <w:sz w:val="20"/>
                <w:szCs w:val="20"/>
              </w:rPr>
            </w:pPr>
            <w:r w:rsidRPr="000B2591">
              <w:rPr>
                <w:color w:val="000000"/>
                <w:sz w:val="20"/>
                <w:szCs w:val="20"/>
              </w:rPr>
              <w:t>8,86%</w:t>
            </w:r>
          </w:p>
        </w:tc>
      </w:tr>
      <w:tr w:rsidR="00550356" w:rsidRPr="00550356" w14:paraId="0F4F4B85" w14:textId="77777777" w:rsidTr="00162B13">
        <w:trPr>
          <w:trHeight w:val="300"/>
        </w:trPr>
        <w:tc>
          <w:tcPr>
            <w:tcW w:w="3921" w:type="dxa"/>
            <w:tcBorders>
              <w:top w:val="nil"/>
              <w:left w:val="single" w:sz="4" w:space="0" w:color="auto"/>
              <w:bottom w:val="single" w:sz="4" w:space="0" w:color="auto"/>
              <w:right w:val="single" w:sz="4" w:space="0" w:color="auto"/>
            </w:tcBorders>
            <w:shd w:val="clear" w:color="auto" w:fill="auto"/>
            <w:vAlign w:val="bottom"/>
            <w:hideMark/>
          </w:tcPr>
          <w:p w14:paraId="4052FDB9" w14:textId="77777777" w:rsidR="007D473D" w:rsidRPr="000B2591" w:rsidRDefault="00550356" w:rsidP="00550356">
            <w:pPr>
              <w:spacing w:line="240" w:lineRule="auto"/>
              <w:jc w:val="left"/>
              <w:rPr>
                <w:color w:val="000000"/>
                <w:sz w:val="20"/>
                <w:szCs w:val="20"/>
              </w:rPr>
            </w:pPr>
            <w:r w:rsidRPr="000B2591">
              <w:rPr>
                <w:color w:val="000000"/>
                <w:sz w:val="20"/>
                <w:szCs w:val="20"/>
              </w:rPr>
              <w:t xml:space="preserve">Mano de Obra </w:t>
            </w:r>
            <w:r w:rsidR="007D473D" w:rsidRPr="000B2591">
              <w:rPr>
                <w:color w:val="000000"/>
                <w:sz w:val="20"/>
                <w:szCs w:val="20"/>
              </w:rPr>
              <w:t>No Calificada</w:t>
            </w:r>
          </w:p>
          <w:p w14:paraId="40BF7CDF" w14:textId="2D12ABBB" w:rsidR="00550356" w:rsidRPr="000B2591" w:rsidRDefault="00550356" w:rsidP="00550356">
            <w:pPr>
              <w:spacing w:line="240" w:lineRule="auto"/>
              <w:jc w:val="left"/>
              <w:rPr>
                <w:sz w:val="20"/>
                <w:szCs w:val="20"/>
              </w:rPr>
            </w:pPr>
            <w:r w:rsidRPr="000B2591">
              <w:rPr>
                <w:color w:val="000000"/>
                <w:sz w:val="20"/>
                <w:szCs w:val="20"/>
              </w:rPr>
              <w:t>+ Cargas Sociales + IVA</w:t>
            </w:r>
          </w:p>
        </w:tc>
        <w:tc>
          <w:tcPr>
            <w:tcW w:w="2140" w:type="dxa"/>
            <w:tcBorders>
              <w:top w:val="nil"/>
              <w:left w:val="nil"/>
              <w:bottom w:val="single" w:sz="4" w:space="0" w:color="auto"/>
              <w:right w:val="single" w:sz="4" w:space="0" w:color="auto"/>
            </w:tcBorders>
            <w:shd w:val="clear" w:color="auto" w:fill="auto"/>
            <w:noWrap/>
            <w:vAlign w:val="bottom"/>
            <w:hideMark/>
          </w:tcPr>
          <w:p w14:paraId="0D263F19" w14:textId="2051D29C" w:rsidR="00550356" w:rsidRPr="000B2591" w:rsidRDefault="00550356" w:rsidP="00550356">
            <w:pPr>
              <w:spacing w:line="240" w:lineRule="auto"/>
              <w:jc w:val="right"/>
              <w:rPr>
                <w:color w:val="000000"/>
                <w:sz w:val="20"/>
                <w:szCs w:val="20"/>
              </w:rPr>
            </w:pPr>
            <w:r w:rsidRPr="000B2591">
              <w:rPr>
                <w:color w:val="000000"/>
                <w:sz w:val="20"/>
                <w:szCs w:val="20"/>
              </w:rPr>
              <w:t>7,16%</w:t>
            </w:r>
          </w:p>
        </w:tc>
      </w:tr>
      <w:tr w:rsidR="00550356" w:rsidRPr="00550356" w14:paraId="1C7CA44D" w14:textId="77777777" w:rsidTr="00162B13">
        <w:trPr>
          <w:trHeight w:val="495"/>
        </w:trPr>
        <w:tc>
          <w:tcPr>
            <w:tcW w:w="3921" w:type="dxa"/>
            <w:tcBorders>
              <w:top w:val="nil"/>
              <w:left w:val="single" w:sz="4" w:space="0" w:color="auto"/>
              <w:bottom w:val="single" w:sz="4" w:space="0" w:color="auto"/>
              <w:right w:val="single" w:sz="4" w:space="0" w:color="auto"/>
            </w:tcBorders>
            <w:shd w:val="clear" w:color="000000" w:fill="FDE9D9"/>
            <w:vAlign w:val="bottom"/>
            <w:hideMark/>
          </w:tcPr>
          <w:p w14:paraId="7010F1F3" w14:textId="4BC922CF" w:rsidR="00550356" w:rsidRPr="000B2591" w:rsidRDefault="00550356" w:rsidP="00550356">
            <w:pPr>
              <w:spacing w:line="240" w:lineRule="auto"/>
              <w:jc w:val="left"/>
              <w:rPr>
                <w:sz w:val="20"/>
                <w:szCs w:val="20"/>
              </w:rPr>
            </w:pPr>
            <w:r w:rsidRPr="000B2591">
              <w:rPr>
                <w:color w:val="000000"/>
                <w:sz w:val="20"/>
                <w:szCs w:val="20"/>
              </w:rPr>
              <w:t>Utilidad</w:t>
            </w:r>
          </w:p>
        </w:tc>
        <w:tc>
          <w:tcPr>
            <w:tcW w:w="2140" w:type="dxa"/>
            <w:tcBorders>
              <w:top w:val="nil"/>
              <w:left w:val="nil"/>
              <w:bottom w:val="single" w:sz="4" w:space="0" w:color="auto"/>
              <w:right w:val="single" w:sz="4" w:space="0" w:color="auto"/>
            </w:tcBorders>
            <w:shd w:val="clear" w:color="000000" w:fill="FDE9D9"/>
            <w:noWrap/>
            <w:vAlign w:val="bottom"/>
            <w:hideMark/>
          </w:tcPr>
          <w:p w14:paraId="551EDFCD" w14:textId="59604ED7" w:rsidR="00550356" w:rsidRPr="000B2591" w:rsidRDefault="00550356" w:rsidP="00550356">
            <w:pPr>
              <w:spacing w:line="240" w:lineRule="auto"/>
              <w:jc w:val="right"/>
              <w:rPr>
                <w:color w:val="000000"/>
                <w:sz w:val="20"/>
                <w:szCs w:val="20"/>
              </w:rPr>
            </w:pPr>
            <w:r w:rsidRPr="000B2591">
              <w:rPr>
                <w:color w:val="000000"/>
                <w:sz w:val="20"/>
                <w:szCs w:val="20"/>
              </w:rPr>
              <w:t>7,01%</w:t>
            </w:r>
          </w:p>
        </w:tc>
      </w:tr>
      <w:tr w:rsidR="00550356" w:rsidRPr="00550356" w14:paraId="1DD14ECB" w14:textId="77777777" w:rsidTr="00162B13">
        <w:trPr>
          <w:trHeight w:val="300"/>
        </w:trPr>
        <w:tc>
          <w:tcPr>
            <w:tcW w:w="3921" w:type="dxa"/>
            <w:tcBorders>
              <w:top w:val="nil"/>
              <w:left w:val="single" w:sz="4" w:space="0" w:color="auto"/>
              <w:bottom w:val="single" w:sz="4" w:space="0" w:color="auto"/>
              <w:right w:val="single" w:sz="4" w:space="0" w:color="auto"/>
            </w:tcBorders>
            <w:shd w:val="clear" w:color="000000" w:fill="FDE9D9"/>
            <w:vAlign w:val="bottom"/>
            <w:hideMark/>
          </w:tcPr>
          <w:p w14:paraId="74B7D5DE" w14:textId="23BC7B6A" w:rsidR="00550356" w:rsidRPr="000B2591" w:rsidRDefault="00550356" w:rsidP="00550356">
            <w:pPr>
              <w:spacing w:line="240" w:lineRule="auto"/>
              <w:jc w:val="left"/>
              <w:rPr>
                <w:sz w:val="20"/>
                <w:szCs w:val="20"/>
              </w:rPr>
            </w:pPr>
            <w:r w:rsidRPr="000B2591">
              <w:rPr>
                <w:color w:val="000000"/>
                <w:sz w:val="20"/>
                <w:szCs w:val="20"/>
              </w:rPr>
              <w:t>Impuestos IT</w:t>
            </w:r>
          </w:p>
        </w:tc>
        <w:tc>
          <w:tcPr>
            <w:tcW w:w="2140" w:type="dxa"/>
            <w:tcBorders>
              <w:top w:val="nil"/>
              <w:left w:val="nil"/>
              <w:bottom w:val="single" w:sz="4" w:space="0" w:color="auto"/>
              <w:right w:val="single" w:sz="4" w:space="0" w:color="auto"/>
            </w:tcBorders>
            <w:shd w:val="clear" w:color="000000" w:fill="FDE9D9"/>
            <w:noWrap/>
            <w:vAlign w:val="bottom"/>
            <w:hideMark/>
          </w:tcPr>
          <w:p w14:paraId="4B9492D2" w14:textId="3177DB70" w:rsidR="00550356" w:rsidRPr="000B2591" w:rsidRDefault="00550356" w:rsidP="00550356">
            <w:pPr>
              <w:spacing w:line="240" w:lineRule="auto"/>
              <w:jc w:val="right"/>
              <w:rPr>
                <w:color w:val="000000"/>
                <w:sz w:val="20"/>
                <w:szCs w:val="20"/>
              </w:rPr>
            </w:pPr>
            <w:r w:rsidRPr="000B2591">
              <w:rPr>
                <w:color w:val="000000"/>
                <w:sz w:val="20"/>
                <w:szCs w:val="20"/>
              </w:rPr>
              <w:t>5,39%</w:t>
            </w:r>
          </w:p>
        </w:tc>
      </w:tr>
      <w:tr w:rsidR="00550356" w:rsidRPr="00550356" w14:paraId="2B610C28" w14:textId="77777777" w:rsidTr="00162B13">
        <w:trPr>
          <w:trHeight w:val="300"/>
        </w:trPr>
        <w:tc>
          <w:tcPr>
            <w:tcW w:w="3921" w:type="dxa"/>
            <w:tcBorders>
              <w:top w:val="nil"/>
              <w:left w:val="single" w:sz="4" w:space="0" w:color="auto"/>
              <w:bottom w:val="single" w:sz="4" w:space="0" w:color="auto"/>
              <w:right w:val="single" w:sz="4" w:space="0" w:color="auto"/>
            </w:tcBorders>
            <w:shd w:val="clear" w:color="000000" w:fill="92CDDC"/>
            <w:vAlign w:val="bottom"/>
            <w:hideMark/>
          </w:tcPr>
          <w:p w14:paraId="01C886AF" w14:textId="13815C4E" w:rsidR="00550356" w:rsidRPr="000B2591" w:rsidRDefault="00550356" w:rsidP="00550356">
            <w:pPr>
              <w:spacing w:line="240" w:lineRule="auto"/>
              <w:jc w:val="left"/>
              <w:rPr>
                <w:sz w:val="20"/>
                <w:szCs w:val="20"/>
              </w:rPr>
            </w:pPr>
            <w:r w:rsidRPr="000B2591">
              <w:rPr>
                <w:b/>
                <w:bCs/>
                <w:color w:val="000000"/>
                <w:sz w:val="20"/>
                <w:szCs w:val="20"/>
              </w:rPr>
              <w:t>Costo Total</w:t>
            </w:r>
          </w:p>
        </w:tc>
        <w:tc>
          <w:tcPr>
            <w:tcW w:w="2140" w:type="dxa"/>
            <w:tcBorders>
              <w:top w:val="nil"/>
              <w:left w:val="nil"/>
              <w:bottom w:val="single" w:sz="4" w:space="0" w:color="auto"/>
              <w:right w:val="nil"/>
            </w:tcBorders>
            <w:shd w:val="clear" w:color="000000" w:fill="92CDDC"/>
            <w:noWrap/>
            <w:vAlign w:val="bottom"/>
            <w:hideMark/>
          </w:tcPr>
          <w:p w14:paraId="04E39F40" w14:textId="0800672F" w:rsidR="00550356" w:rsidRPr="000B2591" w:rsidRDefault="00550356" w:rsidP="00550356">
            <w:pPr>
              <w:spacing w:line="240" w:lineRule="auto"/>
              <w:jc w:val="right"/>
              <w:rPr>
                <w:color w:val="000000"/>
                <w:sz w:val="20"/>
                <w:szCs w:val="20"/>
              </w:rPr>
            </w:pPr>
            <w:r w:rsidRPr="000B2591">
              <w:rPr>
                <w:b/>
                <w:bCs/>
                <w:color w:val="000000"/>
                <w:sz w:val="20"/>
                <w:szCs w:val="20"/>
              </w:rPr>
              <w:t>100,00%</w:t>
            </w:r>
          </w:p>
        </w:tc>
      </w:tr>
    </w:tbl>
    <w:p w14:paraId="2FB913E5" w14:textId="61302BC8" w:rsidR="00031240" w:rsidRDefault="00031240" w:rsidP="00031240">
      <w:pPr>
        <w:jc w:val="center"/>
      </w:pPr>
    </w:p>
    <w:p w14:paraId="6A3D109B" w14:textId="2B1CA0D3" w:rsidR="00031240" w:rsidRPr="00945BC1" w:rsidRDefault="00031240" w:rsidP="00945BC1">
      <w:pPr>
        <w:jc w:val="center"/>
        <w:rPr>
          <w:sz w:val="16"/>
          <w:szCs w:val="16"/>
        </w:rPr>
      </w:pPr>
      <w:r w:rsidRPr="00945BC1">
        <w:rPr>
          <w:sz w:val="16"/>
          <w:szCs w:val="16"/>
        </w:rPr>
        <w:t xml:space="preserve">Fuente: Elaboración propia con base en presupuesto del proyecto (2016) proporcionado por </w:t>
      </w:r>
      <w:r w:rsidR="00550356" w:rsidRPr="00945BC1">
        <w:rPr>
          <w:sz w:val="16"/>
          <w:szCs w:val="16"/>
        </w:rPr>
        <w:t>ABC (TESA, 2016)</w:t>
      </w:r>
    </w:p>
    <w:p w14:paraId="0D7BF638" w14:textId="714D8520" w:rsidR="00112E1F" w:rsidRPr="00E46562" w:rsidRDefault="0063089B" w:rsidP="00E25E91">
      <w:pPr>
        <w:pStyle w:val="Heading2"/>
      </w:pPr>
      <w:bookmarkStart w:id="33" w:name="_Ref484586821"/>
      <w:bookmarkStart w:id="34" w:name="_Ref484586824"/>
      <w:bookmarkStart w:id="35" w:name="_Toc484602611"/>
      <w:r w:rsidRPr="0063089B">
        <w:t>Variación entre precios de referencia y precios ofertados en el proceso licitatorio</w:t>
      </w:r>
      <w:bookmarkEnd w:id="33"/>
      <w:bookmarkEnd w:id="34"/>
      <w:bookmarkEnd w:id="35"/>
    </w:p>
    <w:p w14:paraId="6D6664D1" w14:textId="77777777" w:rsidR="0063089B" w:rsidRDefault="0063089B" w:rsidP="00E25E91"/>
    <w:p w14:paraId="71D8B461" w14:textId="6992B0BB" w:rsidR="00BE68D6" w:rsidRDefault="0063089B" w:rsidP="00E25E91">
      <w:r>
        <w:t xml:space="preserve">En este punto se evalúa la variación </w:t>
      </w:r>
      <w:r w:rsidR="00BE68D6">
        <w:t xml:space="preserve">que se observa </w:t>
      </w:r>
      <w:r>
        <w:t>entre el presupuesto de referencia empleado por la entidad ejecutora para establecer el precio de referencia del proyecto, y los precios de referencia</w:t>
      </w:r>
      <w:r w:rsidR="00BE68D6">
        <w:t xml:space="preserve"> de otros proyectos</w:t>
      </w:r>
      <w:r w:rsidR="007D473D">
        <w:rPr>
          <w:rStyle w:val="FootnoteReference"/>
        </w:rPr>
        <w:footnoteReference w:id="23"/>
      </w:r>
      <w:r w:rsidR="004F04A9">
        <w:t>, y los publicados por la Cámara Departamental de la Construcción.</w:t>
      </w:r>
    </w:p>
    <w:p w14:paraId="3AD5924A" w14:textId="77777777" w:rsidR="00112E1F" w:rsidRDefault="00112E1F" w:rsidP="00E25E91"/>
    <w:p w14:paraId="5B10F6CE" w14:textId="5009F27D" w:rsidR="00A15B66" w:rsidRDefault="00112E1F" w:rsidP="00E25E91">
      <w:pPr>
        <w:pStyle w:val="Caption"/>
        <w:jc w:val="center"/>
      </w:pPr>
      <w:bookmarkStart w:id="36" w:name="_Ref427634638"/>
      <w:bookmarkStart w:id="37" w:name="_Ref484586755"/>
      <w:bookmarkStart w:id="38" w:name="_Toc484602626"/>
      <w:r>
        <w:t xml:space="preserve">Tabla </w:t>
      </w:r>
      <w:r>
        <w:fldChar w:fldCharType="begin"/>
      </w:r>
      <w:r>
        <w:instrText xml:space="preserve"> SEQ Tabla \* ARABIC </w:instrText>
      </w:r>
      <w:r>
        <w:fldChar w:fldCharType="separate"/>
      </w:r>
      <w:r w:rsidR="00011CB8">
        <w:rPr>
          <w:noProof/>
        </w:rPr>
        <w:t>6</w:t>
      </w:r>
      <w:r>
        <w:fldChar w:fldCharType="end"/>
      </w:r>
      <w:r>
        <w:t xml:space="preserve">. </w:t>
      </w:r>
      <w:r w:rsidR="00075396">
        <w:t xml:space="preserve">Presupuesto de Referencia vs Presupuesto </w:t>
      </w:r>
      <w:bookmarkEnd w:id="36"/>
      <w:r w:rsidR="00645F10">
        <w:t>Otros Proyectos</w:t>
      </w:r>
      <w:bookmarkEnd w:id="37"/>
      <w:bookmarkEnd w:id="38"/>
    </w:p>
    <w:tbl>
      <w:tblPr>
        <w:tblW w:w="7227" w:type="dxa"/>
        <w:tblInd w:w="704" w:type="dxa"/>
        <w:tblCellMar>
          <w:left w:w="70" w:type="dxa"/>
          <w:right w:w="70" w:type="dxa"/>
        </w:tblCellMar>
        <w:tblLook w:val="04A0" w:firstRow="1" w:lastRow="0" w:firstColumn="1" w:lastColumn="0" w:noHBand="0" w:noVBand="1"/>
      </w:tblPr>
      <w:tblGrid>
        <w:gridCol w:w="4200"/>
        <w:gridCol w:w="1607"/>
        <w:gridCol w:w="1420"/>
      </w:tblGrid>
      <w:tr w:rsidR="00645F10" w:rsidRPr="00645F10" w14:paraId="1C3A7732" w14:textId="77777777" w:rsidTr="003B52D5">
        <w:trPr>
          <w:trHeight w:val="600"/>
          <w:tblHeader/>
        </w:trPr>
        <w:tc>
          <w:tcPr>
            <w:tcW w:w="4200" w:type="dxa"/>
            <w:tcBorders>
              <w:top w:val="single" w:sz="4" w:space="0" w:color="auto"/>
              <w:left w:val="single" w:sz="4" w:space="0" w:color="auto"/>
              <w:bottom w:val="single" w:sz="4" w:space="0" w:color="auto"/>
              <w:right w:val="single" w:sz="4" w:space="0" w:color="auto"/>
            </w:tcBorders>
            <w:shd w:val="clear" w:color="000000" w:fill="215967"/>
            <w:vAlign w:val="center"/>
            <w:hideMark/>
          </w:tcPr>
          <w:p w14:paraId="3BA71422" w14:textId="606DBD98" w:rsidR="00645F10" w:rsidRPr="000B2591" w:rsidRDefault="00A15B66" w:rsidP="00645F10">
            <w:pPr>
              <w:spacing w:line="240" w:lineRule="auto"/>
              <w:jc w:val="center"/>
              <w:rPr>
                <w:b/>
                <w:bCs/>
                <w:color w:val="FFFFFF"/>
                <w:sz w:val="20"/>
                <w:szCs w:val="20"/>
              </w:rPr>
            </w:pPr>
            <w:r w:rsidRPr="000B2591">
              <w:rPr>
                <w:sz w:val="20"/>
                <w:szCs w:val="20"/>
              </w:rPr>
              <w:t xml:space="preserve"> </w:t>
            </w:r>
            <w:r w:rsidR="00645F10" w:rsidRPr="000B2591">
              <w:rPr>
                <w:b/>
                <w:bCs/>
                <w:color w:val="FFFFFF"/>
                <w:sz w:val="20"/>
                <w:szCs w:val="20"/>
              </w:rPr>
              <w:t>MATERIAL</w:t>
            </w:r>
          </w:p>
        </w:tc>
        <w:tc>
          <w:tcPr>
            <w:tcW w:w="1607" w:type="dxa"/>
            <w:tcBorders>
              <w:top w:val="single" w:sz="4" w:space="0" w:color="auto"/>
              <w:left w:val="nil"/>
              <w:bottom w:val="single" w:sz="4" w:space="0" w:color="auto"/>
              <w:right w:val="single" w:sz="4" w:space="0" w:color="auto"/>
            </w:tcBorders>
            <w:shd w:val="clear" w:color="000000" w:fill="215967"/>
            <w:noWrap/>
            <w:vAlign w:val="center"/>
            <w:hideMark/>
          </w:tcPr>
          <w:p w14:paraId="13BC3DD6" w14:textId="77777777" w:rsidR="00645F10" w:rsidRPr="000B2591" w:rsidRDefault="00645F10" w:rsidP="00645F10">
            <w:pPr>
              <w:spacing w:line="240" w:lineRule="auto"/>
              <w:jc w:val="center"/>
              <w:rPr>
                <w:b/>
                <w:bCs/>
                <w:color w:val="FFFFFF"/>
                <w:sz w:val="20"/>
                <w:szCs w:val="20"/>
              </w:rPr>
            </w:pPr>
            <w:r w:rsidRPr="000B2591">
              <w:rPr>
                <w:b/>
                <w:bCs/>
                <w:color w:val="FFFFFF"/>
                <w:sz w:val="20"/>
                <w:szCs w:val="20"/>
              </w:rPr>
              <w:t>VAR MIN</w:t>
            </w:r>
          </w:p>
        </w:tc>
        <w:tc>
          <w:tcPr>
            <w:tcW w:w="1420" w:type="dxa"/>
            <w:tcBorders>
              <w:top w:val="single" w:sz="4" w:space="0" w:color="auto"/>
              <w:left w:val="nil"/>
              <w:bottom w:val="single" w:sz="4" w:space="0" w:color="auto"/>
              <w:right w:val="single" w:sz="4" w:space="0" w:color="auto"/>
            </w:tcBorders>
            <w:shd w:val="clear" w:color="000000" w:fill="215967"/>
            <w:noWrap/>
            <w:vAlign w:val="center"/>
            <w:hideMark/>
          </w:tcPr>
          <w:p w14:paraId="379CFA48" w14:textId="77777777" w:rsidR="00645F10" w:rsidRPr="000B2591" w:rsidRDefault="00645F10" w:rsidP="00645F10">
            <w:pPr>
              <w:spacing w:line="240" w:lineRule="auto"/>
              <w:jc w:val="center"/>
              <w:rPr>
                <w:b/>
                <w:bCs/>
                <w:color w:val="FFFFFF"/>
                <w:sz w:val="20"/>
                <w:szCs w:val="20"/>
              </w:rPr>
            </w:pPr>
            <w:r w:rsidRPr="000B2591">
              <w:rPr>
                <w:b/>
                <w:bCs/>
                <w:color w:val="FFFFFF"/>
                <w:sz w:val="20"/>
                <w:szCs w:val="20"/>
              </w:rPr>
              <w:t>VAR MAX</w:t>
            </w:r>
          </w:p>
        </w:tc>
      </w:tr>
      <w:tr w:rsidR="00645F10" w:rsidRPr="00645F10" w14:paraId="42F5B2C9" w14:textId="77777777" w:rsidTr="003B52D5">
        <w:trPr>
          <w:trHeight w:val="300"/>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09FB873E" w14:textId="2CAECA8D" w:rsidR="00645F10" w:rsidRPr="000B2591" w:rsidRDefault="000B2591" w:rsidP="00645F10">
            <w:pPr>
              <w:spacing w:line="240" w:lineRule="auto"/>
              <w:jc w:val="left"/>
              <w:rPr>
                <w:sz w:val="20"/>
                <w:szCs w:val="20"/>
              </w:rPr>
            </w:pPr>
            <w:r w:rsidRPr="000B2591">
              <w:rPr>
                <w:sz w:val="20"/>
                <w:szCs w:val="20"/>
              </w:rPr>
              <w:t>Cemento asfaltico con polímero</w:t>
            </w:r>
          </w:p>
        </w:tc>
        <w:tc>
          <w:tcPr>
            <w:tcW w:w="1607" w:type="dxa"/>
            <w:tcBorders>
              <w:top w:val="single" w:sz="4" w:space="0" w:color="auto"/>
              <w:left w:val="nil"/>
              <w:bottom w:val="single" w:sz="4" w:space="0" w:color="auto"/>
              <w:right w:val="single" w:sz="4" w:space="0" w:color="auto"/>
            </w:tcBorders>
            <w:shd w:val="clear" w:color="000000" w:fill="auto"/>
            <w:noWrap/>
            <w:vAlign w:val="bottom"/>
            <w:hideMark/>
          </w:tcPr>
          <w:p w14:paraId="11801358" w14:textId="77777777" w:rsidR="00645F10" w:rsidRPr="000B2591" w:rsidRDefault="00645F10" w:rsidP="00645F10">
            <w:pPr>
              <w:spacing w:line="240" w:lineRule="auto"/>
              <w:jc w:val="right"/>
              <w:rPr>
                <w:color w:val="000000"/>
                <w:sz w:val="20"/>
                <w:szCs w:val="20"/>
              </w:rPr>
            </w:pPr>
            <w:r w:rsidRPr="000B2591">
              <w:rPr>
                <w:color w:val="000000"/>
                <w:sz w:val="20"/>
                <w:szCs w:val="20"/>
              </w:rPr>
              <w:t>0,0%</w:t>
            </w:r>
          </w:p>
        </w:tc>
        <w:tc>
          <w:tcPr>
            <w:tcW w:w="1420" w:type="dxa"/>
            <w:tcBorders>
              <w:top w:val="single" w:sz="4" w:space="0" w:color="auto"/>
              <w:left w:val="nil"/>
              <w:bottom w:val="single" w:sz="4" w:space="0" w:color="auto"/>
              <w:right w:val="single" w:sz="4" w:space="0" w:color="auto"/>
            </w:tcBorders>
            <w:shd w:val="clear" w:color="000000" w:fill="auto"/>
            <w:noWrap/>
            <w:vAlign w:val="bottom"/>
            <w:hideMark/>
          </w:tcPr>
          <w:p w14:paraId="7972C4D2" w14:textId="77777777" w:rsidR="00645F10" w:rsidRPr="000B2591" w:rsidRDefault="00645F10" w:rsidP="00645F10">
            <w:pPr>
              <w:spacing w:line="240" w:lineRule="auto"/>
              <w:jc w:val="right"/>
              <w:rPr>
                <w:color w:val="000000"/>
                <w:sz w:val="20"/>
                <w:szCs w:val="20"/>
              </w:rPr>
            </w:pPr>
            <w:r w:rsidRPr="000B2591">
              <w:rPr>
                <w:color w:val="000000"/>
                <w:sz w:val="20"/>
                <w:szCs w:val="20"/>
              </w:rPr>
              <w:t>12,0%</w:t>
            </w:r>
          </w:p>
        </w:tc>
      </w:tr>
      <w:tr w:rsidR="00645F10" w:rsidRPr="00645F10" w14:paraId="721FCEC3" w14:textId="77777777" w:rsidTr="003B52D5">
        <w:trPr>
          <w:trHeight w:val="300"/>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66D8A4A8" w14:textId="4983DD10" w:rsidR="00645F10" w:rsidRPr="000B2591" w:rsidRDefault="000B2591" w:rsidP="00645F10">
            <w:pPr>
              <w:spacing w:line="240" w:lineRule="auto"/>
              <w:jc w:val="left"/>
              <w:rPr>
                <w:sz w:val="20"/>
                <w:szCs w:val="20"/>
              </w:rPr>
            </w:pPr>
            <w:r w:rsidRPr="000B2591">
              <w:rPr>
                <w:sz w:val="20"/>
                <w:szCs w:val="20"/>
              </w:rPr>
              <w:t>Cemento portland</w:t>
            </w:r>
          </w:p>
        </w:tc>
        <w:tc>
          <w:tcPr>
            <w:tcW w:w="1607" w:type="dxa"/>
            <w:tcBorders>
              <w:top w:val="single" w:sz="4" w:space="0" w:color="auto"/>
              <w:left w:val="nil"/>
              <w:bottom w:val="single" w:sz="4" w:space="0" w:color="auto"/>
              <w:right w:val="single" w:sz="4" w:space="0" w:color="auto"/>
            </w:tcBorders>
            <w:shd w:val="clear" w:color="000000" w:fill="auto"/>
            <w:noWrap/>
            <w:vAlign w:val="bottom"/>
            <w:hideMark/>
          </w:tcPr>
          <w:p w14:paraId="2031A07E" w14:textId="77777777" w:rsidR="00645F10" w:rsidRPr="000B2591" w:rsidRDefault="00645F10" w:rsidP="00645F10">
            <w:pPr>
              <w:spacing w:line="240" w:lineRule="auto"/>
              <w:jc w:val="right"/>
              <w:rPr>
                <w:color w:val="000000"/>
                <w:sz w:val="20"/>
                <w:szCs w:val="20"/>
              </w:rPr>
            </w:pPr>
            <w:r w:rsidRPr="000B2591">
              <w:rPr>
                <w:color w:val="000000"/>
                <w:sz w:val="20"/>
                <w:szCs w:val="20"/>
              </w:rPr>
              <w:t>-3,5%</w:t>
            </w:r>
          </w:p>
        </w:tc>
        <w:tc>
          <w:tcPr>
            <w:tcW w:w="1420" w:type="dxa"/>
            <w:tcBorders>
              <w:top w:val="single" w:sz="4" w:space="0" w:color="auto"/>
              <w:left w:val="nil"/>
              <w:bottom w:val="single" w:sz="4" w:space="0" w:color="auto"/>
              <w:right w:val="single" w:sz="4" w:space="0" w:color="auto"/>
            </w:tcBorders>
            <w:shd w:val="clear" w:color="000000" w:fill="auto"/>
            <w:noWrap/>
            <w:vAlign w:val="bottom"/>
            <w:hideMark/>
          </w:tcPr>
          <w:p w14:paraId="2AE6C4FC" w14:textId="77777777" w:rsidR="00645F10" w:rsidRPr="000B2591" w:rsidRDefault="00645F10" w:rsidP="00645F10">
            <w:pPr>
              <w:spacing w:line="240" w:lineRule="auto"/>
              <w:jc w:val="right"/>
              <w:rPr>
                <w:color w:val="000000"/>
                <w:sz w:val="20"/>
                <w:szCs w:val="20"/>
              </w:rPr>
            </w:pPr>
            <w:r w:rsidRPr="000B2591">
              <w:rPr>
                <w:color w:val="000000"/>
                <w:sz w:val="20"/>
                <w:szCs w:val="20"/>
              </w:rPr>
              <w:t>0,0%</w:t>
            </w:r>
          </w:p>
        </w:tc>
      </w:tr>
      <w:tr w:rsidR="00645F10" w:rsidRPr="00645F10" w14:paraId="45B60D80" w14:textId="77777777" w:rsidTr="003B52D5">
        <w:trPr>
          <w:trHeight w:val="300"/>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494BF92A" w14:textId="281767B7" w:rsidR="00645F10" w:rsidRPr="000B2591" w:rsidRDefault="000B2591" w:rsidP="00645F10">
            <w:pPr>
              <w:spacing w:line="240" w:lineRule="auto"/>
              <w:jc w:val="left"/>
              <w:rPr>
                <w:sz w:val="20"/>
                <w:szCs w:val="20"/>
              </w:rPr>
            </w:pPr>
            <w:r w:rsidRPr="000B2591">
              <w:rPr>
                <w:sz w:val="20"/>
                <w:szCs w:val="20"/>
              </w:rPr>
              <w:t>Acero corrugado</w:t>
            </w:r>
          </w:p>
        </w:tc>
        <w:tc>
          <w:tcPr>
            <w:tcW w:w="1607" w:type="dxa"/>
            <w:tcBorders>
              <w:top w:val="single" w:sz="4" w:space="0" w:color="auto"/>
              <w:left w:val="nil"/>
              <w:bottom w:val="single" w:sz="4" w:space="0" w:color="auto"/>
              <w:right w:val="single" w:sz="4" w:space="0" w:color="auto"/>
            </w:tcBorders>
            <w:shd w:val="clear" w:color="000000" w:fill="auto"/>
            <w:noWrap/>
            <w:vAlign w:val="bottom"/>
            <w:hideMark/>
          </w:tcPr>
          <w:p w14:paraId="02A29083" w14:textId="77777777" w:rsidR="00645F10" w:rsidRPr="000B2591" w:rsidRDefault="00645F10" w:rsidP="00645F10">
            <w:pPr>
              <w:spacing w:line="240" w:lineRule="auto"/>
              <w:jc w:val="right"/>
              <w:rPr>
                <w:color w:val="000000"/>
                <w:sz w:val="20"/>
                <w:szCs w:val="20"/>
              </w:rPr>
            </w:pPr>
            <w:r w:rsidRPr="000B2591">
              <w:rPr>
                <w:color w:val="000000"/>
                <w:sz w:val="20"/>
                <w:szCs w:val="20"/>
              </w:rPr>
              <w:t>-33,8%</w:t>
            </w:r>
          </w:p>
        </w:tc>
        <w:tc>
          <w:tcPr>
            <w:tcW w:w="1420" w:type="dxa"/>
            <w:tcBorders>
              <w:top w:val="single" w:sz="4" w:space="0" w:color="auto"/>
              <w:left w:val="nil"/>
              <w:bottom w:val="single" w:sz="4" w:space="0" w:color="auto"/>
              <w:right w:val="single" w:sz="4" w:space="0" w:color="auto"/>
            </w:tcBorders>
            <w:shd w:val="clear" w:color="000000" w:fill="auto"/>
            <w:noWrap/>
            <w:vAlign w:val="bottom"/>
            <w:hideMark/>
          </w:tcPr>
          <w:p w14:paraId="318E934F" w14:textId="77777777" w:rsidR="00645F10" w:rsidRPr="000B2591" w:rsidRDefault="00645F10" w:rsidP="00645F10">
            <w:pPr>
              <w:spacing w:line="240" w:lineRule="auto"/>
              <w:jc w:val="right"/>
              <w:rPr>
                <w:color w:val="000000"/>
                <w:sz w:val="20"/>
                <w:szCs w:val="20"/>
              </w:rPr>
            </w:pPr>
            <w:r w:rsidRPr="000B2591">
              <w:rPr>
                <w:color w:val="000000"/>
                <w:sz w:val="20"/>
                <w:szCs w:val="20"/>
              </w:rPr>
              <w:t>0,0%</w:t>
            </w:r>
          </w:p>
        </w:tc>
      </w:tr>
      <w:tr w:rsidR="00645F10" w:rsidRPr="00645F10" w14:paraId="700F3EE8" w14:textId="77777777" w:rsidTr="003B52D5">
        <w:trPr>
          <w:trHeight w:val="300"/>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7430C322" w14:textId="086D834F" w:rsidR="00645F10" w:rsidRPr="000B2591" w:rsidRDefault="000B2591" w:rsidP="00645F10">
            <w:pPr>
              <w:spacing w:line="240" w:lineRule="auto"/>
              <w:jc w:val="left"/>
              <w:rPr>
                <w:sz w:val="20"/>
                <w:szCs w:val="20"/>
              </w:rPr>
            </w:pPr>
            <w:r w:rsidRPr="000B2591">
              <w:rPr>
                <w:sz w:val="20"/>
                <w:szCs w:val="20"/>
              </w:rPr>
              <w:t>Asfalto diluido</w:t>
            </w:r>
          </w:p>
        </w:tc>
        <w:tc>
          <w:tcPr>
            <w:tcW w:w="1607" w:type="dxa"/>
            <w:tcBorders>
              <w:top w:val="single" w:sz="4" w:space="0" w:color="auto"/>
              <w:left w:val="nil"/>
              <w:bottom w:val="single" w:sz="4" w:space="0" w:color="auto"/>
              <w:right w:val="single" w:sz="4" w:space="0" w:color="auto"/>
            </w:tcBorders>
            <w:shd w:val="clear" w:color="000000" w:fill="auto"/>
            <w:noWrap/>
            <w:vAlign w:val="bottom"/>
            <w:hideMark/>
          </w:tcPr>
          <w:p w14:paraId="0DBAF52D" w14:textId="77777777" w:rsidR="00645F10" w:rsidRPr="000B2591" w:rsidRDefault="00645F10" w:rsidP="00645F10">
            <w:pPr>
              <w:spacing w:line="240" w:lineRule="auto"/>
              <w:jc w:val="right"/>
              <w:rPr>
                <w:color w:val="000000"/>
                <w:sz w:val="20"/>
                <w:szCs w:val="20"/>
              </w:rPr>
            </w:pPr>
            <w:r w:rsidRPr="000B2591">
              <w:rPr>
                <w:color w:val="000000"/>
                <w:sz w:val="20"/>
                <w:szCs w:val="20"/>
              </w:rPr>
              <w:t>0,0%</w:t>
            </w:r>
          </w:p>
        </w:tc>
        <w:tc>
          <w:tcPr>
            <w:tcW w:w="1420" w:type="dxa"/>
            <w:tcBorders>
              <w:top w:val="single" w:sz="4" w:space="0" w:color="auto"/>
              <w:left w:val="nil"/>
              <w:bottom w:val="single" w:sz="4" w:space="0" w:color="auto"/>
              <w:right w:val="single" w:sz="4" w:space="0" w:color="auto"/>
            </w:tcBorders>
            <w:shd w:val="clear" w:color="000000" w:fill="auto"/>
            <w:noWrap/>
            <w:vAlign w:val="bottom"/>
            <w:hideMark/>
          </w:tcPr>
          <w:p w14:paraId="585C82B5" w14:textId="77777777" w:rsidR="00645F10" w:rsidRPr="000B2591" w:rsidRDefault="00645F10" w:rsidP="00645F10">
            <w:pPr>
              <w:spacing w:line="240" w:lineRule="auto"/>
              <w:jc w:val="right"/>
              <w:rPr>
                <w:color w:val="000000"/>
                <w:sz w:val="20"/>
                <w:szCs w:val="20"/>
              </w:rPr>
            </w:pPr>
            <w:r w:rsidRPr="000B2591">
              <w:rPr>
                <w:color w:val="000000"/>
                <w:sz w:val="20"/>
                <w:szCs w:val="20"/>
              </w:rPr>
              <w:t>8,5%</w:t>
            </w:r>
          </w:p>
        </w:tc>
      </w:tr>
      <w:tr w:rsidR="00645F10" w:rsidRPr="00645F10" w14:paraId="1BA75A9D" w14:textId="77777777" w:rsidTr="003B52D5">
        <w:trPr>
          <w:trHeight w:val="300"/>
        </w:trPr>
        <w:tc>
          <w:tcPr>
            <w:tcW w:w="4200" w:type="dxa"/>
            <w:tcBorders>
              <w:top w:val="nil"/>
              <w:left w:val="single" w:sz="4" w:space="0" w:color="auto"/>
              <w:bottom w:val="single" w:sz="4" w:space="0" w:color="auto"/>
              <w:right w:val="single" w:sz="4" w:space="0" w:color="auto"/>
            </w:tcBorders>
            <w:shd w:val="clear" w:color="auto" w:fill="auto"/>
            <w:vAlign w:val="center"/>
            <w:hideMark/>
          </w:tcPr>
          <w:p w14:paraId="4A0AEB4B" w14:textId="4B6635F1" w:rsidR="00645F10" w:rsidRPr="000B2591" w:rsidRDefault="000B2591" w:rsidP="00645F10">
            <w:pPr>
              <w:spacing w:line="240" w:lineRule="auto"/>
              <w:jc w:val="left"/>
              <w:rPr>
                <w:sz w:val="20"/>
                <w:szCs w:val="20"/>
              </w:rPr>
            </w:pPr>
            <w:r w:rsidRPr="000B2591">
              <w:rPr>
                <w:sz w:val="20"/>
                <w:szCs w:val="20"/>
              </w:rPr>
              <w:lastRenderedPageBreak/>
              <w:t>Otros</w:t>
            </w:r>
          </w:p>
        </w:tc>
        <w:tc>
          <w:tcPr>
            <w:tcW w:w="1607" w:type="dxa"/>
            <w:tcBorders>
              <w:top w:val="single" w:sz="4" w:space="0" w:color="auto"/>
              <w:left w:val="nil"/>
              <w:bottom w:val="single" w:sz="4" w:space="0" w:color="auto"/>
              <w:right w:val="single" w:sz="4" w:space="0" w:color="auto"/>
            </w:tcBorders>
            <w:shd w:val="clear" w:color="000000" w:fill="auto"/>
            <w:noWrap/>
            <w:vAlign w:val="bottom"/>
            <w:hideMark/>
          </w:tcPr>
          <w:p w14:paraId="1FF16D8C" w14:textId="77777777" w:rsidR="00645F10" w:rsidRPr="000B2591" w:rsidRDefault="00645F10" w:rsidP="00645F10">
            <w:pPr>
              <w:spacing w:line="240" w:lineRule="auto"/>
              <w:jc w:val="right"/>
              <w:rPr>
                <w:color w:val="000000"/>
                <w:sz w:val="20"/>
                <w:szCs w:val="20"/>
              </w:rPr>
            </w:pPr>
            <w:r w:rsidRPr="000B2591">
              <w:rPr>
                <w:color w:val="000000"/>
                <w:sz w:val="20"/>
                <w:szCs w:val="20"/>
              </w:rPr>
              <w:t>-5,0%</w:t>
            </w:r>
          </w:p>
        </w:tc>
        <w:tc>
          <w:tcPr>
            <w:tcW w:w="1420" w:type="dxa"/>
            <w:tcBorders>
              <w:top w:val="single" w:sz="4" w:space="0" w:color="auto"/>
              <w:left w:val="nil"/>
              <w:bottom w:val="single" w:sz="4" w:space="0" w:color="auto"/>
              <w:right w:val="single" w:sz="4" w:space="0" w:color="auto"/>
            </w:tcBorders>
            <w:shd w:val="clear" w:color="000000" w:fill="auto"/>
            <w:noWrap/>
            <w:vAlign w:val="bottom"/>
            <w:hideMark/>
          </w:tcPr>
          <w:p w14:paraId="0C044A69" w14:textId="77777777" w:rsidR="00645F10" w:rsidRPr="000B2591" w:rsidRDefault="00645F10" w:rsidP="00645F10">
            <w:pPr>
              <w:spacing w:line="240" w:lineRule="auto"/>
              <w:jc w:val="right"/>
              <w:rPr>
                <w:color w:val="000000"/>
                <w:sz w:val="20"/>
                <w:szCs w:val="20"/>
              </w:rPr>
            </w:pPr>
            <w:r w:rsidRPr="000B2591">
              <w:rPr>
                <w:color w:val="000000"/>
                <w:sz w:val="20"/>
                <w:szCs w:val="20"/>
              </w:rPr>
              <w:t>5,0%</w:t>
            </w:r>
          </w:p>
        </w:tc>
      </w:tr>
      <w:tr w:rsidR="00645F10" w:rsidRPr="00645F10" w14:paraId="545C3C11" w14:textId="77777777" w:rsidTr="003B52D5">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0E7B0FDF" w14:textId="77777777" w:rsidR="00645F10" w:rsidRPr="000B2591" w:rsidRDefault="00645F10" w:rsidP="00645F10">
            <w:pPr>
              <w:spacing w:line="240" w:lineRule="auto"/>
              <w:jc w:val="left"/>
              <w:rPr>
                <w:color w:val="000000"/>
                <w:sz w:val="20"/>
                <w:szCs w:val="20"/>
              </w:rPr>
            </w:pPr>
            <w:r w:rsidRPr="000B2591">
              <w:rPr>
                <w:color w:val="000000"/>
                <w:sz w:val="20"/>
                <w:szCs w:val="20"/>
              </w:rPr>
              <w:t>Equipo y Herramientas</w:t>
            </w:r>
          </w:p>
        </w:tc>
        <w:tc>
          <w:tcPr>
            <w:tcW w:w="1607" w:type="dxa"/>
            <w:tcBorders>
              <w:top w:val="single" w:sz="4" w:space="0" w:color="auto"/>
              <w:left w:val="nil"/>
              <w:bottom w:val="single" w:sz="4" w:space="0" w:color="auto"/>
              <w:right w:val="single" w:sz="4" w:space="0" w:color="auto"/>
            </w:tcBorders>
            <w:shd w:val="clear" w:color="000000" w:fill="auto"/>
            <w:noWrap/>
            <w:vAlign w:val="bottom"/>
            <w:hideMark/>
          </w:tcPr>
          <w:p w14:paraId="221C9383" w14:textId="77777777" w:rsidR="00645F10" w:rsidRPr="000B2591" w:rsidRDefault="00645F10" w:rsidP="00645F10">
            <w:pPr>
              <w:spacing w:line="240" w:lineRule="auto"/>
              <w:jc w:val="right"/>
              <w:rPr>
                <w:color w:val="000000"/>
                <w:sz w:val="20"/>
                <w:szCs w:val="20"/>
              </w:rPr>
            </w:pPr>
            <w:r w:rsidRPr="000B2591">
              <w:rPr>
                <w:color w:val="000000"/>
                <w:sz w:val="20"/>
                <w:szCs w:val="20"/>
              </w:rPr>
              <w:t>-20,0%</w:t>
            </w:r>
          </w:p>
        </w:tc>
        <w:tc>
          <w:tcPr>
            <w:tcW w:w="1420" w:type="dxa"/>
            <w:tcBorders>
              <w:top w:val="single" w:sz="4" w:space="0" w:color="auto"/>
              <w:left w:val="nil"/>
              <w:bottom w:val="single" w:sz="4" w:space="0" w:color="auto"/>
              <w:right w:val="single" w:sz="4" w:space="0" w:color="auto"/>
            </w:tcBorders>
            <w:shd w:val="clear" w:color="000000" w:fill="auto"/>
            <w:noWrap/>
            <w:vAlign w:val="bottom"/>
            <w:hideMark/>
          </w:tcPr>
          <w:p w14:paraId="3D53D697" w14:textId="77777777" w:rsidR="00645F10" w:rsidRPr="000B2591" w:rsidRDefault="00645F10" w:rsidP="00645F10">
            <w:pPr>
              <w:spacing w:line="240" w:lineRule="auto"/>
              <w:jc w:val="right"/>
              <w:rPr>
                <w:color w:val="000000"/>
                <w:sz w:val="20"/>
                <w:szCs w:val="20"/>
              </w:rPr>
            </w:pPr>
            <w:r w:rsidRPr="000B2591">
              <w:rPr>
                <w:color w:val="000000"/>
                <w:sz w:val="20"/>
                <w:szCs w:val="20"/>
              </w:rPr>
              <w:t>0,0%</w:t>
            </w:r>
          </w:p>
        </w:tc>
      </w:tr>
      <w:tr w:rsidR="00645F10" w:rsidRPr="00645F10" w14:paraId="68E39E16" w14:textId="77777777" w:rsidTr="003B52D5">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01E1C05E" w14:textId="77777777" w:rsidR="00645F10" w:rsidRPr="000B2591" w:rsidRDefault="00645F10" w:rsidP="00645F10">
            <w:pPr>
              <w:spacing w:line="240" w:lineRule="auto"/>
              <w:jc w:val="left"/>
              <w:rPr>
                <w:color w:val="000000"/>
                <w:sz w:val="20"/>
                <w:szCs w:val="20"/>
              </w:rPr>
            </w:pPr>
            <w:r w:rsidRPr="000B2591">
              <w:rPr>
                <w:color w:val="000000"/>
                <w:sz w:val="20"/>
                <w:szCs w:val="20"/>
              </w:rPr>
              <w:t>Mano de Obra + Cargas Sociales + IVA</w:t>
            </w:r>
          </w:p>
        </w:tc>
        <w:tc>
          <w:tcPr>
            <w:tcW w:w="1607" w:type="dxa"/>
            <w:tcBorders>
              <w:top w:val="single" w:sz="4" w:space="0" w:color="auto"/>
              <w:left w:val="nil"/>
              <w:bottom w:val="single" w:sz="4" w:space="0" w:color="auto"/>
              <w:right w:val="single" w:sz="4" w:space="0" w:color="auto"/>
            </w:tcBorders>
            <w:shd w:val="clear" w:color="000000" w:fill="auto"/>
            <w:noWrap/>
            <w:vAlign w:val="bottom"/>
            <w:hideMark/>
          </w:tcPr>
          <w:p w14:paraId="4C9D98FC" w14:textId="77777777" w:rsidR="00645F10" w:rsidRPr="000B2591" w:rsidRDefault="00645F10" w:rsidP="00645F10">
            <w:pPr>
              <w:spacing w:line="240" w:lineRule="auto"/>
              <w:jc w:val="right"/>
              <w:rPr>
                <w:color w:val="000000"/>
                <w:sz w:val="20"/>
                <w:szCs w:val="20"/>
              </w:rPr>
            </w:pPr>
            <w:r w:rsidRPr="000B2591">
              <w:rPr>
                <w:color w:val="000000"/>
                <w:sz w:val="20"/>
                <w:szCs w:val="20"/>
              </w:rPr>
              <w:t>-5,0%</w:t>
            </w:r>
          </w:p>
        </w:tc>
        <w:tc>
          <w:tcPr>
            <w:tcW w:w="1420" w:type="dxa"/>
            <w:tcBorders>
              <w:top w:val="single" w:sz="4" w:space="0" w:color="auto"/>
              <w:left w:val="nil"/>
              <w:bottom w:val="single" w:sz="4" w:space="0" w:color="auto"/>
              <w:right w:val="single" w:sz="4" w:space="0" w:color="auto"/>
            </w:tcBorders>
            <w:shd w:val="clear" w:color="000000" w:fill="auto"/>
            <w:noWrap/>
            <w:vAlign w:val="bottom"/>
            <w:hideMark/>
          </w:tcPr>
          <w:p w14:paraId="5502D649" w14:textId="77777777" w:rsidR="00645F10" w:rsidRPr="000B2591" w:rsidRDefault="00645F10" w:rsidP="00645F10">
            <w:pPr>
              <w:spacing w:line="240" w:lineRule="auto"/>
              <w:jc w:val="right"/>
              <w:rPr>
                <w:color w:val="000000"/>
                <w:sz w:val="20"/>
                <w:szCs w:val="20"/>
              </w:rPr>
            </w:pPr>
            <w:r w:rsidRPr="000B2591">
              <w:rPr>
                <w:color w:val="000000"/>
                <w:sz w:val="20"/>
                <w:szCs w:val="20"/>
              </w:rPr>
              <w:t>5,0%</w:t>
            </w:r>
          </w:p>
        </w:tc>
      </w:tr>
      <w:tr w:rsidR="00645F10" w:rsidRPr="00645F10" w14:paraId="29AA7EB0" w14:textId="77777777" w:rsidTr="003B52D5">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7F349D96" w14:textId="77777777" w:rsidR="00645F10" w:rsidRPr="000B2591" w:rsidRDefault="00645F10" w:rsidP="00645F10">
            <w:pPr>
              <w:spacing w:line="240" w:lineRule="auto"/>
              <w:jc w:val="left"/>
              <w:rPr>
                <w:color w:val="000000"/>
                <w:sz w:val="20"/>
                <w:szCs w:val="20"/>
              </w:rPr>
            </w:pPr>
            <w:r w:rsidRPr="000B2591">
              <w:rPr>
                <w:color w:val="000000"/>
                <w:sz w:val="20"/>
                <w:szCs w:val="20"/>
              </w:rPr>
              <w:t>Mano de Obra + Cargas Sociales + IVA</w:t>
            </w:r>
          </w:p>
        </w:tc>
        <w:tc>
          <w:tcPr>
            <w:tcW w:w="1607" w:type="dxa"/>
            <w:tcBorders>
              <w:top w:val="single" w:sz="4" w:space="0" w:color="auto"/>
              <w:left w:val="nil"/>
              <w:bottom w:val="single" w:sz="4" w:space="0" w:color="auto"/>
              <w:right w:val="single" w:sz="4" w:space="0" w:color="auto"/>
            </w:tcBorders>
            <w:shd w:val="clear" w:color="000000" w:fill="auto"/>
            <w:noWrap/>
            <w:vAlign w:val="bottom"/>
            <w:hideMark/>
          </w:tcPr>
          <w:p w14:paraId="208E7D67" w14:textId="77777777" w:rsidR="00645F10" w:rsidRPr="000B2591" w:rsidRDefault="00645F10" w:rsidP="00645F10">
            <w:pPr>
              <w:spacing w:line="240" w:lineRule="auto"/>
              <w:jc w:val="right"/>
              <w:rPr>
                <w:color w:val="000000"/>
                <w:sz w:val="20"/>
                <w:szCs w:val="20"/>
              </w:rPr>
            </w:pPr>
            <w:r w:rsidRPr="000B2591">
              <w:rPr>
                <w:color w:val="000000"/>
                <w:sz w:val="20"/>
                <w:szCs w:val="20"/>
              </w:rPr>
              <w:t>-5,0%</w:t>
            </w:r>
          </w:p>
        </w:tc>
        <w:tc>
          <w:tcPr>
            <w:tcW w:w="1420" w:type="dxa"/>
            <w:tcBorders>
              <w:top w:val="single" w:sz="4" w:space="0" w:color="auto"/>
              <w:left w:val="nil"/>
              <w:bottom w:val="single" w:sz="4" w:space="0" w:color="auto"/>
              <w:right w:val="single" w:sz="4" w:space="0" w:color="auto"/>
            </w:tcBorders>
            <w:shd w:val="clear" w:color="000000" w:fill="auto"/>
            <w:noWrap/>
            <w:vAlign w:val="bottom"/>
            <w:hideMark/>
          </w:tcPr>
          <w:p w14:paraId="156DA047" w14:textId="77777777" w:rsidR="00645F10" w:rsidRPr="000B2591" w:rsidRDefault="00645F10" w:rsidP="00645F10">
            <w:pPr>
              <w:spacing w:line="240" w:lineRule="auto"/>
              <w:jc w:val="right"/>
              <w:rPr>
                <w:color w:val="000000"/>
                <w:sz w:val="20"/>
                <w:szCs w:val="20"/>
              </w:rPr>
            </w:pPr>
            <w:r w:rsidRPr="000B2591">
              <w:rPr>
                <w:color w:val="000000"/>
                <w:sz w:val="20"/>
                <w:szCs w:val="20"/>
              </w:rPr>
              <w:t>5,0%</w:t>
            </w:r>
          </w:p>
        </w:tc>
      </w:tr>
    </w:tbl>
    <w:p w14:paraId="5C9ACB0F" w14:textId="21BBA5A5" w:rsidR="00112E1F" w:rsidRPr="00E25E91" w:rsidRDefault="00112E1F" w:rsidP="000B2591">
      <w:pPr>
        <w:jc w:val="center"/>
        <w:rPr>
          <w:sz w:val="18"/>
          <w:szCs w:val="18"/>
        </w:rPr>
      </w:pPr>
      <w:r w:rsidRPr="00E25E91">
        <w:rPr>
          <w:sz w:val="18"/>
          <w:szCs w:val="18"/>
        </w:rPr>
        <w:t>Fuente: Elaboración propia</w:t>
      </w:r>
      <w:r w:rsidR="00E25E91">
        <w:rPr>
          <w:sz w:val="18"/>
          <w:szCs w:val="18"/>
        </w:rPr>
        <w:t xml:space="preserve"> con base en información </w:t>
      </w:r>
      <w:r w:rsidR="000A4D76">
        <w:rPr>
          <w:sz w:val="18"/>
          <w:szCs w:val="18"/>
        </w:rPr>
        <w:tab/>
        <w:t>ABC</w:t>
      </w:r>
      <w:r w:rsidR="000B2591">
        <w:rPr>
          <w:rStyle w:val="FootnoteReference"/>
          <w:sz w:val="18"/>
          <w:szCs w:val="18"/>
        </w:rPr>
        <w:footnoteReference w:id="24"/>
      </w:r>
    </w:p>
    <w:p w14:paraId="396CD704" w14:textId="4F3825C1" w:rsidR="00112E1F" w:rsidRDefault="00112E1F" w:rsidP="00E25E91"/>
    <w:p w14:paraId="380D3CCC" w14:textId="49F93D4F" w:rsidR="004F6B12" w:rsidRDefault="004F6B12" w:rsidP="00E25E91">
      <w:r>
        <w:t>En todos los casos se trabajará con una distribución uniforme entre el valor mínimo y el valor máximo encontrado.</w:t>
      </w:r>
    </w:p>
    <w:p w14:paraId="2FA16419" w14:textId="77777777" w:rsidR="004F6B12" w:rsidRDefault="004F6B12" w:rsidP="00E25E91"/>
    <w:p w14:paraId="0F9EBA59" w14:textId="5383A8C3" w:rsidR="00BE68D6" w:rsidRDefault="006D73ED" w:rsidP="00BE68D6">
      <w:r>
        <w:t>De otra parte, sea observado que en el proceso licitatorio los oferentes en su “apuesta estratégica” por ser adjudicatarios ceden eficiencias, para este caso se opta por trabajar con un rango entre 0% y 5% del costo de obra, asumiendo una distribución uniforme.</w:t>
      </w:r>
    </w:p>
    <w:p w14:paraId="5CD9C300" w14:textId="77777777" w:rsidR="00112E1F" w:rsidRDefault="00112E1F" w:rsidP="00E25E91"/>
    <w:p w14:paraId="7B1D9BD1" w14:textId="77777777" w:rsidR="00935846" w:rsidRDefault="00935846" w:rsidP="00E25E91">
      <w:pPr>
        <w:pStyle w:val="Heading2"/>
      </w:pPr>
      <w:bookmarkStart w:id="39" w:name="_Toc484602612"/>
      <w:r>
        <w:t>Variación de Precios de Mercado en el Tiempo</w:t>
      </w:r>
      <w:bookmarkEnd w:id="39"/>
    </w:p>
    <w:p w14:paraId="43E9541E" w14:textId="77777777" w:rsidR="004A21E8" w:rsidRPr="004A21E8" w:rsidRDefault="004A21E8" w:rsidP="00E25E91"/>
    <w:p w14:paraId="1B6DCE1C" w14:textId="403F53D6" w:rsidR="00EA07A0" w:rsidRPr="00E25E91" w:rsidRDefault="004A21E8" w:rsidP="00E25E91">
      <w:r w:rsidRPr="00E25E91">
        <w:t xml:space="preserve">Con respecto a la variación </w:t>
      </w:r>
      <w:r w:rsidR="00056A4C" w:rsidRPr="00E25E91">
        <w:t xml:space="preserve">en el tiempo </w:t>
      </w:r>
      <w:r w:rsidRPr="00E25E91">
        <w:t xml:space="preserve">de precios de mercado de los insumos básicos, se recurre a </w:t>
      </w:r>
      <w:r w:rsidR="00116B66" w:rsidRPr="00E25E91">
        <w:t>la base de datos</w:t>
      </w:r>
      <w:r w:rsidR="00056A4C" w:rsidRPr="00E25E91">
        <w:t xml:space="preserve"> de series históricas</w:t>
      </w:r>
      <w:r w:rsidR="00116B66" w:rsidRPr="00E25E91">
        <w:t xml:space="preserve"> </w:t>
      </w:r>
      <w:r w:rsidR="004F6B12">
        <w:t>del Instituto Nacional de Estadística</w:t>
      </w:r>
      <w:r w:rsidR="00A72112">
        <w:t xml:space="preserve"> (INE)</w:t>
      </w:r>
      <w:r w:rsidR="004F6B12">
        <w:rPr>
          <w:rStyle w:val="FootnoteReference"/>
        </w:rPr>
        <w:footnoteReference w:id="25"/>
      </w:r>
      <w:r w:rsidR="004F6B12">
        <w:t>, Administradora Boliviana de Carreteras</w:t>
      </w:r>
      <w:r w:rsidR="00A72112">
        <w:t xml:space="preserve"> (ABC)</w:t>
      </w:r>
      <w:r w:rsidR="004F6B12">
        <w:rPr>
          <w:rStyle w:val="FootnoteReference"/>
        </w:rPr>
        <w:footnoteReference w:id="26"/>
      </w:r>
      <w:r w:rsidR="004F6B12">
        <w:t>, y Banco Central de Bolivia</w:t>
      </w:r>
      <w:r w:rsidR="00A72112">
        <w:t xml:space="preserve"> (BCB)</w:t>
      </w:r>
      <w:r w:rsidR="004F6B12">
        <w:rPr>
          <w:rStyle w:val="FootnoteReference"/>
        </w:rPr>
        <w:footnoteReference w:id="27"/>
      </w:r>
      <w:r w:rsidR="004C1500">
        <w:t xml:space="preserve">, obteniéndose la siguiente caracterización de las variaciones anuales, con base en series históricas de su comportamiento en los últimos </w:t>
      </w:r>
      <w:r w:rsidR="004F6B12">
        <w:t>catorce (14</w:t>
      </w:r>
      <w:r w:rsidR="004C1500">
        <w:t>) años (</w:t>
      </w:r>
      <w:r w:rsidR="004C1500" w:rsidRPr="00D02505">
        <w:t>Ver Anexo Series Históricas de Precios</w:t>
      </w:r>
      <w:r w:rsidR="00E5362D">
        <w:t xml:space="preserve"> y Resultados Modelo ARIMA</w:t>
      </w:r>
      <w:r w:rsidR="004C1500">
        <w:t>):</w:t>
      </w:r>
    </w:p>
    <w:p w14:paraId="3842E27D" w14:textId="77777777" w:rsidR="009837C1" w:rsidRDefault="009837C1" w:rsidP="00E25E91"/>
    <w:p w14:paraId="792D2977" w14:textId="3A406067" w:rsidR="00367C3D" w:rsidRDefault="00367C3D" w:rsidP="004C1500">
      <w:pPr>
        <w:pStyle w:val="Caption"/>
        <w:jc w:val="center"/>
      </w:pPr>
      <w:bookmarkStart w:id="40" w:name="_Ref427640376"/>
      <w:bookmarkStart w:id="41" w:name="_Ref427636151"/>
      <w:bookmarkStart w:id="42" w:name="_Ref484588023"/>
      <w:bookmarkStart w:id="43" w:name="_Toc484602627"/>
      <w:r>
        <w:t xml:space="preserve">Tabla </w:t>
      </w:r>
      <w:r>
        <w:fldChar w:fldCharType="begin"/>
      </w:r>
      <w:r>
        <w:instrText xml:space="preserve"> SEQ Tabla \* ARABIC </w:instrText>
      </w:r>
      <w:r>
        <w:fldChar w:fldCharType="separate"/>
      </w:r>
      <w:r w:rsidR="00011CB8">
        <w:rPr>
          <w:noProof/>
        </w:rPr>
        <w:t>7</w:t>
      </w:r>
      <w:r>
        <w:fldChar w:fldCharType="end"/>
      </w:r>
      <w:bookmarkEnd w:id="40"/>
      <w:r>
        <w:t xml:space="preserve">. Caracterización de la Variación </w:t>
      </w:r>
      <w:r w:rsidR="004C1500">
        <w:t xml:space="preserve">Anual </w:t>
      </w:r>
      <w:r>
        <w:t>de Precios de Mercado de Insumos Básicos</w:t>
      </w:r>
      <w:bookmarkEnd w:id="41"/>
      <w:r w:rsidR="00492590">
        <w:rPr>
          <w:rStyle w:val="FootnoteReference"/>
        </w:rPr>
        <w:footnoteReference w:id="28"/>
      </w:r>
      <w:bookmarkEnd w:id="42"/>
      <w:bookmarkEnd w:id="43"/>
    </w:p>
    <w:tbl>
      <w:tblPr>
        <w:tblW w:w="8926" w:type="dxa"/>
        <w:tblCellMar>
          <w:left w:w="70" w:type="dxa"/>
          <w:right w:w="70" w:type="dxa"/>
        </w:tblCellMar>
        <w:tblLook w:val="04A0" w:firstRow="1" w:lastRow="0" w:firstColumn="1" w:lastColumn="0" w:noHBand="0" w:noVBand="1"/>
      </w:tblPr>
      <w:tblGrid>
        <w:gridCol w:w="2547"/>
        <w:gridCol w:w="1074"/>
        <w:gridCol w:w="811"/>
        <w:gridCol w:w="991"/>
        <w:gridCol w:w="852"/>
        <w:gridCol w:w="851"/>
        <w:gridCol w:w="850"/>
        <w:gridCol w:w="950"/>
      </w:tblGrid>
      <w:tr w:rsidR="00DB2862" w:rsidRPr="00DB2862" w14:paraId="51D56BD8" w14:textId="77777777" w:rsidTr="003B52D5">
        <w:trPr>
          <w:trHeight w:val="600"/>
          <w:tblHeader/>
        </w:trPr>
        <w:tc>
          <w:tcPr>
            <w:tcW w:w="2547" w:type="dxa"/>
            <w:tcBorders>
              <w:top w:val="single" w:sz="4" w:space="0" w:color="auto"/>
              <w:left w:val="single" w:sz="4" w:space="0" w:color="auto"/>
              <w:bottom w:val="single" w:sz="4" w:space="0" w:color="auto"/>
              <w:right w:val="single" w:sz="4" w:space="0" w:color="auto"/>
            </w:tcBorders>
            <w:shd w:val="clear" w:color="000000" w:fill="215967"/>
            <w:vAlign w:val="center"/>
            <w:hideMark/>
          </w:tcPr>
          <w:p w14:paraId="4C9F5936" w14:textId="6A40BA0A" w:rsidR="00DB2862" w:rsidRPr="00945BC1" w:rsidRDefault="00DB2862" w:rsidP="00945BC1">
            <w:pPr>
              <w:spacing w:line="240" w:lineRule="auto"/>
              <w:jc w:val="center"/>
              <w:rPr>
                <w:b/>
                <w:bCs/>
                <w:color w:val="FFFFFF"/>
                <w:sz w:val="16"/>
                <w:szCs w:val="16"/>
              </w:rPr>
            </w:pPr>
            <w:r w:rsidRPr="00945BC1">
              <w:rPr>
                <w:b/>
                <w:bCs/>
                <w:color w:val="FFFFFF"/>
                <w:sz w:val="16"/>
                <w:szCs w:val="16"/>
              </w:rPr>
              <w:t>MATERIAL</w:t>
            </w:r>
          </w:p>
        </w:tc>
        <w:tc>
          <w:tcPr>
            <w:tcW w:w="1074" w:type="dxa"/>
            <w:tcBorders>
              <w:top w:val="single" w:sz="4" w:space="0" w:color="auto"/>
              <w:left w:val="nil"/>
              <w:bottom w:val="single" w:sz="4" w:space="0" w:color="auto"/>
              <w:right w:val="single" w:sz="4" w:space="0" w:color="auto"/>
            </w:tcBorders>
            <w:shd w:val="clear" w:color="000000" w:fill="215967"/>
            <w:noWrap/>
            <w:vAlign w:val="center"/>
            <w:hideMark/>
          </w:tcPr>
          <w:p w14:paraId="122F5C1B" w14:textId="1A1A840D" w:rsidR="00444DD8" w:rsidRPr="00945BC1" w:rsidRDefault="00444DD8" w:rsidP="00945BC1">
            <w:pPr>
              <w:spacing w:line="240" w:lineRule="auto"/>
              <w:jc w:val="center"/>
              <w:rPr>
                <w:b/>
                <w:bCs/>
                <w:color w:val="FFFFFF"/>
                <w:sz w:val="16"/>
                <w:szCs w:val="16"/>
              </w:rPr>
            </w:pPr>
            <w:r w:rsidRPr="00945BC1">
              <w:rPr>
                <w:b/>
                <w:bCs/>
                <w:color w:val="FFFFFF"/>
                <w:sz w:val="16"/>
                <w:szCs w:val="16"/>
              </w:rPr>
              <w:t>INCIDENCIA</w:t>
            </w:r>
          </w:p>
          <w:p w14:paraId="182E43D6" w14:textId="24BA17CA" w:rsidR="00DB2862" w:rsidRPr="00945BC1" w:rsidRDefault="00DB2862" w:rsidP="00945BC1">
            <w:pPr>
              <w:spacing w:line="240" w:lineRule="auto"/>
              <w:jc w:val="center"/>
              <w:rPr>
                <w:b/>
                <w:bCs/>
                <w:color w:val="FFFFFF"/>
                <w:sz w:val="16"/>
                <w:szCs w:val="16"/>
              </w:rPr>
            </w:pPr>
            <w:r w:rsidRPr="00945BC1">
              <w:rPr>
                <w:b/>
                <w:bCs/>
                <w:color w:val="FFFFFF"/>
                <w:sz w:val="16"/>
                <w:szCs w:val="16"/>
              </w:rPr>
              <w:t>% RECALC</w:t>
            </w:r>
          </w:p>
        </w:tc>
        <w:tc>
          <w:tcPr>
            <w:tcW w:w="811" w:type="dxa"/>
            <w:tcBorders>
              <w:top w:val="single" w:sz="4" w:space="0" w:color="auto"/>
              <w:left w:val="nil"/>
              <w:bottom w:val="single" w:sz="4" w:space="0" w:color="auto"/>
              <w:right w:val="single" w:sz="4" w:space="0" w:color="auto"/>
            </w:tcBorders>
            <w:shd w:val="clear" w:color="000000" w:fill="215967"/>
            <w:noWrap/>
            <w:vAlign w:val="center"/>
            <w:hideMark/>
          </w:tcPr>
          <w:p w14:paraId="41ED2CB4" w14:textId="77777777" w:rsidR="00DB2862" w:rsidRPr="00945BC1" w:rsidRDefault="00DB2862" w:rsidP="00945BC1">
            <w:pPr>
              <w:spacing w:line="240" w:lineRule="auto"/>
              <w:jc w:val="center"/>
              <w:rPr>
                <w:b/>
                <w:bCs/>
                <w:color w:val="FFFFFF"/>
                <w:sz w:val="16"/>
                <w:szCs w:val="16"/>
              </w:rPr>
            </w:pPr>
            <w:r w:rsidRPr="00945BC1">
              <w:rPr>
                <w:b/>
                <w:bCs/>
                <w:color w:val="FFFFFF"/>
                <w:sz w:val="16"/>
                <w:szCs w:val="16"/>
              </w:rPr>
              <w:t>MEDIA</w:t>
            </w:r>
          </w:p>
        </w:tc>
        <w:tc>
          <w:tcPr>
            <w:tcW w:w="991" w:type="dxa"/>
            <w:tcBorders>
              <w:top w:val="single" w:sz="4" w:space="0" w:color="auto"/>
              <w:left w:val="nil"/>
              <w:bottom w:val="single" w:sz="4" w:space="0" w:color="auto"/>
              <w:right w:val="single" w:sz="4" w:space="0" w:color="auto"/>
            </w:tcBorders>
            <w:shd w:val="clear" w:color="000000" w:fill="215967"/>
            <w:noWrap/>
            <w:vAlign w:val="center"/>
            <w:hideMark/>
          </w:tcPr>
          <w:p w14:paraId="42D8C590" w14:textId="77777777" w:rsidR="00DB2862" w:rsidRPr="00945BC1" w:rsidRDefault="00DB2862" w:rsidP="00945BC1">
            <w:pPr>
              <w:spacing w:line="240" w:lineRule="auto"/>
              <w:jc w:val="center"/>
              <w:rPr>
                <w:b/>
                <w:bCs/>
                <w:color w:val="FFFFFF"/>
                <w:sz w:val="16"/>
                <w:szCs w:val="16"/>
              </w:rPr>
            </w:pPr>
            <w:r w:rsidRPr="00945BC1">
              <w:rPr>
                <w:b/>
                <w:bCs/>
                <w:color w:val="FFFFFF"/>
                <w:sz w:val="16"/>
                <w:szCs w:val="16"/>
              </w:rPr>
              <w:t>DESVSTD</w:t>
            </w:r>
          </w:p>
        </w:tc>
        <w:tc>
          <w:tcPr>
            <w:tcW w:w="852" w:type="dxa"/>
            <w:tcBorders>
              <w:top w:val="single" w:sz="4" w:space="0" w:color="auto"/>
              <w:left w:val="nil"/>
              <w:bottom w:val="single" w:sz="4" w:space="0" w:color="auto"/>
              <w:right w:val="single" w:sz="4" w:space="0" w:color="auto"/>
            </w:tcBorders>
            <w:shd w:val="clear" w:color="000000" w:fill="215967"/>
            <w:noWrap/>
            <w:vAlign w:val="center"/>
            <w:hideMark/>
          </w:tcPr>
          <w:p w14:paraId="11200CCB" w14:textId="77777777" w:rsidR="00DB2862" w:rsidRPr="00945BC1" w:rsidRDefault="00DB2862" w:rsidP="00945BC1">
            <w:pPr>
              <w:spacing w:line="240" w:lineRule="auto"/>
              <w:jc w:val="center"/>
              <w:rPr>
                <w:b/>
                <w:bCs/>
                <w:color w:val="FFFFFF"/>
                <w:sz w:val="16"/>
                <w:szCs w:val="16"/>
              </w:rPr>
            </w:pPr>
            <w:r w:rsidRPr="00945BC1">
              <w:rPr>
                <w:b/>
                <w:bCs/>
                <w:color w:val="FFFFFF"/>
                <w:sz w:val="16"/>
                <w:szCs w:val="16"/>
              </w:rPr>
              <w:t>MAX</w:t>
            </w:r>
          </w:p>
        </w:tc>
        <w:tc>
          <w:tcPr>
            <w:tcW w:w="851" w:type="dxa"/>
            <w:tcBorders>
              <w:top w:val="single" w:sz="4" w:space="0" w:color="auto"/>
              <w:left w:val="nil"/>
              <w:bottom w:val="single" w:sz="4" w:space="0" w:color="auto"/>
              <w:right w:val="single" w:sz="4" w:space="0" w:color="auto"/>
            </w:tcBorders>
            <w:shd w:val="clear" w:color="000000" w:fill="215967"/>
            <w:noWrap/>
            <w:vAlign w:val="center"/>
            <w:hideMark/>
          </w:tcPr>
          <w:p w14:paraId="1597754E" w14:textId="77777777" w:rsidR="00DB2862" w:rsidRPr="00945BC1" w:rsidRDefault="00DB2862" w:rsidP="00945BC1">
            <w:pPr>
              <w:spacing w:line="240" w:lineRule="auto"/>
              <w:jc w:val="center"/>
              <w:rPr>
                <w:b/>
                <w:bCs/>
                <w:color w:val="FFFFFF"/>
                <w:sz w:val="16"/>
                <w:szCs w:val="16"/>
              </w:rPr>
            </w:pPr>
            <w:r w:rsidRPr="00945BC1">
              <w:rPr>
                <w:b/>
                <w:bCs/>
                <w:color w:val="FFFFFF"/>
                <w:sz w:val="16"/>
                <w:szCs w:val="16"/>
              </w:rPr>
              <w:t>MIN</w:t>
            </w:r>
          </w:p>
        </w:tc>
        <w:tc>
          <w:tcPr>
            <w:tcW w:w="850" w:type="dxa"/>
            <w:tcBorders>
              <w:top w:val="single" w:sz="4" w:space="0" w:color="auto"/>
              <w:left w:val="nil"/>
              <w:bottom w:val="single" w:sz="4" w:space="0" w:color="auto"/>
              <w:right w:val="single" w:sz="4" w:space="0" w:color="auto"/>
            </w:tcBorders>
            <w:shd w:val="clear" w:color="000000" w:fill="215967"/>
            <w:noWrap/>
            <w:vAlign w:val="center"/>
            <w:hideMark/>
          </w:tcPr>
          <w:p w14:paraId="6E7BF598" w14:textId="77777777" w:rsidR="00DB2862" w:rsidRPr="00945BC1" w:rsidRDefault="00DB2862" w:rsidP="00945BC1">
            <w:pPr>
              <w:spacing w:line="240" w:lineRule="auto"/>
              <w:jc w:val="center"/>
              <w:rPr>
                <w:b/>
                <w:bCs/>
                <w:color w:val="FFFFFF"/>
                <w:sz w:val="16"/>
                <w:szCs w:val="16"/>
              </w:rPr>
            </w:pPr>
            <w:r w:rsidRPr="00945BC1">
              <w:rPr>
                <w:b/>
                <w:bCs/>
                <w:color w:val="FFFFFF"/>
                <w:sz w:val="16"/>
                <w:szCs w:val="16"/>
              </w:rPr>
              <w:t>COEF CORR I+1</w:t>
            </w:r>
          </w:p>
        </w:tc>
        <w:tc>
          <w:tcPr>
            <w:tcW w:w="950" w:type="dxa"/>
            <w:tcBorders>
              <w:top w:val="single" w:sz="4" w:space="0" w:color="auto"/>
              <w:left w:val="nil"/>
              <w:bottom w:val="single" w:sz="4" w:space="0" w:color="auto"/>
              <w:right w:val="single" w:sz="4" w:space="0" w:color="auto"/>
            </w:tcBorders>
            <w:shd w:val="clear" w:color="000000" w:fill="215967"/>
            <w:noWrap/>
            <w:vAlign w:val="center"/>
            <w:hideMark/>
          </w:tcPr>
          <w:p w14:paraId="41A7CD9F" w14:textId="77777777" w:rsidR="00DB2862" w:rsidRPr="00945BC1" w:rsidRDefault="00DB2862" w:rsidP="00945BC1">
            <w:pPr>
              <w:spacing w:line="240" w:lineRule="auto"/>
              <w:jc w:val="center"/>
              <w:rPr>
                <w:b/>
                <w:bCs/>
                <w:color w:val="FFFFFF"/>
                <w:sz w:val="16"/>
                <w:szCs w:val="16"/>
              </w:rPr>
            </w:pPr>
            <w:r w:rsidRPr="00945BC1">
              <w:rPr>
                <w:b/>
                <w:bCs/>
                <w:color w:val="FFFFFF"/>
                <w:sz w:val="16"/>
                <w:szCs w:val="16"/>
              </w:rPr>
              <w:t>COEF</w:t>
            </w:r>
          </w:p>
          <w:p w14:paraId="2489B444" w14:textId="6650B7CB" w:rsidR="00DB2862" w:rsidRPr="00945BC1" w:rsidRDefault="00DB2862" w:rsidP="00945BC1">
            <w:pPr>
              <w:spacing w:line="240" w:lineRule="auto"/>
              <w:jc w:val="center"/>
              <w:rPr>
                <w:b/>
                <w:bCs/>
                <w:color w:val="FFFFFF"/>
                <w:sz w:val="16"/>
                <w:szCs w:val="16"/>
              </w:rPr>
            </w:pPr>
            <w:r w:rsidRPr="00945BC1">
              <w:rPr>
                <w:b/>
                <w:bCs/>
                <w:color w:val="FFFFFF"/>
                <w:sz w:val="16"/>
                <w:szCs w:val="16"/>
              </w:rPr>
              <w:t>CORRLAC GRAL</w:t>
            </w:r>
          </w:p>
        </w:tc>
      </w:tr>
      <w:tr w:rsidR="00DB2862" w:rsidRPr="00DB2862" w14:paraId="73E67593" w14:textId="77777777" w:rsidTr="00220AA7">
        <w:trPr>
          <w:trHeight w:val="45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AD8BA" w14:textId="0C108BC8" w:rsidR="005473B6" w:rsidRPr="00945BC1" w:rsidRDefault="00A72112" w:rsidP="00945BC1">
            <w:pPr>
              <w:spacing w:line="240" w:lineRule="auto"/>
              <w:jc w:val="left"/>
              <w:rPr>
                <w:color w:val="000000" w:themeColor="text1"/>
                <w:sz w:val="16"/>
                <w:szCs w:val="16"/>
              </w:rPr>
            </w:pPr>
            <w:r w:rsidRPr="00945BC1">
              <w:rPr>
                <w:color w:val="000000" w:themeColor="text1"/>
                <w:sz w:val="16"/>
                <w:szCs w:val="16"/>
              </w:rPr>
              <w:t>Cemento asfaltico con polímero</w:t>
            </w:r>
          </w:p>
          <w:p w14:paraId="039720D4" w14:textId="43CA9A94" w:rsidR="00DB2862" w:rsidRPr="00945BC1" w:rsidRDefault="005473B6" w:rsidP="00945BC1">
            <w:pPr>
              <w:spacing w:line="240" w:lineRule="auto"/>
              <w:jc w:val="left"/>
              <w:rPr>
                <w:color w:val="000000" w:themeColor="text1"/>
                <w:sz w:val="16"/>
                <w:szCs w:val="16"/>
              </w:rPr>
            </w:pPr>
            <w:r w:rsidRPr="00945BC1">
              <w:rPr>
                <w:color w:val="000000" w:themeColor="text1"/>
                <w:sz w:val="16"/>
                <w:szCs w:val="16"/>
              </w:rPr>
              <w:t>(ABC)</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14:paraId="57D312F2" w14:textId="77777777" w:rsidR="00DB2862" w:rsidRPr="00945BC1" w:rsidRDefault="00DB2862" w:rsidP="00945BC1">
            <w:pPr>
              <w:spacing w:line="240" w:lineRule="auto"/>
              <w:jc w:val="center"/>
              <w:rPr>
                <w:color w:val="000000" w:themeColor="text1"/>
                <w:sz w:val="16"/>
                <w:szCs w:val="16"/>
              </w:rPr>
            </w:pPr>
            <w:r w:rsidRPr="00945BC1">
              <w:rPr>
                <w:color w:val="000000" w:themeColor="text1"/>
                <w:sz w:val="16"/>
                <w:szCs w:val="16"/>
              </w:rPr>
              <w:t>17,3%</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14:paraId="578AB504" w14:textId="77777777" w:rsidR="00DB2862" w:rsidRPr="00945BC1" w:rsidRDefault="00DB2862" w:rsidP="00945BC1">
            <w:pPr>
              <w:spacing w:line="240" w:lineRule="auto"/>
              <w:jc w:val="center"/>
              <w:rPr>
                <w:color w:val="000000" w:themeColor="text1"/>
                <w:sz w:val="16"/>
                <w:szCs w:val="16"/>
              </w:rPr>
            </w:pPr>
            <w:r w:rsidRPr="00945BC1">
              <w:rPr>
                <w:color w:val="000000" w:themeColor="text1"/>
                <w:sz w:val="16"/>
                <w:szCs w:val="16"/>
              </w:rPr>
              <w:t>-0,31%</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7F4F31E4" w14:textId="77777777" w:rsidR="00DB2862" w:rsidRPr="00945BC1" w:rsidRDefault="00DB2862" w:rsidP="00945BC1">
            <w:pPr>
              <w:spacing w:line="240" w:lineRule="auto"/>
              <w:jc w:val="center"/>
              <w:rPr>
                <w:color w:val="000000" w:themeColor="text1"/>
                <w:sz w:val="16"/>
                <w:szCs w:val="16"/>
              </w:rPr>
            </w:pPr>
            <w:r w:rsidRPr="00945BC1">
              <w:rPr>
                <w:color w:val="000000" w:themeColor="text1"/>
                <w:sz w:val="16"/>
                <w:szCs w:val="16"/>
              </w:rPr>
              <w:t>14,58%</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14:paraId="1C39F70F" w14:textId="77777777" w:rsidR="00DB2862" w:rsidRPr="00945BC1" w:rsidRDefault="00DB2862" w:rsidP="00945BC1">
            <w:pPr>
              <w:spacing w:line="240" w:lineRule="auto"/>
              <w:jc w:val="center"/>
              <w:rPr>
                <w:color w:val="000000" w:themeColor="text1"/>
                <w:sz w:val="16"/>
                <w:szCs w:val="16"/>
              </w:rPr>
            </w:pPr>
            <w:r w:rsidRPr="00945BC1">
              <w:rPr>
                <w:color w:val="000000" w:themeColor="text1"/>
                <w:sz w:val="16"/>
                <w:szCs w:val="16"/>
              </w:rPr>
              <w:t>17,71%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6C7BE68" w14:textId="77777777" w:rsidR="00DB2862" w:rsidRPr="00945BC1" w:rsidRDefault="00DB2862" w:rsidP="00945BC1">
            <w:pPr>
              <w:spacing w:line="240" w:lineRule="auto"/>
              <w:jc w:val="center"/>
              <w:rPr>
                <w:color w:val="000000" w:themeColor="text1"/>
                <w:sz w:val="16"/>
                <w:szCs w:val="16"/>
              </w:rPr>
            </w:pPr>
            <w:r w:rsidRPr="00945BC1">
              <w:rPr>
                <w:color w:val="000000" w:themeColor="text1"/>
                <w:sz w:val="16"/>
                <w:szCs w:val="16"/>
              </w:rPr>
              <w:t>-18,34%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7E09251" w14:textId="77777777" w:rsidR="00DB2862" w:rsidRPr="00945BC1" w:rsidRDefault="00DB2862" w:rsidP="00945BC1">
            <w:pPr>
              <w:spacing w:line="240" w:lineRule="auto"/>
              <w:jc w:val="center"/>
              <w:rPr>
                <w:color w:val="000000" w:themeColor="text1"/>
                <w:sz w:val="16"/>
                <w:szCs w:val="16"/>
              </w:rPr>
            </w:pPr>
            <w:r w:rsidRPr="00945BC1">
              <w:rPr>
                <w:color w:val="000000" w:themeColor="text1"/>
                <w:sz w:val="16"/>
                <w:szCs w:val="16"/>
              </w:rPr>
              <w:t>-0,26</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14:paraId="2D5A150E" w14:textId="77777777" w:rsidR="00DB2862" w:rsidRPr="00945BC1" w:rsidRDefault="00DB2862" w:rsidP="00945BC1">
            <w:pPr>
              <w:spacing w:line="240" w:lineRule="auto"/>
              <w:jc w:val="center"/>
              <w:rPr>
                <w:color w:val="000000" w:themeColor="text1"/>
                <w:sz w:val="16"/>
                <w:szCs w:val="16"/>
              </w:rPr>
            </w:pPr>
            <w:r w:rsidRPr="00945BC1">
              <w:rPr>
                <w:color w:val="000000" w:themeColor="text1"/>
                <w:sz w:val="16"/>
                <w:szCs w:val="16"/>
              </w:rPr>
              <w:t>0,69</w:t>
            </w:r>
          </w:p>
        </w:tc>
      </w:tr>
      <w:tr w:rsidR="00DB2862" w:rsidRPr="00DB2862" w14:paraId="4AE237EF" w14:textId="77777777" w:rsidTr="00220A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0B0DE" w14:textId="71CF34B8" w:rsidR="005473B6" w:rsidRPr="00D314CC" w:rsidRDefault="00A72112" w:rsidP="00945BC1">
            <w:pPr>
              <w:spacing w:line="240" w:lineRule="auto"/>
              <w:jc w:val="left"/>
              <w:rPr>
                <w:color w:val="000000" w:themeColor="text1"/>
                <w:sz w:val="16"/>
                <w:szCs w:val="16"/>
                <w:lang w:val="en-US"/>
              </w:rPr>
            </w:pPr>
            <w:r w:rsidRPr="00D314CC">
              <w:rPr>
                <w:color w:val="000000" w:themeColor="text1"/>
                <w:sz w:val="16"/>
                <w:szCs w:val="16"/>
                <w:lang w:val="en-US"/>
              </w:rPr>
              <w:t>Cemento portland</w:t>
            </w:r>
          </w:p>
          <w:p w14:paraId="6B399125" w14:textId="51905CB0" w:rsidR="00DB2862" w:rsidRPr="00D314CC" w:rsidRDefault="005473B6" w:rsidP="00945BC1">
            <w:pPr>
              <w:spacing w:line="240" w:lineRule="auto"/>
              <w:jc w:val="left"/>
              <w:rPr>
                <w:color w:val="000000" w:themeColor="text1"/>
                <w:sz w:val="16"/>
                <w:szCs w:val="16"/>
                <w:lang w:val="en-US"/>
              </w:rPr>
            </w:pPr>
            <w:r w:rsidRPr="00D314CC">
              <w:rPr>
                <w:color w:val="000000" w:themeColor="text1"/>
                <w:sz w:val="16"/>
                <w:szCs w:val="16"/>
                <w:lang w:val="en-US"/>
              </w:rPr>
              <w:t>(ABC y INE)</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14:paraId="1A822551" w14:textId="77777777" w:rsidR="00DB2862" w:rsidRPr="00945BC1" w:rsidRDefault="00DB2862" w:rsidP="00945BC1">
            <w:pPr>
              <w:spacing w:line="240" w:lineRule="auto"/>
              <w:jc w:val="center"/>
              <w:rPr>
                <w:color w:val="000000" w:themeColor="text1"/>
                <w:sz w:val="16"/>
                <w:szCs w:val="16"/>
              </w:rPr>
            </w:pPr>
            <w:r w:rsidRPr="00945BC1">
              <w:rPr>
                <w:color w:val="000000" w:themeColor="text1"/>
                <w:sz w:val="16"/>
                <w:szCs w:val="16"/>
              </w:rPr>
              <w:t>8,7%</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14:paraId="0DDE450F" w14:textId="77777777" w:rsidR="00DB2862" w:rsidRPr="00945BC1" w:rsidRDefault="00DB2862" w:rsidP="00945BC1">
            <w:pPr>
              <w:spacing w:line="240" w:lineRule="auto"/>
              <w:jc w:val="center"/>
              <w:rPr>
                <w:color w:val="000000" w:themeColor="text1"/>
                <w:sz w:val="16"/>
                <w:szCs w:val="16"/>
              </w:rPr>
            </w:pPr>
            <w:r w:rsidRPr="00945BC1">
              <w:rPr>
                <w:color w:val="000000" w:themeColor="text1"/>
                <w:sz w:val="16"/>
                <w:szCs w:val="16"/>
              </w:rPr>
              <w:t>-2,93%</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230BFF82" w14:textId="77777777" w:rsidR="00DB2862" w:rsidRPr="00945BC1" w:rsidRDefault="00DB2862" w:rsidP="00945BC1">
            <w:pPr>
              <w:spacing w:line="240" w:lineRule="auto"/>
              <w:jc w:val="center"/>
              <w:rPr>
                <w:color w:val="000000" w:themeColor="text1"/>
                <w:sz w:val="16"/>
                <w:szCs w:val="16"/>
              </w:rPr>
            </w:pPr>
            <w:r w:rsidRPr="00945BC1">
              <w:rPr>
                <w:color w:val="000000" w:themeColor="text1"/>
                <w:sz w:val="16"/>
                <w:szCs w:val="16"/>
              </w:rPr>
              <w:t>8,92%</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14:paraId="1E55D467" w14:textId="77777777" w:rsidR="00DB2862" w:rsidRPr="00945BC1" w:rsidRDefault="00DB2862" w:rsidP="00945BC1">
            <w:pPr>
              <w:spacing w:line="240" w:lineRule="auto"/>
              <w:jc w:val="center"/>
              <w:rPr>
                <w:color w:val="000000" w:themeColor="text1"/>
                <w:sz w:val="16"/>
                <w:szCs w:val="16"/>
              </w:rPr>
            </w:pPr>
            <w:r w:rsidRPr="00945BC1">
              <w:rPr>
                <w:color w:val="000000" w:themeColor="text1"/>
                <w:sz w:val="16"/>
                <w:szCs w:val="16"/>
              </w:rPr>
              <w:t>11,73%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DC23368" w14:textId="77777777" w:rsidR="00DB2862" w:rsidRPr="00945BC1" w:rsidRDefault="00DB2862" w:rsidP="00945BC1">
            <w:pPr>
              <w:spacing w:line="240" w:lineRule="auto"/>
              <w:jc w:val="center"/>
              <w:rPr>
                <w:color w:val="000000" w:themeColor="text1"/>
                <w:sz w:val="16"/>
                <w:szCs w:val="16"/>
              </w:rPr>
            </w:pPr>
            <w:r w:rsidRPr="00945BC1">
              <w:rPr>
                <w:color w:val="000000" w:themeColor="text1"/>
                <w:sz w:val="16"/>
                <w:szCs w:val="16"/>
              </w:rPr>
              <w:t>-17,59%</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E3AFB43" w14:textId="77777777" w:rsidR="00DB2862" w:rsidRPr="00945BC1" w:rsidRDefault="00DB2862" w:rsidP="00945BC1">
            <w:pPr>
              <w:spacing w:line="240" w:lineRule="auto"/>
              <w:jc w:val="center"/>
              <w:rPr>
                <w:color w:val="000000" w:themeColor="text1"/>
                <w:sz w:val="16"/>
                <w:szCs w:val="16"/>
              </w:rPr>
            </w:pPr>
            <w:r w:rsidRPr="00945BC1">
              <w:rPr>
                <w:color w:val="000000" w:themeColor="text1"/>
                <w:sz w:val="16"/>
                <w:szCs w:val="16"/>
              </w:rPr>
              <w:t>-0,60</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14:paraId="37C63B6B" w14:textId="77777777" w:rsidR="00DB2862" w:rsidRPr="00945BC1" w:rsidRDefault="00DB2862" w:rsidP="00945BC1">
            <w:pPr>
              <w:spacing w:line="240" w:lineRule="auto"/>
              <w:jc w:val="center"/>
              <w:rPr>
                <w:color w:val="000000" w:themeColor="text1"/>
                <w:sz w:val="16"/>
                <w:szCs w:val="16"/>
              </w:rPr>
            </w:pPr>
            <w:r w:rsidRPr="00945BC1">
              <w:rPr>
                <w:color w:val="000000" w:themeColor="text1"/>
                <w:sz w:val="16"/>
                <w:szCs w:val="16"/>
              </w:rPr>
              <w:t>0,85</w:t>
            </w:r>
          </w:p>
        </w:tc>
      </w:tr>
      <w:tr w:rsidR="00DB2862" w:rsidRPr="00DB2862" w14:paraId="411B8714" w14:textId="77777777" w:rsidTr="00220A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0EA27" w14:textId="77777777" w:rsidR="00DB2862" w:rsidRPr="00945BC1" w:rsidRDefault="00A72112" w:rsidP="00945BC1">
            <w:pPr>
              <w:spacing w:line="240" w:lineRule="auto"/>
              <w:jc w:val="left"/>
              <w:rPr>
                <w:color w:val="000000" w:themeColor="text1"/>
                <w:sz w:val="16"/>
                <w:szCs w:val="16"/>
              </w:rPr>
            </w:pPr>
            <w:r w:rsidRPr="00945BC1">
              <w:rPr>
                <w:color w:val="000000" w:themeColor="text1"/>
                <w:sz w:val="16"/>
                <w:szCs w:val="16"/>
              </w:rPr>
              <w:t>Acero corrugado</w:t>
            </w:r>
          </w:p>
          <w:p w14:paraId="6388B146" w14:textId="2006703B" w:rsidR="005473B6" w:rsidRPr="00945BC1" w:rsidRDefault="005473B6" w:rsidP="00945BC1">
            <w:pPr>
              <w:spacing w:line="240" w:lineRule="auto"/>
              <w:jc w:val="left"/>
              <w:rPr>
                <w:color w:val="000000" w:themeColor="text1"/>
                <w:sz w:val="16"/>
                <w:szCs w:val="16"/>
              </w:rPr>
            </w:pPr>
            <w:r w:rsidRPr="00945BC1">
              <w:rPr>
                <w:color w:val="000000" w:themeColor="text1"/>
                <w:sz w:val="16"/>
                <w:szCs w:val="16"/>
              </w:rPr>
              <w:t>(ABC y INE)</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14:paraId="0E05C863" w14:textId="77777777" w:rsidR="00DB2862" w:rsidRPr="00945BC1" w:rsidRDefault="00DB2862" w:rsidP="00945BC1">
            <w:pPr>
              <w:spacing w:line="240" w:lineRule="auto"/>
              <w:jc w:val="center"/>
              <w:rPr>
                <w:color w:val="000000" w:themeColor="text1"/>
                <w:sz w:val="16"/>
                <w:szCs w:val="16"/>
              </w:rPr>
            </w:pPr>
            <w:r w:rsidRPr="00945BC1">
              <w:rPr>
                <w:color w:val="000000" w:themeColor="text1"/>
                <w:sz w:val="16"/>
                <w:szCs w:val="16"/>
              </w:rPr>
              <w:t>2,2%</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14:paraId="0EE53E68" w14:textId="77777777" w:rsidR="00DB2862" w:rsidRPr="00945BC1" w:rsidRDefault="00DB2862" w:rsidP="00945BC1">
            <w:pPr>
              <w:spacing w:line="240" w:lineRule="auto"/>
              <w:jc w:val="center"/>
              <w:rPr>
                <w:color w:val="000000" w:themeColor="text1"/>
                <w:sz w:val="16"/>
                <w:szCs w:val="16"/>
              </w:rPr>
            </w:pPr>
            <w:r w:rsidRPr="00945BC1">
              <w:rPr>
                <w:color w:val="000000" w:themeColor="text1"/>
                <w:sz w:val="16"/>
                <w:szCs w:val="16"/>
              </w:rPr>
              <w:t>0,00%</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0B97D75A" w14:textId="77777777" w:rsidR="00DB2862" w:rsidRPr="00945BC1" w:rsidRDefault="00DB2862" w:rsidP="00945BC1">
            <w:pPr>
              <w:spacing w:line="240" w:lineRule="auto"/>
              <w:jc w:val="center"/>
              <w:rPr>
                <w:color w:val="000000" w:themeColor="text1"/>
                <w:sz w:val="16"/>
                <w:szCs w:val="16"/>
              </w:rPr>
            </w:pPr>
            <w:r w:rsidRPr="00945BC1">
              <w:rPr>
                <w:color w:val="000000" w:themeColor="text1"/>
                <w:sz w:val="16"/>
                <w:szCs w:val="16"/>
              </w:rPr>
              <w:t>5,83%</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14:paraId="5B2D5AAE" w14:textId="77777777" w:rsidR="00DB2862" w:rsidRPr="00945BC1" w:rsidRDefault="00DB2862" w:rsidP="00945BC1">
            <w:pPr>
              <w:spacing w:line="240" w:lineRule="auto"/>
              <w:jc w:val="center"/>
              <w:rPr>
                <w:color w:val="000000" w:themeColor="text1"/>
                <w:sz w:val="16"/>
                <w:szCs w:val="16"/>
              </w:rPr>
            </w:pPr>
            <w:r w:rsidRPr="00945BC1">
              <w:rPr>
                <w:color w:val="000000" w:themeColor="text1"/>
                <w:sz w:val="16"/>
                <w:szCs w:val="16"/>
              </w:rPr>
              <w:t>6,00%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5FCADE2" w14:textId="77777777" w:rsidR="00DB2862" w:rsidRPr="00945BC1" w:rsidRDefault="00DB2862" w:rsidP="00945BC1">
            <w:pPr>
              <w:spacing w:line="240" w:lineRule="auto"/>
              <w:jc w:val="center"/>
              <w:rPr>
                <w:color w:val="000000" w:themeColor="text1"/>
                <w:sz w:val="16"/>
                <w:szCs w:val="16"/>
              </w:rPr>
            </w:pPr>
            <w:r w:rsidRPr="00945BC1">
              <w:rPr>
                <w:color w:val="000000" w:themeColor="text1"/>
                <w:sz w:val="16"/>
                <w:szCs w:val="16"/>
              </w:rPr>
              <w:t>-13,21%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9A7ADC9" w14:textId="77777777" w:rsidR="00DB2862" w:rsidRPr="00945BC1" w:rsidRDefault="00DB2862" w:rsidP="00945BC1">
            <w:pPr>
              <w:spacing w:line="240" w:lineRule="auto"/>
              <w:jc w:val="center"/>
              <w:rPr>
                <w:color w:val="000000" w:themeColor="text1"/>
                <w:sz w:val="16"/>
                <w:szCs w:val="16"/>
              </w:rPr>
            </w:pPr>
            <w:r w:rsidRPr="00945BC1">
              <w:rPr>
                <w:color w:val="000000" w:themeColor="text1"/>
                <w:sz w:val="16"/>
                <w:szCs w:val="16"/>
              </w:rPr>
              <w:t>0,49</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14:paraId="30C2ED6F" w14:textId="77777777" w:rsidR="00DB2862" w:rsidRPr="00945BC1" w:rsidRDefault="00DB2862" w:rsidP="00945BC1">
            <w:pPr>
              <w:spacing w:line="240" w:lineRule="auto"/>
              <w:jc w:val="center"/>
              <w:rPr>
                <w:color w:val="000000" w:themeColor="text1"/>
                <w:sz w:val="16"/>
                <w:szCs w:val="16"/>
              </w:rPr>
            </w:pPr>
            <w:r w:rsidRPr="00945BC1">
              <w:rPr>
                <w:color w:val="000000" w:themeColor="text1"/>
                <w:sz w:val="16"/>
                <w:szCs w:val="16"/>
              </w:rPr>
              <w:t>0,92</w:t>
            </w:r>
          </w:p>
        </w:tc>
      </w:tr>
      <w:tr w:rsidR="00DB2862" w:rsidRPr="00DB2862" w14:paraId="260AF0CF" w14:textId="77777777" w:rsidTr="00220A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36D27" w14:textId="77777777" w:rsidR="00DB2862" w:rsidRPr="00945BC1" w:rsidRDefault="00A72112" w:rsidP="00945BC1">
            <w:pPr>
              <w:spacing w:line="240" w:lineRule="auto"/>
              <w:jc w:val="left"/>
              <w:rPr>
                <w:color w:val="000000" w:themeColor="text1"/>
                <w:sz w:val="16"/>
                <w:szCs w:val="16"/>
              </w:rPr>
            </w:pPr>
            <w:r w:rsidRPr="00945BC1">
              <w:rPr>
                <w:color w:val="000000" w:themeColor="text1"/>
                <w:sz w:val="16"/>
                <w:szCs w:val="16"/>
              </w:rPr>
              <w:t>Asfalto diluido</w:t>
            </w:r>
          </w:p>
          <w:p w14:paraId="5819D63E" w14:textId="3C6AE88A" w:rsidR="005473B6" w:rsidRPr="00945BC1" w:rsidRDefault="005473B6" w:rsidP="00945BC1">
            <w:pPr>
              <w:spacing w:line="240" w:lineRule="auto"/>
              <w:jc w:val="left"/>
              <w:rPr>
                <w:color w:val="000000" w:themeColor="text1"/>
                <w:sz w:val="16"/>
                <w:szCs w:val="16"/>
              </w:rPr>
            </w:pPr>
            <w:r w:rsidRPr="00945BC1">
              <w:rPr>
                <w:color w:val="000000" w:themeColor="text1"/>
                <w:sz w:val="16"/>
                <w:szCs w:val="16"/>
              </w:rPr>
              <w:t>(ABC y INE)</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14:paraId="723CE967" w14:textId="77777777" w:rsidR="00DB2862" w:rsidRPr="00945BC1" w:rsidRDefault="00DB2862" w:rsidP="00945BC1">
            <w:pPr>
              <w:spacing w:line="240" w:lineRule="auto"/>
              <w:jc w:val="center"/>
              <w:rPr>
                <w:color w:val="000000" w:themeColor="text1"/>
                <w:sz w:val="16"/>
                <w:szCs w:val="16"/>
              </w:rPr>
            </w:pPr>
            <w:r w:rsidRPr="00945BC1">
              <w:rPr>
                <w:color w:val="000000" w:themeColor="text1"/>
                <w:sz w:val="16"/>
                <w:szCs w:val="16"/>
              </w:rPr>
              <w:t>2,0%</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14:paraId="25D30F4D" w14:textId="77777777" w:rsidR="00DB2862" w:rsidRPr="00945BC1" w:rsidRDefault="00DB2862" w:rsidP="00945BC1">
            <w:pPr>
              <w:spacing w:line="240" w:lineRule="auto"/>
              <w:jc w:val="center"/>
              <w:rPr>
                <w:color w:val="000000" w:themeColor="text1"/>
                <w:sz w:val="16"/>
                <w:szCs w:val="16"/>
              </w:rPr>
            </w:pPr>
            <w:r w:rsidRPr="00945BC1">
              <w:rPr>
                <w:color w:val="000000" w:themeColor="text1"/>
                <w:sz w:val="16"/>
                <w:szCs w:val="16"/>
              </w:rPr>
              <w:t>-0,31%</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2CFED29E" w14:textId="77777777" w:rsidR="00DB2862" w:rsidRPr="00945BC1" w:rsidRDefault="00DB2862" w:rsidP="00945BC1">
            <w:pPr>
              <w:spacing w:line="240" w:lineRule="auto"/>
              <w:jc w:val="center"/>
              <w:rPr>
                <w:color w:val="000000" w:themeColor="text1"/>
                <w:sz w:val="16"/>
                <w:szCs w:val="16"/>
              </w:rPr>
            </w:pPr>
            <w:r w:rsidRPr="00945BC1">
              <w:rPr>
                <w:color w:val="000000" w:themeColor="text1"/>
                <w:sz w:val="16"/>
                <w:szCs w:val="16"/>
              </w:rPr>
              <w:t>14,58%</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14:paraId="46E2C27A" w14:textId="77777777" w:rsidR="00DB2862" w:rsidRPr="00945BC1" w:rsidRDefault="00DB2862" w:rsidP="00945BC1">
            <w:pPr>
              <w:spacing w:line="240" w:lineRule="auto"/>
              <w:jc w:val="center"/>
              <w:rPr>
                <w:color w:val="000000" w:themeColor="text1"/>
                <w:sz w:val="16"/>
                <w:szCs w:val="16"/>
              </w:rPr>
            </w:pPr>
            <w:r w:rsidRPr="00945BC1">
              <w:rPr>
                <w:color w:val="000000" w:themeColor="text1"/>
                <w:sz w:val="16"/>
                <w:szCs w:val="16"/>
              </w:rPr>
              <w:t>17,71%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44B9C50" w14:textId="77777777" w:rsidR="00DB2862" w:rsidRPr="00945BC1" w:rsidRDefault="00DB2862" w:rsidP="00945BC1">
            <w:pPr>
              <w:spacing w:line="240" w:lineRule="auto"/>
              <w:jc w:val="center"/>
              <w:rPr>
                <w:color w:val="000000" w:themeColor="text1"/>
                <w:sz w:val="16"/>
                <w:szCs w:val="16"/>
              </w:rPr>
            </w:pPr>
            <w:r w:rsidRPr="00945BC1">
              <w:rPr>
                <w:color w:val="000000" w:themeColor="text1"/>
                <w:sz w:val="16"/>
                <w:szCs w:val="16"/>
              </w:rPr>
              <w:t>-18,34%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3B8624E" w14:textId="77777777" w:rsidR="00DB2862" w:rsidRPr="00945BC1" w:rsidRDefault="00DB2862" w:rsidP="00945BC1">
            <w:pPr>
              <w:spacing w:line="240" w:lineRule="auto"/>
              <w:jc w:val="center"/>
              <w:rPr>
                <w:color w:val="000000" w:themeColor="text1"/>
                <w:sz w:val="16"/>
                <w:szCs w:val="16"/>
              </w:rPr>
            </w:pPr>
            <w:r w:rsidRPr="00945BC1">
              <w:rPr>
                <w:color w:val="000000" w:themeColor="text1"/>
                <w:sz w:val="16"/>
                <w:szCs w:val="16"/>
              </w:rPr>
              <w:t>-0,26</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14:paraId="33A041D9" w14:textId="35267878" w:rsidR="00DB2862" w:rsidRPr="00945BC1" w:rsidRDefault="00DB2862" w:rsidP="00945BC1">
            <w:pPr>
              <w:spacing w:line="240" w:lineRule="auto"/>
              <w:jc w:val="center"/>
              <w:rPr>
                <w:color w:val="000000" w:themeColor="text1"/>
                <w:sz w:val="16"/>
                <w:szCs w:val="16"/>
              </w:rPr>
            </w:pPr>
            <w:r w:rsidRPr="00945BC1">
              <w:rPr>
                <w:color w:val="000000" w:themeColor="text1"/>
                <w:sz w:val="16"/>
                <w:szCs w:val="16"/>
              </w:rPr>
              <w:t>0,69</w:t>
            </w:r>
          </w:p>
        </w:tc>
      </w:tr>
      <w:tr w:rsidR="00DB2862" w:rsidRPr="00DB2862" w14:paraId="1D34C9A2" w14:textId="77777777" w:rsidTr="00220A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4F9E9" w14:textId="6F647778" w:rsidR="005473B6" w:rsidRPr="00945BC1" w:rsidRDefault="00A72112" w:rsidP="00945BC1">
            <w:pPr>
              <w:spacing w:line="240" w:lineRule="auto"/>
              <w:jc w:val="left"/>
              <w:rPr>
                <w:color w:val="000000" w:themeColor="text1"/>
                <w:sz w:val="16"/>
                <w:szCs w:val="16"/>
              </w:rPr>
            </w:pPr>
            <w:r w:rsidRPr="00945BC1">
              <w:rPr>
                <w:color w:val="000000" w:themeColor="text1"/>
                <w:sz w:val="16"/>
                <w:szCs w:val="16"/>
              </w:rPr>
              <w:lastRenderedPageBreak/>
              <w:t>Otros</w:t>
            </w:r>
            <w:r w:rsidR="005473B6" w:rsidRPr="00945BC1">
              <w:rPr>
                <w:color w:val="000000" w:themeColor="text1"/>
                <w:sz w:val="16"/>
                <w:szCs w:val="16"/>
              </w:rPr>
              <w:t xml:space="preserve"> (INE)</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14:paraId="7BB428C5" w14:textId="4D8D7020" w:rsidR="00DB2862" w:rsidRPr="00945BC1" w:rsidRDefault="00DB2862" w:rsidP="00945BC1">
            <w:pPr>
              <w:spacing w:line="240" w:lineRule="auto"/>
              <w:jc w:val="center"/>
              <w:rPr>
                <w:color w:val="000000" w:themeColor="text1"/>
                <w:sz w:val="16"/>
                <w:szCs w:val="16"/>
              </w:rPr>
            </w:pPr>
            <w:r w:rsidRPr="00945BC1">
              <w:rPr>
                <w:color w:val="000000" w:themeColor="text1"/>
                <w:sz w:val="16"/>
                <w:szCs w:val="16"/>
              </w:rPr>
              <w:t>8,4%</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14:paraId="498D188F" w14:textId="77777777" w:rsidR="00DB2862" w:rsidRPr="00945BC1" w:rsidRDefault="00DB2862" w:rsidP="00945BC1">
            <w:pPr>
              <w:spacing w:line="240" w:lineRule="auto"/>
              <w:jc w:val="center"/>
              <w:rPr>
                <w:color w:val="000000" w:themeColor="text1"/>
                <w:sz w:val="16"/>
                <w:szCs w:val="16"/>
              </w:rPr>
            </w:pPr>
            <w:r w:rsidRPr="00945BC1">
              <w:rPr>
                <w:color w:val="000000" w:themeColor="text1"/>
                <w:sz w:val="16"/>
                <w:szCs w:val="16"/>
              </w:rPr>
              <w:t>4,32%</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44F3FDB1" w14:textId="77777777" w:rsidR="00DB2862" w:rsidRPr="00945BC1" w:rsidRDefault="00DB2862" w:rsidP="00945BC1">
            <w:pPr>
              <w:spacing w:line="240" w:lineRule="auto"/>
              <w:jc w:val="center"/>
              <w:rPr>
                <w:color w:val="000000" w:themeColor="text1"/>
                <w:sz w:val="16"/>
                <w:szCs w:val="16"/>
              </w:rPr>
            </w:pPr>
            <w:r w:rsidRPr="00945BC1">
              <w:rPr>
                <w:color w:val="000000" w:themeColor="text1"/>
                <w:sz w:val="16"/>
                <w:szCs w:val="16"/>
              </w:rPr>
              <w:t>15,77%</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14:paraId="5F583DAD" w14:textId="77777777" w:rsidR="00DB2862" w:rsidRPr="00945BC1" w:rsidRDefault="00DB2862" w:rsidP="00945BC1">
            <w:pPr>
              <w:spacing w:line="240" w:lineRule="auto"/>
              <w:jc w:val="center"/>
              <w:rPr>
                <w:color w:val="000000" w:themeColor="text1"/>
                <w:sz w:val="16"/>
                <w:szCs w:val="16"/>
              </w:rPr>
            </w:pPr>
            <w:r w:rsidRPr="00945BC1">
              <w:rPr>
                <w:color w:val="000000" w:themeColor="text1"/>
                <w:sz w:val="16"/>
                <w:szCs w:val="16"/>
              </w:rPr>
              <w:t>23,82%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742EF89" w14:textId="77777777" w:rsidR="00DB2862" w:rsidRPr="00945BC1" w:rsidRDefault="00DB2862" w:rsidP="00945BC1">
            <w:pPr>
              <w:spacing w:line="240" w:lineRule="auto"/>
              <w:jc w:val="center"/>
              <w:rPr>
                <w:color w:val="000000" w:themeColor="text1"/>
                <w:sz w:val="16"/>
                <w:szCs w:val="16"/>
              </w:rPr>
            </w:pPr>
            <w:r w:rsidRPr="00945BC1">
              <w:rPr>
                <w:color w:val="000000" w:themeColor="text1"/>
                <w:sz w:val="16"/>
                <w:szCs w:val="16"/>
              </w:rPr>
              <w:t>-15,19%</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DEC44DE" w14:textId="77777777" w:rsidR="00DB2862" w:rsidRPr="00945BC1" w:rsidRDefault="00DB2862" w:rsidP="00945BC1">
            <w:pPr>
              <w:spacing w:line="240" w:lineRule="auto"/>
              <w:jc w:val="center"/>
              <w:rPr>
                <w:color w:val="000000" w:themeColor="text1"/>
                <w:sz w:val="16"/>
                <w:szCs w:val="16"/>
              </w:rPr>
            </w:pPr>
            <w:r w:rsidRPr="00945BC1">
              <w:rPr>
                <w:color w:val="000000" w:themeColor="text1"/>
                <w:sz w:val="16"/>
                <w:szCs w:val="16"/>
              </w:rPr>
              <w:t>0,97</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14:paraId="2C1ADA48" w14:textId="77777777" w:rsidR="00DB2862" w:rsidRPr="00945BC1" w:rsidRDefault="00DB2862" w:rsidP="00945BC1">
            <w:pPr>
              <w:spacing w:line="240" w:lineRule="auto"/>
              <w:jc w:val="center"/>
              <w:rPr>
                <w:color w:val="000000" w:themeColor="text1"/>
                <w:sz w:val="16"/>
                <w:szCs w:val="16"/>
              </w:rPr>
            </w:pPr>
            <w:r w:rsidRPr="00945BC1">
              <w:rPr>
                <w:color w:val="000000" w:themeColor="text1"/>
                <w:sz w:val="16"/>
                <w:szCs w:val="16"/>
              </w:rPr>
              <w:t>0,99</w:t>
            </w:r>
          </w:p>
        </w:tc>
      </w:tr>
      <w:tr w:rsidR="00DB2862" w:rsidRPr="00DB2862" w14:paraId="33B5BFE5" w14:textId="77777777" w:rsidTr="00220A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04811" w14:textId="40BA281A" w:rsidR="00DB2862" w:rsidRPr="00945BC1" w:rsidRDefault="00DB2862" w:rsidP="00945BC1">
            <w:pPr>
              <w:spacing w:line="240" w:lineRule="auto"/>
              <w:jc w:val="left"/>
              <w:rPr>
                <w:color w:val="000000" w:themeColor="text1"/>
                <w:sz w:val="16"/>
                <w:szCs w:val="16"/>
              </w:rPr>
            </w:pPr>
            <w:r w:rsidRPr="00945BC1">
              <w:rPr>
                <w:color w:val="000000" w:themeColor="text1"/>
                <w:sz w:val="16"/>
                <w:szCs w:val="16"/>
              </w:rPr>
              <w:t>Equipo y Herramientas</w:t>
            </w:r>
            <w:r w:rsidR="005473B6" w:rsidRPr="00945BC1">
              <w:rPr>
                <w:color w:val="000000" w:themeColor="text1"/>
                <w:sz w:val="16"/>
                <w:szCs w:val="16"/>
              </w:rPr>
              <w:t xml:space="preserve"> (INE)</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14:paraId="44399BA7" w14:textId="77777777" w:rsidR="00DB2862" w:rsidRPr="00945BC1" w:rsidRDefault="00DB2862" w:rsidP="00945BC1">
            <w:pPr>
              <w:spacing w:line="240" w:lineRule="auto"/>
              <w:jc w:val="center"/>
              <w:rPr>
                <w:color w:val="000000" w:themeColor="text1"/>
                <w:sz w:val="16"/>
                <w:szCs w:val="16"/>
              </w:rPr>
            </w:pPr>
            <w:r w:rsidRPr="00945BC1">
              <w:rPr>
                <w:color w:val="000000" w:themeColor="text1"/>
                <w:sz w:val="16"/>
                <w:szCs w:val="16"/>
              </w:rPr>
              <w:t>27,7%</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14:paraId="711529A9" w14:textId="77777777" w:rsidR="00DB2862" w:rsidRPr="00945BC1" w:rsidRDefault="00DB2862" w:rsidP="00945BC1">
            <w:pPr>
              <w:spacing w:line="240" w:lineRule="auto"/>
              <w:jc w:val="center"/>
              <w:rPr>
                <w:color w:val="000000" w:themeColor="text1"/>
                <w:sz w:val="16"/>
                <w:szCs w:val="16"/>
              </w:rPr>
            </w:pPr>
            <w:r w:rsidRPr="00945BC1">
              <w:rPr>
                <w:color w:val="000000" w:themeColor="text1"/>
                <w:sz w:val="16"/>
                <w:szCs w:val="16"/>
              </w:rPr>
              <w:t>-0,03%</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53EC29FC" w14:textId="77777777" w:rsidR="00DB2862" w:rsidRPr="00945BC1" w:rsidRDefault="00DB2862" w:rsidP="00945BC1">
            <w:pPr>
              <w:spacing w:line="240" w:lineRule="auto"/>
              <w:jc w:val="center"/>
              <w:rPr>
                <w:color w:val="000000" w:themeColor="text1"/>
                <w:sz w:val="16"/>
                <w:szCs w:val="16"/>
              </w:rPr>
            </w:pPr>
            <w:r w:rsidRPr="00945BC1">
              <w:rPr>
                <w:color w:val="000000" w:themeColor="text1"/>
                <w:sz w:val="16"/>
                <w:szCs w:val="16"/>
              </w:rPr>
              <w:t>6,09%</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14:paraId="26139079" w14:textId="77777777" w:rsidR="00DB2862" w:rsidRPr="00945BC1" w:rsidRDefault="00DB2862" w:rsidP="00945BC1">
            <w:pPr>
              <w:spacing w:line="240" w:lineRule="auto"/>
              <w:jc w:val="center"/>
              <w:rPr>
                <w:color w:val="000000" w:themeColor="text1"/>
                <w:sz w:val="16"/>
                <w:szCs w:val="16"/>
              </w:rPr>
            </w:pPr>
            <w:r w:rsidRPr="00945BC1">
              <w:rPr>
                <w:color w:val="000000" w:themeColor="text1"/>
                <w:sz w:val="16"/>
                <w:szCs w:val="16"/>
              </w:rPr>
              <w:t>7,50%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79A4953" w14:textId="77777777" w:rsidR="00DB2862" w:rsidRPr="00945BC1" w:rsidRDefault="00DB2862" w:rsidP="00945BC1">
            <w:pPr>
              <w:spacing w:line="240" w:lineRule="auto"/>
              <w:jc w:val="center"/>
              <w:rPr>
                <w:color w:val="000000" w:themeColor="text1"/>
                <w:sz w:val="16"/>
                <w:szCs w:val="16"/>
              </w:rPr>
            </w:pPr>
            <w:r w:rsidRPr="00945BC1">
              <w:rPr>
                <w:color w:val="000000" w:themeColor="text1"/>
                <w:sz w:val="16"/>
                <w:szCs w:val="16"/>
              </w:rPr>
              <w:t>-7,57%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4FBC70C" w14:textId="77777777" w:rsidR="00DB2862" w:rsidRPr="00945BC1" w:rsidRDefault="00DB2862" w:rsidP="00945BC1">
            <w:pPr>
              <w:spacing w:line="240" w:lineRule="auto"/>
              <w:jc w:val="center"/>
              <w:rPr>
                <w:color w:val="000000" w:themeColor="text1"/>
                <w:sz w:val="16"/>
                <w:szCs w:val="16"/>
              </w:rPr>
            </w:pPr>
            <w:r w:rsidRPr="00945BC1">
              <w:rPr>
                <w:color w:val="000000" w:themeColor="text1"/>
                <w:sz w:val="16"/>
                <w:szCs w:val="16"/>
              </w:rPr>
              <w:t>0,95</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14:paraId="5A1005A7" w14:textId="77777777" w:rsidR="00DB2862" w:rsidRPr="00945BC1" w:rsidRDefault="00DB2862" w:rsidP="00945BC1">
            <w:pPr>
              <w:spacing w:line="240" w:lineRule="auto"/>
              <w:jc w:val="center"/>
              <w:rPr>
                <w:color w:val="000000" w:themeColor="text1"/>
                <w:sz w:val="16"/>
                <w:szCs w:val="16"/>
              </w:rPr>
            </w:pPr>
            <w:r w:rsidRPr="00945BC1">
              <w:rPr>
                <w:color w:val="000000" w:themeColor="text1"/>
                <w:sz w:val="16"/>
                <w:szCs w:val="16"/>
              </w:rPr>
              <w:t>-0,85</w:t>
            </w:r>
          </w:p>
        </w:tc>
      </w:tr>
      <w:tr w:rsidR="00DB2862" w:rsidRPr="00DB2862" w14:paraId="682A8C6E" w14:textId="77777777" w:rsidTr="00220A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F8111" w14:textId="495F694E" w:rsidR="00DB2862" w:rsidRPr="00945BC1" w:rsidRDefault="00A72112" w:rsidP="00945BC1">
            <w:pPr>
              <w:spacing w:line="240" w:lineRule="auto"/>
              <w:jc w:val="left"/>
              <w:rPr>
                <w:color w:val="000000" w:themeColor="text1"/>
                <w:sz w:val="16"/>
                <w:szCs w:val="16"/>
              </w:rPr>
            </w:pPr>
            <w:r w:rsidRPr="00945BC1">
              <w:rPr>
                <w:color w:val="000000" w:themeColor="text1"/>
                <w:sz w:val="16"/>
                <w:szCs w:val="16"/>
              </w:rPr>
              <w:t>Gastos generales</w:t>
            </w:r>
            <w:r w:rsidR="005473B6" w:rsidRPr="00945BC1">
              <w:rPr>
                <w:color w:val="000000" w:themeColor="text1"/>
                <w:sz w:val="16"/>
                <w:szCs w:val="16"/>
              </w:rPr>
              <w:t xml:space="preserve"> (INE)</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14:paraId="425750F4" w14:textId="77777777" w:rsidR="00DB2862" w:rsidRPr="00945BC1" w:rsidRDefault="00DB2862" w:rsidP="00945BC1">
            <w:pPr>
              <w:spacing w:line="240" w:lineRule="auto"/>
              <w:jc w:val="center"/>
              <w:rPr>
                <w:color w:val="000000" w:themeColor="text1"/>
                <w:sz w:val="16"/>
                <w:szCs w:val="16"/>
              </w:rPr>
            </w:pPr>
            <w:r w:rsidRPr="00945BC1">
              <w:rPr>
                <w:color w:val="000000" w:themeColor="text1"/>
                <w:sz w:val="16"/>
                <w:szCs w:val="16"/>
              </w:rPr>
              <w:t>15,4%</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14:paraId="2AC96A12" w14:textId="77777777" w:rsidR="00DB2862" w:rsidRPr="00945BC1" w:rsidRDefault="00DB2862" w:rsidP="00945BC1">
            <w:pPr>
              <w:spacing w:line="240" w:lineRule="auto"/>
              <w:jc w:val="center"/>
              <w:rPr>
                <w:color w:val="000000" w:themeColor="text1"/>
                <w:sz w:val="16"/>
                <w:szCs w:val="16"/>
              </w:rPr>
            </w:pPr>
            <w:r w:rsidRPr="00945BC1">
              <w:rPr>
                <w:color w:val="000000" w:themeColor="text1"/>
                <w:sz w:val="16"/>
                <w:szCs w:val="16"/>
              </w:rPr>
              <w:t>1,88%</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0BF70EAE" w14:textId="77777777" w:rsidR="00DB2862" w:rsidRPr="00945BC1" w:rsidRDefault="00DB2862" w:rsidP="00945BC1">
            <w:pPr>
              <w:spacing w:line="240" w:lineRule="auto"/>
              <w:jc w:val="center"/>
              <w:rPr>
                <w:color w:val="000000" w:themeColor="text1"/>
                <w:sz w:val="16"/>
                <w:szCs w:val="16"/>
              </w:rPr>
            </w:pPr>
            <w:r w:rsidRPr="00945BC1">
              <w:rPr>
                <w:color w:val="000000" w:themeColor="text1"/>
                <w:sz w:val="16"/>
                <w:szCs w:val="16"/>
              </w:rPr>
              <w:t>8,62%</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14:paraId="1FFAF065" w14:textId="77777777" w:rsidR="00DB2862" w:rsidRPr="00945BC1" w:rsidRDefault="00DB2862" w:rsidP="00945BC1">
            <w:pPr>
              <w:spacing w:line="240" w:lineRule="auto"/>
              <w:jc w:val="center"/>
              <w:rPr>
                <w:color w:val="000000" w:themeColor="text1"/>
                <w:sz w:val="16"/>
                <w:szCs w:val="16"/>
              </w:rPr>
            </w:pPr>
            <w:r w:rsidRPr="00945BC1">
              <w:rPr>
                <w:color w:val="000000" w:themeColor="text1"/>
                <w:sz w:val="16"/>
                <w:szCs w:val="16"/>
              </w:rPr>
              <w:t>12,53%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8E51B98" w14:textId="77777777" w:rsidR="00DB2862" w:rsidRPr="00945BC1" w:rsidRDefault="00DB2862" w:rsidP="00945BC1">
            <w:pPr>
              <w:spacing w:line="240" w:lineRule="auto"/>
              <w:jc w:val="center"/>
              <w:rPr>
                <w:color w:val="000000" w:themeColor="text1"/>
                <w:sz w:val="16"/>
                <w:szCs w:val="16"/>
              </w:rPr>
            </w:pPr>
            <w:r w:rsidRPr="00945BC1">
              <w:rPr>
                <w:color w:val="000000" w:themeColor="text1"/>
                <w:sz w:val="16"/>
                <w:szCs w:val="16"/>
              </w:rPr>
              <w:t>-8,78%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8608C4F" w14:textId="77777777" w:rsidR="00DB2862" w:rsidRPr="00945BC1" w:rsidRDefault="00DB2862" w:rsidP="00945BC1">
            <w:pPr>
              <w:spacing w:line="240" w:lineRule="auto"/>
              <w:jc w:val="center"/>
              <w:rPr>
                <w:color w:val="000000" w:themeColor="text1"/>
                <w:sz w:val="16"/>
                <w:szCs w:val="16"/>
              </w:rPr>
            </w:pPr>
            <w:r w:rsidRPr="00945BC1">
              <w:rPr>
                <w:color w:val="000000" w:themeColor="text1"/>
                <w:sz w:val="16"/>
                <w:szCs w:val="16"/>
              </w:rPr>
              <w:t>0,94</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14:paraId="7AF3705D" w14:textId="1FE876BA" w:rsidR="00DB2862" w:rsidRPr="00945BC1" w:rsidRDefault="00DB2862" w:rsidP="00945BC1">
            <w:pPr>
              <w:spacing w:line="240" w:lineRule="auto"/>
              <w:jc w:val="center"/>
              <w:rPr>
                <w:color w:val="000000" w:themeColor="text1"/>
                <w:sz w:val="16"/>
                <w:szCs w:val="16"/>
              </w:rPr>
            </w:pPr>
          </w:p>
        </w:tc>
      </w:tr>
      <w:tr w:rsidR="00DB2862" w:rsidRPr="00DB2862" w14:paraId="769441A1" w14:textId="77777777" w:rsidTr="00220A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A407C" w14:textId="4E2C251C" w:rsidR="00DB2862" w:rsidRPr="00945BC1" w:rsidRDefault="00DB2862" w:rsidP="00945BC1">
            <w:pPr>
              <w:spacing w:line="240" w:lineRule="auto"/>
              <w:jc w:val="left"/>
              <w:rPr>
                <w:color w:val="000000" w:themeColor="text1"/>
                <w:sz w:val="16"/>
                <w:szCs w:val="16"/>
              </w:rPr>
            </w:pPr>
            <w:r w:rsidRPr="00945BC1">
              <w:rPr>
                <w:color w:val="000000" w:themeColor="text1"/>
                <w:sz w:val="16"/>
                <w:szCs w:val="16"/>
              </w:rPr>
              <w:t>Mano de Obra + Cargas Sociales + IVA</w:t>
            </w:r>
            <w:r w:rsidR="005473B6" w:rsidRPr="00945BC1">
              <w:rPr>
                <w:color w:val="000000" w:themeColor="text1"/>
                <w:sz w:val="16"/>
                <w:szCs w:val="16"/>
              </w:rPr>
              <w:t xml:space="preserve"> (INE)</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14:paraId="7868BDCB" w14:textId="77777777" w:rsidR="00DB2862" w:rsidRPr="00945BC1" w:rsidRDefault="00DB2862" w:rsidP="00945BC1">
            <w:pPr>
              <w:spacing w:line="240" w:lineRule="auto"/>
              <w:jc w:val="center"/>
              <w:rPr>
                <w:color w:val="000000" w:themeColor="text1"/>
                <w:sz w:val="16"/>
                <w:szCs w:val="16"/>
              </w:rPr>
            </w:pPr>
            <w:r w:rsidRPr="00945BC1">
              <w:rPr>
                <w:color w:val="000000" w:themeColor="text1"/>
                <w:sz w:val="16"/>
                <w:szCs w:val="16"/>
              </w:rPr>
              <w:t>10,1%</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14:paraId="65461266" w14:textId="77777777" w:rsidR="00DB2862" w:rsidRPr="00945BC1" w:rsidRDefault="00DB2862" w:rsidP="00945BC1">
            <w:pPr>
              <w:spacing w:line="240" w:lineRule="auto"/>
              <w:jc w:val="center"/>
              <w:rPr>
                <w:color w:val="000000" w:themeColor="text1"/>
                <w:sz w:val="16"/>
                <w:szCs w:val="16"/>
              </w:rPr>
            </w:pPr>
            <w:r w:rsidRPr="00945BC1">
              <w:rPr>
                <w:color w:val="000000" w:themeColor="text1"/>
                <w:sz w:val="16"/>
                <w:szCs w:val="16"/>
              </w:rPr>
              <w:t>2,63%</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4C3CC46C" w14:textId="77777777" w:rsidR="00DB2862" w:rsidRPr="00945BC1" w:rsidRDefault="00DB2862" w:rsidP="00945BC1">
            <w:pPr>
              <w:spacing w:line="240" w:lineRule="auto"/>
              <w:jc w:val="center"/>
              <w:rPr>
                <w:color w:val="000000" w:themeColor="text1"/>
                <w:sz w:val="16"/>
                <w:szCs w:val="16"/>
              </w:rPr>
            </w:pPr>
            <w:r w:rsidRPr="00945BC1">
              <w:rPr>
                <w:color w:val="000000" w:themeColor="text1"/>
                <w:sz w:val="16"/>
                <w:szCs w:val="16"/>
              </w:rPr>
              <w:t>11,63%</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14:paraId="52483641" w14:textId="77777777" w:rsidR="00DB2862" w:rsidRPr="00945BC1" w:rsidRDefault="00DB2862" w:rsidP="00945BC1">
            <w:pPr>
              <w:spacing w:line="240" w:lineRule="auto"/>
              <w:jc w:val="center"/>
              <w:rPr>
                <w:color w:val="000000" w:themeColor="text1"/>
                <w:sz w:val="16"/>
                <w:szCs w:val="16"/>
              </w:rPr>
            </w:pPr>
            <w:r w:rsidRPr="00945BC1">
              <w:rPr>
                <w:color w:val="000000" w:themeColor="text1"/>
                <w:sz w:val="16"/>
                <w:szCs w:val="16"/>
              </w:rPr>
              <w:t>15,60%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7563F58" w14:textId="77777777" w:rsidR="00DB2862" w:rsidRPr="00945BC1" w:rsidRDefault="00DB2862" w:rsidP="00945BC1">
            <w:pPr>
              <w:spacing w:line="240" w:lineRule="auto"/>
              <w:jc w:val="center"/>
              <w:rPr>
                <w:color w:val="000000" w:themeColor="text1"/>
                <w:sz w:val="16"/>
                <w:szCs w:val="16"/>
              </w:rPr>
            </w:pPr>
            <w:r w:rsidRPr="00945BC1">
              <w:rPr>
                <w:color w:val="000000" w:themeColor="text1"/>
                <w:sz w:val="16"/>
                <w:szCs w:val="16"/>
              </w:rPr>
              <w:t>1,40%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2C8E3BF" w14:textId="77777777" w:rsidR="00DB2862" w:rsidRPr="00945BC1" w:rsidRDefault="00DB2862" w:rsidP="00945BC1">
            <w:pPr>
              <w:spacing w:line="240" w:lineRule="auto"/>
              <w:jc w:val="center"/>
              <w:rPr>
                <w:color w:val="000000" w:themeColor="text1"/>
                <w:sz w:val="16"/>
                <w:szCs w:val="16"/>
              </w:rPr>
            </w:pPr>
            <w:r w:rsidRPr="00945BC1">
              <w:rPr>
                <w:color w:val="000000" w:themeColor="text1"/>
                <w:sz w:val="16"/>
                <w:szCs w:val="16"/>
              </w:rPr>
              <w:t>0,97</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14:paraId="6FD5C284" w14:textId="77777777" w:rsidR="00DB2862" w:rsidRPr="00945BC1" w:rsidRDefault="00DB2862" w:rsidP="00945BC1">
            <w:pPr>
              <w:spacing w:line="240" w:lineRule="auto"/>
              <w:jc w:val="center"/>
              <w:rPr>
                <w:color w:val="000000" w:themeColor="text1"/>
                <w:sz w:val="16"/>
                <w:szCs w:val="16"/>
              </w:rPr>
            </w:pPr>
            <w:r w:rsidRPr="00945BC1">
              <w:rPr>
                <w:color w:val="000000" w:themeColor="text1"/>
                <w:sz w:val="16"/>
                <w:szCs w:val="16"/>
              </w:rPr>
              <w:t>0,99</w:t>
            </w:r>
          </w:p>
        </w:tc>
      </w:tr>
      <w:tr w:rsidR="00DB2862" w:rsidRPr="00DB2862" w14:paraId="1FF4C8E8" w14:textId="77777777" w:rsidTr="00220A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6C230" w14:textId="106FFB16" w:rsidR="00DB2862" w:rsidRPr="00945BC1" w:rsidRDefault="00DB2862" w:rsidP="00945BC1">
            <w:pPr>
              <w:spacing w:line="240" w:lineRule="auto"/>
              <w:jc w:val="left"/>
              <w:rPr>
                <w:color w:val="000000" w:themeColor="text1"/>
                <w:sz w:val="16"/>
                <w:szCs w:val="16"/>
              </w:rPr>
            </w:pPr>
            <w:r w:rsidRPr="00945BC1">
              <w:rPr>
                <w:color w:val="000000" w:themeColor="text1"/>
                <w:sz w:val="16"/>
                <w:szCs w:val="16"/>
              </w:rPr>
              <w:t>Mano de Obra + Cargas Sociales + IVA</w:t>
            </w:r>
            <w:r w:rsidR="005473B6" w:rsidRPr="00945BC1">
              <w:rPr>
                <w:color w:val="000000" w:themeColor="text1"/>
                <w:sz w:val="16"/>
                <w:szCs w:val="16"/>
              </w:rPr>
              <w:t xml:space="preserve"> (INE)</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14:paraId="0874794B" w14:textId="77777777" w:rsidR="00DB2862" w:rsidRPr="00945BC1" w:rsidRDefault="00DB2862" w:rsidP="00945BC1">
            <w:pPr>
              <w:spacing w:line="240" w:lineRule="auto"/>
              <w:jc w:val="center"/>
              <w:rPr>
                <w:color w:val="000000" w:themeColor="text1"/>
                <w:sz w:val="16"/>
                <w:szCs w:val="16"/>
              </w:rPr>
            </w:pPr>
            <w:r w:rsidRPr="00945BC1">
              <w:rPr>
                <w:color w:val="000000" w:themeColor="text1"/>
                <w:sz w:val="16"/>
                <w:szCs w:val="16"/>
              </w:rPr>
              <w:t>8,2%</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14:paraId="775DDB27" w14:textId="77777777" w:rsidR="00DB2862" w:rsidRPr="00945BC1" w:rsidRDefault="00DB2862" w:rsidP="00945BC1">
            <w:pPr>
              <w:spacing w:line="240" w:lineRule="auto"/>
              <w:jc w:val="center"/>
              <w:rPr>
                <w:color w:val="000000" w:themeColor="text1"/>
                <w:sz w:val="16"/>
                <w:szCs w:val="16"/>
              </w:rPr>
            </w:pPr>
            <w:r w:rsidRPr="00945BC1">
              <w:rPr>
                <w:color w:val="000000" w:themeColor="text1"/>
                <w:sz w:val="16"/>
                <w:szCs w:val="16"/>
              </w:rPr>
              <w:t>2,63%</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66AD6E1D" w14:textId="77777777" w:rsidR="00DB2862" w:rsidRPr="00945BC1" w:rsidRDefault="00DB2862" w:rsidP="00945BC1">
            <w:pPr>
              <w:spacing w:line="240" w:lineRule="auto"/>
              <w:jc w:val="center"/>
              <w:rPr>
                <w:color w:val="000000" w:themeColor="text1"/>
                <w:sz w:val="16"/>
                <w:szCs w:val="16"/>
              </w:rPr>
            </w:pPr>
            <w:r w:rsidRPr="00945BC1">
              <w:rPr>
                <w:color w:val="000000" w:themeColor="text1"/>
                <w:sz w:val="16"/>
                <w:szCs w:val="16"/>
              </w:rPr>
              <w:t>11,63%</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14:paraId="26662D9F" w14:textId="77777777" w:rsidR="00DB2862" w:rsidRPr="00945BC1" w:rsidRDefault="00DB2862" w:rsidP="00945BC1">
            <w:pPr>
              <w:spacing w:line="240" w:lineRule="auto"/>
              <w:jc w:val="center"/>
              <w:rPr>
                <w:color w:val="000000" w:themeColor="text1"/>
                <w:sz w:val="16"/>
                <w:szCs w:val="16"/>
              </w:rPr>
            </w:pPr>
            <w:r w:rsidRPr="00945BC1">
              <w:rPr>
                <w:color w:val="000000" w:themeColor="text1"/>
                <w:sz w:val="16"/>
                <w:szCs w:val="16"/>
              </w:rPr>
              <w:t>17,01%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8F0F37F" w14:textId="77777777" w:rsidR="00DB2862" w:rsidRPr="00945BC1" w:rsidRDefault="00DB2862" w:rsidP="00945BC1">
            <w:pPr>
              <w:spacing w:line="240" w:lineRule="auto"/>
              <w:jc w:val="center"/>
              <w:rPr>
                <w:color w:val="000000" w:themeColor="text1"/>
                <w:sz w:val="16"/>
                <w:szCs w:val="16"/>
              </w:rPr>
            </w:pPr>
            <w:r w:rsidRPr="00945BC1">
              <w:rPr>
                <w:color w:val="000000" w:themeColor="text1"/>
                <w:sz w:val="16"/>
                <w:szCs w:val="16"/>
              </w:rPr>
              <w:t>2,40%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EBA1499" w14:textId="77777777" w:rsidR="00DB2862" w:rsidRPr="00945BC1" w:rsidRDefault="00DB2862" w:rsidP="00945BC1">
            <w:pPr>
              <w:spacing w:line="240" w:lineRule="auto"/>
              <w:jc w:val="center"/>
              <w:rPr>
                <w:color w:val="000000" w:themeColor="text1"/>
                <w:sz w:val="16"/>
                <w:szCs w:val="16"/>
              </w:rPr>
            </w:pPr>
            <w:r w:rsidRPr="00945BC1">
              <w:rPr>
                <w:color w:val="000000" w:themeColor="text1"/>
                <w:sz w:val="16"/>
                <w:szCs w:val="16"/>
              </w:rPr>
              <w:t>0,97</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14:paraId="13B4F3AC" w14:textId="77777777" w:rsidR="00DB2862" w:rsidRPr="00945BC1" w:rsidRDefault="00DB2862" w:rsidP="00945BC1">
            <w:pPr>
              <w:spacing w:line="240" w:lineRule="auto"/>
              <w:jc w:val="center"/>
              <w:rPr>
                <w:color w:val="000000" w:themeColor="text1"/>
                <w:sz w:val="16"/>
                <w:szCs w:val="16"/>
              </w:rPr>
            </w:pPr>
            <w:r w:rsidRPr="00945BC1">
              <w:rPr>
                <w:color w:val="000000" w:themeColor="text1"/>
                <w:sz w:val="16"/>
                <w:szCs w:val="16"/>
              </w:rPr>
              <w:t>0,99</w:t>
            </w:r>
          </w:p>
        </w:tc>
      </w:tr>
      <w:tr w:rsidR="00DB2862" w:rsidRPr="00DB2862" w14:paraId="3F8F9F4C" w14:textId="77777777" w:rsidTr="00220A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1D412" w14:textId="6ED5BA64" w:rsidR="00DB2862" w:rsidRPr="00945BC1" w:rsidRDefault="00A72112" w:rsidP="00945BC1">
            <w:pPr>
              <w:spacing w:line="240" w:lineRule="auto"/>
              <w:jc w:val="left"/>
              <w:rPr>
                <w:b/>
                <w:bCs/>
                <w:color w:val="000000" w:themeColor="text1"/>
                <w:sz w:val="16"/>
                <w:szCs w:val="16"/>
              </w:rPr>
            </w:pPr>
            <w:r w:rsidRPr="00945BC1">
              <w:rPr>
                <w:b/>
                <w:bCs/>
                <w:color w:val="000000" w:themeColor="text1"/>
                <w:sz w:val="16"/>
                <w:szCs w:val="16"/>
              </w:rPr>
              <w:t>Costo total</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14:paraId="4E719878" w14:textId="77777777" w:rsidR="00DB2862" w:rsidRPr="00945BC1" w:rsidRDefault="00DB2862" w:rsidP="00945BC1">
            <w:pPr>
              <w:spacing w:line="240" w:lineRule="auto"/>
              <w:jc w:val="center"/>
              <w:rPr>
                <w:color w:val="000000" w:themeColor="text1"/>
                <w:sz w:val="16"/>
                <w:szCs w:val="16"/>
              </w:rPr>
            </w:pPr>
            <w:r w:rsidRPr="00945BC1">
              <w:rPr>
                <w:color w:val="000000" w:themeColor="text1"/>
                <w:sz w:val="16"/>
                <w:szCs w:val="16"/>
              </w:rPr>
              <w:t>100,0%</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14:paraId="76F31CF1" w14:textId="341F7CF6" w:rsidR="00DB2862" w:rsidRPr="00945BC1" w:rsidRDefault="00DB2862" w:rsidP="00945BC1">
            <w:pPr>
              <w:spacing w:line="240" w:lineRule="auto"/>
              <w:jc w:val="center"/>
              <w:rPr>
                <w:color w:val="000000" w:themeColor="text1"/>
                <w:sz w:val="16"/>
                <w:szCs w:val="16"/>
              </w:rPr>
            </w:pP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67AA3239" w14:textId="3709B678" w:rsidR="00DB2862" w:rsidRPr="00945BC1" w:rsidRDefault="00DB2862" w:rsidP="00945BC1">
            <w:pPr>
              <w:spacing w:line="240" w:lineRule="auto"/>
              <w:jc w:val="center"/>
              <w:rPr>
                <w:color w:val="000000" w:themeColor="text1"/>
                <w:sz w:val="16"/>
                <w:szCs w:val="16"/>
              </w:rPr>
            </w:pP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14:paraId="0755AB79" w14:textId="0AA9EFEA" w:rsidR="00DB2862" w:rsidRPr="00945BC1" w:rsidRDefault="00DB2862" w:rsidP="00945BC1">
            <w:pPr>
              <w:spacing w:line="240" w:lineRule="auto"/>
              <w:jc w:val="center"/>
              <w:rPr>
                <w:color w:val="000000" w:themeColor="text1"/>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7C9FF09C" w14:textId="7743CEDA" w:rsidR="00DB2862" w:rsidRPr="00945BC1" w:rsidRDefault="00DB2862" w:rsidP="00945BC1">
            <w:pPr>
              <w:spacing w:line="240" w:lineRule="auto"/>
              <w:jc w:val="center"/>
              <w:rPr>
                <w:color w:val="000000" w:themeColor="text1"/>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1EDE7E98" w14:textId="621C6B0D" w:rsidR="00DB2862" w:rsidRPr="00945BC1" w:rsidRDefault="00DB2862" w:rsidP="00945BC1">
            <w:pPr>
              <w:spacing w:line="240" w:lineRule="auto"/>
              <w:jc w:val="center"/>
              <w:rPr>
                <w:color w:val="000000" w:themeColor="text1"/>
                <w:sz w:val="16"/>
                <w:szCs w:val="16"/>
              </w:rPr>
            </w:pP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14:paraId="58AB52AD" w14:textId="3465A113" w:rsidR="00DB2862" w:rsidRPr="00945BC1" w:rsidRDefault="00DB2862" w:rsidP="00945BC1">
            <w:pPr>
              <w:spacing w:line="240" w:lineRule="auto"/>
              <w:jc w:val="center"/>
              <w:rPr>
                <w:color w:val="000000" w:themeColor="text1"/>
                <w:sz w:val="16"/>
                <w:szCs w:val="16"/>
              </w:rPr>
            </w:pPr>
          </w:p>
        </w:tc>
      </w:tr>
      <w:tr w:rsidR="00220A49" w:rsidRPr="00DB2862" w14:paraId="5C443836" w14:textId="77777777" w:rsidTr="00492590">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91A062" w14:textId="636B6AF6" w:rsidR="00220A49" w:rsidRPr="00945BC1" w:rsidRDefault="00220A49" w:rsidP="00945BC1">
            <w:pPr>
              <w:spacing w:line="240" w:lineRule="auto"/>
              <w:jc w:val="left"/>
              <w:rPr>
                <w:bCs/>
                <w:color w:val="000000" w:themeColor="text1"/>
                <w:sz w:val="16"/>
                <w:szCs w:val="16"/>
              </w:rPr>
            </w:pPr>
            <w:r w:rsidRPr="00945BC1">
              <w:rPr>
                <w:bCs/>
                <w:color w:val="000000" w:themeColor="text1"/>
                <w:sz w:val="16"/>
                <w:szCs w:val="16"/>
              </w:rPr>
              <w:t>Tasa de Cambio Boliviano vs USD (BCB)</w:t>
            </w:r>
          </w:p>
        </w:tc>
        <w:tc>
          <w:tcPr>
            <w:tcW w:w="6379" w:type="dxa"/>
            <w:gridSpan w:val="7"/>
            <w:tcBorders>
              <w:top w:val="single" w:sz="4" w:space="0" w:color="auto"/>
              <w:left w:val="nil"/>
              <w:bottom w:val="single" w:sz="4" w:space="0" w:color="auto"/>
              <w:right w:val="single" w:sz="4" w:space="0" w:color="auto"/>
            </w:tcBorders>
            <w:shd w:val="clear" w:color="auto" w:fill="auto"/>
            <w:noWrap/>
            <w:vAlign w:val="bottom"/>
          </w:tcPr>
          <w:p w14:paraId="6AA52332" w14:textId="16702309" w:rsidR="00220A49" w:rsidRPr="00945BC1" w:rsidRDefault="006E1988" w:rsidP="00945BC1">
            <w:pPr>
              <w:spacing w:line="240" w:lineRule="auto"/>
              <w:jc w:val="left"/>
              <w:rPr>
                <w:color w:val="000000" w:themeColor="text1"/>
                <w:sz w:val="16"/>
                <w:szCs w:val="16"/>
              </w:rPr>
            </w:pPr>
            <w:r w:rsidRPr="00945BC1">
              <w:rPr>
                <w:color w:val="000000" w:themeColor="text1"/>
                <w:sz w:val="16"/>
                <w:szCs w:val="16"/>
              </w:rPr>
              <w:t>Desde el año 2012 se mantiene paridad cambiaria. Precio compra 6,86 Bolivianos/USD, precio Venta 6,96 Bolivianos/USD. Se asumirá dicho comportamiento en el periodo de análisis.</w:t>
            </w:r>
          </w:p>
        </w:tc>
      </w:tr>
    </w:tbl>
    <w:p w14:paraId="1F2A05D3" w14:textId="00B9795B" w:rsidR="00EA07A0" w:rsidRPr="00E25E91" w:rsidRDefault="00367C3D" w:rsidP="007B4399">
      <w:pPr>
        <w:jc w:val="center"/>
        <w:rPr>
          <w:sz w:val="18"/>
          <w:szCs w:val="18"/>
        </w:rPr>
      </w:pPr>
      <w:r w:rsidRPr="00E25E91">
        <w:rPr>
          <w:sz w:val="18"/>
          <w:szCs w:val="18"/>
        </w:rPr>
        <w:t xml:space="preserve">Fuente: Elaboración propia con base en información histórica </w:t>
      </w:r>
      <w:r w:rsidR="004F6B12">
        <w:rPr>
          <w:sz w:val="18"/>
          <w:szCs w:val="18"/>
        </w:rPr>
        <w:t>INE, ABC, BCB</w:t>
      </w:r>
    </w:p>
    <w:p w14:paraId="2A2E247A" w14:textId="77777777" w:rsidR="00EA07A0" w:rsidRDefault="00EA07A0" w:rsidP="00E25E91"/>
    <w:p w14:paraId="0C4C479C" w14:textId="76841004" w:rsidR="00B80F0D" w:rsidRDefault="00DB2862" w:rsidP="00E25E91">
      <w:r>
        <w:t xml:space="preserve">Los valores medios, desviación estándar, máximos y mínimos se obtuvieron mediante el análisis de series históricas empleando modelos ARIMA, y para la simulación se optó por trabajar con proyección de variaciones anuales desde 2017 a 2021, empleando distribuciones de probabilidad normales acotadas. </w:t>
      </w:r>
      <w:r w:rsidR="006002ED">
        <w:t>Dicha caracterización permite</w:t>
      </w:r>
      <w:r w:rsidR="00DE70E6" w:rsidRPr="00E25E91">
        <w:t xml:space="preserve"> proyectar escenarios futuros, en espec</w:t>
      </w:r>
      <w:r w:rsidR="00CA7114">
        <w:t xml:space="preserve">ial en </w:t>
      </w:r>
      <w:r w:rsidR="00DE70E6" w:rsidRPr="00E25E91">
        <w:t xml:space="preserve">el plazo de ejecución </w:t>
      </w:r>
      <w:r w:rsidR="00CA7114">
        <w:t xml:space="preserve">de la construcción del proyecto, </w:t>
      </w:r>
      <w:r w:rsidR="00DE70E6" w:rsidRPr="00E25E91">
        <w:t>permitiendo estimar efectos en costo por escalamiento de precios de mercado.</w:t>
      </w:r>
    </w:p>
    <w:p w14:paraId="38756B98" w14:textId="59595E2A" w:rsidR="007D3549" w:rsidRDefault="007D3549" w:rsidP="00E25E91"/>
    <w:p w14:paraId="0515FC85" w14:textId="71A16E97" w:rsidR="007D3549" w:rsidRDefault="007D3549" w:rsidP="007D3549">
      <w:r>
        <w:t xml:space="preserve">Se anota que las variaciones proyectadas son en </w:t>
      </w:r>
      <w:r w:rsidR="00DB2862">
        <w:t xml:space="preserve">dólares, y su efecto en moneda local es nulo dado que existe una paridad moneda local vs dólar. </w:t>
      </w:r>
    </w:p>
    <w:p w14:paraId="37853909" w14:textId="77777777" w:rsidR="007D3549" w:rsidRDefault="007D3549" w:rsidP="007D3549"/>
    <w:p w14:paraId="4C8F9C0E" w14:textId="32B02CF7" w:rsidR="00277E7A" w:rsidRDefault="00277E7A" w:rsidP="00E25E91">
      <w:pPr>
        <w:pStyle w:val="Heading2"/>
      </w:pPr>
      <w:bookmarkStart w:id="44" w:name="_Ref484589166"/>
      <w:bookmarkStart w:id="45" w:name="_Ref484589172"/>
      <w:bookmarkStart w:id="46" w:name="_Toc484602613"/>
      <w:r>
        <w:t>Riesgo de Costos Adicionales</w:t>
      </w:r>
      <w:bookmarkEnd w:id="44"/>
      <w:bookmarkEnd w:id="45"/>
      <w:bookmarkEnd w:id="46"/>
    </w:p>
    <w:p w14:paraId="2DE2427F" w14:textId="77777777" w:rsidR="00277E7A" w:rsidRDefault="00277E7A" w:rsidP="00E25E91"/>
    <w:p w14:paraId="447DC72C" w14:textId="77777777" w:rsidR="00E5362D" w:rsidRDefault="00E5362D" w:rsidP="00E5362D">
      <w:r>
        <w:t>En este aspecto se indagó en estudios previos y se entrevistó a funcionarios de ABC</w:t>
      </w:r>
      <w:r>
        <w:rPr>
          <w:rStyle w:val="FootnoteReference"/>
        </w:rPr>
        <w:footnoteReference w:id="29"/>
      </w:r>
      <w:r>
        <w:t xml:space="preserve"> sobre los principales factores que originarían en este proyecto obras adicionales no previstas, esta opinión experta se empleará como soporte a la cuantificación de dicho riesgo.</w:t>
      </w:r>
    </w:p>
    <w:p w14:paraId="284EC5E4" w14:textId="77777777" w:rsidR="00E5362D" w:rsidRDefault="00E5362D" w:rsidP="00E5362D">
      <w:pPr>
        <w:rPr>
          <w:lang w:val="es-MX"/>
        </w:rPr>
      </w:pPr>
    </w:p>
    <w:p w14:paraId="710A8CAC" w14:textId="77777777" w:rsidR="00E5362D" w:rsidRPr="007D5463" w:rsidRDefault="00E5362D" w:rsidP="00E5362D">
      <w:pPr>
        <w:rPr>
          <w:lang w:val="es-MX"/>
        </w:rPr>
      </w:pPr>
      <w:r w:rsidRPr="007D5463">
        <w:rPr>
          <w:lang w:val="es-MX"/>
        </w:rPr>
        <w:t>De las entrevistas y documentos analizados, se concluye lo siguiente:</w:t>
      </w:r>
    </w:p>
    <w:p w14:paraId="3CC3A250" w14:textId="77777777" w:rsidR="00E5362D" w:rsidRPr="007D5463" w:rsidRDefault="00E5362D" w:rsidP="00E5362D">
      <w:pPr>
        <w:rPr>
          <w:lang w:val="es-MX"/>
        </w:rPr>
      </w:pPr>
    </w:p>
    <w:p w14:paraId="3836AC68" w14:textId="4DE83228" w:rsidR="00E5362D" w:rsidRDefault="00E5362D" w:rsidP="00E5362D">
      <w:pPr>
        <w:pStyle w:val="ListParagraph"/>
        <w:numPr>
          <w:ilvl w:val="0"/>
          <w:numId w:val="42"/>
        </w:numPr>
        <w:spacing w:line="240" w:lineRule="auto"/>
        <w:rPr>
          <w:lang w:val="es-MX"/>
        </w:rPr>
      </w:pPr>
      <w:r w:rsidRPr="007D5463">
        <w:rPr>
          <w:lang w:val="es-MX"/>
        </w:rPr>
        <w:t xml:space="preserve">Estudios </w:t>
      </w:r>
      <w:r>
        <w:rPr>
          <w:lang w:val="es-MX"/>
        </w:rPr>
        <w:t>TESA:</w:t>
      </w:r>
    </w:p>
    <w:p w14:paraId="2480E75A" w14:textId="77777777" w:rsidR="00E5362D" w:rsidRPr="007D5463" w:rsidRDefault="00E5362D" w:rsidP="00E5362D">
      <w:pPr>
        <w:pStyle w:val="ListParagraph"/>
        <w:rPr>
          <w:lang w:val="es-MX"/>
        </w:rPr>
      </w:pPr>
    </w:p>
    <w:p w14:paraId="00382BCF" w14:textId="77777777" w:rsidR="00E5362D" w:rsidRPr="007D5463" w:rsidRDefault="00E5362D" w:rsidP="00E5362D">
      <w:pPr>
        <w:pStyle w:val="ListParagraph"/>
        <w:numPr>
          <w:ilvl w:val="1"/>
          <w:numId w:val="42"/>
        </w:numPr>
        <w:spacing w:line="240" w:lineRule="auto"/>
        <w:rPr>
          <w:lang w:val="es-MX"/>
        </w:rPr>
      </w:pPr>
      <w:r w:rsidRPr="007D5463">
        <w:rPr>
          <w:lang w:val="es-MX"/>
        </w:rPr>
        <w:t>Se realizaron estudios encaminados a determinar el estado de la vía, geología, geotecnia, el tráfico de vehículos sobre la misma con el fin de determinar los requerimientos de la estructura de pavimento, e impactos ambientales.</w:t>
      </w:r>
    </w:p>
    <w:p w14:paraId="05F55BF3" w14:textId="77777777" w:rsidR="00E5362D" w:rsidRPr="007D5463" w:rsidRDefault="00E5362D" w:rsidP="00E5362D">
      <w:pPr>
        <w:pStyle w:val="ListParagraph"/>
        <w:numPr>
          <w:ilvl w:val="1"/>
          <w:numId w:val="42"/>
        </w:numPr>
        <w:spacing w:line="240" w:lineRule="auto"/>
        <w:rPr>
          <w:lang w:val="es-MX"/>
        </w:rPr>
      </w:pPr>
      <w:r w:rsidRPr="007D5463">
        <w:rPr>
          <w:lang w:val="es-MX"/>
        </w:rPr>
        <w:lastRenderedPageBreak/>
        <w:t>Con base en los estudios de campo y proyecciones de tráfico, se realizó el diseño del pavimento.</w:t>
      </w:r>
    </w:p>
    <w:p w14:paraId="30D53227" w14:textId="77777777" w:rsidR="00E5362D" w:rsidRPr="007D5463" w:rsidRDefault="00E5362D" w:rsidP="00E5362D">
      <w:pPr>
        <w:pStyle w:val="ListParagraph"/>
        <w:numPr>
          <w:ilvl w:val="1"/>
          <w:numId w:val="42"/>
        </w:numPr>
        <w:spacing w:line="240" w:lineRule="auto"/>
        <w:rPr>
          <w:lang w:val="es-MX"/>
        </w:rPr>
      </w:pPr>
      <w:r w:rsidRPr="007D5463">
        <w:rPr>
          <w:lang w:val="es-MX"/>
        </w:rPr>
        <w:t xml:space="preserve">Finalmente se cuenta con un cálculo de cantidades de material y presupuesto con base en costos unitarios. </w:t>
      </w:r>
    </w:p>
    <w:p w14:paraId="7DF1BED8" w14:textId="079A934F" w:rsidR="00E5362D" w:rsidRDefault="00E5362D" w:rsidP="00E5362D">
      <w:pPr>
        <w:pStyle w:val="ListParagraph"/>
        <w:numPr>
          <w:ilvl w:val="1"/>
          <w:numId w:val="42"/>
        </w:numPr>
        <w:spacing w:line="240" w:lineRule="auto"/>
        <w:rPr>
          <w:lang w:val="es-MX"/>
        </w:rPr>
      </w:pPr>
      <w:r w:rsidRPr="007D5463">
        <w:rPr>
          <w:lang w:val="es-MX"/>
        </w:rPr>
        <w:t>Los estudios previos se realizaro</w:t>
      </w:r>
      <w:r>
        <w:rPr>
          <w:lang w:val="es-MX"/>
        </w:rPr>
        <w:t>n en la vigencia 2016</w:t>
      </w:r>
      <w:r w:rsidRPr="007D5463">
        <w:rPr>
          <w:lang w:val="es-MX"/>
        </w:rPr>
        <w:t>.</w:t>
      </w:r>
    </w:p>
    <w:p w14:paraId="3E3352BA" w14:textId="77777777" w:rsidR="00E5362D" w:rsidRPr="007D5463" w:rsidRDefault="00E5362D" w:rsidP="00E5362D">
      <w:pPr>
        <w:pStyle w:val="ListParagraph"/>
        <w:ind w:left="1440"/>
        <w:rPr>
          <w:lang w:val="es-MX"/>
        </w:rPr>
      </w:pPr>
    </w:p>
    <w:p w14:paraId="51F97B2B" w14:textId="77777777" w:rsidR="00E5362D" w:rsidRDefault="00E5362D" w:rsidP="00E5362D">
      <w:pPr>
        <w:pStyle w:val="ListParagraph"/>
        <w:numPr>
          <w:ilvl w:val="0"/>
          <w:numId w:val="42"/>
        </w:numPr>
        <w:spacing w:line="240" w:lineRule="auto"/>
        <w:rPr>
          <w:lang w:val="es-MX"/>
        </w:rPr>
      </w:pPr>
      <w:r w:rsidRPr="007D5463">
        <w:rPr>
          <w:lang w:val="es-MX"/>
        </w:rPr>
        <w:t>Los funcionarios a cargo del proyecto en la Administradora Boliviana de Carreteras (ABC) manifestaron que se cuenta con un buen nivel de detalle de estudios técnicos y cuantificación de cantidades de obra.</w:t>
      </w:r>
    </w:p>
    <w:p w14:paraId="6AF6F30A" w14:textId="77777777" w:rsidR="00E5362D" w:rsidRPr="007D5463" w:rsidRDefault="00E5362D" w:rsidP="00E5362D">
      <w:pPr>
        <w:pStyle w:val="ListParagraph"/>
        <w:rPr>
          <w:lang w:val="es-MX"/>
        </w:rPr>
      </w:pPr>
    </w:p>
    <w:p w14:paraId="1ED6BF58" w14:textId="70096BB3" w:rsidR="00E5362D" w:rsidRDefault="00E5362D" w:rsidP="00E5362D">
      <w:pPr>
        <w:pStyle w:val="ListParagraph"/>
        <w:numPr>
          <w:ilvl w:val="0"/>
          <w:numId w:val="42"/>
        </w:numPr>
        <w:spacing w:line="240" w:lineRule="auto"/>
        <w:rPr>
          <w:lang w:val="es-MX"/>
        </w:rPr>
      </w:pPr>
      <w:r w:rsidRPr="007D5463">
        <w:rPr>
          <w:lang w:val="es-MX"/>
        </w:rPr>
        <w:t>Un factor de costos adicionales que se ha identificado en otros proyectos viales en el País, es el asociado al costo unitario y acarreo de agregados, por escasez de fuentes de aprovisionamiento de los mismos en el área de influencia del proyecto, o renegociación de precios durante el plazo de ejecución de la obra.</w:t>
      </w:r>
      <w:r>
        <w:rPr>
          <w:lang w:val="es-MX"/>
        </w:rPr>
        <w:t xml:space="preserve"> En el caso específico se encuentran suficientes fuentes de materiales en el área de intervención del proyecto, y su requerimiento no es significativo en presupuesto.</w:t>
      </w:r>
    </w:p>
    <w:p w14:paraId="2F775E6C" w14:textId="77777777" w:rsidR="00E5362D" w:rsidRPr="00E373DD" w:rsidRDefault="00E5362D" w:rsidP="00E5362D">
      <w:pPr>
        <w:pStyle w:val="ListParagraph"/>
        <w:rPr>
          <w:lang w:val="es-MX"/>
        </w:rPr>
      </w:pPr>
    </w:p>
    <w:p w14:paraId="116E2BB4" w14:textId="16507E8B" w:rsidR="00E5362D" w:rsidRDefault="00E5362D" w:rsidP="00E5362D">
      <w:pPr>
        <w:pStyle w:val="ListParagraph"/>
        <w:numPr>
          <w:ilvl w:val="0"/>
          <w:numId w:val="42"/>
        </w:numPr>
        <w:spacing w:line="240" w:lineRule="auto"/>
        <w:rPr>
          <w:lang w:val="es-MX"/>
        </w:rPr>
      </w:pPr>
      <w:r>
        <w:rPr>
          <w:lang w:val="es-MX"/>
        </w:rPr>
        <w:t>Por tratarse de un mantenimiento periódico no se percibe mayor riesgo de costos adicionales por obras adicionales que solicite la comunid</w:t>
      </w:r>
      <w:r w:rsidR="00945BC1">
        <w:rPr>
          <w:lang w:val="es-MX"/>
        </w:rPr>
        <w:t>ad en la ejecución del proyecto, ni de mitigación de impacto ambiental.</w:t>
      </w:r>
    </w:p>
    <w:p w14:paraId="4A8F6365" w14:textId="77777777" w:rsidR="00E5362D" w:rsidRPr="00E373DD" w:rsidRDefault="00E5362D" w:rsidP="00E5362D">
      <w:pPr>
        <w:pStyle w:val="ListParagraph"/>
        <w:rPr>
          <w:lang w:val="es-MX"/>
        </w:rPr>
      </w:pPr>
    </w:p>
    <w:p w14:paraId="79E4ECB5" w14:textId="77777777" w:rsidR="00E5362D" w:rsidRPr="007D5463" w:rsidRDefault="00E5362D" w:rsidP="00E5362D">
      <w:pPr>
        <w:pStyle w:val="ListParagraph"/>
        <w:numPr>
          <w:ilvl w:val="0"/>
          <w:numId w:val="42"/>
        </w:numPr>
        <w:spacing w:line="240" w:lineRule="auto"/>
        <w:rPr>
          <w:lang w:val="es-MX"/>
        </w:rPr>
      </w:pPr>
      <w:r w:rsidRPr="007D5463">
        <w:rPr>
          <w:lang w:val="es-MX"/>
        </w:rPr>
        <w:t>Con respecto al plazo de obra, dada la condición climática de la zona del proyecto, son altamente probables inundaciones que lleven a paralización de la obra en época de lluvias. La ABC manifiesta que dicho factor ya fue contemplado en el plazo</w:t>
      </w:r>
      <w:r>
        <w:rPr>
          <w:lang w:val="es-MX"/>
        </w:rPr>
        <w:t xml:space="preserve"> inicial</w:t>
      </w:r>
      <w:r w:rsidRPr="007D5463">
        <w:rPr>
          <w:lang w:val="es-MX"/>
        </w:rPr>
        <w:t xml:space="preserve"> y presupuesto de obra.</w:t>
      </w:r>
    </w:p>
    <w:p w14:paraId="2D4778D1" w14:textId="0624A5BB" w:rsidR="00BA33B4" w:rsidRDefault="00BA33B4">
      <w:pPr>
        <w:rPr>
          <w:rFonts w:asciiTheme="majorHAnsi" w:eastAsiaTheme="majorEastAsia" w:hAnsiTheme="majorHAnsi" w:cstheme="majorBidi"/>
          <w:b/>
          <w:bCs/>
          <w:color w:val="365F91" w:themeColor="accent1" w:themeShade="BF"/>
          <w:sz w:val="28"/>
          <w:szCs w:val="28"/>
        </w:rPr>
      </w:pPr>
    </w:p>
    <w:p w14:paraId="0B54C0BD" w14:textId="1A27E86B" w:rsidR="00E5362D" w:rsidRDefault="00E5362D" w:rsidP="00E5362D">
      <w:pPr>
        <w:rPr>
          <w:lang w:val="es-MX"/>
        </w:rPr>
      </w:pPr>
      <w:r>
        <w:rPr>
          <w:lang w:val="es-MX"/>
        </w:rPr>
        <w:t>Finalmente, c</w:t>
      </w:r>
      <w:r w:rsidRPr="007D5463">
        <w:rPr>
          <w:lang w:val="es-MX"/>
        </w:rPr>
        <w:t xml:space="preserve">on el objeto de </w:t>
      </w:r>
      <w:r>
        <w:rPr>
          <w:lang w:val="es-MX"/>
        </w:rPr>
        <w:t>brindar argumentos que sirvan</w:t>
      </w:r>
      <w:r w:rsidRPr="007D5463">
        <w:rPr>
          <w:lang w:val="es-MX"/>
        </w:rPr>
        <w:t xml:space="preserve"> a la cuantificación de riesgos, se realiza un ejercicio de comparación de costos de los proyectos objeto de análisis por kilómetro de intervención, con proyectos de tipo similar. A continuación se presenta el costo promedio por kilómetro calculado para algunos proyectos reportados en la página de la ABC (</w:t>
      </w:r>
      <w:hyperlink r:id="rId19" w:history="1">
        <w:r w:rsidRPr="007D5463">
          <w:rPr>
            <w:rStyle w:val="Hyperlink"/>
            <w:lang w:val="es-MX"/>
          </w:rPr>
          <w:t>https://siin.abc.gob.bo/</w:t>
        </w:r>
      </w:hyperlink>
      <w:r w:rsidRPr="007D5463">
        <w:rPr>
          <w:lang w:val="es-MX"/>
        </w:rPr>
        <w:t xml:space="preserve">) de Rehabilitación, Puesta a Punto y construcción. </w:t>
      </w:r>
    </w:p>
    <w:p w14:paraId="4D72BB32" w14:textId="77777777" w:rsidR="00E5362D" w:rsidRDefault="00E5362D" w:rsidP="00E5362D">
      <w:pPr>
        <w:rPr>
          <w:lang w:val="es-MX"/>
        </w:rPr>
      </w:pPr>
    </w:p>
    <w:p w14:paraId="7FB779B5" w14:textId="77777777" w:rsidR="003B52D5" w:rsidRDefault="003B52D5">
      <w:pPr>
        <w:rPr>
          <w:b/>
          <w:bCs/>
          <w:color w:val="4F81BD" w:themeColor="accent1"/>
          <w:sz w:val="22"/>
          <w:szCs w:val="22"/>
        </w:rPr>
      </w:pPr>
      <w:bookmarkStart w:id="47" w:name="_Ref397502525"/>
      <w:bookmarkStart w:id="48" w:name="_Toc403246537"/>
      <w:bookmarkStart w:id="49" w:name="_Ref436184541"/>
      <w:bookmarkStart w:id="50" w:name="_Toc436213407"/>
      <w:bookmarkStart w:id="51" w:name="_Toc484602634"/>
      <w:r>
        <w:rPr>
          <w:sz w:val="22"/>
          <w:szCs w:val="22"/>
        </w:rPr>
        <w:br w:type="page"/>
      </w:r>
    </w:p>
    <w:p w14:paraId="45845145" w14:textId="33467647" w:rsidR="00E5362D" w:rsidRPr="007D5463" w:rsidRDefault="00E5362D" w:rsidP="00E5362D">
      <w:pPr>
        <w:pStyle w:val="Caption"/>
        <w:jc w:val="center"/>
        <w:rPr>
          <w:sz w:val="22"/>
          <w:szCs w:val="22"/>
        </w:rPr>
      </w:pPr>
      <w:r w:rsidRPr="007D5463">
        <w:rPr>
          <w:sz w:val="22"/>
          <w:szCs w:val="22"/>
        </w:rPr>
        <w:lastRenderedPageBreak/>
        <w:t xml:space="preserve">Ilustración </w:t>
      </w:r>
      <w:r w:rsidRPr="007D5463">
        <w:rPr>
          <w:sz w:val="22"/>
          <w:szCs w:val="22"/>
        </w:rPr>
        <w:fldChar w:fldCharType="begin"/>
      </w:r>
      <w:r w:rsidRPr="007D5463">
        <w:rPr>
          <w:sz w:val="22"/>
          <w:szCs w:val="22"/>
        </w:rPr>
        <w:instrText xml:space="preserve"> SEQ Ilustración \* ARABIC </w:instrText>
      </w:r>
      <w:r w:rsidRPr="007D5463">
        <w:rPr>
          <w:sz w:val="22"/>
          <w:szCs w:val="22"/>
        </w:rPr>
        <w:fldChar w:fldCharType="separate"/>
      </w:r>
      <w:r w:rsidR="00011CB8">
        <w:rPr>
          <w:noProof/>
          <w:sz w:val="22"/>
          <w:szCs w:val="22"/>
        </w:rPr>
        <w:t>2</w:t>
      </w:r>
      <w:r w:rsidRPr="007D5463">
        <w:rPr>
          <w:noProof/>
          <w:sz w:val="22"/>
          <w:szCs w:val="22"/>
        </w:rPr>
        <w:fldChar w:fldCharType="end"/>
      </w:r>
      <w:bookmarkEnd w:id="47"/>
      <w:r w:rsidRPr="007D5463">
        <w:rPr>
          <w:sz w:val="22"/>
          <w:szCs w:val="22"/>
        </w:rPr>
        <w:t>. Costo Promedio por Kilómetro de Algunos Proyectos ABC</w:t>
      </w:r>
      <w:bookmarkEnd w:id="48"/>
      <w:bookmarkEnd w:id="49"/>
      <w:bookmarkEnd w:id="50"/>
      <w:bookmarkEnd w:id="51"/>
    </w:p>
    <w:p w14:paraId="002E9152" w14:textId="77777777" w:rsidR="00E5362D" w:rsidRPr="007D5463" w:rsidRDefault="00E5362D" w:rsidP="00E5362D">
      <w:pPr>
        <w:rPr>
          <w:lang w:val="es-MX"/>
        </w:rPr>
      </w:pPr>
      <w:r w:rsidRPr="000D74B4">
        <w:rPr>
          <w:noProof/>
        </w:rPr>
        <w:drawing>
          <wp:inline distT="0" distB="0" distL="0" distR="0" wp14:anchorId="4C417D6E" wp14:editId="0775D402">
            <wp:extent cx="5396533" cy="2895352"/>
            <wp:effectExtent l="0" t="0" r="0" b="63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01890" cy="2898226"/>
                    </a:xfrm>
                    <a:prstGeom prst="rect">
                      <a:avLst/>
                    </a:prstGeom>
                    <a:noFill/>
                    <a:ln>
                      <a:noFill/>
                    </a:ln>
                  </pic:spPr>
                </pic:pic>
              </a:graphicData>
            </a:graphic>
          </wp:inline>
        </w:drawing>
      </w:r>
    </w:p>
    <w:p w14:paraId="1589B4AF" w14:textId="77777777" w:rsidR="00E5362D" w:rsidRPr="007D5463" w:rsidRDefault="00E5362D" w:rsidP="00E5362D">
      <w:pPr>
        <w:rPr>
          <w:lang w:val="es-MX"/>
        </w:rPr>
      </w:pPr>
    </w:p>
    <w:p w14:paraId="5EE55266" w14:textId="77777777" w:rsidR="00E5362D" w:rsidRPr="007D5463" w:rsidRDefault="00E5362D" w:rsidP="00E5362D">
      <w:pPr>
        <w:rPr>
          <w:lang w:val="es-MX"/>
        </w:rPr>
      </w:pPr>
      <w:r w:rsidRPr="007D5463">
        <w:rPr>
          <w:noProof/>
        </w:rPr>
        <w:drawing>
          <wp:inline distT="0" distB="0" distL="0" distR="0" wp14:anchorId="4E530B8B" wp14:editId="62EEC3E3">
            <wp:extent cx="5612130" cy="1534795"/>
            <wp:effectExtent l="0" t="0" r="7620" b="8255"/>
            <wp:docPr id="1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21"/>
                    <a:stretch>
                      <a:fillRect/>
                    </a:stretch>
                  </pic:blipFill>
                  <pic:spPr>
                    <a:xfrm>
                      <a:off x="0" y="0"/>
                      <a:ext cx="5612130" cy="1534795"/>
                    </a:xfrm>
                    <a:prstGeom prst="rect">
                      <a:avLst/>
                    </a:prstGeom>
                  </pic:spPr>
                </pic:pic>
              </a:graphicData>
            </a:graphic>
          </wp:inline>
        </w:drawing>
      </w:r>
    </w:p>
    <w:p w14:paraId="1E96FD70" w14:textId="77777777" w:rsidR="00E5362D" w:rsidRPr="00945BC1" w:rsidRDefault="00E5362D" w:rsidP="00945BC1">
      <w:pPr>
        <w:jc w:val="center"/>
        <w:rPr>
          <w:sz w:val="18"/>
          <w:szCs w:val="18"/>
          <w:lang w:val="es-MX"/>
        </w:rPr>
      </w:pPr>
      <w:r w:rsidRPr="00945BC1">
        <w:rPr>
          <w:sz w:val="18"/>
          <w:szCs w:val="18"/>
          <w:lang w:val="es-MX"/>
        </w:rPr>
        <w:t>Fuente : Elaboración Propia con base en información ABC, https://siin.abc.gob.bo/</w:t>
      </w:r>
    </w:p>
    <w:p w14:paraId="21856A56" w14:textId="77777777" w:rsidR="00E5362D" w:rsidRPr="007D5463" w:rsidRDefault="00E5362D" w:rsidP="00E5362D">
      <w:pPr>
        <w:rPr>
          <w:lang w:val="es-MX"/>
        </w:rPr>
      </w:pPr>
    </w:p>
    <w:p w14:paraId="164D2502" w14:textId="77777777" w:rsidR="00E5362D" w:rsidRDefault="00E5362D" w:rsidP="00E5362D">
      <w:pPr>
        <w:rPr>
          <w:lang w:val="es-MX"/>
        </w:rPr>
      </w:pPr>
      <w:bookmarkStart w:id="52" w:name="_Toc403246490"/>
      <w:r w:rsidRPr="007D5463">
        <w:rPr>
          <w:lang w:val="es-MX"/>
        </w:rPr>
        <w:t>Se observa lo siguiente:</w:t>
      </w:r>
      <w:bookmarkEnd w:id="52"/>
    </w:p>
    <w:p w14:paraId="2891874F" w14:textId="77777777" w:rsidR="00E5362D" w:rsidRPr="007D5463" w:rsidRDefault="00E5362D" w:rsidP="00E5362D">
      <w:pPr>
        <w:rPr>
          <w:b/>
          <w:lang w:val="es-MX"/>
        </w:rPr>
      </w:pPr>
    </w:p>
    <w:p w14:paraId="7200A369" w14:textId="25C17B75" w:rsidR="00E5362D" w:rsidRPr="00934860" w:rsidRDefault="00E5362D" w:rsidP="009155CC">
      <w:pPr>
        <w:pStyle w:val="ListParagraph"/>
        <w:numPr>
          <w:ilvl w:val="0"/>
          <w:numId w:val="43"/>
        </w:numPr>
        <w:spacing w:line="240" w:lineRule="auto"/>
        <w:rPr>
          <w:lang w:val="es-MX"/>
        </w:rPr>
      </w:pPr>
      <w:bookmarkStart w:id="53" w:name="_Toc403246492"/>
      <w:r w:rsidRPr="00934860">
        <w:rPr>
          <w:lang w:val="es-MX"/>
        </w:rPr>
        <w:t xml:space="preserve">El costo de </w:t>
      </w:r>
      <w:r w:rsidR="009155CC">
        <w:rPr>
          <w:lang w:val="es-MX"/>
        </w:rPr>
        <w:t>mantenimiento periódico y rehabilitación de segundo grado</w:t>
      </w:r>
      <w:r w:rsidRPr="00934860">
        <w:rPr>
          <w:lang w:val="es-MX"/>
        </w:rPr>
        <w:t xml:space="preserve">  de la vía </w:t>
      </w:r>
      <w:r w:rsidR="009155CC" w:rsidRPr="009155CC">
        <w:rPr>
          <w:lang w:val="es-MX"/>
        </w:rPr>
        <w:t>TRAMO MAIRANA-BERMEJO</w:t>
      </w:r>
      <w:r w:rsidRPr="00934860">
        <w:rPr>
          <w:lang w:val="es-MX"/>
        </w:rPr>
        <w:t xml:space="preserve">, se ha presupuestado en </w:t>
      </w:r>
      <w:r w:rsidR="009155CC">
        <w:rPr>
          <w:lang w:val="es-MX"/>
        </w:rPr>
        <w:t>USD$ 880.386</w:t>
      </w:r>
      <w:r>
        <w:rPr>
          <w:lang w:val="es-MX"/>
        </w:rPr>
        <w:t xml:space="preserve"> </w:t>
      </w:r>
      <w:r w:rsidRPr="00934860">
        <w:rPr>
          <w:lang w:val="es-MX"/>
        </w:rPr>
        <w:t xml:space="preserve">USD/KM, </w:t>
      </w:r>
      <w:r>
        <w:rPr>
          <w:lang w:val="es-MX"/>
        </w:rPr>
        <w:t>lo que prácticamente dobla el</w:t>
      </w:r>
      <w:r w:rsidRPr="00934860">
        <w:rPr>
          <w:lang w:val="es-MX"/>
        </w:rPr>
        <w:t xml:space="preserve"> promedio observado en los proyectos de ese tipo ya ejecutados.</w:t>
      </w:r>
      <w:bookmarkEnd w:id="53"/>
    </w:p>
    <w:p w14:paraId="1D89D873" w14:textId="77777777" w:rsidR="00E5362D" w:rsidRPr="00934860" w:rsidRDefault="00E5362D" w:rsidP="00E5362D">
      <w:pPr>
        <w:rPr>
          <w:lang w:val="es-MX"/>
        </w:rPr>
      </w:pPr>
    </w:p>
    <w:p w14:paraId="46F6A9BC" w14:textId="3EE31051" w:rsidR="00E5362D" w:rsidRPr="00CD7B40" w:rsidRDefault="00CD7B40">
      <w:pPr>
        <w:rPr>
          <w:lang w:val="es-MX"/>
        </w:rPr>
      </w:pPr>
      <w:r w:rsidRPr="00CD7B40">
        <w:rPr>
          <w:lang w:val="es-MX"/>
        </w:rPr>
        <w:t xml:space="preserve">En </w:t>
      </w:r>
      <w:r>
        <w:rPr>
          <w:lang w:val="es-MX"/>
        </w:rPr>
        <w:t xml:space="preserve">este orden de ideas, se opta por trabajar </w:t>
      </w:r>
      <w:r w:rsidR="006F4907">
        <w:rPr>
          <w:lang w:val="es-MX"/>
        </w:rPr>
        <w:t>un riesgo de costos adicionales de un orden promedio de 3% como porcentaje del costo total de obra</w:t>
      </w:r>
      <w:r w:rsidR="00793227">
        <w:rPr>
          <w:lang w:val="es-MX"/>
        </w:rPr>
        <w:t>, siguiendo una distribución normal con desviación estándar de 1%.</w:t>
      </w:r>
    </w:p>
    <w:p w14:paraId="3EE00415" w14:textId="77777777" w:rsidR="003B52D5" w:rsidRDefault="003B52D5">
      <w:pPr>
        <w:rPr>
          <w:rFonts w:asciiTheme="majorHAnsi" w:eastAsiaTheme="majorEastAsia" w:hAnsiTheme="majorHAnsi" w:cstheme="majorBidi"/>
          <w:b/>
          <w:bCs/>
          <w:color w:val="365F91" w:themeColor="accent1" w:themeShade="BF"/>
          <w:sz w:val="28"/>
          <w:szCs w:val="28"/>
        </w:rPr>
      </w:pPr>
      <w:bookmarkStart w:id="54" w:name="_Toc484602614"/>
      <w:r>
        <w:br w:type="page"/>
      </w:r>
    </w:p>
    <w:p w14:paraId="18CF87C5" w14:textId="0194A73A" w:rsidR="00277E7A" w:rsidRDefault="00277E7A" w:rsidP="00E25E91">
      <w:pPr>
        <w:pStyle w:val="Heading1"/>
      </w:pPr>
      <w:r>
        <w:lastRenderedPageBreak/>
        <w:t>Valoraci</w:t>
      </w:r>
      <w:r w:rsidR="00DD3671">
        <w:t xml:space="preserve">ón del Riesgo </w:t>
      </w:r>
      <w:r w:rsidR="00BA33B4">
        <w:t>de</w:t>
      </w:r>
      <w:r w:rsidR="00DD3671">
        <w:t xml:space="preserve"> Costos Adicionales</w:t>
      </w:r>
      <w:bookmarkEnd w:id="54"/>
    </w:p>
    <w:p w14:paraId="0E350417" w14:textId="53A5DB4B" w:rsidR="000852B7" w:rsidRDefault="000852B7" w:rsidP="00E25E91"/>
    <w:p w14:paraId="5F6117C7" w14:textId="0085CD7B" w:rsidR="00B40C7A" w:rsidRPr="007D5463" w:rsidRDefault="00FF51AB" w:rsidP="00B40C7A">
      <w:pPr>
        <w:rPr>
          <w:lang w:val="es-MX"/>
        </w:rPr>
      </w:pPr>
      <w:r>
        <w:rPr>
          <w:lang w:val="es-MX"/>
        </w:rPr>
        <w:t xml:space="preserve">A </w:t>
      </w:r>
      <w:r w:rsidR="008F2EFD">
        <w:rPr>
          <w:lang w:val="es-MX"/>
        </w:rPr>
        <w:t>continuación,</w:t>
      </w:r>
      <w:r>
        <w:rPr>
          <w:lang w:val="es-MX"/>
        </w:rPr>
        <w:t xml:space="preserve"> </w:t>
      </w:r>
      <w:r w:rsidR="008F2EFD">
        <w:rPr>
          <w:lang w:val="es-MX"/>
        </w:rPr>
        <w:t>se presenta</w:t>
      </w:r>
      <w:r w:rsidR="00B40C7A" w:rsidRPr="007D5463">
        <w:rPr>
          <w:lang w:val="es-MX"/>
        </w:rPr>
        <w:t xml:space="preserve"> sobre los riesgos identificados, los aspectos a considerar en</w:t>
      </w:r>
      <w:r>
        <w:rPr>
          <w:lang w:val="es-MX"/>
        </w:rPr>
        <w:t xml:space="preserve"> su análisis y cuantificación:</w:t>
      </w:r>
    </w:p>
    <w:p w14:paraId="2ADA0EED" w14:textId="77777777" w:rsidR="00B40C7A" w:rsidRPr="007D5463" w:rsidRDefault="00B40C7A" w:rsidP="00B40C7A">
      <w:pPr>
        <w:rPr>
          <w:lang w:val="es-MX"/>
        </w:rPr>
      </w:pPr>
    </w:p>
    <w:p w14:paraId="0A7B6794" w14:textId="60EC7F0D" w:rsidR="00B40C7A" w:rsidRPr="007D5463" w:rsidRDefault="00B40C7A" w:rsidP="00B40C7A">
      <w:pPr>
        <w:pStyle w:val="Caption"/>
        <w:jc w:val="center"/>
        <w:rPr>
          <w:lang w:val="es-MX"/>
        </w:rPr>
      </w:pPr>
      <w:bookmarkStart w:id="55" w:name="_Toc403246563"/>
      <w:bookmarkStart w:id="56" w:name="_Toc427650661"/>
      <w:bookmarkStart w:id="57" w:name="_Toc484602628"/>
      <w:r w:rsidRPr="007D5463">
        <w:t xml:space="preserve">Tabla </w:t>
      </w:r>
      <w:r w:rsidRPr="007D5463">
        <w:fldChar w:fldCharType="begin"/>
      </w:r>
      <w:r w:rsidRPr="007D5463">
        <w:instrText xml:space="preserve"> SEQ Tabla \* ARABIC </w:instrText>
      </w:r>
      <w:r w:rsidRPr="007D5463">
        <w:fldChar w:fldCharType="separate"/>
      </w:r>
      <w:r w:rsidR="00011CB8">
        <w:rPr>
          <w:noProof/>
        </w:rPr>
        <w:t>8</w:t>
      </w:r>
      <w:r w:rsidRPr="007D5463">
        <w:fldChar w:fldCharType="end"/>
      </w:r>
      <w:r w:rsidRPr="007D5463">
        <w:t xml:space="preserve">. </w:t>
      </w:r>
      <w:r w:rsidRPr="007D5463">
        <w:rPr>
          <w:lang w:val="es-MX"/>
        </w:rPr>
        <w:t>Riesgos a Evaluar y Calificación</w:t>
      </w:r>
      <w:bookmarkEnd w:id="55"/>
      <w:bookmarkEnd w:id="56"/>
      <w:bookmarkEnd w:id="57"/>
    </w:p>
    <w:tbl>
      <w:tblPr>
        <w:tblStyle w:val="TableGrid"/>
        <w:tblW w:w="9547" w:type="dxa"/>
        <w:tblLook w:val="04A0" w:firstRow="1" w:lastRow="0" w:firstColumn="1" w:lastColumn="0" w:noHBand="0" w:noVBand="1"/>
      </w:tblPr>
      <w:tblGrid>
        <w:gridCol w:w="1555"/>
        <w:gridCol w:w="2746"/>
        <w:gridCol w:w="2640"/>
        <w:gridCol w:w="2606"/>
      </w:tblGrid>
      <w:tr w:rsidR="00B40C7A" w:rsidRPr="007D5463" w14:paraId="4E016AA1" w14:textId="77777777" w:rsidTr="003B52D5">
        <w:trPr>
          <w:tblHeader/>
        </w:trPr>
        <w:tc>
          <w:tcPr>
            <w:tcW w:w="1555" w:type="dxa"/>
            <w:shd w:val="clear" w:color="auto" w:fill="8DB3E2" w:themeFill="text2" w:themeFillTint="66"/>
          </w:tcPr>
          <w:p w14:paraId="3B414533" w14:textId="77777777" w:rsidR="00B40C7A" w:rsidRPr="008F2EFD" w:rsidRDefault="00B40C7A" w:rsidP="00DB6731">
            <w:pPr>
              <w:jc w:val="center"/>
              <w:rPr>
                <w:b/>
                <w:sz w:val="18"/>
                <w:szCs w:val="18"/>
                <w:lang w:val="es-MX"/>
              </w:rPr>
            </w:pPr>
            <w:r w:rsidRPr="008F2EFD">
              <w:rPr>
                <w:b/>
                <w:sz w:val="18"/>
                <w:szCs w:val="18"/>
                <w:lang w:val="es-MX"/>
              </w:rPr>
              <w:t>RIESGO</w:t>
            </w:r>
          </w:p>
        </w:tc>
        <w:tc>
          <w:tcPr>
            <w:tcW w:w="2746" w:type="dxa"/>
            <w:shd w:val="clear" w:color="auto" w:fill="8DB3E2" w:themeFill="text2" w:themeFillTint="66"/>
          </w:tcPr>
          <w:p w14:paraId="5208845A" w14:textId="77777777" w:rsidR="00B40C7A" w:rsidRPr="008F2EFD" w:rsidRDefault="00B40C7A" w:rsidP="00DB6731">
            <w:pPr>
              <w:jc w:val="center"/>
              <w:rPr>
                <w:b/>
                <w:sz w:val="18"/>
                <w:szCs w:val="18"/>
                <w:lang w:val="es-MX"/>
              </w:rPr>
            </w:pPr>
            <w:r w:rsidRPr="008F2EFD">
              <w:rPr>
                <w:b/>
                <w:sz w:val="18"/>
                <w:szCs w:val="18"/>
                <w:lang w:val="es-MX"/>
              </w:rPr>
              <w:t>DESCRIPCION</w:t>
            </w:r>
          </w:p>
        </w:tc>
        <w:tc>
          <w:tcPr>
            <w:tcW w:w="2640" w:type="dxa"/>
            <w:shd w:val="clear" w:color="auto" w:fill="8DB3E2" w:themeFill="text2" w:themeFillTint="66"/>
          </w:tcPr>
          <w:p w14:paraId="2BCA4DD5" w14:textId="77777777" w:rsidR="00B40C7A" w:rsidRPr="008F2EFD" w:rsidRDefault="00B40C7A" w:rsidP="00DB6731">
            <w:pPr>
              <w:jc w:val="center"/>
              <w:rPr>
                <w:b/>
                <w:sz w:val="18"/>
                <w:szCs w:val="18"/>
                <w:lang w:val="es-MX"/>
              </w:rPr>
            </w:pPr>
            <w:r w:rsidRPr="008F2EFD">
              <w:rPr>
                <w:b/>
                <w:sz w:val="18"/>
                <w:szCs w:val="18"/>
                <w:lang w:val="es-MX"/>
              </w:rPr>
              <w:t>Probabilidad de Ocurrencia</w:t>
            </w:r>
          </w:p>
        </w:tc>
        <w:tc>
          <w:tcPr>
            <w:tcW w:w="2606" w:type="dxa"/>
            <w:shd w:val="clear" w:color="auto" w:fill="8DB3E2" w:themeFill="text2" w:themeFillTint="66"/>
          </w:tcPr>
          <w:p w14:paraId="0B18B5C1" w14:textId="77777777" w:rsidR="00B40C7A" w:rsidRPr="008F2EFD" w:rsidRDefault="00B40C7A" w:rsidP="00DB6731">
            <w:pPr>
              <w:jc w:val="center"/>
              <w:rPr>
                <w:b/>
                <w:sz w:val="18"/>
                <w:szCs w:val="18"/>
                <w:lang w:val="es-MX"/>
              </w:rPr>
            </w:pPr>
            <w:r w:rsidRPr="008F2EFD">
              <w:rPr>
                <w:b/>
                <w:sz w:val="18"/>
                <w:szCs w:val="18"/>
                <w:lang w:val="es-MX"/>
              </w:rPr>
              <w:t>Impacto de la Ocurrencia</w:t>
            </w:r>
          </w:p>
        </w:tc>
      </w:tr>
      <w:tr w:rsidR="00B40C7A" w:rsidRPr="007D5463" w14:paraId="00349828" w14:textId="77777777" w:rsidTr="003B52D5">
        <w:tc>
          <w:tcPr>
            <w:tcW w:w="1555" w:type="dxa"/>
          </w:tcPr>
          <w:p w14:paraId="27648133" w14:textId="77777777" w:rsidR="00B40C7A" w:rsidRPr="008F2EFD" w:rsidRDefault="00B40C7A" w:rsidP="00DB6731">
            <w:pPr>
              <w:rPr>
                <w:sz w:val="18"/>
                <w:szCs w:val="18"/>
                <w:lang w:val="es-MX"/>
              </w:rPr>
            </w:pPr>
            <w:r w:rsidRPr="008F2EFD">
              <w:rPr>
                <w:sz w:val="18"/>
                <w:szCs w:val="18"/>
                <w:lang w:val="es-MX"/>
              </w:rPr>
              <w:t>Costos Unitarios</w:t>
            </w:r>
          </w:p>
          <w:p w14:paraId="55BD4BC8" w14:textId="77777777" w:rsidR="00B40C7A" w:rsidRPr="008F2EFD" w:rsidRDefault="00B40C7A" w:rsidP="00DB6731">
            <w:pPr>
              <w:rPr>
                <w:sz w:val="18"/>
                <w:szCs w:val="18"/>
                <w:lang w:val="es-MX"/>
              </w:rPr>
            </w:pPr>
          </w:p>
          <w:p w14:paraId="5A1111B8" w14:textId="77777777" w:rsidR="00B40C7A" w:rsidRPr="008F2EFD" w:rsidRDefault="00B40C7A" w:rsidP="00DB6731">
            <w:pPr>
              <w:rPr>
                <w:sz w:val="18"/>
                <w:szCs w:val="18"/>
                <w:lang w:val="es-MX"/>
              </w:rPr>
            </w:pPr>
            <w:r w:rsidRPr="008F2EFD">
              <w:rPr>
                <w:sz w:val="18"/>
                <w:szCs w:val="18"/>
                <w:lang w:val="es-MX"/>
              </w:rPr>
              <w:t>Precios de Referencia vs Adjudicados</w:t>
            </w:r>
          </w:p>
        </w:tc>
        <w:tc>
          <w:tcPr>
            <w:tcW w:w="2746" w:type="dxa"/>
          </w:tcPr>
          <w:p w14:paraId="5BE1A66B" w14:textId="77777777" w:rsidR="00B40C7A" w:rsidRPr="008F2EFD" w:rsidRDefault="00B40C7A" w:rsidP="00DB6731">
            <w:pPr>
              <w:rPr>
                <w:sz w:val="18"/>
                <w:szCs w:val="18"/>
                <w:lang w:val="es-MX"/>
              </w:rPr>
            </w:pPr>
            <w:r w:rsidRPr="008F2EFD">
              <w:rPr>
                <w:sz w:val="18"/>
                <w:szCs w:val="18"/>
                <w:lang w:val="es-MX"/>
              </w:rPr>
              <w:t xml:space="preserve">Se refiere a la variación existente entre los costos de referencia y los adjudicados, </w:t>
            </w:r>
          </w:p>
        </w:tc>
        <w:tc>
          <w:tcPr>
            <w:tcW w:w="2640" w:type="dxa"/>
          </w:tcPr>
          <w:p w14:paraId="7ABA4A42" w14:textId="77777777" w:rsidR="00B40C7A" w:rsidRPr="008F2EFD" w:rsidRDefault="00B40C7A" w:rsidP="00DB6731">
            <w:pPr>
              <w:rPr>
                <w:sz w:val="18"/>
                <w:szCs w:val="18"/>
                <w:lang w:val="es-MX"/>
              </w:rPr>
            </w:pPr>
            <w:r w:rsidRPr="008F2EFD">
              <w:rPr>
                <w:sz w:val="18"/>
                <w:szCs w:val="18"/>
                <w:lang w:val="es-MX"/>
              </w:rPr>
              <w:t>Muy Probable</w:t>
            </w:r>
          </w:p>
        </w:tc>
        <w:tc>
          <w:tcPr>
            <w:tcW w:w="2606" w:type="dxa"/>
          </w:tcPr>
          <w:p w14:paraId="57BFBBB0" w14:textId="77777777" w:rsidR="00B40C7A" w:rsidRPr="008F2EFD" w:rsidRDefault="00B40C7A" w:rsidP="00DB6731">
            <w:pPr>
              <w:jc w:val="left"/>
              <w:rPr>
                <w:sz w:val="18"/>
                <w:szCs w:val="18"/>
                <w:lang w:val="es-MX"/>
              </w:rPr>
            </w:pPr>
            <w:r w:rsidRPr="008F2EFD">
              <w:rPr>
                <w:sz w:val="18"/>
                <w:szCs w:val="18"/>
                <w:lang w:val="es-MX"/>
              </w:rPr>
              <w:t>Impacto Menor.</w:t>
            </w:r>
          </w:p>
          <w:p w14:paraId="71903690" w14:textId="77777777" w:rsidR="00B40C7A" w:rsidRPr="008F2EFD" w:rsidRDefault="00B40C7A" w:rsidP="00DB6731">
            <w:pPr>
              <w:jc w:val="left"/>
              <w:rPr>
                <w:sz w:val="18"/>
                <w:szCs w:val="18"/>
                <w:lang w:val="es-MX"/>
              </w:rPr>
            </w:pPr>
            <w:r w:rsidRPr="008F2EFD">
              <w:rPr>
                <w:sz w:val="18"/>
                <w:szCs w:val="18"/>
                <w:lang w:val="es-MX"/>
              </w:rPr>
              <w:t>La administración publica en la medida que avanza en los procesos de contratación tiene acceso a información de costos de mercado ciertos.</w:t>
            </w:r>
          </w:p>
          <w:p w14:paraId="448A142B" w14:textId="77777777" w:rsidR="00B40C7A" w:rsidRPr="008F2EFD" w:rsidRDefault="00B40C7A" w:rsidP="00DB6731">
            <w:pPr>
              <w:rPr>
                <w:sz w:val="18"/>
                <w:szCs w:val="18"/>
                <w:lang w:val="es-MX"/>
              </w:rPr>
            </w:pPr>
          </w:p>
        </w:tc>
      </w:tr>
      <w:tr w:rsidR="00B40C7A" w:rsidRPr="007D5463" w14:paraId="5B3D0930" w14:textId="77777777" w:rsidTr="003B52D5">
        <w:tc>
          <w:tcPr>
            <w:tcW w:w="1555" w:type="dxa"/>
          </w:tcPr>
          <w:p w14:paraId="7CBDE489" w14:textId="77777777" w:rsidR="00B40C7A" w:rsidRPr="008F2EFD" w:rsidRDefault="00B40C7A" w:rsidP="00DB6731">
            <w:pPr>
              <w:rPr>
                <w:sz w:val="18"/>
                <w:szCs w:val="18"/>
                <w:lang w:val="es-MX"/>
              </w:rPr>
            </w:pPr>
            <w:r w:rsidRPr="008F2EFD">
              <w:rPr>
                <w:sz w:val="18"/>
                <w:szCs w:val="18"/>
                <w:lang w:val="es-MX"/>
              </w:rPr>
              <w:t>Cantidades de Obra</w:t>
            </w:r>
          </w:p>
        </w:tc>
        <w:tc>
          <w:tcPr>
            <w:tcW w:w="2746" w:type="dxa"/>
          </w:tcPr>
          <w:p w14:paraId="1BF549D8" w14:textId="77777777" w:rsidR="00B40C7A" w:rsidRPr="008F2EFD" w:rsidRDefault="00B40C7A" w:rsidP="00DB6731">
            <w:pPr>
              <w:rPr>
                <w:sz w:val="18"/>
                <w:szCs w:val="18"/>
                <w:lang w:val="es-MX"/>
              </w:rPr>
            </w:pPr>
            <w:r w:rsidRPr="008F2EFD">
              <w:rPr>
                <w:sz w:val="18"/>
                <w:szCs w:val="18"/>
                <w:lang w:val="es-MX"/>
              </w:rPr>
              <w:t>Mayores cantidades de obra a las previstas.</w:t>
            </w:r>
          </w:p>
          <w:p w14:paraId="2C1E9EE3" w14:textId="77777777" w:rsidR="00B40C7A" w:rsidRPr="008F2EFD" w:rsidRDefault="00B40C7A" w:rsidP="00DB6731">
            <w:pPr>
              <w:rPr>
                <w:sz w:val="18"/>
                <w:szCs w:val="18"/>
                <w:lang w:val="es-MX"/>
              </w:rPr>
            </w:pPr>
            <w:r w:rsidRPr="008F2EFD">
              <w:rPr>
                <w:sz w:val="18"/>
                <w:szCs w:val="18"/>
                <w:lang w:val="es-MX"/>
              </w:rPr>
              <w:t>Se desprende de deficiencias en estudios previos de detalle.</w:t>
            </w:r>
          </w:p>
          <w:p w14:paraId="2DC245E1" w14:textId="77777777" w:rsidR="00B40C7A" w:rsidRPr="008F2EFD" w:rsidRDefault="00B40C7A" w:rsidP="00DB6731">
            <w:pPr>
              <w:rPr>
                <w:sz w:val="18"/>
                <w:szCs w:val="18"/>
                <w:lang w:val="es-MX"/>
              </w:rPr>
            </w:pPr>
          </w:p>
        </w:tc>
        <w:tc>
          <w:tcPr>
            <w:tcW w:w="2640" w:type="dxa"/>
          </w:tcPr>
          <w:p w14:paraId="10FF934C" w14:textId="77777777" w:rsidR="00B40C7A" w:rsidRPr="008F2EFD" w:rsidRDefault="00B40C7A" w:rsidP="00DB6731">
            <w:pPr>
              <w:rPr>
                <w:sz w:val="18"/>
                <w:szCs w:val="18"/>
                <w:lang w:val="es-MX"/>
              </w:rPr>
            </w:pPr>
            <w:r w:rsidRPr="008F2EFD">
              <w:rPr>
                <w:sz w:val="18"/>
                <w:szCs w:val="18"/>
                <w:lang w:val="es-MX"/>
              </w:rPr>
              <w:t>Muy Probable</w:t>
            </w:r>
          </w:p>
        </w:tc>
        <w:tc>
          <w:tcPr>
            <w:tcW w:w="2606" w:type="dxa"/>
          </w:tcPr>
          <w:p w14:paraId="37C273D2" w14:textId="77777777" w:rsidR="00B40C7A" w:rsidRPr="008F2EFD" w:rsidRDefault="00B40C7A" w:rsidP="00DB6731">
            <w:pPr>
              <w:rPr>
                <w:sz w:val="18"/>
                <w:szCs w:val="18"/>
                <w:lang w:val="es-MX"/>
              </w:rPr>
            </w:pPr>
            <w:r w:rsidRPr="008F2EFD">
              <w:rPr>
                <w:sz w:val="18"/>
                <w:szCs w:val="18"/>
                <w:lang w:val="es-MX"/>
              </w:rPr>
              <w:t>Impacto Menor.</w:t>
            </w:r>
          </w:p>
          <w:p w14:paraId="39E21562" w14:textId="77777777" w:rsidR="00B40C7A" w:rsidRPr="008F2EFD" w:rsidRDefault="00B40C7A" w:rsidP="00DB6731">
            <w:pPr>
              <w:rPr>
                <w:sz w:val="18"/>
                <w:szCs w:val="18"/>
                <w:lang w:val="es-MX"/>
              </w:rPr>
            </w:pPr>
          </w:p>
          <w:p w14:paraId="0FC5F641" w14:textId="62763E4D" w:rsidR="00B40C7A" w:rsidRPr="008F2EFD" w:rsidRDefault="008F2EFD" w:rsidP="00DB6731">
            <w:pPr>
              <w:rPr>
                <w:sz w:val="18"/>
                <w:szCs w:val="18"/>
                <w:lang w:val="es-MX"/>
              </w:rPr>
            </w:pPr>
            <w:r>
              <w:rPr>
                <w:sz w:val="18"/>
                <w:szCs w:val="18"/>
                <w:lang w:val="es-MX"/>
              </w:rPr>
              <w:t xml:space="preserve">Se observa </w:t>
            </w:r>
            <w:r w:rsidR="00BF763C">
              <w:rPr>
                <w:sz w:val="18"/>
                <w:szCs w:val="18"/>
                <w:lang w:val="es-MX"/>
              </w:rPr>
              <w:t>que el costo presupuestado por kilómetro casi duplica el costo observado en otros proyectos ejecutados en años anteriores</w:t>
            </w:r>
          </w:p>
          <w:p w14:paraId="3884D71B" w14:textId="77777777" w:rsidR="00B40C7A" w:rsidRPr="008F2EFD" w:rsidRDefault="00B40C7A" w:rsidP="00DB6731">
            <w:pPr>
              <w:rPr>
                <w:sz w:val="18"/>
                <w:szCs w:val="18"/>
                <w:lang w:val="es-MX"/>
              </w:rPr>
            </w:pPr>
          </w:p>
        </w:tc>
      </w:tr>
      <w:tr w:rsidR="00B40C7A" w:rsidRPr="007D5463" w14:paraId="3B951E88" w14:textId="77777777" w:rsidTr="003B52D5">
        <w:tc>
          <w:tcPr>
            <w:tcW w:w="1555" w:type="dxa"/>
          </w:tcPr>
          <w:p w14:paraId="4F96633C" w14:textId="77777777" w:rsidR="00B40C7A" w:rsidRPr="008F2EFD" w:rsidRDefault="00B40C7A" w:rsidP="00DB6731">
            <w:pPr>
              <w:rPr>
                <w:sz w:val="18"/>
                <w:szCs w:val="18"/>
                <w:lang w:val="es-MX"/>
              </w:rPr>
            </w:pPr>
            <w:r w:rsidRPr="008F2EFD">
              <w:rPr>
                <w:sz w:val="18"/>
                <w:szCs w:val="18"/>
                <w:lang w:val="es-MX"/>
              </w:rPr>
              <w:t>Obras Adicionales NO Previstas</w:t>
            </w:r>
          </w:p>
        </w:tc>
        <w:tc>
          <w:tcPr>
            <w:tcW w:w="2746" w:type="dxa"/>
          </w:tcPr>
          <w:p w14:paraId="5769C4BF" w14:textId="77777777" w:rsidR="00B40C7A" w:rsidRPr="008F2EFD" w:rsidRDefault="00B40C7A" w:rsidP="00DB6731">
            <w:pPr>
              <w:rPr>
                <w:sz w:val="18"/>
                <w:szCs w:val="18"/>
                <w:lang w:val="es-MX"/>
              </w:rPr>
            </w:pPr>
            <w:r w:rsidRPr="008F2EFD">
              <w:rPr>
                <w:sz w:val="18"/>
                <w:szCs w:val="18"/>
                <w:lang w:val="es-MX"/>
              </w:rPr>
              <w:t>Obras No previstas, que en el momento de ejecución se encuentra necesario realizar, tales como:</w:t>
            </w:r>
          </w:p>
          <w:p w14:paraId="0FADA5F6" w14:textId="77777777" w:rsidR="00B40C7A" w:rsidRPr="008F2EFD" w:rsidRDefault="00B40C7A" w:rsidP="00DB6731">
            <w:pPr>
              <w:rPr>
                <w:sz w:val="18"/>
                <w:szCs w:val="18"/>
                <w:lang w:val="es-MX"/>
              </w:rPr>
            </w:pPr>
          </w:p>
          <w:p w14:paraId="13C4884A" w14:textId="77777777" w:rsidR="00B40C7A" w:rsidRPr="008F2EFD" w:rsidRDefault="00B40C7A" w:rsidP="00DB6731">
            <w:pPr>
              <w:pStyle w:val="ListParagraph"/>
              <w:numPr>
                <w:ilvl w:val="0"/>
                <w:numId w:val="4"/>
              </w:numPr>
              <w:rPr>
                <w:sz w:val="18"/>
                <w:szCs w:val="18"/>
                <w:lang w:val="es-MX"/>
              </w:rPr>
            </w:pPr>
            <w:r w:rsidRPr="008F2EFD">
              <w:rPr>
                <w:sz w:val="18"/>
                <w:szCs w:val="18"/>
                <w:lang w:val="es-MX"/>
              </w:rPr>
              <w:t>Paraderos</w:t>
            </w:r>
          </w:p>
          <w:p w14:paraId="75AD4204" w14:textId="2F4D79B2" w:rsidR="00B40C7A" w:rsidRDefault="00B40C7A" w:rsidP="00DB6731">
            <w:pPr>
              <w:pStyle w:val="ListParagraph"/>
              <w:numPr>
                <w:ilvl w:val="0"/>
                <w:numId w:val="4"/>
              </w:numPr>
              <w:rPr>
                <w:sz w:val="18"/>
                <w:szCs w:val="18"/>
                <w:lang w:val="es-MX"/>
              </w:rPr>
            </w:pPr>
            <w:r w:rsidRPr="008F2EFD">
              <w:rPr>
                <w:sz w:val="18"/>
                <w:szCs w:val="18"/>
                <w:lang w:val="es-MX"/>
              </w:rPr>
              <w:t>Obras de tipo social solicitadas por la comunidad</w:t>
            </w:r>
          </w:p>
          <w:p w14:paraId="4A425E48" w14:textId="361F9633" w:rsidR="00BF763C" w:rsidRPr="008F2EFD" w:rsidRDefault="00BF763C" w:rsidP="00DB6731">
            <w:pPr>
              <w:pStyle w:val="ListParagraph"/>
              <w:numPr>
                <w:ilvl w:val="0"/>
                <w:numId w:val="4"/>
              </w:numPr>
              <w:rPr>
                <w:sz w:val="18"/>
                <w:szCs w:val="18"/>
                <w:lang w:val="es-MX"/>
              </w:rPr>
            </w:pPr>
            <w:r>
              <w:rPr>
                <w:sz w:val="18"/>
                <w:szCs w:val="18"/>
                <w:lang w:val="es-MX"/>
              </w:rPr>
              <w:t>Accesos</w:t>
            </w:r>
          </w:p>
          <w:p w14:paraId="12CA8A11" w14:textId="77777777" w:rsidR="00B40C7A" w:rsidRPr="008F2EFD" w:rsidRDefault="00B40C7A" w:rsidP="00DB6731">
            <w:pPr>
              <w:rPr>
                <w:sz w:val="18"/>
                <w:szCs w:val="18"/>
                <w:lang w:val="es-MX"/>
              </w:rPr>
            </w:pPr>
          </w:p>
        </w:tc>
        <w:tc>
          <w:tcPr>
            <w:tcW w:w="2640" w:type="dxa"/>
          </w:tcPr>
          <w:p w14:paraId="7F1F7654" w14:textId="77777777" w:rsidR="00B40C7A" w:rsidRPr="008F2EFD" w:rsidRDefault="00B40C7A" w:rsidP="00DB6731">
            <w:pPr>
              <w:rPr>
                <w:sz w:val="18"/>
                <w:szCs w:val="18"/>
                <w:lang w:val="es-MX"/>
              </w:rPr>
            </w:pPr>
            <w:r w:rsidRPr="008F2EFD">
              <w:rPr>
                <w:sz w:val="18"/>
                <w:szCs w:val="18"/>
                <w:lang w:val="es-MX"/>
              </w:rPr>
              <w:t>Improbable</w:t>
            </w:r>
          </w:p>
          <w:p w14:paraId="750B71A5" w14:textId="77777777" w:rsidR="00B40C7A" w:rsidRPr="008F2EFD" w:rsidRDefault="00B40C7A" w:rsidP="00DB6731">
            <w:pPr>
              <w:rPr>
                <w:sz w:val="18"/>
                <w:szCs w:val="18"/>
                <w:lang w:val="es-MX"/>
              </w:rPr>
            </w:pPr>
          </w:p>
          <w:p w14:paraId="6B4EE116" w14:textId="77777777" w:rsidR="00B40C7A" w:rsidRDefault="00B40C7A" w:rsidP="00DB6731">
            <w:pPr>
              <w:rPr>
                <w:sz w:val="18"/>
                <w:szCs w:val="18"/>
                <w:lang w:val="es-MX"/>
              </w:rPr>
            </w:pPr>
            <w:r w:rsidRPr="008F2EFD">
              <w:rPr>
                <w:sz w:val="18"/>
                <w:szCs w:val="18"/>
                <w:lang w:val="es-MX"/>
              </w:rPr>
              <w:t>Por lo general la interacción con la comunidad se da en la etapa de preinversión. No se observa influencia de este riesgo en ejecución.</w:t>
            </w:r>
          </w:p>
          <w:p w14:paraId="4CBEF1BF" w14:textId="77777777" w:rsidR="00AF0ECF" w:rsidRDefault="00AF0ECF" w:rsidP="00DB6731">
            <w:pPr>
              <w:rPr>
                <w:sz w:val="18"/>
                <w:szCs w:val="18"/>
                <w:lang w:val="es-MX"/>
              </w:rPr>
            </w:pPr>
          </w:p>
          <w:p w14:paraId="5313ADF8" w14:textId="667822C6" w:rsidR="00AF0ECF" w:rsidRPr="008F2EFD" w:rsidRDefault="00AF0ECF" w:rsidP="00DB6731">
            <w:pPr>
              <w:rPr>
                <w:sz w:val="18"/>
                <w:szCs w:val="18"/>
                <w:lang w:val="es-MX"/>
              </w:rPr>
            </w:pPr>
            <w:r>
              <w:rPr>
                <w:sz w:val="18"/>
                <w:szCs w:val="18"/>
                <w:lang w:val="es-MX"/>
              </w:rPr>
              <w:t xml:space="preserve">El tipo de obra es </w:t>
            </w:r>
            <w:r w:rsidRPr="00AF0ECF">
              <w:rPr>
                <w:sz w:val="18"/>
                <w:szCs w:val="18"/>
                <w:lang w:val="es-MX"/>
              </w:rPr>
              <w:t>intervención de mantenimiento periódico y rehabilitación en segundo grado</w:t>
            </w:r>
            <w:r>
              <w:rPr>
                <w:sz w:val="18"/>
                <w:szCs w:val="18"/>
                <w:lang w:val="es-MX"/>
              </w:rPr>
              <w:t>.</w:t>
            </w:r>
          </w:p>
        </w:tc>
        <w:tc>
          <w:tcPr>
            <w:tcW w:w="2606" w:type="dxa"/>
          </w:tcPr>
          <w:p w14:paraId="3505D3A5" w14:textId="77777777" w:rsidR="00B40C7A" w:rsidRPr="008F2EFD" w:rsidRDefault="00B40C7A" w:rsidP="00DB6731">
            <w:pPr>
              <w:rPr>
                <w:sz w:val="18"/>
                <w:szCs w:val="18"/>
                <w:lang w:val="es-MX"/>
              </w:rPr>
            </w:pPr>
            <w:r w:rsidRPr="008F2EFD">
              <w:rPr>
                <w:sz w:val="18"/>
                <w:szCs w:val="18"/>
                <w:lang w:val="es-MX"/>
              </w:rPr>
              <w:t>Impacto Menor</w:t>
            </w:r>
          </w:p>
        </w:tc>
      </w:tr>
      <w:tr w:rsidR="00B40C7A" w:rsidRPr="007D5463" w14:paraId="2C3C0FCE" w14:textId="77777777" w:rsidTr="003B52D5">
        <w:tc>
          <w:tcPr>
            <w:tcW w:w="1555" w:type="dxa"/>
          </w:tcPr>
          <w:p w14:paraId="62C12D15" w14:textId="77777777" w:rsidR="00B40C7A" w:rsidRPr="008F2EFD" w:rsidRDefault="00B40C7A" w:rsidP="00DB6731">
            <w:pPr>
              <w:rPr>
                <w:sz w:val="18"/>
                <w:szCs w:val="18"/>
                <w:lang w:val="es-MX"/>
              </w:rPr>
            </w:pPr>
            <w:r w:rsidRPr="008F2EFD">
              <w:rPr>
                <w:sz w:val="18"/>
                <w:szCs w:val="18"/>
                <w:lang w:val="es-MX"/>
              </w:rPr>
              <w:t>Variación en el tiempo de Costos Unitarios</w:t>
            </w:r>
          </w:p>
        </w:tc>
        <w:tc>
          <w:tcPr>
            <w:tcW w:w="2746" w:type="dxa"/>
          </w:tcPr>
          <w:p w14:paraId="27EB6B20" w14:textId="77777777" w:rsidR="00B40C7A" w:rsidRPr="008F2EFD" w:rsidRDefault="00B40C7A" w:rsidP="00DB6731">
            <w:pPr>
              <w:rPr>
                <w:sz w:val="18"/>
                <w:szCs w:val="18"/>
                <w:lang w:val="es-MX"/>
              </w:rPr>
            </w:pPr>
            <w:r w:rsidRPr="008F2EFD">
              <w:rPr>
                <w:sz w:val="18"/>
                <w:szCs w:val="18"/>
                <w:lang w:val="es-MX"/>
              </w:rPr>
              <w:t>Variación de Costos Unitarios en el tiempo, ya sea por fenómenos inflacionarios o dinámica propia de la oferta y demanda del mercado</w:t>
            </w:r>
          </w:p>
        </w:tc>
        <w:tc>
          <w:tcPr>
            <w:tcW w:w="2640" w:type="dxa"/>
          </w:tcPr>
          <w:p w14:paraId="0D798511" w14:textId="77777777" w:rsidR="00B40C7A" w:rsidRPr="008F2EFD" w:rsidRDefault="00B40C7A" w:rsidP="00DB6731">
            <w:pPr>
              <w:rPr>
                <w:sz w:val="18"/>
                <w:szCs w:val="18"/>
                <w:lang w:val="es-MX"/>
              </w:rPr>
            </w:pPr>
            <w:r w:rsidRPr="008F2EFD">
              <w:rPr>
                <w:sz w:val="18"/>
                <w:szCs w:val="18"/>
                <w:lang w:val="es-MX"/>
              </w:rPr>
              <w:t>Altamente Probable</w:t>
            </w:r>
          </w:p>
        </w:tc>
        <w:tc>
          <w:tcPr>
            <w:tcW w:w="2606" w:type="dxa"/>
          </w:tcPr>
          <w:p w14:paraId="09F299DF" w14:textId="77777777" w:rsidR="00B40C7A" w:rsidRPr="008F2EFD" w:rsidRDefault="00B40C7A" w:rsidP="00DB6731">
            <w:pPr>
              <w:rPr>
                <w:sz w:val="18"/>
                <w:szCs w:val="18"/>
                <w:lang w:val="es-MX"/>
              </w:rPr>
            </w:pPr>
            <w:r w:rsidRPr="008F2EFD">
              <w:rPr>
                <w:sz w:val="18"/>
                <w:szCs w:val="18"/>
                <w:lang w:val="es-MX"/>
              </w:rPr>
              <w:t>Impacto  Menor a Moderado.</w:t>
            </w:r>
          </w:p>
          <w:p w14:paraId="3B05B86F" w14:textId="77777777" w:rsidR="00B40C7A" w:rsidRPr="008F2EFD" w:rsidRDefault="00B40C7A" w:rsidP="00DB6731">
            <w:pPr>
              <w:rPr>
                <w:sz w:val="18"/>
                <w:szCs w:val="18"/>
                <w:lang w:val="es-MX"/>
              </w:rPr>
            </w:pPr>
          </w:p>
          <w:p w14:paraId="65814B8B" w14:textId="77777777" w:rsidR="00B40C7A" w:rsidRPr="008F2EFD" w:rsidRDefault="00B40C7A" w:rsidP="00DB6731">
            <w:pPr>
              <w:rPr>
                <w:sz w:val="18"/>
                <w:szCs w:val="18"/>
                <w:lang w:val="es-MX"/>
              </w:rPr>
            </w:pPr>
            <w:r w:rsidRPr="008F2EFD">
              <w:rPr>
                <w:sz w:val="18"/>
                <w:szCs w:val="18"/>
                <w:lang w:val="es-MX"/>
              </w:rPr>
              <w:t xml:space="preserve"> </w:t>
            </w:r>
          </w:p>
        </w:tc>
      </w:tr>
      <w:tr w:rsidR="00B40C7A" w:rsidRPr="007D5463" w14:paraId="46263160" w14:textId="77777777" w:rsidTr="003B52D5">
        <w:tc>
          <w:tcPr>
            <w:tcW w:w="1555" w:type="dxa"/>
          </w:tcPr>
          <w:p w14:paraId="1737126D" w14:textId="77777777" w:rsidR="00B40C7A" w:rsidRPr="008F2EFD" w:rsidRDefault="00B40C7A" w:rsidP="00DB6731">
            <w:pPr>
              <w:rPr>
                <w:sz w:val="18"/>
                <w:szCs w:val="18"/>
                <w:lang w:val="es-MX"/>
              </w:rPr>
            </w:pPr>
            <w:r w:rsidRPr="008F2EFD">
              <w:rPr>
                <w:sz w:val="18"/>
                <w:szCs w:val="18"/>
                <w:lang w:val="es-MX"/>
              </w:rPr>
              <w:t>Riesgo Cambiario</w:t>
            </w:r>
          </w:p>
        </w:tc>
        <w:tc>
          <w:tcPr>
            <w:tcW w:w="2746" w:type="dxa"/>
          </w:tcPr>
          <w:p w14:paraId="36CAA91A" w14:textId="4A2C38C2" w:rsidR="00B40C7A" w:rsidRPr="008F2EFD" w:rsidRDefault="00B40C7A" w:rsidP="00DB6731">
            <w:pPr>
              <w:rPr>
                <w:sz w:val="18"/>
                <w:szCs w:val="18"/>
                <w:lang w:val="es-MX"/>
              </w:rPr>
            </w:pPr>
            <w:r w:rsidRPr="008F2EFD">
              <w:rPr>
                <w:sz w:val="18"/>
                <w:szCs w:val="18"/>
                <w:lang w:val="es-MX"/>
              </w:rPr>
              <w:t xml:space="preserve">En los casos en que la remuneración de la obra, y los costos de su ejecución, se realizan en divisas diferentes (USD vs </w:t>
            </w:r>
            <w:r w:rsidR="00AF0ECF">
              <w:rPr>
                <w:sz w:val="18"/>
                <w:szCs w:val="18"/>
                <w:lang w:val="es-MX"/>
              </w:rPr>
              <w:t>Bolivianos</w:t>
            </w:r>
            <w:r w:rsidRPr="008F2EFD">
              <w:rPr>
                <w:sz w:val="18"/>
                <w:szCs w:val="18"/>
                <w:lang w:val="es-MX"/>
              </w:rPr>
              <w:t>), la variación en tasa de cambio puede jugar a favor o en contra del equilibrio económico del contrato.</w:t>
            </w:r>
          </w:p>
          <w:p w14:paraId="17C62B8E" w14:textId="77777777" w:rsidR="00B40C7A" w:rsidRPr="008F2EFD" w:rsidRDefault="00B40C7A" w:rsidP="00DB6731">
            <w:pPr>
              <w:rPr>
                <w:sz w:val="18"/>
                <w:szCs w:val="18"/>
                <w:lang w:val="es-MX"/>
              </w:rPr>
            </w:pPr>
          </w:p>
        </w:tc>
        <w:tc>
          <w:tcPr>
            <w:tcW w:w="2640" w:type="dxa"/>
          </w:tcPr>
          <w:p w14:paraId="2881A9A6" w14:textId="61F58E71" w:rsidR="00B40C7A" w:rsidRPr="008F2EFD" w:rsidRDefault="00AF0ECF" w:rsidP="00DB6731">
            <w:pPr>
              <w:rPr>
                <w:sz w:val="18"/>
                <w:szCs w:val="18"/>
                <w:lang w:val="es-MX"/>
              </w:rPr>
            </w:pPr>
            <w:r>
              <w:rPr>
                <w:sz w:val="18"/>
                <w:szCs w:val="18"/>
                <w:lang w:val="es-MX"/>
              </w:rPr>
              <w:t>Improbable</w:t>
            </w:r>
          </w:p>
          <w:p w14:paraId="11560E96" w14:textId="77777777" w:rsidR="00B40C7A" w:rsidRPr="008F2EFD" w:rsidRDefault="00B40C7A" w:rsidP="00DB6731">
            <w:pPr>
              <w:rPr>
                <w:sz w:val="18"/>
                <w:szCs w:val="18"/>
                <w:lang w:val="es-MX"/>
              </w:rPr>
            </w:pPr>
          </w:p>
          <w:p w14:paraId="4A42E816" w14:textId="1636DCFB" w:rsidR="00B40C7A" w:rsidRPr="008F2EFD" w:rsidRDefault="00AF0ECF" w:rsidP="00DB6731">
            <w:pPr>
              <w:rPr>
                <w:sz w:val="18"/>
                <w:szCs w:val="18"/>
                <w:lang w:val="es-MX"/>
              </w:rPr>
            </w:pPr>
            <w:r w:rsidRPr="00AF0ECF">
              <w:rPr>
                <w:sz w:val="18"/>
                <w:szCs w:val="18"/>
                <w:lang w:val="es-MX"/>
              </w:rPr>
              <w:t>Desde el año 2012 se mantiene paridad cambiaria</w:t>
            </w:r>
            <w:r>
              <w:rPr>
                <w:sz w:val="18"/>
                <w:szCs w:val="18"/>
                <w:lang w:val="es-MX"/>
              </w:rPr>
              <w:t xml:space="preserve"> (variación 0%)</w:t>
            </w:r>
            <w:r w:rsidRPr="00AF0ECF">
              <w:rPr>
                <w:sz w:val="18"/>
                <w:szCs w:val="18"/>
                <w:lang w:val="es-MX"/>
              </w:rPr>
              <w:t xml:space="preserve"> </w:t>
            </w:r>
          </w:p>
        </w:tc>
        <w:tc>
          <w:tcPr>
            <w:tcW w:w="2606" w:type="dxa"/>
          </w:tcPr>
          <w:p w14:paraId="03CE8284" w14:textId="44CB1C94" w:rsidR="00B40C7A" w:rsidRPr="008F2EFD" w:rsidRDefault="00B40C7A" w:rsidP="00DB6731">
            <w:pPr>
              <w:rPr>
                <w:sz w:val="18"/>
                <w:szCs w:val="18"/>
                <w:lang w:val="es-MX"/>
              </w:rPr>
            </w:pPr>
            <w:r w:rsidRPr="008F2EFD">
              <w:rPr>
                <w:sz w:val="18"/>
                <w:szCs w:val="18"/>
                <w:lang w:val="es-MX"/>
              </w:rPr>
              <w:t xml:space="preserve">Impacto </w:t>
            </w:r>
            <w:r w:rsidR="00AF0ECF">
              <w:rPr>
                <w:sz w:val="18"/>
                <w:szCs w:val="18"/>
                <w:lang w:val="es-MX"/>
              </w:rPr>
              <w:t>Nulo</w:t>
            </w:r>
            <w:r w:rsidRPr="008F2EFD">
              <w:rPr>
                <w:sz w:val="18"/>
                <w:szCs w:val="18"/>
                <w:lang w:val="es-MX"/>
              </w:rPr>
              <w:t xml:space="preserve"> (Estado interviene en el control de tasa de cambio) </w:t>
            </w:r>
          </w:p>
          <w:p w14:paraId="2471B25C" w14:textId="77777777" w:rsidR="00B40C7A" w:rsidRPr="008F2EFD" w:rsidRDefault="00B40C7A" w:rsidP="00DB6731">
            <w:pPr>
              <w:rPr>
                <w:sz w:val="18"/>
                <w:szCs w:val="18"/>
                <w:lang w:val="es-MX"/>
              </w:rPr>
            </w:pPr>
          </w:p>
          <w:p w14:paraId="3FD940B9" w14:textId="77777777" w:rsidR="00B40C7A" w:rsidRPr="008F2EFD" w:rsidRDefault="00B40C7A" w:rsidP="00DB6731">
            <w:pPr>
              <w:rPr>
                <w:sz w:val="18"/>
                <w:szCs w:val="18"/>
                <w:lang w:val="es-MX"/>
              </w:rPr>
            </w:pPr>
          </w:p>
          <w:p w14:paraId="0C94DE70" w14:textId="77777777" w:rsidR="00B40C7A" w:rsidRPr="008F2EFD" w:rsidRDefault="00B40C7A" w:rsidP="00DB6731">
            <w:pPr>
              <w:rPr>
                <w:sz w:val="18"/>
                <w:szCs w:val="18"/>
                <w:lang w:val="es-MX"/>
              </w:rPr>
            </w:pPr>
          </w:p>
        </w:tc>
      </w:tr>
      <w:tr w:rsidR="00B40C7A" w:rsidRPr="007D5463" w14:paraId="5294DDB3" w14:textId="77777777" w:rsidTr="003B52D5">
        <w:tc>
          <w:tcPr>
            <w:tcW w:w="1555" w:type="dxa"/>
          </w:tcPr>
          <w:p w14:paraId="4240FCAD" w14:textId="77777777" w:rsidR="00B40C7A" w:rsidRPr="008F2EFD" w:rsidRDefault="00B40C7A" w:rsidP="00DB6731">
            <w:pPr>
              <w:rPr>
                <w:sz w:val="18"/>
                <w:szCs w:val="18"/>
                <w:lang w:val="es-MX"/>
              </w:rPr>
            </w:pPr>
            <w:r w:rsidRPr="008F2EFD">
              <w:rPr>
                <w:sz w:val="18"/>
                <w:szCs w:val="18"/>
                <w:lang w:val="es-MX"/>
              </w:rPr>
              <w:t>Retrasos en tiempos de ejecución de obra por motivos ajenos al contratista</w:t>
            </w:r>
          </w:p>
        </w:tc>
        <w:tc>
          <w:tcPr>
            <w:tcW w:w="2746" w:type="dxa"/>
          </w:tcPr>
          <w:p w14:paraId="522A59A7" w14:textId="77777777" w:rsidR="00B40C7A" w:rsidRPr="008F2EFD" w:rsidRDefault="00B40C7A" w:rsidP="00DB6731">
            <w:pPr>
              <w:rPr>
                <w:sz w:val="18"/>
                <w:szCs w:val="18"/>
                <w:lang w:val="es-MX"/>
              </w:rPr>
            </w:pPr>
            <w:r w:rsidRPr="008F2EFD">
              <w:rPr>
                <w:sz w:val="18"/>
                <w:szCs w:val="18"/>
                <w:lang w:val="es-MX"/>
              </w:rPr>
              <w:t>En este tópico se tiene el paro de obra por inundaciones</w:t>
            </w:r>
          </w:p>
          <w:p w14:paraId="3DBE4F95" w14:textId="77777777" w:rsidR="00B40C7A" w:rsidRPr="008F2EFD" w:rsidRDefault="00B40C7A" w:rsidP="00DB6731">
            <w:pPr>
              <w:rPr>
                <w:sz w:val="18"/>
                <w:szCs w:val="18"/>
                <w:lang w:val="es-MX"/>
              </w:rPr>
            </w:pPr>
            <w:r w:rsidRPr="008F2EFD">
              <w:rPr>
                <w:sz w:val="18"/>
                <w:szCs w:val="18"/>
                <w:lang w:val="es-MX"/>
              </w:rPr>
              <w:t>.</w:t>
            </w:r>
          </w:p>
        </w:tc>
        <w:tc>
          <w:tcPr>
            <w:tcW w:w="2640" w:type="dxa"/>
          </w:tcPr>
          <w:p w14:paraId="48FFE0E5" w14:textId="77777777" w:rsidR="00B40C7A" w:rsidRPr="008F2EFD" w:rsidRDefault="00B40C7A" w:rsidP="00DB6731">
            <w:pPr>
              <w:rPr>
                <w:sz w:val="18"/>
                <w:szCs w:val="18"/>
                <w:lang w:val="es-MX"/>
              </w:rPr>
            </w:pPr>
            <w:r w:rsidRPr="008F2EFD">
              <w:rPr>
                <w:sz w:val="18"/>
                <w:szCs w:val="18"/>
                <w:lang w:val="es-MX"/>
              </w:rPr>
              <w:t>Altamente Probable</w:t>
            </w:r>
          </w:p>
        </w:tc>
        <w:tc>
          <w:tcPr>
            <w:tcW w:w="2606" w:type="dxa"/>
          </w:tcPr>
          <w:p w14:paraId="1B637BE6" w14:textId="77777777" w:rsidR="00B40C7A" w:rsidRPr="008F2EFD" w:rsidRDefault="00B40C7A" w:rsidP="00DB6731">
            <w:pPr>
              <w:rPr>
                <w:sz w:val="18"/>
                <w:szCs w:val="18"/>
                <w:lang w:val="es-MX"/>
              </w:rPr>
            </w:pPr>
            <w:r w:rsidRPr="008F2EFD">
              <w:rPr>
                <w:sz w:val="18"/>
                <w:szCs w:val="18"/>
                <w:lang w:val="es-MX"/>
              </w:rPr>
              <w:t>Impacto Menor, en la medida que ya se ha estimado sus implicaciones en costo y plazo para el proyecto.</w:t>
            </w:r>
          </w:p>
        </w:tc>
      </w:tr>
    </w:tbl>
    <w:p w14:paraId="340A103E" w14:textId="77777777" w:rsidR="00B40C7A" w:rsidRPr="00AF0ECF" w:rsidRDefault="00B40C7A" w:rsidP="00AF0ECF">
      <w:pPr>
        <w:jc w:val="center"/>
        <w:rPr>
          <w:sz w:val="18"/>
          <w:szCs w:val="18"/>
          <w:lang w:val="es-MX"/>
        </w:rPr>
      </w:pPr>
      <w:r w:rsidRPr="00AF0ECF">
        <w:rPr>
          <w:sz w:val="18"/>
          <w:szCs w:val="18"/>
          <w:lang w:val="es-MX"/>
        </w:rPr>
        <w:t>Fuente: Elaboración Propia</w:t>
      </w:r>
    </w:p>
    <w:p w14:paraId="011DE9CD" w14:textId="77777777" w:rsidR="00B40C7A" w:rsidRPr="007D5463" w:rsidRDefault="00B40C7A" w:rsidP="00B40C7A">
      <w:pPr>
        <w:rPr>
          <w:lang w:val="es-MX"/>
        </w:rPr>
      </w:pPr>
    </w:p>
    <w:p w14:paraId="395CC050" w14:textId="77777777" w:rsidR="00B40C7A" w:rsidRPr="007D5463" w:rsidRDefault="00B40C7A" w:rsidP="00B40C7A">
      <w:pPr>
        <w:rPr>
          <w:lang w:val="es-MX"/>
        </w:rPr>
      </w:pPr>
    </w:p>
    <w:p w14:paraId="364A885E" w14:textId="204ABEDE" w:rsidR="00B40C7A" w:rsidRPr="007D5463" w:rsidRDefault="008C39D5" w:rsidP="00B40C7A">
      <w:pPr>
        <w:rPr>
          <w:lang w:val="es-MX"/>
        </w:rPr>
      </w:pPr>
      <w:r>
        <w:rPr>
          <w:lang w:val="es-MX"/>
        </w:rPr>
        <w:t>En la siguiente tabla se abordan aspectos relacionados con</w:t>
      </w:r>
      <w:r w:rsidR="00B40C7A" w:rsidRPr="007D5463">
        <w:rPr>
          <w:lang w:val="es-MX"/>
        </w:rPr>
        <w:t xml:space="preserve"> la asignación de riesgos entre contratantes y contratista y mecanismos de mitigación, para lo cual se recomienda lo siguiente:</w:t>
      </w:r>
    </w:p>
    <w:p w14:paraId="645E46AD" w14:textId="77777777" w:rsidR="00B40C7A" w:rsidRPr="007D5463" w:rsidRDefault="00B40C7A" w:rsidP="00B40C7A">
      <w:pPr>
        <w:rPr>
          <w:lang w:val="es-MX"/>
        </w:rPr>
      </w:pPr>
    </w:p>
    <w:p w14:paraId="0FCA5476" w14:textId="33680B32" w:rsidR="00B40C7A" w:rsidRPr="007D5463" w:rsidRDefault="00B40C7A" w:rsidP="00B40C7A">
      <w:pPr>
        <w:pStyle w:val="Caption"/>
        <w:jc w:val="center"/>
        <w:rPr>
          <w:lang w:val="es-MX"/>
        </w:rPr>
      </w:pPr>
      <w:bookmarkStart w:id="58" w:name="_Toc403246564"/>
      <w:bookmarkStart w:id="59" w:name="_Ref427650204"/>
      <w:bookmarkStart w:id="60" w:name="_Toc427650662"/>
      <w:bookmarkStart w:id="61" w:name="_Ref484598419"/>
      <w:bookmarkStart w:id="62" w:name="_Toc484602629"/>
      <w:r w:rsidRPr="007D5463">
        <w:t xml:space="preserve">Tabla </w:t>
      </w:r>
      <w:r w:rsidRPr="007D5463">
        <w:fldChar w:fldCharType="begin"/>
      </w:r>
      <w:r w:rsidRPr="007D5463">
        <w:instrText xml:space="preserve"> SEQ Tabla \* ARABIC </w:instrText>
      </w:r>
      <w:r w:rsidRPr="007D5463">
        <w:fldChar w:fldCharType="separate"/>
      </w:r>
      <w:r w:rsidR="00011CB8">
        <w:rPr>
          <w:noProof/>
        </w:rPr>
        <w:t>9</w:t>
      </w:r>
      <w:r w:rsidRPr="007D5463">
        <w:fldChar w:fldCharType="end"/>
      </w:r>
      <w:r w:rsidRPr="007D5463">
        <w:t xml:space="preserve">. </w:t>
      </w:r>
      <w:r w:rsidRPr="007D5463">
        <w:rPr>
          <w:lang w:val="es-MX"/>
        </w:rPr>
        <w:t>Riesgos: Asignación y Mitigación</w:t>
      </w:r>
      <w:bookmarkEnd w:id="58"/>
      <w:bookmarkEnd w:id="59"/>
      <w:bookmarkEnd w:id="60"/>
      <w:bookmarkEnd w:id="61"/>
      <w:bookmarkEnd w:id="62"/>
    </w:p>
    <w:tbl>
      <w:tblPr>
        <w:tblStyle w:val="TableGrid"/>
        <w:tblW w:w="9067" w:type="dxa"/>
        <w:tblLook w:val="04A0" w:firstRow="1" w:lastRow="0" w:firstColumn="1" w:lastColumn="0" w:noHBand="0" w:noVBand="1"/>
      </w:tblPr>
      <w:tblGrid>
        <w:gridCol w:w="2405"/>
        <w:gridCol w:w="1203"/>
        <w:gridCol w:w="1297"/>
        <w:gridCol w:w="4162"/>
      </w:tblGrid>
      <w:tr w:rsidR="00B40C7A" w:rsidRPr="007D5463" w14:paraId="633ECC45" w14:textId="77777777" w:rsidTr="00DB6731">
        <w:trPr>
          <w:tblHeader/>
        </w:trPr>
        <w:tc>
          <w:tcPr>
            <w:tcW w:w="2405" w:type="dxa"/>
            <w:vMerge w:val="restart"/>
            <w:shd w:val="clear" w:color="auto" w:fill="8DB3E2" w:themeFill="text2" w:themeFillTint="66"/>
          </w:tcPr>
          <w:p w14:paraId="6016DEC6" w14:textId="77777777" w:rsidR="00B40C7A" w:rsidRPr="00EC70CC" w:rsidRDefault="00B40C7A" w:rsidP="00DB6731">
            <w:pPr>
              <w:jc w:val="center"/>
              <w:rPr>
                <w:sz w:val="18"/>
                <w:szCs w:val="18"/>
                <w:lang w:val="es-MX"/>
              </w:rPr>
            </w:pPr>
            <w:r w:rsidRPr="00EC70CC">
              <w:rPr>
                <w:sz w:val="18"/>
                <w:szCs w:val="18"/>
                <w:lang w:val="es-MX"/>
              </w:rPr>
              <w:t>RIESGO</w:t>
            </w:r>
          </w:p>
        </w:tc>
        <w:tc>
          <w:tcPr>
            <w:tcW w:w="2500" w:type="dxa"/>
            <w:gridSpan w:val="2"/>
            <w:tcBorders>
              <w:bottom w:val="single" w:sz="4" w:space="0" w:color="auto"/>
            </w:tcBorders>
            <w:shd w:val="clear" w:color="auto" w:fill="8DB3E2" w:themeFill="text2" w:themeFillTint="66"/>
          </w:tcPr>
          <w:p w14:paraId="686D3CB3" w14:textId="77777777" w:rsidR="00B40C7A" w:rsidRPr="00EC70CC" w:rsidRDefault="00B40C7A" w:rsidP="00DB6731">
            <w:pPr>
              <w:jc w:val="center"/>
              <w:rPr>
                <w:sz w:val="18"/>
                <w:szCs w:val="18"/>
                <w:lang w:val="es-MX"/>
              </w:rPr>
            </w:pPr>
            <w:r w:rsidRPr="00EC70CC">
              <w:rPr>
                <w:sz w:val="18"/>
                <w:szCs w:val="18"/>
                <w:lang w:val="es-MX"/>
              </w:rPr>
              <w:t>ASIGNACION DE RIESGO</w:t>
            </w:r>
          </w:p>
          <w:p w14:paraId="41BE9903" w14:textId="77777777" w:rsidR="00B40C7A" w:rsidRPr="00EC70CC" w:rsidRDefault="00B40C7A" w:rsidP="00DB6731">
            <w:pPr>
              <w:jc w:val="center"/>
              <w:rPr>
                <w:sz w:val="18"/>
                <w:szCs w:val="18"/>
                <w:lang w:val="es-MX"/>
              </w:rPr>
            </w:pPr>
            <w:r w:rsidRPr="00EC70CC">
              <w:rPr>
                <w:sz w:val="18"/>
                <w:szCs w:val="18"/>
                <w:lang w:val="es-MX"/>
              </w:rPr>
              <w:t>(sugerida)</w:t>
            </w:r>
          </w:p>
        </w:tc>
        <w:tc>
          <w:tcPr>
            <w:tcW w:w="4162" w:type="dxa"/>
            <w:vMerge w:val="restart"/>
            <w:shd w:val="clear" w:color="auto" w:fill="8DB3E2" w:themeFill="text2" w:themeFillTint="66"/>
          </w:tcPr>
          <w:p w14:paraId="4800D6D7" w14:textId="77777777" w:rsidR="00B40C7A" w:rsidRPr="00EC70CC" w:rsidRDefault="00B40C7A" w:rsidP="00DB6731">
            <w:pPr>
              <w:jc w:val="center"/>
              <w:rPr>
                <w:sz w:val="18"/>
                <w:szCs w:val="18"/>
                <w:lang w:val="es-MX"/>
              </w:rPr>
            </w:pPr>
            <w:r w:rsidRPr="00EC70CC">
              <w:rPr>
                <w:sz w:val="18"/>
                <w:szCs w:val="18"/>
                <w:lang w:val="es-MX"/>
              </w:rPr>
              <w:t>OBSERVACIONES / MECANISMO DE MITIGACION (sugerido)</w:t>
            </w:r>
          </w:p>
        </w:tc>
      </w:tr>
      <w:tr w:rsidR="00B40C7A" w:rsidRPr="007D5463" w14:paraId="4C2161C7" w14:textId="77777777" w:rsidTr="00DB6731">
        <w:trPr>
          <w:tblHeader/>
        </w:trPr>
        <w:tc>
          <w:tcPr>
            <w:tcW w:w="2405" w:type="dxa"/>
            <w:vMerge/>
          </w:tcPr>
          <w:p w14:paraId="7B2F6EEB" w14:textId="77777777" w:rsidR="00B40C7A" w:rsidRPr="00EC70CC" w:rsidRDefault="00B40C7A" w:rsidP="00DB6731">
            <w:pPr>
              <w:rPr>
                <w:sz w:val="18"/>
                <w:szCs w:val="18"/>
                <w:lang w:val="es-MX"/>
              </w:rPr>
            </w:pPr>
          </w:p>
        </w:tc>
        <w:tc>
          <w:tcPr>
            <w:tcW w:w="1203" w:type="dxa"/>
            <w:shd w:val="clear" w:color="auto" w:fill="8DB3E2" w:themeFill="text2" w:themeFillTint="66"/>
          </w:tcPr>
          <w:p w14:paraId="65BF373D" w14:textId="77777777" w:rsidR="00B40C7A" w:rsidRPr="00EC70CC" w:rsidRDefault="00B40C7A" w:rsidP="00DB6731">
            <w:pPr>
              <w:rPr>
                <w:sz w:val="18"/>
                <w:szCs w:val="18"/>
                <w:lang w:val="es-MX"/>
              </w:rPr>
            </w:pPr>
            <w:r w:rsidRPr="00EC70CC">
              <w:rPr>
                <w:sz w:val="18"/>
                <w:szCs w:val="18"/>
                <w:lang w:val="es-MX"/>
              </w:rPr>
              <w:t>ESTADO</w:t>
            </w:r>
          </w:p>
        </w:tc>
        <w:tc>
          <w:tcPr>
            <w:tcW w:w="1297" w:type="dxa"/>
            <w:shd w:val="clear" w:color="auto" w:fill="8DB3E2" w:themeFill="text2" w:themeFillTint="66"/>
          </w:tcPr>
          <w:p w14:paraId="73B70163" w14:textId="77777777" w:rsidR="00B40C7A" w:rsidRPr="00EC70CC" w:rsidRDefault="00B40C7A" w:rsidP="00DB6731">
            <w:pPr>
              <w:rPr>
                <w:sz w:val="18"/>
                <w:szCs w:val="18"/>
                <w:lang w:val="es-MX"/>
              </w:rPr>
            </w:pPr>
            <w:r w:rsidRPr="00EC70CC">
              <w:rPr>
                <w:sz w:val="18"/>
                <w:szCs w:val="18"/>
                <w:lang w:val="es-MX"/>
              </w:rPr>
              <w:t>PRIVADO</w:t>
            </w:r>
          </w:p>
        </w:tc>
        <w:tc>
          <w:tcPr>
            <w:tcW w:w="4162" w:type="dxa"/>
            <w:vMerge/>
          </w:tcPr>
          <w:p w14:paraId="4EBD3830" w14:textId="77777777" w:rsidR="00B40C7A" w:rsidRPr="00EC70CC" w:rsidRDefault="00B40C7A" w:rsidP="00DB6731">
            <w:pPr>
              <w:rPr>
                <w:sz w:val="18"/>
                <w:szCs w:val="18"/>
                <w:lang w:val="es-MX"/>
              </w:rPr>
            </w:pPr>
          </w:p>
        </w:tc>
      </w:tr>
      <w:tr w:rsidR="00B40C7A" w:rsidRPr="007D5463" w14:paraId="3671C79B" w14:textId="77777777" w:rsidTr="00DB6731">
        <w:tc>
          <w:tcPr>
            <w:tcW w:w="2405" w:type="dxa"/>
          </w:tcPr>
          <w:p w14:paraId="37B0EF0D" w14:textId="77777777" w:rsidR="00B40C7A" w:rsidRPr="00EC70CC" w:rsidRDefault="00B40C7A" w:rsidP="00DB6731">
            <w:pPr>
              <w:rPr>
                <w:sz w:val="18"/>
                <w:szCs w:val="18"/>
                <w:lang w:val="es-MX"/>
              </w:rPr>
            </w:pPr>
            <w:r w:rsidRPr="00EC70CC">
              <w:rPr>
                <w:sz w:val="18"/>
                <w:szCs w:val="18"/>
                <w:lang w:val="es-MX"/>
              </w:rPr>
              <w:t>Costos Unitarios Ofertados</w:t>
            </w:r>
          </w:p>
        </w:tc>
        <w:tc>
          <w:tcPr>
            <w:tcW w:w="1203" w:type="dxa"/>
          </w:tcPr>
          <w:p w14:paraId="19CFA4CF" w14:textId="77777777" w:rsidR="00B40C7A" w:rsidRPr="00EC70CC" w:rsidRDefault="00B40C7A" w:rsidP="00DB6731">
            <w:pPr>
              <w:jc w:val="center"/>
              <w:rPr>
                <w:sz w:val="18"/>
                <w:szCs w:val="18"/>
                <w:lang w:val="es-MX"/>
              </w:rPr>
            </w:pPr>
          </w:p>
        </w:tc>
        <w:tc>
          <w:tcPr>
            <w:tcW w:w="1297" w:type="dxa"/>
          </w:tcPr>
          <w:p w14:paraId="4DF25FEE" w14:textId="77777777" w:rsidR="00B40C7A" w:rsidRPr="00EC70CC" w:rsidRDefault="00B40C7A" w:rsidP="00DB6731">
            <w:pPr>
              <w:jc w:val="center"/>
              <w:rPr>
                <w:sz w:val="18"/>
                <w:szCs w:val="18"/>
                <w:lang w:val="es-MX"/>
              </w:rPr>
            </w:pPr>
            <w:r w:rsidRPr="00EC70CC">
              <w:rPr>
                <w:sz w:val="18"/>
                <w:szCs w:val="18"/>
                <w:lang w:val="es-MX"/>
              </w:rPr>
              <w:t>X</w:t>
            </w:r>
          </w:p>
        </w:tc>
        <w:tc>
          <w:tcPr>
            <w:tcW w:w="4162" w:type="dxa"/>
          </w:tcPr>
          <w:p w14:paraId="66571948" w14:textId="77777777" w:rsidR="00B40C7A" w:rsidRPr="00EC70CC" w:rsidRDefault="00B40C7A" w:rsidP="00DB6731">
            <w:pPr>
              <w:rPr>
                <w:sz w:val="18"/>
                <w:szCs w:val="18"/>
                <w:lang w:val="es-MX"/>
              </w:rPr>
            </w:pPr>
            <w:r w:rsidRPr="00EC70CC">
              <w:rPr>
                <w:sz w:val="18"/>
                <w:szCs w:val="18"/>
                <w:lang w:val="es-MX"/>
              </w:rPr>
              <w:t>Asumido completamente por el contratista, como conocedor del sector y negociador directo.</w:t>
            </w:r>
          </w:p>
        </w:tc>
      </w:tr>
      <w:tr w:rsidR="00B40C7A" w:rsidRPr="007D5463" w14:paraId="7486A744" w14:textId="77777777" w:rsidTr="00DB6731">
        <w:tc>
          <w:tcPr>
            <w:tcW w:w="2405" w:type="dxa"/>
          </w:tcPr>
          <w:p w14:paraId="46036717" w14:textId="77777777" w:rsidR="00B40C7A" w:rsidRPr="00EC70CC" w:rsidRDefault="00B40C7A" w:rsidP="00DB6731">
            <w:pPr>
              <w:rPr>
                <w:sz w:val="18"/>
                <w:szCs w:val="18"/>
                <w:lang w:val="es-MX"/>
              </w:rPr>
            </w:pPr>
            <w:r w:rsidRPr="00EC70CC">
              <w:rPr>
                <w:sz w:val="18"/>
                <w:szCs w:val="18"/>
                <w:lang w:val="es-MX"/>
              </w:rPr>
              <w:t>Variación en Cantidades de Obra</w:t>
            </w:r>
          </w:p>
        </w:tc>
        <w:tc>
          <w:tcPr>
            <w:tcW w:w="1203" w:type="dxa"/>
          </w:tcPr>
          <w:p w14:paraId="0B96B8C6" w14:textId="77777777" w:rsidR="00B40C7A" w:rsidRPr="00EC70CC" w:rsidRDefault="00B40C7A" w:rsidP="00DB6731">
            <w:pPr>
              <w:jc w:val="center"/>
              <w:rPr>
                <w:sz w:val="18"/>
                <w:szCs w:val="18"/>
                <w:lang w:val="es-MX"/>
              </w:rPr>
            </w:pPr>
            <w:r w:rsidRPr="00EC70CC">
              <w:rPr>
                <w:sz w:val="18"/>
                <w:szCs w:val="18"/>
                <w:lang w:val="es-MX"/>
              </w:rPr>
              <w:t>X</w:t>
            </w:r>
          </w:p>
        </w:tc>
        <w:tc>
          <w:tcPr>
            <w:tcW w:w="1297" w:type="dxa"/>
          </w:tcPr>
          <w:p w14:paraId="303B281F" w14:textId="77777777" w:rsidR="00B40C7A" w:rsidRPr="00EC70CC" w:rsidRDefault="00B40C7A" w:rsidP="00DB6731">
            <w:pPr>
              <w:jc w:val="center"/>
              <w:rPr>
                <w:sz w:val="18"/>
                <w:szCs w:val="18"/>
                <w:lang w:val="es-MX"/>
              </w:rPr>
            </w:pPr>
            <w:r w:rsidRPr="00EC70CC">
              <w:rPr>
                <w:sz w:val="18"/>
                <w:szCs w:val="18"/>
                <w:lang w:val="es-MX"/>
              </w:rPr>
              <w:t>X</w:t>
            </w:r>
          </w:p>
        </w:tc>
        <w:tc>
          <w:tcPr>
            <w:tcW w:w="4162" w:type="dxa"/>
          </w:tcPr>
          <w:p w14:paraId="6AB673D5" w14:textId="040544F0" w:rsidR="00B40C7A" w:rsidRPr="00EC70CC" w:rsidRDefault="002506BA" w:rsidP="002506BA">
            <w:pPr>
              <w:rPr>
                <w:sz w:val="18"/>
                <w:szCs w:val="18"/>
                <w:lang w:val="es-MX"/>
              </w:rPr>
            </w:pPr>
            <w:r>
              <w:rPr>
                <w:sz w:val="18"/>
                <w:szCs w:val="18"/>
                <w:lang w:val="es-MX"/>
              </w:rPr>
              <w:t>Históricamente s</w:t>
            </w:r>
            <w:r w:rsidR="00B40C7A" w:rsidRPr="00EC70CC">
              <w:rPr>
                <w:sz w:val="18"/>
                <w:szCs w:val="18"/>
                <w:lang w:val="es-MX"/>
              </w:rPr>
              <w:t>e ha evidenciado que la variación por mayores cantidades de obra se origina en deficiencia de los estudios previos, en especial en levantamiento de información de campo, se sugiere este riesgo sea compartido entre el Estado y el Privado. Por el Estado cubriendo el costo por mayores cantidades de obra, y en conjunto bajo el compromiso de aplicar una adecuada gestión de control de costos y optimización de diseños y especificaciones en ejecución del proyecto, encaminada a minimizar el impacto en costo de mayores cantida</w:t>
            </w:r>
            <w:r>
              <w:rPr>
                <w:sz w:val="18"/>
                <w:szCs w:val="18"/>
                <w:lang w:val="es-MX"/>
              </w:rPr>
              <w:t>des de obra en rubros sensibles.</w:t>
            </w:r>
          </w:p>
        </w:tc>
      </w:tr>
      <w:tr w:rsidR="00B40C7A" w:rsidRPr="007D5463" w14:paraId="1CBBF82B" w14:textId="77777777" w:rsidTr="00DB6731">
        <w:tc>
          <w:tcPr>
            <w:tcW w:w="2405" w:type="dxa"/>
          </w:tcPr>
          <w:p w14:paraId="6CCBC354" w14:textId="77777777" w:rsidR="00B40C7A" w:rsidRPr="00EC70CC" w:rsidRDefault="00B40C7A" w:rsidP="00DB6731">
            <w:pPr>
              <w:rPr>
                <w:sz w:val="18"/>
                <w:szCs w:val="18"/>
                <w:lang w:val="es-MX"/>
              </w:rPr>
            </w:pPr>
            <w:r w:rsidRPr="00EC70CC">
              <w:rPr>
                <w:sz w:val="18"/>
                <w:szCs w:val="18"/>
                <w:lang w:val="es-MX"/>
              </w:rPr>
              <w:t>Obras Adicionales NO Previstas</w:t>
            </w:r>
          </w:p>
        </w:tc>
        <w:tc>
          <w:tcPr>
            <w:tcW w:w="1203" w:type="dxa"/>
          </w:tcPr>
          <w:p w14:paraId="60114F72" w14:textId="77777777" w:rsidR="00B40C7A" w:rsidRPr="00EC70CC" w:rsidRDefault="00B40C7A" w:rsidP="00DB6731">
            <w:pPr>
              <w:jc w:val="center"/>
              <w:rPr>
                <w:sz w:val="18"/>
                <w:szCs w:val="18"/>
                <w:lang w:val="es-MX"/>
              </w:rPr>
            </w:pPr>
            <w:r w:rsidRPr="00EC70CC">
              <w:rPr>
                <w:sz w:val="18"/>
                <w:szCs w:val="18"/>
                <w:lang w:val="es-MX"/>
              </w:rPr>
              <w:t>X</w:t>
            </w:r>
          </w:p>
        </w:tc>
        <w:tc>
          <w:tcPr>
            <w:tcW w:w="1297" w:type="dxa"/>
          </w:tcPr>
          <w:p w14:paraId="1321B1D7" w14:textId="77777777" w:rsidR="00B40C7A" w:rsidRPr="00EC70CC" w:rsidRDefault="00B40C7A" w:rsidP="00DB6731">
            <w:pPr>
              <w:jc w:val="center"/>
              <w:rPr>
                <w:sz w:val="18"/>
                <w:szCs w:val="18"/>
                <w:lang w:val="es-MX"/>
              </w:rPr>
            </w:pPr>
          </w:p>
        </w:tc>
        <w:tc>
          <w:tcPr>
            <w:tcW w:w="4162" w:type="dxa"/>
          </w:tcPr>
          <w:p w14:paraId="0EB04E64" w14:textId="77777777" w:rsidR="00B40C7A" w:rsidRPr="00EC70CC" w:rsidRDefault="00B40C7A" w:rsidP="00DB6731">
            <w:pPr>
              <w:rPr>
                <w:sz w:val="18"/>
                <w:szCs w:val="18"/>
                <w:lang w:val="es-MX"/>
              </w:rPr>
            </w:pPr>
            <w:r w:rsidRPr="00EC70CC">
              <w:rPr>
                <w:sz w:val="18"/>
                <w:szCs w:val="18"/>
                <w:lang w:val="es-MX"/>
              </w:rPr>
              <w:t>Se sugiere cubrir dicho riesgo con cargo a un fondo de imprevistos.</w:t>
            </w:r>
          </w:p>
        </w:tc>
      </w:tr>
      <w:tr w:rsidR="00B40C7A" w:rsidRPr="007D5463" w14:paraId="6D78AD87" w14:textId="77777777" w:rsidTr="00DB6731">
        <w:tc>
          <w:tcPr>
            <w:tcW w:w="2405" w:type="dxa"/>
          </w:tcPr>
          <w:p w14:paraId="722C590B" w14:textId="77777777" w:rsidR="00B40C7A" w:rsidRPr="00EC70CC" w:rsidRDefault="00B40C7A" w:rsidP="00DB6731">
            <w:pPr>
              <w:rPr>
                <w:sz w:val="18"/>
                <w:szCs w:val="18"/>
                <w:lang w:val="es-MX"/>
              </w:rPr>
            </w:pPr>
            <w:r w:rsidRPr="00EC70CC">
              <w:rPr>
                <w:sz w:val="18"/>
                <w:szCs w:val="18"/>
                <w:lang w:val="es-MX"/>
              </w:rPr>
              <w:t>Variación en el tiempo de Costos Unitarios</w:t>
            </w:r>
          </w:p>
        </w:tc>
        <w:tc>
          <w:tcPr>
            <w:tcW w:w="1203" w:type="dxa"/>
          </w:tcPr>
          <w:p w14:paraId="2A60E984" w14:textId="77777777" w:rsidR="00B40C7A" w:rsidRPr="00EC70CC" w:rsidRDefault="00B40C7A" w:rsidP="00DB6731">
            <w:pPr>
              <w:jc w:val="center"/>
              <w:rPr>
                <w:sz w:val="18"/>
                <w:szCs w:val="18"/>
                <w:lang w:val="es-MX"/>
              </w:rPr>
            </w:pPr>
            <w:r w:rsidRPr="00EC70CC">
              <w:rPr>
                <w:sz w:val="18"/>
                <w:szCs w:val="18"/>
                <w:lang w:val="es-MX"/>
              </w:rPr>
              <w:t>X</w:t>
            </w:r>
          </w:p>
        </w:tc>
        <w:tc>
          <w:tcPr>
            <w:tcW w:w="1297" w:type="dxa"/>
          </w:tcPr>
          <w:p w14:paraId="62EB43CB" w14:textId="77777777" w:rsidR="00B40C7A" w:rsidRPr="00EC70CC" w:rsidRDefault="00B40C7A" w:rsidP="00DB6731">
            <w:pPr>
              <w:jc w:val="center"/>
              <w:rPr>
                <w:sz w:val="18"/>
                <w:szCs w:val="18"/>
                <w:lang w:val="es-MX"/>
              </w:rPr>
            </w:pPr>
            <w:r w:rsidRPr="00EC70CC">
              <w:rPr>
                <w:sz w:val="18"/>
                <w:szCs w:val="18"/>
                <w:lang w:val="es-MX"/>
              </w:rPr>
              <w:t>X</w:t>
            </w:r>
          </w:p>
        </w:tc>
        <w:tc>
          <w:tcPr>
            <w:tcW w:w="4162" w:type="dxa"/>
          </w:tcPr>
          <w:p w14:paraId="7694B097" w14:textId="77777777" w:rsidR="00B40C7A" w:rsidRPr="00EC70CC" w:rsidRDefault="00B40C7A" w:rsidP="00DB6731">
            <w:pPr>
              <w:rPr>
                <w:sz w:val="18"/>
                <w:szCs w:val="18"/>
                <w:lang w:val="es-MX"/>
              </w:rPr>
            </w:pPr>
            <w:r w:rsidRPr="00EC70CC">
              <w:rPr>
                <w:sz w:val="18"/>
                <w:szCs w:val="18"/>
                <w:lang w:val="es-MX"/>
              </w:rPr>
              <w:t xml:space="preserve">Los costos de mercado varían con la ley de oferta y demanda, y dinámica inflacionaria, es algo previsible en algunos rangos, pero no gestionable por el constructor. </w:t>
            </w:r>
          </w:p>
          <w:p w14:paraId="414775A2" w14:textId="77777777" w:rsidR="00B40C7A" w:rsidRPr="00EC70CC" w:rsidRDefault="00B40C7A" w:rsidP="00DB6731">
            <w:pPr>
              <w:rPr>
                <w:sz w:val="18"/>
                <w:szCs w:val="18"/>
                <w:lang w:val="es-MX"/>
              </w:rPr>
            </w:pPr>
            <w:r w:rsidRPr="00EC70CC">
              <w:rPr>
                <w:sz w:val="18"/>
                <w:szCs w:val="18"/>
                <w:lang w:val="es-MX"/>
              </w:rPr>
              <w:t>Se recomienda la existencia de una ecuación de ajuste (o formula de escalamiento) pactada de antemano en el contrato.</w:t>
            </w:r>
          </w:p>
        </w:tc>
      </w:tr>
      <w:tr w:rsidR="00B40C7A" w:rsidRPr="007D5463" w14:paraId="7BFD130B" w14:textId="77777777" w:rsidTr="00DB6731">
        <w:tc>
          <w:tcPr>
            <w:tcW w:w="2405" w:type="dxa"/>
          </w:tcPr>
          <w:p w14:paraId="49A6008A" w14:textId="77777777" w:rsidR="00B40C7A" w:rsidRPr="00EC70CC" w:rsidRDefault="00B40C7A" w:rsidP="00DB6731">
            <w:pPr>
              <w:rPr>
                <w:sz w:val="18"/>
                <w:szCs w:val="18"/>
                <w:lang w:val="es-MX"/>
              </w:rPr>
            </w:pPr>
            <w:r w:rsidRPr="00EC70CC">
              <w:rPr>
                <w:sz w:val="18"/>
                <w:szCs w:val="18"/>
                <w:lang w:val="es-MX"/>
              </w:rPr>
              <w:t>Riesgo Cambiario</w:t>
            </w:r>
          </w:p>
        </w:tc>
        <w:tc>
          <w:tcPr>
            <w:tcW w:w="1203" w:type="dxa"/>
          </w:tcPr>
          <w:p w14:paraId="006F8893" w14:textId="77777777" w:rsidR="00B40C7A" w:rsidRPr="00EC70CC" w:rsidRDefault="00B40C7A" w:rsidP="00DB6731">
            <w:pPr>
              <w:jc w:val="center"/>
              <w:rPr>
                <w:sz w:val="18"/>
                <w:szCs w:val="18"/>
                <w:lang w:val="es-MX"/>
              </w:rPr>
            </w:pPr>
          </w:p>
        </w:tc>
        <w:tc>
          <w:tcPr>
            <w:tcW w:w="1297" w:type="dxa"/>
          </w:tcPr>
          <w:p w14:paraId="51D72C18" w14:textId="77777777" w:rsidR="00B40C7A" w:rsidRPr="00EC70CC" w:rsidRDefault="00B40C7A" w:rsidP="00DB6731">
            <w:pPr>
              <w:jc w:val="center"/>
              <w:rPr>
                <w:sz w:val="18"/>
                <w:szCs w:val="18"/>
                <w:lang w:val="es-MX"/>
              </w:rPr>
            </w:pPr>
            <w:r w:rsidRPr="00EC70CC">
              <w:rPr>
                <w:sz w:val="18"/>
                <w:szCs w:val="18"/>
                <w:lang w:val="es-MX"/>
              </w:rPr>
              <w:t>X</w:t>
            </w:r>
          </w:p>
        </w:tc>
        <w:tc>
          <w:tcPr>
            <w:tcW w:w="4162" w:type="dxa"/>
          </w:tcPr>
          <w:p w14:paraId="46C37381" w14:textId="77777777" w:rsidR="00B40C7A" w:rsidRPr="00EC70CC" w:rsidRDefault="00B40C7A" w:rsidP="00DB6731">
            <w:pPr>
              <w:rPr>
                <w:sz w:val="18"/>
                <w:szCs w:val="18"/>
                <w:lang w:val="es-MX"/>
              </w:rPr>
            </w:pPr>
            <w:r w:rsidRPr="00EC70CC">
              <w:rPr>
                <w:sz w:val="18"/>
                <w:szCs w:val="18"/>
                <w:lang w:val="es-MX"/>
              </w:rPr>
              <w:t>Lo asume completamente el contratista.</w:t>
            </w:r>
          </w:p>
          <w:p w14:paraId="65760725" w14:textId="0B04477A" w:rsidR="00B40C7A" w:rsidRPr="00EC70CC" w:rsidRDefault="002506BA" w:rsidP="00DB6731">
            <w:pPr>
              <w:rPr>
                <w:sz w:val="18"/>
                <w:szCs w:val="18"/>
                <w:lang w:val="es-MX"/>
              </w:rPr>
            </w:pPr>
            <w:r>
              <w:rPr>
                <w:sz w:val="18"/>
                <w:szCs w:val="18"/>
                <w:lang w:val="es-MX"/>
              </w:rPr>
              <w:t>En el caso de Bolivia este riesgo se percibe como nulo en el corto y mediano plazo.</w:t>
            </w:r>
          </w:p>
        </w:tc>
      </w:tr>
      <w:tr w:rsidR="00B40C7A" w:rsidRPr="007D5463" w14:paraId="7F93C99C" w14:textId="77777777" w:rsidTr="00DB6731">
        <w:tc>
          <w:tcPr>
            <w:tcW w:w="2405" w:type="dxa"/>
          </w:tcPr>
          <w:p w14:paraId="36D08FD2" w14:textId="77777777" w:rsidR="00B40C7A" w:rsidRPr="00EC70CC" w:rsidRDefault="00B40C7A" w:rsidP="00DB6731">
            <w:pPr>
              <w:rPr>
                <w:sz w:val="18"/>
                <w:szCs w:val="18"/>
                <w:lang w:val="es-MX"/>
              </w:rPr>
            </w:pPr>
            <w:r w:rsidRPr="00EC70CC">
              <w:rPr>
                <w:sz w:val="18"/>
                <w:szCs w:val="18"/>
                <w:lang w:val="es-MX"/>
              </w:rPr>
              <w:t xml:space="preserve">Retrasos en tiempos de ejecución de obra </w:t>
            </w:r>
          </w:p>
        </w:tc>
        <w:tc>
          <w:tcPr>
            <w:tcW w:w="1203" w:type="dxa"/>
          </w:tcPr>
          <w:p w14:paraId="7A2A4AD2" w14:textId="77777777" w:rsidR="00B40C7A" w:rsidRPr="00EC70CC" w:rsidRDefault="00B40C7A" w:rsidP="00DB6731">
            <w:pPr>
              <w:jc w:val="center"/>
              <w:rPr>
                <w:sz w:val="18"/>
                <w:szCs w:val="18"/>
                <w:lang w:val="es-MX"/>
              </w:rPr>
            </w:pPr>
            <w:r w:rsidRPr="00EC70CC">
              <w:rPr>
                <w:sz w:val="18"/>
                <w:szCs w:val="18"/>
                <w:lang w:val="es-MX"/>
              </w:rPr>
              <w:t>X</w:t>
            </w:r>
          </w:p>
        </w:tc>
        <w:tc>
          <w:tcPr>
            <w:tcW w:w="1297" w:type="dxa"/>
          </w:tcPr>
          <w:p w14:paraId="43854AD5" w14:textId="77777777" w:rsidR="00B40C7A" w:rsidRPr="00EC70CC" w:rsidRDefault="00B40C7A" w:rsidP="00DB6731">
            <w:pPr>
              <w:jc w:val="center"/>
              <w:rPr>
                <w:sz w:val="18"/>
                <w:szCs w:val="18"/>
                <w:lang w:val="es-MX"/>
              </w:rPr>
            </w:pPr>
            <w:r w:rsidRPr="00EC70CC">
              <w:rPr>
                <w:sz w:val="18"/>
                <w:szCs w:val="18"/>
                <w:lang w:val="es-MX"/>
              </w:rPr>
              <w:t>X</w:t>
            </w:r>
          </w:p>
        </w:tc>
        <w:tc>
          <w:tcPr>
            <w:tcW w:w="4162" w:type="dxa"/>
          </w:tcPr>
          <w:p w14:paraId="6B94A09F" w14:textId="77777777" w:rsidR="00B40C7A" w:rsidRPr="00EC70CC" w:rsidRDefault="00B40C7A" w:rsidP="00DB6731">
            <w:pPr>
              <w:rPr>
                <w:sz w:val="18"/>
                <w:szCs w:val="18"/>
                <w:lang w:val="es-MX"/>
              </w:rPr>
            </w:pPr>
            <w:r w:rsidRPr="00EC70CC">
              <w:rPr>
                <w:sz w:val="18"/>
                <w:szCs w:val="18"/>
                <w:lang w:val="es-MX"/>
              </w:rPr>
              <w:t>Riesgo compartido.</w:t>
            </w:r>
          </w:p>
          <w:p w14:paraId="3FE2EC66" w14:textId="77777777" w:rsidR="00B40C7A" w:rsidRPr="00EC70CC" w:rsidRDefault="00B40C7A" w:rsidP="00DB6731">
            <w:pPr>
              <w:rPr>
                <w:sz w:val="18"/>
                <w:szCs w:val="18"/>
                <w:lang w:val="es-MX"/>
              </w:rPr>
            </w:pPr>
            <w:r w:rsidRPr="00EC70CC">
              <w:rPr>
                <w:sz w:val="18"/>
                <w:szCs w:val="18"/>
                <w:lang w:val="es-MX"/>
              </w:rPr>
              <w:t>Si las causas son atribuibles a deficiencias en la gestión pública debe cubrirlas el Estado, de lo contrario el Privado debe preverlas y mitigar su impacto.</w:t>
            </w:r>
          </w:p>
        </w:tc>
      </w:tr>
    </w:tbl>
    <w:p w14:paraId="1C3B26E1" w14:textId="77777777" w:rsidR="00B40C7A" w:rsidRPr="00EC70CC" w:rsidRDefault="00B40C7A" w:rsidP="00EC70CC">
      <w:pPr>
        <w:jc w:val="center"/>
        <w:rPr>
          <w:sz w:val="18"/>
          <w:szCs w:val="18"/>
          <w:lang w:val="es-MX"/>
        </w:rPr>
      </w:pPr>
      <w:r w:rsidRPr="00EC70CC">
        <w:rPr>
          <w:sz w:val="18"/>
          <w:szCs w:val="18"/>
          <w:lang w:val="es-MX"/>
        </w:rPr>
        <w:t>Fuente: Elaboración Propia</w:t>
      </w:r>
    </w:p>
    <w:p w14:paraId="244F443B" w14:textId="77777777" w:rsidR="00B40C7A" w:rsidRPr="007D5463" w:rsidRDefault="00B40C7A" w:rsidP="00B40C7A">
      <w:pPr>
        <w:rPr>
          <w:lang w:val="es-MX"/>
        </w:rPr>
      </w:pPr>
    </w:p>
    <w:p w14:paraId="0FF951A5" w14:textId="77777777" w:rsidR="00B40C7A" w:rsidRPr="007D5463" w:rsidRDefault="00B40C7A" w:rsidP="00B40C7A">
      <w:pPr>
        <w:rPr>
          <w:lang w:val="es-MX"/>
        </w:rPr>
      </w:pPr>
    </w:p>
    <w:p w14:paraId="6ABDE1FC" w14:textId="77777777" w:rsidR="00B40C7A" w:rsidRDefault="00B40C7A" w:rsidP="00B40C7A">
      <w:pPr>
        <w:rPr>
          <w:lang w:val="es-MX"/>
        </w:rPr>
      </w:pPr>
      <w:r>
        <w:rPr>
          <w:lang w:val="es-MX"/>
        </w:rPr>
        <w:br w:type="page"/>
      </w:r>
    </w:p>
    <w:p w14:paraId="11935F7C" w14:textId="70945721" w:rsidR="00B40C7A" w:rsidRPr="007D5463" w:rsidRDefault="00B40C7A" w:rsidP="00B40C7A">
      <w:pPr>
        <w:rPr>
          <w:lang w:val="es-MX"/>
        </w:rPr>
      </w:pPr>
      <w:r w:rsidRPr="007D5463">
        <w:rPr>
          <w:lang w:val="es-MX"/>
        </w:rPr>
        <w:lastRenderedPageBreak/>
        <w:t xml:space="preserve">Finalmente, se </w:t>
      </w:r>
      <w:r w:rsidR="004A03CA" w:rsidRPr="007D5463">
        <w:rPr>
          <w:lang w:val="es-MX"/>
        </w:rPr>
        <w:t>tratarán</w:t>
      </w:r>
      <w:r w:rsidRPr="007D5463">
        <w:rPr>
          <w:lang w:val="es-MX"/>
        </w:rPr>
        <w:t xml:space="preserve"> los riesgos a analizar de la siguiente forma:</w:t>
      </w:r>
    </w:p>
    <w:p w14:paraId="5DC2D0D7" w14:textId="77777777" w:rsidR="00B40C7A" w:rsidRPr="007D5463" w:rsidRDefault="00B40C7A" w:rsidP="00B40C7A">
      <w:pPr>
        <w:rPr>
          <w:lang w:val="es-MX"/>
        </w:rPr>
      </w:pPr>
    </w:p>
    <w:p w14:paraId="15D2BC2C" w14:textId="468ABF81" w:rsidR="00B40C7A" w:rsidRPr="007D5463" w:rsidRDefault="00B40C7A" w:rsidP="00B40C7A">
      <w:pPr>
        <w:pStyle w:val="Caption"/>
        <w:jc w:val="center"/>
        <w:rPr>
          <w:lang w:val="es-MX"/>
        </w:rPr>
      </w:pPr>
      <w:bookmarkStart w:id="63" w:name="_Ref358366925"/>
      <w:bookmarkStart w:id="64" w:name="_Toc403246565"/>
      <w:bookmarkStart w:id="65" w:name="_Toc427650663"/>
      <w:bookmarkStart w:id="66" w:name="_Toc484602630"/>
      <w:r w:rsidRPr="007D5463">
        <w:t xml:space="preserve">Tabla </w:t>
      </w:r>
      <w:r w:rsidRPr="007D5463">
        <w:fldChar w:fldCharType="begin"/>
      </w:r>
      <w:r w:rsidRPr="007D5463">
        <w:instrText xml:space="preserve"> SEQ Tabla \* ARABIC </w:instrText>
      </w:r>
      <w:r w:rsidRPr="007D5463">
        <w:fldChar w:fldCharType="separate"/>
      </w:r>
      <w:r w:rsidR="00011CB8">
        <w:rPr>
          <w:noProof/>
        </w:rPr>
        <w:t>10</w:t>
      </w:r>
      <w:r w:rsidRPr="007D5463">
        <w:fldChar w:fldCharType="end"/>
      </w:r>
      <w:r w:rsidRPr="007D5463">
        <w:t xml:space="preserve">. </w:t>
      </w:r>
      <w:r w:rsidRPr="007D5463">
        <w:rPr>
          <w:lang w:val="es-MX"/>
        </w:rPr>
        <w:t>Riesgos: Tratamiento en Modelación</w:t>
      </w:r>
      <w:bookmarkEnd w:id="63"/>
      <w:bookmarkEnd w:id="64"/>
      <w:bookmarkEnd w:id="65"/>
      <w:bookmarkEnd w:id="66"/>
    </w:p>
    <w:tbl>
      <w:tblPr>
        <w:tblStyle w:val="TableGrid"/>
        <w:tblW w:w="8926" w:type="dxa"/>
        <w:tblLayout w:type="fixed"/>
        <w:tblLook w:val="04A0" w:firstRow="1" w:lastRow="0" w:firstColumn="1" w:lastColumn="0" w:noHBand="0" w:noVBand="1"/>
      </w:tblPr>
      <w:tblGrid>
        <w:gridCol w:w="2263"/>
        <w:gridCol w:w="6663"/>
      </w:tblGrid>
      <w:tr w:rsidR="00B40C7A" w:rsidRPr="007D5463" w14:paraId="269B1C4C" w14:textId="77777777" w:rsidTr="00603F21">
        <w:trPr>
          <w:trHeight w:val="276"/>
          <w:tblHeader/>
        </w:trPr>
        <w:tc>
          <w:tcPr>
            <w:tcW w:w="2263" w:type="dxa"/>
            <w:vMerge w:val="restart"/>
            <w:shd w:val="clear" w:color="auto" w:fill="8DB3E2" w:themeFill="text2" w:themeFillTint="66"/>
          </w:tcPr>
          <w:p w14:paraId="5089A552" w14:textId="77777777" w:rsidR="00B40C7A" w:rsidRPr="002506BA" w:rsidRDefault="00B40C7A" w:rsidP="00DB6731">
            <w:pPr>
              <w:jc w:val="center"/>
              <w:rPr>
                <w:b/>
                <w:sz w:val="18"/>
                <w:szCs w:val="18"/>
                <w:lang w:val="es-MX"/>
              </w:rPr>
            </w:pPr>
            <w:r w:rsidRPr="002506BA">
              <w:rPr>
                <w:b/>
                <w:sz w:val="18"/>
                <w:szCs w:val="18"/>
                <w:lang w:val="es-MX"/>
              </w:rPr>
              <w:t>RIESGO</w:t>
            </w:r>
          </w:p>
        </w:tc>
        <w:tc>
          <w:tcPr>
            <w:tcW w:w="6663" w:type="dxa"/>
            <w:vMerge w:val="restart"/>
            <w:shd w:val="clear" w:color="auto" w:fill="8DB3E2" w:themeFill="text2" w:themeFillTint="66"/>
          </w:tcPr>
          <w:p w14:paraId="4B98239D" w14:textId="77777777" w:rsidR="00B40C7A" w:rsidRPr="002506BA" w:rsidRDefault="00B40C7A" w:rsidP="00DB6731">
            <w:pPr>
              <w:jc w:val="center"/>
              <w:rPr>
                <w:b/>
                <w:sz w:val="18"/>
                <w:szCs w:val="18"/>
                <w:lang w:val="es-MX"/>
              </w:rPr>
            </w:pPr>
            <w:r w:rsidRPr="002506BA">
              <w:rPr>
                <w:b/>
                <w:sz w:val="18"/>
                <w:szCs w:val="18"/>
                <w:lang w:val="es-MX"/>
              </w:rPr>
              <w:t>TRATAMIENTO EN MODELACION</w:t>
            </w:r>
          </w:p>
        </w:tc>
      </w:tr>
      <w:tr w:rsidR="00B40C7A" w:rsidRPr="007D5463" w14:paraId="32122EF1" w14:textId="77777777" w:rsidTr="00603F21">
        <w:trPr>
          <w:trHeight w:val="276"/>
        </w:trPr>
        <w:tc>
          <w:tcPr>
            <w:tcW w:w="2263" w:type="dxa"/>
            <w:vMerge/>
            <w:shd w:val="clear" w:color="auto" w:fill="8DB3E2" w:themeFill="text2" w:themeFillTint="66"/>
          </w:tcPr>
          <w:p w14:paraId="2799566B" w14:textId="77777777" w:rsidR="00B40C7A" w:rsidRPr="002506BA" w:rsidRDefault="00B40C7A" w:rsidP="00DB6731">
            <w:pPr>
              <w:rPr>
                <w:sz w:val="18"/>
                <w:szCs w:val="18"/>
                <w:lang w:val="es-MX"/>
              </w:rPr>
            </w:pPr>
          </w:p>
        </w:tc>
        <w:tc>
          <w:tcPr>
            <w:tcW w:w="6663" w:type="dxa"/>
            <w:vMerge/>
            <w:shd w:val="clear" w:color="auto" w:fill="8DB3E2" w:themeFill="text2" w:themeFillTint="66"/>
          </w:tcPr>
          <w:p w14:paraId="4095134C" w14:textId="77777777" w:rsidR="00B40C7A" w:rsidRPr="002506BA" w:rsidRDefault="00B40C7A" w:rsidP="00DB6731">
            <w:pPr>
              <w:rPr>
                <w:sz w:val="18"/>
                <w:szCs w:val="18"/>
                <w:lang w:val="es-MX"/>
              </w:rPr>
            </w:pPr>
          </w:p>
        </w:tc>
      </w:tr>
      <w:tr w:rsidR="00B40C7A" w:rsidRPr="007D5463" w14:paraId="15AF1A00" w14:textId="77777777" w:rsidTr="00603F21">
        <w:trPr>
          <w:trHeight w:val="1084"/>
        </w:trPr>
        <w:tc>
          <w:tcPr>
            <w:tcW w:w="2263" w:type="dxa"/>
          </w:tcPr>
          <w:p w14:paraId="7E9F8F57" w14:textId="77777777" w:rsidR="00B40C7A" w:rsidRPr="002506BA" w:rsidRDefault="00B40C7A" w:rsidP="00DB6731">
            <w:pPr>
              <w:jc w:val="left"/>
              <w:rPr>
                <w:sz w:val="18"/>
                <w:szCs w:val="18"/>
                <w:lang w:val="es-MX"/>
              </w:rPr>
            </w:pPr>
            <w:r w:rsidRPr="002506BA">
              <w:rPr>
                <w:sz w:val="18"/>
                <w:szCs w:val="18"/>
                <w:lang w:val="es-MX"/>
              </w:rPr>
              <w:t>Costos Unitarios</w:t>
            </w:r>
          </w:p>
          <w:p w14:paraId="4A4AFADC" w14:textId="77777777" w:rsidR="00B40C7A" w:rsidRPr="002506BA" w:rsidRDefault="00B40C7A" w:rsidP="00DB6731">
            <w:pPr>
              <w:jc w:val="left"/>
              <w:rPr>
                <w:sz w:val="18"/>
                <w:szCs w:val="18"/>
                <w:lang w:val="es-MX"/>
              </w:rPr>
            </w:pPr>
          </w:p>
          <w:p w14:paraId="3986A64F" w14:textId="77777777" w:rsidR="00B40C7A" w:rsidRPr="002506BA" w:rsidRDefault="00B40C7A" w:rsidP="00DB6731">
            <w:pPr>
              <w:jc w:val="left"/>
              <w:rPr>
                <w:sz w:val="18"/>
                <w:szCs w:val="18"/>
                <w:lang w:val="es-MX"/>
              </w:rPr>
            </w:pPr>
            <w:r w:rsidRPr="002506BA">
              <w:rPr>
                <w:sz w:val="18"/>
                <w:szCs w:val="18"/>
                <w:lang w:val="es-MX"/>
              </w:rPr>
              <w:t>Precios de Referencia vs Adjudicados</w:t>
            </w:r>
          </w:p>
        </w:tc>
        <w:tc>
          <w:tcPr>
            <w:tcW w:w="6663" w:type="dxa"/>
          </w:tcPr>
          <w:p w14:paraId="7DA6FD1C" w14:textId="77777777" w:rsidR="00B40C7A" w:rsidRPr="002506BA" w:rsidRDefault="00B40C7A" w:rsidP="00DB6731">
            <w:pPr>
              <w:rPr>
                <w:sz w:val="18"/>
                <w:szCs w:val="18"/>
                <w:lang w:val="es-MX"/>
              </w:rPr>
            </w:pPr>
            <w:r w:rsidRPr="002506BA">
              <w:rPr>
                <w:i/>
                <w:sz w:val="18"/>
                <w:szCs w:val="18"/>
                <w:u w:val="single"/>
                <w:lang w:val="es-MX"/>
              </w:rPr>
              <w:t>Variables Aleatorias:</w:t>
            </w:r>
            <w:r w:rsidRPr="002506BA">
              <w:rPr>
                <w:sz w:val="18"/>
                <w:szCs w:val="18"/>
                <w:lang w:val="es-MX"/>
              </w:rPr>
              <w:t xml:space="preserve"> Oferta licitatoria por rubro presupuestal, simula la diferencia porcentual con respecto a presupuesto de referencia. </w:t>
            </w:r>
          </w:p>
          <w:p w14:paraId="0A492844" w14:textId="77777777" w:rsidR="00B40C7A" w:rsidRPr="002506BA" w:rsidRDefault="00B40C7A" w:rsidP="00DB6731">
            <w:pPr>
              <w:rPr>
                <w:sz w:val="18"/>
                <w:szCs w:val="18"/>
                <w:lang w:val="es-MX"/>
              </w:rPr>
            </w:pPr>
          </w:p>
          <w:p w14:paraId="339A6D61" w14:textId="4F1A0F41" w:rsidR="00B40C7A" w:rsidRDefault="00B40C7A" w:rsidP="00DB6731">
            <w:pPr>
              <w:rPr>
                <w:sz w:val="18"/>
                <w:szCs w:val="18"/>
                <w:lang w:val="es-MX"/>
              </w:rPr>
            </w:pPr>
            <w:r w:rsidRPr="002506BA">
              <w:rPr>
                <w:sz w:val="18"/>
                <w:szCs w:val="18"/>
                <w:lang w:val="es-MX"/>
              </w:rPr>
              <w:t>(ver</w:t>
            </w:r>
            <w:r w:rsidR="004A03CA">
              <w:rPr>
                <w:sz w:val="18"/>
                <w:szCs w:val="18"/>
                <w:lang w:val="es-MX"/>
              </w:rPr>
              <w:t xml:space="preserve"> numeral </w:t>
            </w:r>
            <w:r w:rsidR="004A03CA" w:rsidRPr="004A03CA">
              <w:rPr>
                <w:sz w:val="18"/>
                <w:szCs w:val="18"/>
                <w:lang w:val="es-MX"/>
              </w:rPr>
              <w:fldChar w:fldCharType="begin"/>
            </w:r>
            <w:r w:rsidR="004A03CA" w:rsidRPr="004A03CA">
              <w:rPr>
                <w:sz w:val="18"/>
                <w:szCs w:val="18"/>
                <w:lang w:val="es-MX"/>
              </w:rPr>
              <w:instrText xml:space="preserve"> REF _Ref484586821 \r \h </w:instrText>
            </w:r>
            <w:r w:rsidR="004A03CA">
              <w:rPr>
                <w:sz w:val="18"/>
                <w:szCs w:val="18"/>
                <w:lang w:val="es-MX"/>
              </w:rPr>
              <w:instrText xml:space="preserve"> \* MERGEFORMAT </w:instrText>
            </w:r>
            <w:r w:rsidR="004A03CA" w:rsidRPr="004A03CA">
              <w:rPr>
                <w:sz w:val="18"/>
                <w:szCs w:val="18"/>
                <w:lang w:val="es-MX"/>
              </w:rPr>
            </w:r>
            <w:r w:rsidR="004A03CA" w:rsidRPr="004A03CA">
              <w:rPr>
                <w:sz w:val="18"/>
                <w:szCs w:val="18"/>
                <w:lang w:val="es-MX"/>
              </w:rPr>
              <w:fldChar w:fldCharType="separate"/>
            </w:r>
            <w:r w:rsidR="00011CB8">
              <w:rPr>
                <w:sz w:val="18"/>
                <w:szCs w:val="18"/>
                <w:lang w:val="es-MX"/>
              </w:rPr>
              <w:t>7.2</w:t>
            </w:r>
            <w:r w:rsidR="004A03CA" w:rsidRPr="004A03CA">
              <w:rPr>
                <w:sz w:val="18"/>
                <w:szCs w:val="18"/>
                <w:lang w:val="es-MX"/>
              </w:rPr>
              <w:fldChar w:fldCharType="end"/>
            </w:r>
            <w:r w:rsidR="00F330E5">
              <w:rPr>
                <w:sz w:val="18"/>
                <w:szCs w:val="18"/>
                <w:lang w:val="es-MX"/>
              </w:rPr>
              <w:t xml:space="preserve"> </w:t>
            </w:r>
            <w:r w:rsidR="004A03CA" w:rsidRPr="004A03CA">
              <w:rPr>
                <w:sz w:val="18"/>
                <w:szCs w:val="18"/>
                <w:lang w:val="es-MX"/>
              </w:rPr>
              <w:fldChar w:fldCharType="begin"/>
            </w:r>
            <w:r w:rsidR="004A03CA" w:rsidRPr="004A03CA">
              <w:rPr>
                <w:sz w:val="18"/>
                <w:szCs w:val="18"/>
                <w:lang w:val="es-MX"/>
              </w:rPr>
              <w:instrText xml:space="preserve"> REF _Ref484586824 \h </w:instrText>
            </w:r>
            <w:r w:rsidR="004A03CA">
              <w:rPr>
                <w:sz w:val="18"/>
                <w:szCs w:val="18"/>
                <w:lang w:val="es-MX"/>
              </w:rPr>
              <w:instrText xml:space="preserve"> \* MERGEFORMAT </w:instrText>
            </w:r>
            <w:r w:rsidR="004A03CA" w:rsidRPr="004A03CA">
              <w:rPr>
                <w:sz w:val="18"/>
                <w:szCs w:val="18"/>
                <w:lang w:val="es-MX"/>
              </w:rPr>
            </w:r>
            <w:r w:rsidR="004A03CA" w:rsidRPr="004A03CA">
              <w:rPr>
                <w:sz w:val="18"/>
                <w:szCs w:val="18"/>
                <w:lang w:val="es-MX"/>
              </w:rPr>
              <w:fldChar w:fldCharType="separate"/>
            </w:r>
            <w:r w:rsidR="00011CB8" w:rsidRPr="00011CB8">
              <w:rPr>
                <w:sz w:val="18"/>
                <w:szCs w:val="18"/>
              </w:rPr>
              <w:t>Variación entre precios de referencia y precios ofertados en el proceso licitatorio</w:t>
            </w:r>
            <w:r w:rsidR="004A03CA" w:rsidRPr="004A03CA">
              <w:rPr>
                <w:sz w:val="18"/>
                <w:szCs w:val="18"/>
                <w:lang w:val="es-MX"/>
              </w:rPr>
              <w:fldChar w:fldCharType="end"/>
            </w:r>
            <w:r w:rsidRPr="004A03CA">
              <w:rPr>
                <w:sz w:val="18"/>
                <w:szCs w:val="18"/>
                <w:lang w:val="es-MX"/>
              </w:rPr>
              <w:t>)</w:t>
            </w:r>
          </w:p>
          <w:p w14:paraId="2DBED223" w14:textId="4975F8D2" w:rsidR="00F330E5" w:rsidRDefault="00F330E5" w:rsidP="00DB6731">
            <w:pPr>
              <w:rPr>
                <w:sz w:val="18"/>
                <w:szCs w:val="18"/>
                <w:lang w:val="es-MX"/>
              </w:rPr>
            </w:pPr>
          </w:p>
          <w:p w14:paraId="1468F1C3" w14:textId="77777777" w:rsidR="00F330E5" w:rsidRDefault="00F330E5" w:rsidP="00F330E5">
            <w:pPr>
              <w:rPr>
                <w:sz w:val="18"/>
                <w:szCs w:val="18"/>
                <w:lang w:val="es-MX"/>
              </w:rPr>
            </w:pPr>
            <w:r>
              <w:rPr>
                <w:sz w:val="18"/>
                <w:szCs w:val="18"/>
                <w:lang w:val="es-MX"/>
              </w:rPr>
              <w:t>Se cuantifica</w:t>
            </w:r>
            <w:r w:rsidRPr="002506BA">
              <w:rPr>
                <w:sz w:val="18"/>
                <w:szCs w:val="18"/>
                <w:lang w:val="es-MX"/>
              </w:rPr>
              <w:t xml:space="preserve"> con base en la diferencia encontrada entre el presupuesto de referencia vs presupuesto de proyectos similares</w:t>
            </w:r>
            <w:r>
              <w:rPr>
                <w:sz w:val="18"/>
                <w:szCs w:val="18"/>
                <w:lang w:val="es-MX"/>
              </w:rPr>
              <w:t>.</w:t>
            </w:r>
          </w:p>
          <w:p w14:paraId="190F8C0D" w14:textId="77777777" w:rsidR="00F330E5" w:rsidRPr="002506BA" w:rsidRDefault="00F330E5" w:rsidP="00F330E5">
            <w:pPr>
              <w:rPr>
                <w:sz w:val="18"/>
                <w:szCs w:val="18"/>
                <w:lang w:val="es-MX"/>
              </w:rPr>
            </w:pPr>
          </w:p>
          <w:p w14:paraId="047C89C5" w14:textId="1DA19215" w:rsidR="00F330E5" w:rsidRPr="002506BA" w:rsidRDefault="00F330E5" w:rsidP="00F330E5">
            <w:pPr>
              <w:rPr>
                <w:sz w:val="18"/>
                <w:szCs w:val="18"/>
                <w:lang w:val="es-MX"/>
              </w:rPr>
            </w:pPr>
            <w:r w:rsidRPr="002506BA">
              <w:rPr>
                <w:sz w:val="18"/>
                <w:szCs w:val="18"/>
                <w:lang w:val="es-MX"/>
              </w:rPr>
              <w:t>Se determinan variaciones máximas y mínimas para cada rubro de presupuesto y se asume una distribución de probabilidad uniforme en el rango así definido (los valores observados en la muestra histórica se asumen igualmente probables).  Ver rangos empleados en</w:t>
            </w:r>
            <w:r w:rsidRPr="004A03CA">
              <w:rPr>
                <w:sz w:val="18"/>
                <w:szCs w:val="18"/>
                <w:lang w:val="es-MX"/>
              </w:rPr>
              <w:t xml:space="preserve">: </w:t>
            </w:r>
            <w:r w:rsidRPr="004A03CA">
              <w:rPr>
                <w:sz w:val="18"/>
                <w:szCs w:val="18"/>
                <w:lang w:val="es-MX"/>
              </w:rPr>
              <w:fldChar w:fldCharType="begin"/>
            </w:r>
            <w:r w:rsidRPr="004A03CA">
              <w:rPr>
                <w:sz w:val="18"/>
                <w:szCs w:val="18"/>
                <w:lang w:val="es-MX"/>
              </w:rPr>
              <w:instrText xml:space="preserve"> REF _Ref484586755 \h </w:instrText>
            </w:r>
            <w:r>
              <w:rPr>
                <w:sz w:val="18"/>
                <w:szCs w:val="18"/>
                <w:lang w:val="es-MX"/>
              </w:rPr>
              <w:instrText xml:space="preserve"> \* MERGEFORMAT </w:instrText>
            </w:r>
            <w:r w:rsidRPr="004A03CA">
              <w:rPr>
                <w:sz w:val="18"/>
                <w:szCs w:val="18"/>
                <w:lang w:val="es-MX"/>
              </w:rPr>
            </w:r>
            <w:r w:rsidRPr="004A03CA">
              <w:rPr>
                <w:sz w:val="18"/>
                <w:szCs w:val="18"/>
                <w:lang w:val="es-MX"/>
              </w:rPr>
              <w:fldChar w:fldCharType="separate"/>
            </w:r>
            <w:r w:rsidR="00011CB8" w:rsidRPr="00011CB8">
              <w:rPr>
                <w:sz w:val="18"/>
                <w:szCs w:val="18"/>
              </w:rPr>
              <w:t xml:space="preserve">Tabla </w:t>
            </w:r>
            <w:r w:rsidR="00011CB8" w:rsidRPr="00011CB8">
              <w:rPr>
                <w:noProof/>
                <w:sz w:val="18"/>
                <w:szCs w:val="18"/>
              </w:rPr>
              <w:t>6.</w:t>
            </w:r>
            <w:r w:rsidR="00011CB8" w:rsidRPr="00011CB8">
              <w:rPr>
                <w:sz w:val="18"/>
                <w:szCs w:val="18"/>
              </w:rPr>
              <w:t xml:space="preserve"> Presupuesto de Referencia vs Presupuesto Otros Proyectos</w:t>
            </w:r>
            <w:r w:rsidRPr="004A03CA">
              <w:rPr>
                <w:sz w:val="18"/>
                <w:szCs w:val="18"/>
                <w:lang w:val="es-MX"/>
              </w:rPr>
              <w:fldChar w:fldCharType="end"/>
            </w:r>
            <w:r w:rsidRPr="002506BA">
              <w:rPr>
                <w:sz w:val="18"/>
                <w:szCs w:val="18"/>
                <w:lang w:val="es-MX"/>
              </w:rPr>
              <w:t xml:space="preserve"> </w:t>
            </w:r>
          </w:p>
          <w:p w14:paraId="4DD76EEC" w14:textId="77777777" w:rsidR="00F330E5" w:rsidRPr="002506BA" w:rsidRDefault="00F330E5" w:rsidP="00DB6731">
            <w:pPr>
              <w:rPr>
                <w:sz w:val="18"/>
                <w:szCs w:val="18"/>
                <w:lang w:val="es-MX"/>
              </w:rPr>
            </w:pPr>
          </w:p>
          <w:p w14:paraId="4662F050" w14:textId="77777777" w:rsidR="00B40C7A" w:rsidRPr="002506BA" w:rsidRDefault="00B40C7A" w:rsidP="00DB6731">
            <w:pPr>
              <w:rPr>
                <w:sz w:val="18"/>
                <w:szCs w:val="18"/>
                <w:lang w:val="es-MX"/>
              </w:rPr>
            </w:pPr>
          </w:p>
          <w:p w14:paraId="5CAA113D" w14:textId="77777777" w:rsidR="00B40C7A" w:rsidRPr="002506BA" w:rsidRDefault="00B40C7A" w:rsidP="00DB6731">
            <w:pPr>
              <w:rPr>
                <w:sz w:val="18"/>
                <w:szCs w:val="18"/>
                <w:lang w:val="es-MX"/>
              </w:rPr>
            </w:pPr>
            <w:r w:rsidRPr="002506BA">
              <w:rPr>
                <w:i/>
                <w:sz w:val="18"/>
                <w:szCs w:val="18"/>
                <w:u w:val="single"/>
                <w:lang w:val="es-MX"/>
              </w:rPr>
              <w:t>Variable Resultado:</w:t>
            </w:r>
            <w:r w:rsidRPr="002506BA">
              <w:rPr>
                <w:sz w:val="18"/>
                <w:szCs w:val="18"/>
                <w:lang w:val="es-MX"/>
              </w:rPr>
              <w:t xml:space="preserve"> Oferta licitatoria como porcentaje del valor total del costo de obra, se obtiene la diferencia porcentual con respecto a presupuesto de referencia.</w:t>
            </w:r>
          </w:p>
          <w:p w14:paraId="03644BBF" w14:textId="77777777" w:rsidR="00B40C7A" w:rsidRPr="002506BA" w:rsidRDefault="00B40C7A" w:rsidP="00DB6731">
            <w:pPr>
              <w:rPr>
                <w:sz w:val="18"/>
                <w:szCs w:val="18"/>
                <w:lang w:val="es-MX"/>
              </w:rPr>
            </w:pPr>
          </w:p>
          <w:p w14:paraId="1DE61514" w14:textId="1D66B134" w:rsidR="00B40C7A" w:rsidRPr="002506BA" w:rsidRDefault="00F330E5" w:rsidP="00DB6731">
            <w:pPr>
              <w:rPr>
                <w:sz w:val="18"/>
                <w:szCs w:val="18"/>
                <w:lang w:val="es-MX"/>
              </w:rPr>
            </w:pPr>
            <w:r>
              <w:rPr>
                <w:sz w:val="18"/>
                <w:szCs w:val="18"/>
                <w:lang w:val="es-MX"/>
              </w:rPr>
              <w:t>E</w:t>
            </w:r>
            <w:r w:rsidR="00B40C7A" w:rsidRPr="002506BA">
              <w:rPr>
                <w:sz w:val="18"/>
                <w:szCs w:val="18"/>
                <w:lang w:val="es-MX"/>
              </w:rPr>
              <w:t>n función de resultados de simulación de variables aleatorias.</w:t>
            </w:r>
          </w:p>
          <w:p w14:paraId="4830DD85" w14:textId="20F53F3B" w:rsidR="00B40C7A" w:rsidRPr="002506BA" w:rsidRDefault="00B40C7A" w:rsidP="00DB6731">
            <w:pPr>
              <w:rPr>
                <w:sz w:val="18"/>
                <w:szCs w:val="18"/>
                <w:lang w:val="es-MX"/>
              </w:rPr>
            </w:pPr>
          </w:p>
        </w:tc>
      </w:tr>
      <w:tr w:rsidR="00E53E2F" w:rsidRPr="007D5463" w14:paraId="568A8736" w14:textId="77777777" w:rsidTr="00603F21">
        <w:trPr>
          <w:trHeight w:val="1084"/>
        </w:trPr>
        <w:tc>
          <w:tcPr>
            <w:tcW w:w="2263" w:type="dxa"/>
          </w:tcPr>
          <w:p w14:paraId="78DBCD69" w14:textId="18DA4046" w:rsidR="00E53E2F" w:rsidRPr="002506BA" w:rsidRDefault="00E53E2F" w:rsidP="00DB6731">
            <w:pPr>
              <w:jc w:val="left"/>
              <w:rPr>
                <w:sz w:val="18"/>
                <w:szCs w:val="18"/>
                <w:lang w:val="es-MX"/>
              </w:rPr>
            </w:pPr>
            <w:r>
              <w:rPr>
                <w:sz w:val="18"/>
                <w:szCs w:val="18"/>
                <w:lang w:val="es-MX"/>
              </w:rPr>
              <w:t>Oferta Licitatoria</w:t>
            </w:r>
          </w:p>
        </w:tc>
        <w:tc>
          <w:tcPr>
            <w:tcW w:w="6663" w:type="dxa"/>
          </w:tcPr>
          <w:p w14:paraId="23643679" w14:textId="4C50F244" w:rsidR="00E53E2F" w:rsidRPr="002506BA" w:rsidRDefault="007308E2" w:rsidP="00DB6731">
            <w:pPr>
              <w:rPr>
                <w:i/>
                <w:sz w:val="18"/>
                <w:szCs w:val="18"/>
                <w:u w:val="single"/>
                <w:lang w:val="es-MX"/>
              </w:rPr>
            </w:pPr>
            <w:r>
              <w:rPr>
                <w:sz w:val="18"/>
                <w:szCs w:val="18"/>
                <w:lang w:val="es-MX"/>
              </w:rPr>
              <w:t>E</w:t>
            </w:r>
            <w:r w:rsidRPr="007308E2">
              <w:rPr>
                <w:sz w:val="18"/>
                <w:szCs w:val="18"/>
                <w:lang w:val="es-MX"/>
              </w:rPr>
              <w:t>n el proceso licitatorio los oferentes en su “apuesta estratégica” por ser adjudicatarios ceden eficiencias, para este caso se opta por trabajar con un rango entre 0% y 5% del costo de obra, asumiendo una distribución uniforme.</w:t>
            </w:r>
          </w:p>
        </w:tc>
      </w:tr>
      <w:tr w:rsidR="00B40C7A" w:rsidRPr="007D5463" w14:paraId="05777C49" w14:textId="77777777" w:rsidTr="00603F21">
        <w:trPr>
          <w:trHeight w:val="1255"/>
        </w:trPr>
        <w:tc>
          <w:tcPr>
            <w:tcW w:w="2263" w:type="dxa"/>
          </w:tcPr>
          <w:p w14:paraId="02CB3CB9" w14:textId="77777777" w:rsidR="00B40C7A" w:rsidRDefault="00B40C7A" w:rsidP="00DB6731">
            <w:pPr>
              <w:rPr>
                <w:sz w:val="18"/>
                <w:szCs w:val="18"/>
                <w:lang w:val="es-MX"/>
              </w:rPr>
            </w:pPr>
            <w:r w:rsidRPr="002506BA">
              <w:rPr>
                <w:sz w:val="18"/>
                <w:szCs w:val="18"/>
                <w:lang w:val="es-MX"/>
              </w:rPr>
              <w:t>Variación en el tiempo de Costos Unitarios desde elaboración del presupuesto inicial hasta finalización de obra.</w:t>
            </w:r>
          </w:p>
          <w:p w14:paraId="23150677" w14:textId="77777777" w:rsidR="00ED5FFF" w:rsidRDefault="00ED5FFF" w:rsidP="00DB6731">
            <w:pPr>
              <w:rPr>
                <w:sz w:val="18"/>
                <w:szCs w:val="18"/>
                <w:lang w:val="es-MX"/>
              </w:rPr>
            </w:pPr>
          </w:p>
          <w:p w14:paraId="79852DF0" w14:textId="6EA53924" w:rsidR="00ED5FFF" w:rsidRPr="002506BA" w:rsidRDefault="00ED5FFF" w:rsidP="00DB6731">
            <w:pPr>
              <w:rPr>
                <w:sz w:val="18"/>
                <w:szCs w:val="18"/>
                <w:lang w:val="es-MX"/>
              </w:rPr>
            </w:pPr>
            <w:r>
              <w:rPr>
                <w:sz w:val="18"/>
                <w:szCs w:val="18"/>
                <w:lang w:val="es-MX"/>
              </w:rPr>
              <w:t>(Escalamiento)</w:t>
            </w:r>
          </w:p>
        </w:tc>
        <w:tc>
          <w:tcPr>
            <w:tcW w:w="6663" w:type="dxa"/>
          </w:tcPr>
          <w:p w14:paraId="05405C62" w14:textId="4C7B9E9B" w:rsidR="00B40C7A" w:rsidRDefault="00B40C7A" w:rsidP="00DB6731">
            <w:pPr>
              <w:rPr>
                <w:sz w:val="18"/>
                <w:szCs w:val="18"/>
                <w:lang w:val="es-MX"/>
              </w:rPr>
            </w:pPr>
            <w:r w:rsidRPr="002506BA">
              <w:rPr>
                <w:i/>
                <w:sz w:val="18"/>
                <w:szCs w:val="18"/>
                <w:u w:val="single"/>
                <w:lang w:val="es-MX"/>
              </w:rPr>
              <w:t>Variables Aleatorias:</w:t>
            </w:r>
            <w:r w:rsidRPr="002506BA">
              <w:rPr>
                <w:sz w:val="18"/>
                <w:szCs w:val="18"/>
                <w:lang w:val="es-MX"/>
              </w:rPr>
              <w:t xml:space="preserve"> Variación en el tiempo de precios de mercado por insumo básico (escalamiento de precios).</w:t>
            </w:r>
          </w:p>
          <w:p w14:paraId="3D8076B4" w14:textId="4716D040" w:rsidR="00FB3825" w:rsidRDefault="00FB3825" w:rsidP="00DB6731">
            <w:pPr>
              <w:rPr>
                <w:sz w:val="18"/>
                <w:szCs w:val="18"/>
                <w:lang w:val="es-MX"/>
              </w:rPr>
            </w:pPr>
          </w:p>
          <w:p w14:paraId="65CE2694" w14:textId="47E22F32" w:rsidR="00FB3825" w:rsidRPr="002506BA" w:rsidRDefault="00FB3825" w:rsidP="00FB3825">
            <w:pPr>
              <w:rPr>
                <w:sz w:val="18"/>
                <w:szCs w:val="18"/>
                <w:lang w:val="es-MX"/>
              </w:rPr>
            </w:pPr>
            <w:r w:rsidRPr="002506BA">
              <w:rPr>
                <w:sz w:val="18"/>
                <w:szCs w:val="18"/>
                <w:lang w:val="es-MX"/>
              </w:rPr>
              <w:t xml:space="preserve">Se trabaja con la </w:t>
            </w:r>
            <w:r w:rsidR="004247E6">
              <w:rPr>
                <w:sz w:val="18"/>
                <w:szCs w:val="18"/>
                <w:lang w:val="es-MX"/>
              </w:rPr>
              <w:t>“canasta de costos de obra”</w:t>
            </w:r>
            <w:r w:rsidRPr="002506BA">
              <w:rPr>
                <w:sz w:val="18"/>
                <w:szCs w:val="18"/>
                <w:lang w:val="es-MX"/>
              </w:rPr>
              <w:t>.</w:t>
            </w:r>
          </w:p>
          <w:p w14:paraId="29ED5224" w14:textId="77777777" w:rsidR="00FB3825" w:rsidRPr="002506BA" w:rsidRDefault="00FB3825" w:rsidP="00FB3825">
            <w:pPr>
              <w:rPr>
                <w:sz w:val="18"/>
                <w:szCs w:val="18"/>
                <w:lang w:val="es-MX"/>
              </w:rPr>
            </w:pPr>
          </w:p>
          <w:p w14:paraId="1074E6D4" w14:textId="73C8677E" w:rsidR="00FB3825" w:rsidRDefault="00FB3825" w:rsidP="00FB3825">
            <w:pPr>
              <w:rPr>
                <w:sz w:val="18"/>
                <w:szCs w:val="18"/>
                <w:lang w:val="es-MX"/>
              </w:rPr>
            </w:pPr>
            <w:r w:rsidRPr="002506BA">
              <w:rPr>
                <w:sz w:val="18"/>
                <w:szCs w:val="18"/>
                <w:lang w:val="es-MX"/>
              </w:rPr>
              <w:t>Se evalúa la información histórica con el fin de determinar tendencias, correlaciones y volatilidad.</w:t>
            </w:r>
            <w:r w:rsidR="004247E6">
              <w:rPr>
                <w:sz w:val="18"/>
                <w:szCs w:val="18"/>
                <w:lang w:val="es-MX"/>
              </w:rPr>
              <w:t xml:space="preserve"> (se emplea modelo ARIMA para proyectar a futuro)</w:t>
            </w:r>
          </w:p>
          <w:p w14:paraId="6A3743AF" w14:textId="690A5C46" w:rsidR="004247E6" w:rsidRPr="004247E6" w:rsidRDefault="004247E6" w:rsidP="00FB3825">
            <w:pPr>
              <w:rPr>
                <w:sz w:val="18"/>
                <w:szCs w:val="18"/>
                <w:lang w:val="es-MX"/>
              </w:rPr>
            </w:pPr>
          </w:p>
          <w:p w14:paraId="4D82CCEF" w14:textId="4D2DA229" w:rsidR="004247E6" w:rsidRPr="004247E6" w:rsidRDefault="004247E6" w:rsidP="00FB3825">
            <w:pPr>
              <w:rPr>
                <w:sz w:val="18"/>
                <w:szCs w:val="18"/>
                <w:lang w:val="es-MX"/>
              </w:rPr>
            </w:pPr>
            <w:r w:rsidRPr="004247E6">
              <w:rPr>
                <w:sz w:val="18"/>
                <w:szCs w:val="18"/>
                <w:lang w:val="es-MX"/>
              </w:rPr>
              <w:t xml:space="preserve">Ver: </w:t>
            </w:r>
            <w:r w:rsidRPr="004247E6">
              <w:rPr>
                <w:sz w:val="18"/>
                <w:szCs w:val="18"/>
                <w:lang w:val="es-MX"/>
              </w:rPr>
              <w:fldChar w:fldCharType="begin"/>
            </w:r>
            <w:r w:rsidRPr="004247E6">
              <w:rPr>
                <w:sz w:val="18"/>
                <w:szCs w:val="18"/>
                <w:lang w:val="es-MX"/>
              </w:rPr>
              <w:instrText xml:space="preserve"> REF _Ref484588023 \h </w:instrText>
            </w:r>
            <w:r>
              <w:rPr>
                <w:sz w:val="18"/>
                <w:szCs w:val="18"/>
                <w:lang w:val="es-MX"/>
              </w:rPr>
              <w:instrText xml:space="preserve"> \* MERGEFORMAT </w:instrText>
            </w:r>
            <w:r w:rsidRPr="004247E6">
              <w:rPr>
                <w:sz w:val="18"/>
                <w:szCs w:val="18"/>
                <w:lang w:val="es-MX"/>
              </w:rPr>
            </w:r>
            <w:r w:rsidRPr="004247E6">
              <w:rPr>
                <w:sz w:val="18"/>
                <w:szCs w:val="18"/>
                <w:lang w:val="es-MX"/>
              </w:rPr>
              <w:fldChar w:fldCharType="separate"/>
            </w:r>
            <w:r w:rsidR="00011CB8" w:rsidRPr="00011CB8">
              <w:rPr>
                <w:sz w:val="18"/>
                <w:szCs w:val="18"/>
              </w:rPr>
              <w:t xml:space="preserve">Tabla </w:t>
            </w:r>
            <w:r w:rsidR="00011CB8" w:rsidRPr="00011CB8">
              <w:rPr>
                <w:noProof/>
                <w:sz w:val="18"/>
                <w:szCs w:val="18"/>
              </w:rPr>
              <w:t>7.</w:t>
            </w:r>
            <w:r w:rsidR="00011CB8" w:rsidRPr="00011CB8">
              <w:rPr>
                <w:sz w:val="18"/>
                <w:szCs w:val="18"/>
              </w:rPr>
              <w:t xml:space="preserve"> Caracterización de la Variación Anual de Precios de Mercado de Insumos Básicos</w:t>
            </w:r>
            <w:r w:rsidRPr="004247E6">
              <w:rPr>
                <w:sz w:val="18"/>
                <w:szCs w:val="18"/>
                <w:lang w:val="es-MX"/>
              </w:rPr>
              <w:fldChar w:fldCharType="end"/>
            </w:r>
            <w:r w:rsidRPr="004247E6">
              <w:rPr>
                <w:sz w:val="18"/>
                <w:szCs w:val="18"/>
                <w:lang w:val="es-MX"/>
              </w:rPr>
              <w:t xml:space="preserve"> y </w:t>
            </w:r>
            <w:r w:rsidRPr="004247E6">
              <w:rPr>
                <w:sz w:val="18"/>
                <w:szCs w:val="18"/>
                <w:lang w:val="es-MX"/>
              </w:rPr>
              <w:fldChar w:fldCharType="begin"/>
            </w:r>
            <w:r w:rsidRPr="004247E6">
              <w:rPr>
                <w:sz w:val="18"/>
                <w:szCs w:val="18"/>
                <w:lang w:val="es-MX"/>
              </w:rPr>
              <w:instrText xml:space="preserve"> REF _Ref484588041 \h </w:instrText>
            </w:r>
            <w:r>
              <w:rPr>
                <w:sz w:val="18"/>
                <w:szCs w:val="18"/>
                <w:lang w:val="es-MX"/>
              </w:rPr>
              <w:instrText xml:space="preserve"> \* MERGEFORMAT </w:instrText>
            </w:r>
            <w:r w:rsidRPr="004247E6">
              <w:rPr>
                <w:sz w:val="18"/>
                <w:szCs w:val="18"/>
                <w:lang w:val="es-MX"/>
              </w:rPr>
            </w:r>
            <w:r w:rsidRPr="004247E6">
              <w:rPr>
                <w:sz w:val="18"/>
                <w:szCs w:val="18"/>
                <w:lang w:val="es-MX"/>
              </w:rPr>
              <w:fldChar w:fldCharType="separate"/>
            </w:r>
            <w:r w:rsidR="00011CB8" w:rsidRPr="00011CB8">
              <w:rPr>
                <w:sz w:val="18"/>
                <w:szCs w:val="18"/>
              </w:rPr>
              <w:t>ANEXOS - Series Históricas de Precios y Resultados Modelo ARIMA</w:t>
            </w:r>
            <w:r w:rsidRPr="004247E6">
              <w:rPr>
                <w:sz w:val="18"/>
                <w:szCs w:val="18"/>
                <w:lang w:val="es-MX"/>
              </w:rPr>
              <w:fldChar w:fldCharType="end"/>
            </w:r>
          </w:p>
          <w:p w14:paraId="6FC80BE2" w14:textId="77777777" w:rsidR="00FB3825" w:rsidRPr="002506BA" w:rsidRDefault="00FB3825" w:rsidP="00FB3825">
            <w:pPr>
              <w:rPr>
                <w:sz w:val="18"/>
                <w:szCs w:val="18"/>
                <w:lang w:val="es-MX"/>
              </w:rPr>
            </w:pPr>
          </w:p>
          <w:p w14:paraId="7D6B968A" w14:textId="77777777" w:rsidR="00E23A28" w:rsidRDefault="00FB3825" w:rsidP="00FB3825">
            <w:pPr>
              <w:rPr>
                <w:sz w:val="18"/>
                <w:szCs w:val="18"/>
                <w:lang w:val="es-MX"/>
              </w:rPr>
            </w:pPr>
            <w:r w:rsidRPr="002506BA">
              <w:rPr>
                <w:sz w:val="18"/>
                <w:szCs w:val="18"/>
                <w:lang w:val="es-MX"/>
              </w:rPr>
              <w:t>Se asume una distribución de probabilidad normal con</w:t>
            </w:r>
            <w:r w:rsidR="00E23A28">
              <w:rPr>
                <w:sz w:val="18"/>
                <w:szCs w:val="18"/>
                <w:lang w:val="es-MX"/>
              </w:rPr>
              <w:t>:</w:t>
            </w:r>
          </w:p>
          <w:p w14:paraId="16AA5693" w14:textId="69794C8D" w:rsidR="00E23A28" w:rsidRDefault="00E23A28" w:rsidP="00E23A28">
            <w:pPr>
              <w:ind w:left="708"/>
              <w:rPr>
                <w:sz w:val="18"/>
                <w:szCs w:val="18"/>
                <w:lang w:val="es-MX"/>
              </w:rPr>
            </w:pPr>
            <w:r w:rsidRPr="00E23A28">
              <w:rPr>
                <w:i/>
                <w:sz w:val="18"/>
                <w:szCs w:val="18"/>
                <w:lang w:val="es-MX"/>
              </w:rPr>
              <w:t>Media</w:t>
            </w:r>
            <w:r>
              <w:rPr>
                <w:sz w:val="18"/>
                <w:szCs w:val="18"/>
                <w:lang w:val="es-MX"/>
              </w:rPr>
              <w:t xml:space="preserve">: igual al valor medio resultado del modelo ARIMA. </w:t>
            </w:r>
          </w:p>
          <w:p w14:paraId="63730447" w14:textId="5165A912" w:rsidR="00E23A28" w:rsidRPr="00E23A28" w:rsidRDefault="00E23A28" w:rsidP="00E23A28">
            <w:pPr>
              <w:ind w:left="708"/>
              <w:rPr>
                <w:sz w:val="18"/>
                <w:szCs w:val="18"/>
                <w:lang w:val="es-MX"/>
              </w:rPr>
            </w:pPr>
            <w:r w:rsidRPr="00E23A28">
              <w:rPr>
                <w:i/>
                <w:sz w:val="18"/>
                <w:szCs w:val="18"/>
                <w:lang w:val="es-MX"/>
              </w:rPr>
              <w:t>D</w:t>
            </w:r>
            <w:r>
              <w:rPr>
                <w:i/>
                <w:sz w:val="18"/>
                <w:szCs w:val="18"/>
                <w:lang w:val="es-MX"/>
              </w:rPr>
              <w:t xml:space="preserve">esviación estándar: </w:t>
            </w:r>
            <w:r>
              <w:rPr>
                <w:sz w:val="18"/>
                <w:szCs w:val="18"/>
                <w:lang w:val="es-MX"/>
              </w:rPr>
              <w:t>Igual al promedio de la diferencia entre el valor medio y los límites de rango entre 15% y 85% de probabilidad del modelo ARIMA</w:t>
            </w:r>
          </w:p>
          <w:p w14:paraId="2A522A2F" w14:textId="426926BF" w:rsidR="00E23A28" w:rsidRPr="00E23A28" w:rsidRDefault="00E23A28" w:rsidP="00E23A28">
            <w:pPr>
              <w:ind w:left="708"/>
              <w:rPr>
                <w:sz w:val="18"/>
                <w:szCs w:val="18"/>
                <w:lang w:val="es-MX"/>
              </w:rPr>
            </w:pPr>
            <w:r w:rsidRPr="00E23A28">
              <w:rPr>
                <w:i/>
                <w:sz w:val="18"/>
                <w:szCs w:val="18"/>
                <w:lang w:val="es-MX"/>
              </w:rPr>
              <w:t>Acotada</w:t>
            </w:r>
            <w:r>
              <w:rPr>
                <w:sz w:val="18"/>
                <w:szCs w:val="18"/>
                <w:lang w:val="es-MX"/>
              </w:rPr>
              <w:t>: Entre los límites de rango entre 10% y 90% de probabilidad del modelo ARIMA</w:t>
            </w:r>
          </w:p>
          <w:p w14:paraId="687CD822" w14:textId="202E4678" w:rsidR="00FB3825" w:rsidRPr="002506BA" w:rsidRDefault="00FB3825" w:rsidP="00E23A28">
            <w:pPr>
              <w:ind w:left="708"/>
              <w:rPr>
                <w:sz w:val="18"/>
                <w:szCs w:val="18"/>
                <w:lang w:val="es-MX"/>
              </w:rPr>
            </w:pPr>
          </w:p>
          <w:p w14:paraId="52AB1F14" w14:textId="77777777" w:rsidR="00FB3825" w:rsidRPr="002506BA" w:rsidRDefault="00FB3825" w:rsidP="00DB6731">
            <w:pPr>
              <w:rPr>
                <w:sz w:val="18"/>
                <w:szCs w:val="18"/>
                <w:lang w:val="es-MX"/>
              </w:rPr>
            </w:pPr>
          </w:p>
          <w:p w14:paraId="1124C963" w14:textId="77777777" w:rsidR="00B40C7A" w:rsidRPr="002506BA" w:rsidRDefault="00B40C7A" w:rsidP="00DB6731">
            <w:pPr>
              <w:rPr>
                <w:sz w:val="18"/>
                <w:szCs w:val="18"/>
                <w:lang w:val="es-MX"/>
              </w:rPr>
            </w:pPr>
            <w:r w:rsidRPr="002506BA">
              <w:rPr>
                <w:i/>
                <w:sz w:val="18"/>
                <w:szCs w:val="18"/>
                <w:u w:val="single"/>
                <w:lang w:val="es-MX"/>
              </w:rPr>
              <w:t>Variable Resultado:</w:t>
            </w:r>
            <w:r w:rsidRPr="002506BA">
              <w:rPr>
                <w:sz w:val="18"/>
                <w:szCs w:val="18"/>
                <w:lang w:val="es-MX"/>
              </w:rPr>
              <w:t xml:space="preserve"> Variación en el tiempo del costo total de obra por escalamiento de precios de insumos básicos.</w:t>
            </w:r>
          </w:p>
          <w:p w14:paraId="4B4E8DC4" w14:textId="77777777" w:rsidR="00B40C7A" w:rsidRPr="002506BA" w:rsidRDefault="00B40C7A" w:rsidP="00DB6731">
            <w:pPr>
              <w:rPr>
                <w:sz w:val="18"/>
                <w:szCs w:val="18"/>
                <w:lang w:val="es-MX"/>
              </w:rPr>
            </w:pPr>
          </w:p>
          <w:p w14:paraId="1FA177E4" w14:textId="77777777" w:rsidR="00B40C7A" w:rsidRPr="002506BA" w:rsidRDefault="00B40C7A" w:rsidP="00DB6731">
            <w:pPr>
              <w:rPr>
                <w:sz w:val="18"/>
                <w:szCs w:val="18"/>
                <w:lang w:val="es-MX"/>
              </w:rPr>
            </w:pPr>
          </w:p>
          <w:p w14:paraId="10811795" w14:textId="0730E99C" w:rsidR="00B40C7A" w:rsidRDefault="00FB3825" w:rsidP="00DB6731">
            <w:pPr>
              <w:rPr>
                <w:i/>
                <w:sz w:val="18"/>
                <w:szCs w:val="18"/>
                <w:u w:val="single"/>
                <w:lang w:val="es-MX"/>
              </w:rPr>
            </w:pPr>
            <w:r>
              <w:rPr>
                <w:i/>
                <w:sz w:val="18"/>
                <w:szCs w:val="18"/>
                <w:u w:val="single"/>
                <w:lang w:val="es-MX"/>
              </w:rPr>
              <w:t>Plazo de Evaluación</w:t>
            </w:r>
            <w:r w:rsidR="00B40C7A" w:rsidRPr="002506BA">
              <w:rPr>
                <w:i/>
                <w:sz w:val="18"/>
                <w:szCs w:val="18"/>
                <w:u w:val="single"/>
                <w:lang w:val="es-MX"/>
              </w:rPr>
              <w:t>:</w:t>
            </w:r>
          </w:p>
          <w:p w14:paraId="7E7E4CE9" w14:textId="5AA53436" w:rsidR="00E23A28" w:rsidRPr="002506BA" w:rsidRDefault="00E23A28" w:rsidP="00E23A28">
            <w:pPr>
              <w:rPr>
                <w:sz w:val="18"/>
                <w:szCs w:val="18"/>
                <w:lang w:val="es-MX"/>
              </w:rPr>
            </w:pPr>
            <w:r w:rsidRPr="002506BA">
              <w:rPr>
                <w:sz w:val="18"/>
                <w:szCs w:val="18"/>
                <w:lang w:val="es-MX"/>
              </w:rPr>
              <w:lastRenderedPageBreak/>
              <w:t>Se tomará un plaz</w:t>
            </w:r>
            <w:r w:rsidR="002132EE">
              <w:rPr>
                <w:sz w:val="18"/>
                <w:szCs w:val="18"/>
                <w:lang w:val="es-MX"/>
              </w:rPr>
              <w:t>o base sobre el cual se aplica</w:t>
            </w:r>
            <w:r w:rsidRPr="002506BA">
              <w:rPr>
                <w:sz w:val="18"/>
                <w:szCs w:val="18"/>
                <w:lang w:val="es-MX"/>
              </w:rPr>
              <w:t>n factores de ajuste en función de expectativas en la variación de costos de los insumos de obra</w:t>
            </w:r>
            <w:r w:rsidR="002132EE">
              <w:rPr>
                <w:sz w:val="18"/>
                <w:szCs w:val="18"/>
                <w:lang w:val="es-MX"/>
              </w:rPr>
              <w:t xml:space="preserve">. El plazo </w:t>
            </w:r>
            <w:r w:rsidR="002132EE" w:rsidRPr="002132EE">
              <w:rPr>
                <w:sz w:val="18"/>
                <w:szCs w:val="18"/>
                <w:lang w:val="es-MX"/>
              </w:rPr>
              <w:t>del proyecto se estima en 40 meses, iniciand</w:t>
            </w:r>
            <w:r w:rsidR="002132EE">
              <w:rPr>
                <w:sz w:val="18"/>
                <w:szCs w:val="18"/>
                <w:lang w:val="es-MX"/>
              </w:rPr>
              <w:t>o en el primer semestre de 2018</w:t>
            </w:r>
            <w:r w:rsidR="002132EE" w:rsidRPr="002132EE">
              <w:rPr>
                <w:sz w:val="18"/>
                <w:szCs w:val="18"/>
                <w:lang w:val="es-MX"/>
              </w:rPr>
              <w:t>, los cuales contemplan contingencia de paro de obra por periodo de lluvias</w:t>
            </w:r>
          </w:p>
          <w:p w14:paraId="7A7EB014" w14:textId="77777777" w:rsidR="00E23A28" w:rsidRPr="002506BA" w:rsidRDefault="00E23A28" w:rsidP="00DB6731">
            <w:pPr>
              <w:rPr>
                <w:i/>
                <w:sz w:val="18"/>
                <w:szCs w:val="18"/>
                <w:u w:val="single"/>
                <w:lang w:val="es-MX"/>
              </w:rPr>
            </w:pPr>
          </w:p>
          <w:p w14:paraId="76D8548D" w14:textId="77777777" w:rsidR="00B40C7A" w:rsidRPr="002506BA" w:rsidRDefault="00B40C7A" w:rsidP="00DB6731">
            <w:pPr>
              <w:rPr>
                <w:sz w:val="18"/>
                <w:szCs w:val="18"/>
                <w:lang w:val="es-MX"/>
              </w:rPr>
            </w:pPr>
          </w:p>
          <w:p w14:paraId="6430A0DA" w14:textId="5651B3BE" w:rsidR="00B40C7A" w:rsidRPr="002506BA" w:rsidRDefault="00B40C7A" w:rsidP="00DB6731">
            <w:pPr>
              <w:rPr>
                <w:sz w:val="18"/>
                <w:szCs w:val="18"/>
              </w:rPr>
            </w:pPr>
            <w:r w:rsidRPr="002506BA">
              <w:rPr>
                <w:sz w:val="18"/>
                <w:szCs w:val="18"/>
              </w:rPr>
              <w:t>Para la variación de costos en el plazo de construcción se asumió la siguiente ejecución</w:t>
            </w:r>
            <w:r w:rsidR="00990B4D">
              <w:rPr>
                <w:sz w:val="18"/>
                <w:szCs w:val="18"/>
              </w:rPr>
              <w:t xml:space="preserve"> presupuestal</w:t>
            </w:r>
            <w:r w:rsidRPr="002506BA">
              <w:rPr>
                <w:sz w:val="18"/>
                <w:szCs w:val="18"/>
              </w:rPr>
              <w:t>:</w:t>
            </w:r>
          </w:p>
          <w:p w14:paraId="3897C04F" w14:textId="77777777" w:rsidR="00B40C7A" w:rsidRPr="002506BA" w:rsidRDefault="00B40C7A" w:rsidP="00DB6731">
            <w:pPr>
              <w:rPr>
                <w:sz w:val="18"/>
                <w:szCs w:val="18"/>
              </w:rPr>
            </w:pPr>
          </w:p>
          <w:p w14:paraId="30B96CDE" w14:textId="1101CD46" w:rsidR="00B40C7A" w:rsidRPr="002506BA" w:rsidRDefault="00990B4D" w:rsidP="00DB6731">
            <w:pPr>
              <w:rPr>
                <w:sz w:val="18"/>
                <w:szCs w:val="18"/>
              </w:rPr>
            </w:pPr>
            <w:r>
              <w:rPr>
                <w:sz w:val="18"/>
                <w:szCs w:val="18"/>
              </w:rPr>
              <w:t>Año 1: 30</w:t>
            </w:r>
            <w:r w:rsidR="00B40C7A" w:rsidRPr="002506BA">
              <w:rPr>
                <w:sz w:val="18"/>
                <w:szCs w:val="18"/>
              </w:rPr>
              <w:t>%</w:t>
            </w:r>
          </w:p>
          <w:p w14:paraId="54925624" w14:textId="1184ABB2" w:rsidR="00B40C7A" w:rsidRDefault="00990B4D" w:rsidP="00DB6731">
            <w:pPr>
              <w:rPr>
                <w:sz w:val="18"/>
                <w:szCs w:val="18"/>
              </w:rPr>
            </w:pPr>
            <w:r>
              <w:rPr>
                <w:sz w:val="18"/>
                <w:szCs w:val="18"/>
              </w:rPr>
              <w:t>Año</w:t>
            </w:r>
            <w:r w:rsidR="00B40C7A" w:rsidRPr="002506BA">
              <w:rPr>
                <w:sz w:val="18"/>
                <w:szCs w:val="18"/>
              </w:rPr>
              <w:t xml:space="preserve"> 2: </w:t>
            </w:r>
            <w:r>
              <w:rPr>
                <w:sz w:val="18"/>
                <w:szCs w:val="18"/>
              </w:rPr>
              <w:t>30</w:t>
            </w:r>
            <w:r w:rsidRPr="002506BA">
              <w:rPr>
                <w:sz w:val="18"/>
                <w:szCs w:val="18"/>
              </w:rPr>
              <w:t>%</w:t>
            </w:r>
          </w:p>
          <w:p w14:paraId="7BCD29CD" w14:textId="3AEF1AA4" w:rsidR="00990B4D" w:rsidRPr="002506BA" w:rsidRDefault="00990B4D" w:rsidP="00990B4D">
            <w:pPr>
              <w:rPr>
                <w:sz w:val="18"/>
                <w:szCs w:val="18"/>
              </w:rPr>
            </w:pPr>
            <w:r>
              <w:rPr>
                <w:sz w:val="18"/>
                <w:szCs w:val="18"/>
              </w:rPr>
              <w:t>Año 3</w:t>
            </w:r>
            <w:r w:rsidRPr="002506BA">
              <w:rPr>
                <w:sz w:val="18"/>
                <w:szCs w:val="18"/>
              </w:rPr>
              <w:t xml:space="preserve">: </w:t>
            </w:r>
            <w:r>
              <w:rPr>
                <w:sz w:val="18"/>
                <w:szCs w:val="18"/>
              </w:rPr>
              <w:t>30</w:t>
            </w:r>
            <w:r w:rsidRPr="002506BA">
              <w:rPr>
                <w:sz w:val="18"/>
                <w:szCs w:val="18"/>
              </w:rPr>
              <w:t>%</w:t>
            </w:r>
          </w:p>
          <w:p w14:paraId="26CE5523" w14:textId="28F93F52" w:rsidR="00990B4D" w:rsidRPr="002506BA" w:rsidRDefault="00990B4D" w:rsidP="00990B4D">
            <w:pPr>
              <w:rPr>
                <w:sz w:val="18"/>
                <w:szCs w:val="18"/>
              </w:rPr>
            </w:pPr>
            <w:r>
              <w:rPr>
                <w:sz w:val="18"/>
                <w:szCs w:val="18"/>
              </w:rPr>
              <w:t>Año 4: 10</w:t>
            </w:r>
            <w:r w:rsidRPr="002506BA">
              <w:rPr>
                <w:sz w:val="18"/>
                <w:szCs w:val="18"/>
              </w:rPr>
              <w:t>%</w:t>
            </w:r>
            <w:r>
              <w:rPr>
                <w:sz w:val="18"/>
                <w:szCs w:val="18"/>
              </w:rPr>
              <w:t xml:space="preserve"> (primer cuatrimestre)</w:t>
            </w:r>
          </w:p>
          <w:p w14:paraId="41DAE45C" w14:textId="77777777" w:rsidR="00B40C7A" w:rsidRPr="002506BA" w:rsidRDefault="00B40C7A" w:rsidP="00990B4D">
            <w:pPr>
              <w:rPr>
                <w:sz w:val="18"/>
                <w:szCs w:val="18"/>
                <w:lang w:val="es-MX"/>
              </w:rPr>
            </w:pPr>
          </w:p>
        </w:tc>
      </w:tr>
      <w:tr w:rsidR="00B40C7A" w:rsidRPr="007D5463" w14:paraId="4D2ECB4C" w14:textId="77777777" w:rsidTr="00603F21">
        <w:trPr>
          <w:trHeight w:val="642"/>
        </w:trPr>
        <w:tc>
          <w:tcPr>
            <w:tcW w:w="2263" w:type="dxa"/>
          </w:tcPr>
          <w:p w14:paraId="53E7AE59" w14:textId="77777777" w:rsidR="00B40C7A" w:rsidRPr="002506BA" w:rsidRDefault="00B40C7A" w:rsidP="00DB6731">
            <w:pPr>
              <w:rPr>
                <w:sz w:val="18"/>
                <w:szCs w:val="18"/>
                <w:lang w:val="es-MX"/>
              </w:rPr>
            </w:pPr>
            <w:r w:rsidRPr="002506BA">
              <w:rPr>
                <w:sz w:val="18"/>
                <w:szCs w:val="18"/>
                <w:lang w:val="es-MX"/>
              </w:rPr>
              <w:lastRenderedPageBreak/>
              <w:t>Variación en Cantidades de Obra</w:t>
            </w:r>
          </w:p>
        </w:tc>
        <w:tc>
          <w:tcPr>
            <w:tcW w:w="6663" w:type="dxa"/>
          </w:tcPr>
          <w:p w14:paraId="7A185E27" w14:textId="01B63C2C" w:rsidR="00B40C7A" w:rsidRDefault="00B40C7A" w:rsidP="00DB6731">
            <w:pPr>
              <w:rPr>
                <w:sz w:val="18"/>
                <w:szCs w:val="18"/>
                <w:lang w:val="es-MX"/>
              </w:rPr>
            </w:pPr>
            <w:r w:rsidRPr="002506BA">
              <w:rPr>
                <w:i/>
                <w:sz w:val="18"/>
                <w:szCs w:val="18"/>
                <w:u w:val="single"/>
                <w:lang w:val="es-MX"/>
              </w:rPr>
              <w:t>Variables Aleatorias:</w:t>
            </w:r>
            <w:r w:rsidRPr="002506BA">
              <w:rPr>
                <w:sz w:val="18"/>
                <w:szCs w:val="18"/>
                <w:lang w:val="es-MX"/>
              </w:rPr>
              <w:t xml:space="preserve"> Variación en el tiempo de cantidades de obra por rubro de presupuesto.</w:t>
            </w:r>
          </w:p>
          <w:p w14:paraId="472F1570" w14:textId="29269FF3" w:rsidR="00990B4D" w:rsidRDefault="00990B4D" w:rsidP="00DB6731">
            <w:pPr>
              <w:rPr>
                <w:sz w:val="18"/>
                <w:szCs w:val="18"/>
                <w:lang w:val="es-MX"/>
              </w:rPr>
            </w:pPr>
          </w:p>
          <w:p w14:paraId="59B4D830" w14:textId="3D8E82B6" w:rsidR="00990B4D" w:rsidRDefault="00080D84" w:rsidP="00DB6731">
            <w:pPr>
              <w:rPr>
                <w:sz w:val="18"/>
                <w:szCs w:val="18"/>
                <w:lang w:val="es-MX"/>
              </w:rPr>
            </w:pPr>
            <w:r>
              <w:rPr>
                <w:sz w:val="18"/>
                <w:szCs w:val="18"/>
                <w:lang w:val="es-MX"/>
              </w:rPr>
              <w:t>S</w:t>
            </w:r>
            <w:r w:rsidRPr="00080D84">
              <w:rPr>
                <w:sz w:val="18"/>
                <w:szCs w:val="18"/>
                <w:lang w:val="es-MX"/>
              </w:rPr>
              <w:t xml:space="preserve">e opta por trabajar un riesgo de costos adicionales de un orden promedio de 3% como porcentaje del costo total de obra, siguiendo una distribución normal con desviación estándar de 1%. (ver numeral </w:t>
            </w:r>
            <w:r w:rsidRPr="00080D84">
              <w:rPr>
                <w:sz w:val="18"/>
                <w:szCs w:val="18"/>
                <w:lang w:val="es-MX"/>
              </w:rPr>
              <w:fldChar w:fldCharType="begin"/>
            </w:r>
            <w:r w:rsidRPr="00080D84">
              <w:rPr>
                <w:sz w:val="18"/>
                <w:szCs w:val="18"/>
                <w:lang w:val="es-MX"/>
              </w:rPr>
              <w:instrText xml:space="preserve"> REF _Ref484589166 \r \h </w:instrText>
            </w:r>
            <w:r>
              <w:rPr>
                <w:sz w:val="18"/>
                <w:szCs w:val="18"/>
                <w:lang w:val="es-MX"/>
              </w:rPr>
              <w:instrText xml:space="preserve"> \* MERGEFORMAT </w:instrText>
            </w:r>
            <w:r w:rsidRPr="00080D84">
              <w:rPr>
                <w:sz w:val="18"/>
                <w:szCs w:val="18"/>
                <w:lang w:val="es-MX"/>
              </w:rPr>
            </w:r>
            <w:r w:rsidRPr="00080D84">
              <w:rPr>
                <w:sz w:val="18"/>
                <w:szCs w:val="18"/>
                <w:lang w:val="es-MX"/>
              </w:rPr>
              <w:fldChar w:fldCharType="separate"/>
            </w:r>
            <w:r w:rsidR="00011CB8">
              <w:rPr>
                <w:sz w:val="18"/>
                <w:szCs w:val="18"/>
                <w:lang w:val="es-MX"/>
              </w:rPr>
              <w:t>7.4</w:t>
            </w:r>
            <w:r w:rsidRPr="00080D84">
              <w:rPr>
                <w:sz w:val="18"/>
                <w:szCs w:val="18"/>
                <w:lang w:val="es-MX"/>
              </w:rPr>
              <w:fldChar w:fldCharType="end"/>
            </w:r>
            <w:r>
              <w:rPr>
                <w:sz w:val="18"/>
                <w:szCs w:val="18"/>
                <w:lang w:val="es-MX"/>
              </w:rPr>
              <w:t xml:space="preserve"> </w:t>
            </w:r>
            <w:r w:rsidRPr="00080D84">
              <w:rPr>
                <w:sz w:val="18"/>
                <w:szCs w:val="18"/>
                <w:lang w:val="es-MX"/>
              </w:rPr>
              <w:fldChar w:fldCharType="begin"/>
            </w:r>
            <w:r w:rsidRPr="00080D84">
              <w:rPr>
                <w:sz w:val="18"/>
                <w:szCs w:val="18"/>
                <w:lang w:val="es-MX"/>
              </w:rPr>
              <w:instrText xml:space="preserve"> REF _Ref484589172 \h </w:instrText>
            </w:r>
            <w:r>
              <w:rPr>
                <w:sz w:val="18"/>
                <w:szCs w:val="18"/>
                <w:lang w:val="es-MX"/>
              </w:rPr>
              <w:instrText xml:space="preserve"> \* MERGEFORMAT </w:instrText>
            </w:r>
            <w:r w:rsidRPr="00080D84">
              <w:rPr>
                <w:sz w:val="18"/>
                <w:szCs w:val="18"/>
                <w:lang w:val="es-MX"/>
              </w:rPr>
            </w:r>
            <w:r w:rsidRPr="00080D84">
              <w:rPr>
                <w:sz w:val="18"/>
                <w:szCs w:val="18"/>
                <w:lang w:val="es-MX"/>
              </w:rPr>
              <w:fldChar w:fldCharType="separate"/>
            </w:r>
            <w:r w:rsidR="00011CB8" w:rsidRPr="00011CB8">
              <w:rPr>
                <w:sz w:val="18"/>
                <w:szCs w:val="18"/>
              </w:rPr>
              <w:t>Riesgo de Costos Adicionales</w:t>
            </w:r>
            <w:r w:rsidRPr="00080D84">
              <w:rPr>
                <w:sz w:val="18"/>
                <w:szCs w:val="18"/>
                <w:lang w:val="es-MX"/>
              </w:rPr>
              <w:fldChar w:fldCharType="end"/>
            </w:r>
            <w:r w:rsidRPr="00080D84">
              <w:rPr>
                <w:sz w:val="18"/>
                <w:szCs w:val="18"/>
                <w:lang w:val="es-MX"/>
              </w:rPr>
              <w:t>)</w:t>
            </w:r>
          </w:p>
          <w:p w14:paraId="10151D7A" w14:textId="77777777" w:rsidR="00990B4D" w:rsidRPr="002506BA" w:rsidRDefault="00990B4D" w:rsidP="00DB6731">
            <w:pPr>
              <w:rPr>
                <w:sz w:val="18"/>
                <w:szCs w:val="18"/>
                <w:lang w:val="es-MX"/>
              </w:rPr>
            </w:pPr>
          </w:p>
          <w:p w14:paraId="13E0E57F" w14:textId="77777777" w:rsidR="00B40C7A" w:rsidRPr="002506BA" w:rsidRDefault="00B40C7A" w:rsidP="00DB6731">
            <w:pPr>
              <w:rPr>
                <w:sz w:val="18"/>
                <w:szCs w:val="18"/>
                <w:lang w:val="es-MX"/>
              </w:rPr>
            </w:pPr>
            <w:r w:rsidRPr="002506BA">
              <w:rPr>
                <w:i/>
                <w:sz w:val="18"/>
                <w:szCs w:val="18"/>
                <w:u w:val="single"/>
                <w:lang w:val="es-MX"/>
              </w:rPr>
              <w:t>Variable Resultado:</w:t>
            </w:r>
            <w:r w:rsidRPr="002506BA">
              <w:rPr>
                <w:sz w:val="18"/>
                <w:szCs w:val="18"/>
                <w:lang w:val="es-MX"/>
              </w:rPr>
              <w:t xml:space="preserve"> Variación en el tiempo del costo total de obra por variaciones en cantidades de obra.</w:t>
            </w:r>
          </w:p>
          <w:p w14:paraId="637651D9" w14:textId="34283A65" w:rsidR="00B40C7A" w:rsidRPr="00990B4D" w:rsidRDefault="00B40C7A" w:rsidP="00990B4D">
            <w:pPr>
              <w:rPr>
                <w:sz w:val="18"/>
                <w:szCs w:val="18"/>
              </w:rPr>
            </w:pPr>
          </w:p>
        </w:tc>
      </w:tr>
      <w:tr w:rsidR="00B40C7A" w:rsidRPr="007D5463" w14:paraId="457C04F2" w14:textId="77777777" w:rsidTr="00603F21">
        <w:tc>
          <w:tcPr>
            <w:tcW w:w="2263" w:type="dxa"/>
          </w:tcPr>
          <w:p w14:paraId="1739F7CE" w14:textId="77777777" w:rsidR="00B40C7A" w:rsidRPr="002506BA" w:rsidRDefault="00B40C7A" w:rsidP="00DB6731">
            <w:pPr>
              <w:rPr>
                <w:sz w:val="18"/>
                <w:szCs w:val="18"/>
                <w:lang w:val="es-MX"/>
              </w:rPr>
            </w:pPr>
            <w:r w:rsidRPr="002506BA">
              <w:rPr>
                <w:sz w:val="18"/>
                <w:szCs w:val="18"/>
                <w:lang w:val="es-MX"/>
              </w:rPr>
              <w:t>Obras Adicionales NO Previstas</w:t>
            </w:r>
          </w:p>
        </w:tc>
        <w:tc>
          <w:tcPr>
            <w:tcW w:w="6663" w:type="dxa"/>
          </w:tcPr>
          <w:p w14:paraId="25E46178" w14:textId="77777777" w:rsidR="00B40C7A" w:rsidRPr="002506BA" w:rsidRDefault="00B40C7A" w:rsidP="00DB6731">
            <w:pPr>
              <w:rPr>
                <w:sz w:val="18"/>
                <w:szCs w:val="18"/>
                <w:lang w:val="es-MX"/>
              </w:rPr>
            </w:pPr>
            <w:r w:rsidRPr="002506BA">
              <w:rPr>
                <w:sz w:val="18"/>
                <w:szCs w:val="18"/>
                <w:lang w:val="es-MX"/>
              </w:rPr>
              <w:t>Dado que la evidencia demuestra la baja probabilidad e impacto del evento, se asumió impacto cero (0).</w:t>
            </w:r>
          </w:p>
        </w:tc>
      </w:tr>
      <w:tr w:rsidR="00B40C7A" w:rsidRPr="007D5463" w14:paraId="0A5295E7" w14:textId="77777777" w:rsidTr="00603F21">
        <w:tc>
          <w:tcPr>
            <w:tcW w:w="2263" w:type="dxa"/>
          </w:tcPr>
          <w:p w14:paraId="41D69546" w14:textId="77777777" w:rsidR="00B40C7A" w:rsidRPr="002506BA" w:rsidRDefault="00B40C7A" w:rsidP="00DB6731">
            <w:pPr>
              <w:rPr>
                <w:sz w:val="18"/>
                <w:szCs w:val="18"/>
                <w:lang w:val="es-MX"/>
              </w:rPr>
            </w:pPr>
            <w:r w:rsidRPr="002506BA">
              <w:rPr>
                <w:sz w:val="18"/>
                <w:szCs w:val="18"/>
                <w:lang w:val="es-MX"/>
              </w:rPr>
              <w:t>Riesgo Cambiario</w:t>
            </w:r>
          </w:p>
        </w:tc>
        <w:tc>
          <w:tcPr>
            <w:tcW w:w="6663" w:type="dxa"/>
          </w:tcPr>
          <w:p w14:paraId="33D4EB45" w14:textId="59F29274" w:rsidR="00B40C7A" w:rsidRPr="002506BA" w:rsidRDefault="006906BA" w:rsidP="00DB6731">
            <w:pPr>
              <w:rPr>
                <w:sz w:val="18"/>
                <w:szCs w:val="18"/>
                <w:lang w:val="es-MX"/>
              </w:rPr>
            </w:pPr>
            <w:r>
              <w:rPr>
                <w:sz w:val="18"/>
                <w:szCs w:val="18"/>
                <w:lang w:val="es-MX"/>
              </w:rPr>
              <w:t>Se percibe nulo.</w:t>
            </w:r>
          </w:p>
        </w:tc>
      </w:tr>
    </w:tbl>
    <w:p w14:paraId="1D4D7E9C" w14:textId="77777777" w:rsidR="00B40C7A" w:rsidRPr="006906BA" w:rsidRDefault="00B40C7A" w:rsidP="006906BA">
      <w:pPr>
        <w:jc w:val="center"/>
        <w:rPr>
          <w:sz w:val="18"/>
          <w:szCs w:val="18"/>
          <w:lang w:val="es-MX"/>
        </w:rPr>
      </w:pPr>
      <w:r w:rsidRPr="006906BA">
        <w:rPr>
          <w:sz w:val="18"/>
          <w:szCs w:val="18"/>
          <w:lang w:val="es-MX"/>
        </w:rPr>
        <w:t>Fuente: Elaboración Propia</w:t>
      </w:r>
    </w:p>
    <w:p w14:paraId="40FEE949" w14:textId="77777777" w:rsidR="00B40C7A" w:rsidRPr="007D5463" w:rsidRDefault="00B40C7A" w:rsidP="00B40C7A">
      <w:pPr>
        <w:rPr>
          <w:lang w:val="es-MX"/>
        </w:rPr>
      </w:pPr>
    </w:p>
    <w:p w14:paraId="0E485B5B" w14:textId="2F7EE804" w:rsidR="00B40C7A" w:rsidRPr="007D5463" w:rsidRDefault="00B40C7A" w:rsidP="00B40C7A">
      <w:pPr>
        <w:rPr>
          <w:lang w:val="es-MX"/>
        </w:rPr>
      </w:pPr>
      <w:r w:rsidRPr="007D5463">
        <w:rPr>
          <w:lang w:val="es-MX"/>
        </w:rPr>
        <w:t>Para el análisis se empleó el Método de Montecarlo empleando una macro comercial y como plataforma de cálculo la hoja electrónica Microsoft EXCEL. Las variables probabilísticas corresponden a costos y cantidades que hacen parte de un modelo simplificado de costos de obra, con base en los presupuestos hasta el momen</w:t>
      </w:r>
      <w:r>
        <w:rPr>
          <w:lang w:val="es-MX"/>
        </w:rPr>
        <w:t xml:space="preserve">to oficiales suministrados por el </w:t>
      </w:r>
      <w:r w:rsidR="007239B2">
        <w:rPr>
          <w:lang w:val="es-MX"/>
        </w:rPr>
        <w:t>ABC</w:t>
      </w:r>
      <w:r w:rsidRPr="007D5463">
        <w:rPr>
          <w:lang w:val="es-MX"/>
        </w:rPr>
        <w:t>. Finalmente, se encontró la curva de distribución de probabilidad del porcentaje de costos adicionales sobre el valor base de la obra.</w:t>
      </w:r>
    </w:p>
    <w:p w14:paraId="1CDABA65" w14:textId="4AC2E5E5" w:rsidR="00B40C7A" w:rsidRDefault="00B40C7A" w:rsidP="00E25E91"/>
    <w:p w14:paraId="15E65A22" w14:textId="77777777" w:rsidR="002506BA" w:rsidRDefault="002506BA">
      <w:pPr>
        <w:rPr>
          <w:rFonts w:asciiTheme="majorHAnsi" w:eastAsiaTheme="majorEastAsia" w:hAnsiTheme="majorHAnsi" w:cstheme="majorBidi"/>
          <w:b/>
          <w:bCs/>
          <w:color w:val="4F81BD" w:themeColor="accent1"/>
          <w:sz w:val="26"/>
          <w:szCs w:val="26"/>
        </w:rPr>
      </w:pPr>
      <w:bookmarkStart w:id="67" w:name="_Toc427650644"/>
      <w:r>
        <w:br w:type="page"/>
      </w:r>
    </w:p>
    <w:p w14:paraId="392C06D5" w14:textId="1B89F0C4" w:rsidR="00B40C7A" w:rsidRPr="00277E7A" w:rsidRDefault="00B40C7A" w:rsidP="00B40C7A">
      <w:pPr>
        <w:pStyle w:val="Heading2"/>
      </w:pPr>
      <w:bookmarkStart w:id="68" w:name="_Toc484602615"/>
      <w:r>
        <w:lastRenderedPageBreak/>
        <w:t>Valoración de variación entre precios de referencia y precios ofertados</w:t>
      </w:r>
      <w:bookmarkEnd w:id="67"/>
      <w:bookmarkEnd w:id="68"/>
    </w:p>
    <w:p w14:paraId="690EE129" w14:textId="77777777" w:rsidR="00B40C7A" w:rsidRPr="00A003A7" w:rsidRDefault="00B40C7A" w:rsidP="00B40C7A"/>
    <w:p w14:paraId="26BE0150" w14:textId="19C57D72" w:rsidR="00B40C7A" w:rsidRDefault="00443B14" w:rsidP="00B40C7A">
      <w:r>
        <w:t>Considerando</w:t>
      </w:r>
      <w:r w:rsidR="003336F3">
        <w:t xml:space="preserve"> los supuestos presentados en el</w:t>
      </w:r>
      <w:r>
        <w:t xml:space="preserve"> </w:t>
      </w:r>
      <w:r w:rsidR="003336F3" w:rsidRPr="003336F3">
        <w:t xml:space="preserve">numeral </w:t>
      </w:r>
      <w:r w:rsidR="003336F3" w:rsidRPr="003336F3">
        <w:fldChar w:fldCharType="begin"/>
      </w:r>
      <w:r w:rsidR="003336F3" w:rsidRPr="003336F3">
        <w:instrText xml:space="preserve"> REF _Ref484586821 \r \h  \* MERGEFORMAT </w:instrText>
      </w:r>
      <w:r w:rsidR="003336F3" w:rsidRPr="003336F3">
        <w:fldChar w:fldCharType="separate"/>
      </w:r>
      <w:r w:rsidR="00011CB8">
        <w:t>7.2</w:t>
      </w:r>
      <w:r w:rsidR="003336F3" w:rsidRPr="003336F3">
        <w:fldChar w:fldCharType="end"/>
      </w:r>
      <w:r w:rsidR="003336F3" w:rsidRPr="003336F3">
        <w:t xml:space="preserve"> </w:t>
      </w:r>
      <w:r w:rsidR="003336F3" w:rsidRPr="003336F3">
        <w:fldChar w:fldCharType="begin"/>
      </w:r>
      <w:r w:rsidR="003336F3" w:rsidRPr="003336F3">
        <w:instrText xml:space="preserve"> REF _Ref484586824 \h  \* MERGEFORMAT </w:instrText>
      </w:r>
      <w:r w:rsidR="003336F3" w:rsidRPr="003336F3">
        <w:fldChar w:fldCharType="separate"/>
      </w:r>
      <w:r w:rsidR="00011CB8" w:rsidRPr="0063089B">
        <w:t>Variación entre precios de referencia y precios ofertados en el proceso licitatorio</w:t>
      </w:r>
      <w:r w:rsidR="003336F3" w:rsidRPr="003336F3">
        <w:fldChar w:fldCharType="end"/>
      </w:r>
      <w:r w:rsidR="003336F3">
        <w:t xml:space="preserve">, y esquema de modelación presentado en la </w:t>
      </w:r>
      <w:r w:rsidR="003336F3">
        <w:fldChar w:fldCharType="begin"/>
      </w:r>
      <w:r w:rsidR="003336F3">
        <w:instrText xml:space="preserve"> REF _Ref358366925 \h </w:instrText>
      </w:r>
      <w:r w:rsidR="003336F3">
        <w:fldChar w:fldCharType="separate"/>
      </w:r>
      <w:r w:rsidR="00011CB8" w:rsidRPr="007D5463">
        <w:t xml:space="preserve">Tabla </w:t>
      </w:r>
      <w:r w:rsidR="00011CB8">
        <w:rPr>
          <w:noProof/>
        </w:rPr>
        <w:t>10</w:t>
      </w:r>
      <w:r w:rsidR="00011CB8" w:rsidRPr="007D5463">
        <w:t xml:space="preserve">. </w:t>
      </w:r>
      <w:r w:rsidR="00011CB8" w:rsidRPr="007D5463">
        <w:rPr>
          <w:lang w:val="es-MX"/>
        </w:rPr>
        <w:t>Riesgos: Tratamiento en Modelación</w:t>
      </w:r>
      <w:r w:rsidR="003336F3">
        <w:fldChar w:fldCharType="end"/>
      </w:r>
      <w:r w:rsidR="003336F3">
        <w:t>, d</w:t>
      </w:r>
      <w:r w:rsidR="00B40C7A">
        <w:t>e la simulación de Montecarlo se obtiene la siguiente curva de distribución de probabilidad:</w:t>
      </w:r>
    </w:p>
    <w:p w14:paraId="62451601" w14:textId="77777777" w:rsidR="00B40C7A" w:rsidRDefault="00B40C7A" w:rsidP="00B40C7A"/>
    <w:p w14:paraId="0F6A0A32" w14:textId="5341F988" w:rsidR="00B40C7A" w:rsidRDefault="00B40C7A" w:rsidP="003336F3">
      <w:pPr>
        <w:pStyle w:val="Caption"/>
        <w:jc w:val="center"/>
      </w:pPr>
      <w:bookmarkStart w:id="69" w:name="_Toc427650672"/>
      <w:bookmarkStart w:id="70" w:name="_Toc484602635"/>
      <w:r>
        <w:t xml:space="preserve">Ilustración </w:t>
      </w:r>
      <w:r>
        <w:fldChar w:fldCharType="begin"/>
      </w:r>
      <w:r>
        <w:instrText xml:space="preserve"> SEQ Ilustración \* ARABIC </w:instrText>
      </w:r>
      <w:r>
        <w:fldChar w:fldCharType="separate"/>
      </w:r>
      <w:r w:rsidR="00011CB8">
        <w:rPr>
          <w:noProof/>
        </w:rPr>
        <w:t>3</w:t>
      </w:r>
      <w:r>
        <w:fldChar w:fldCharType="end"/>
      </w:r>
      <w:r>
        <w:t xml:space="preserve">. </w:t>
      </w:r>
      <w:r w:rsidRPr="00205912">
        <w:t xml:space="preserve">Curvas de Distribución de Probabilidad de Ocurrencia - Riesgo </w:t>
      </w:r>
      <w:r>
        <w:t>Variación</w:t>
      </w:r>
      <w:r w:rsidRPr="00205912">
        <w:t xml:space="preserve"> Precios</w:t>
      </w:r>
      <w:r>
        <w:t xml:space="preserve"> Ofertados vs Precios</w:t>
      </w:r>
      <w:r w:rsidRPr="00205912">
        <w:t xml:space="preserve"> de Referencia</w:t>
      </w:r>
      <w:r>
        <w:t>.</w:t>
      </w:r>
      <w:bookmarkEnd w:id="69"/>
      <w:bookmarkEnd w:id="70"/>
    </w:p>
    <w:p w14:paraId="7215CDDE" w14:textId="2A024219" w:rsidR="00B40C7A" w:rsidRDefault="008352FD" w:rsidP="008352FD">
      <w:pPr>
        <w:jc w:val="center"/>
      </w:pPr>
      <w:r w:rsidRPr="008352FD">
        <w:rPr>
          <w:noProof/>
        </w:rPr>
        <w:drawing>
          <wp:inline distT="0" distB="0" distL="0" distR="0" wp14:anchorId="42EBCE3F" wp14:editId="7DEA7D9E">
            <wp:extent cx="4776922" cy="2930748"/>
            <wp:effectExtent l="0" t="0" r="508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80495" cy="2932940"/>
                    </a:xfrm>
                    <a:prstGeom prst="rect">
                      <a:avLst/>
                    </a:prstGeom>
                    <a:noFill/>
                    <a:ln>
                      <a:noFill/>
                    </a:ln>
                  </pic:spPr>
                </pic:pic>
              </a:graphicData>
            </a:graphic>
          </wp:inline>
        </w:drawing>
      </w:r>
    </w:p>
    <w:p w14:paraId="4987B635" w14:textId="77777777" w:rsidR="00B40C7A" w:rsidRPr="008352FD" w:rsidRDefault="00B40C7A" w:rsidP="008352FD">
      <w:pPr>
        <w:jc w:val="center"/>
        <w:rPr>
          <w:sz w:val="18"/>
          <w:szCs w:val="18"/>
        </w:rPr>
      </w:pPr>
      <w:r w:rsidRPr="008352FD">
        <w:rPr>
          <w:sz w:val="18"/>
          <w:szCs w:val="18"/>
          <w:lang w:val="es-MX"/>
        </w:rPr>
        <w:t>Fuente: Elaboración propia</w:t>
      </w:r>
    </w:p>
    <w:p w14:paraId="7665F321" w14:textId="69B7CCAA" w:rsidR="00B40C7A" w:rsidRDefault="00B40C7A" w:rsidP="00B40C7A"/>
    <w:p w14:paraId="4B339702" w14:textId="5AD91364" w:rsidR="004F04A9" w:rsidRDefault="004F04A9" w:rsidP="00B40C7A">
      <w:r>
        <w:t xml:space="preserve">Se observa que con un 90% de nivel de confianza, la </w:t>
      </w:r>
      <w:r w:rsidR="00155DBD">
        <w:t xml:space="preserve">estimación de la </w:t>
      </w:r>
      <w:r>
        <w:t>diferencia entre los precios de referencia</w:t>
      </w:r>
      <w:r w:rsidR="00155DBD">
        <w:t xml:space="preserve"> y los posibles ofertados (de mercado) es de 0,48%.</w:t>
      </w:r>
    </w:p>
    <w:p w14:paraId="2C82A00A" w14:textId="77777777" w:rsidR="004F04A9" w:rsidRDefault="004F04A9" w:rsidP="00B40C7A"/>
    <w:p w14:paraId="6B17EF02" w14:textId="19243F32" w:rsidR="00B40C7A" w:rsidRDefault="00B40C7A" w:rsidP="00B40C7A">
      <w:pPr>
        <w:pStyle w:val="Heading2"/>
      </w:pPr>
      <w:bookmarkStart w:id="71" w:name="_Ref427643732"/>
      <w:bookmarkStart w:id="72" w:name="_Toc427650645"/>
      <w:bookmarkStart w:id="73" w:name="_Toc484602616"/>
      <w:r>
        <w:t xml:space="preserve">Valoración de Variación en Precios de Mercado en el Tiempo </w:t>
      </w:r>
      <w:r w:rsidR="00155DBD">
        <w:t xml:space="preserve">o </w:t>
      </w:r>
      <w:r>
        <w:t>Escalamiento</w:t>
      </w:r>
      <w:bookmarkEnd w:id="71"/>
      <w:bookmarkEnd w:id="72"/>
      <w:bookmarkEnd w:id="73"/>
    </w:p>
    <w:p w14:paraId="10391CEF" w14:textId="77777777" w:rsidR="00B40C7A" w:rsidRDefault="00B40C7A" w:rsidP="00B40C7A"/>
    <w:p w14:paraId="7A17C461" w14:textId="2A4FC0EA" w:rsidR="00DA1B6D" w:rsidRDefault="00B40C7A" w:rsidP="00DA1B6D">
      <w:pPr>
        <w:rPr>
          <w:lang w:val="es-MX"/>
        </w:rPr>
      </w:pPr>
      <w:r>
        <w:rPr>
          <w:lang w:val="es-MX"/>
        </w:rPr>
        <w:t xml:space="preserve">En cuanto a la valoración de la provisión en costo del proyecto por la variación en el tiempo de los precios de mercado de los principales insumos, se </w:t>
      </w:r>
      <w:r w:rsidRPr="00195535">
        <w:rPr>
          <w:lang w:val="es-MX"/>
        </w:rPr>
        <w:t xml:space="preserve">procede a estimar la provisión de escalamiento, </w:t>
      </w:r>
      <w:r w:rsidR="00DA1B6D">
        <w:rPr>
          <w:lang w:val="es-MX"/>
        </w:rPr>
        <w:t xml:space="preserve">de acuerdo a los supuestos de variación y modelación que se presentan en </w:t>
      </w:r>
      <w:r w:rsidR="00DA1B6D">
        <w:t xml:space="preserve">la </w:t>
      </w:r>
      <w:r w:rsidR="00DA1B6D" w:rsidRPr="00DA1B6D">
        <w:rPr>
          <w:lang w:val="es-MX"/>
        </w:rPr>
        <w:fldChar w:fldCharType="begin"/>
      </w:r>
      <w:r w:rsidR="00DA1B6D" w:rsidRPr="00DA1B6D">
        <w:rPr>
          <w:lang w:val="es-MX"/>
        </w:rPr>
        <w:instrText xml:space="preserve"> REF _Ref484588023 \h  \* MERGEFORMAT </w:instrText>
      </w:r>
      <w:r w:rsidR="00DA1B6D" w:rsidRPr="00DA1B6D">
        <w:rPr>
          <w:lang w:val="es-MX"/>
        </w:rPr>
      </w:r>
      <w:r w:rsidR="00DA1B6D" w:rsidRPr="00DA1B6D">
        <w:rPr>
          <w:lang w:val="es-MX"/>
        </w:rPr>
        <w:fldChar w:fldCharType="separate"/>
      </w:r>
      <w:r w:rsidR="00011CB8" w:rsidRPr="00011CB8">
        <w:rPr>
          <w:lang w:val="es-MX"/>
        </w:rPr>
        <w:t>Tabla 7. Caracterización de la Variación Anual de Precios de Mercado de Insumos Básicos</w:t>
      </w:r>
      <w:r w:rsidR="00DA1B6D" w:rsidRPr="00DA1B6D">
        <w:rPr>
          <w:lang w:val="es-MX"/>
        </w:rPr>
        <w:fldChar w:fldCharType="end"/>
      </w:r>
      <w:r w:rsidR="00DA1B6D">
        <w:rPr>
          <w:lang w:val="es-MX"/>
        </w:rPr>
        <w:t xml:space="preserve"> y la </w:t>
      </w:r>
      <w:r w:rsidR="00DA1B6D" w:rsidRPr="00DA1B6D">
        <w:rPr>
          <w:lang w:val="es-MX"/>
        </w:rPr>
        <w:fldChar w:fldCharType="begin"/>
      </w:r>
      <w:r w:rsidR="00DA1B6D" w:rsidRPr="00DA1B6D">
        <w:rPr>
          <w:lang w:val="es-MX"/>
        </w:rPr>
        <w:instrText xml:space="preserve"> REF _Ref358366925 \h </w:instrText>
      </w:r>
      <w:r w:rsidR="00DA1B6D">
        <w:rPr>
          <w:lang w:val="es-MX"/>
        </w:rPr>
        <w:instrText xml:space="preserve"> \* MERGEFORMAT </w:instrText>
      </w:r>
      <w:r w:rsidR="00DA1B6D" w:rsidRPr="00DA1B6D">
        <w:rPr>
          <w:lang w:val="es-MX"/>
        </w:rPr>
      </w:r>
      <w:r w:rsidR="00DA1B6D" w:rsidRPr="00DA1B6D">
        <w:rPr>
          <w:lang w:val="es-MX"/>
        </w:rPr>
        <w:fldChar w:fldCharType="separate"/>
      </w:r>
      <w:r w:rsidR="00011CB8" w:rsidRPr="00011CB8">
        <w:rPr>
          <w:lang w:val="es-MX"/>
        </w:rPr>
        <w:t xml:space="preserve">Tabla 10. </w:t>
      </w:r>
      <w:r w:rsidR="00011CB8" w:rsidRPr="007D5463">
        <w:rPr>
          <w:lang w:val="es-MX"/>
        </w:rPr>
        <w:t>Riesgos: Tratamiento en Modelación</w:t>
      </w:r>
      <w:r w:rsidR="00DA1B6D" w:rsidRPr="00DA1B6D">
        <w:rPr>
          <w:lang w:val="es-MX"/>
        </w:rPr>
        <w:fldChar w:fldCharType="end"/>
      </w:r>
      <w:r w:rsidR="00DA1B6D">
        <w:rPr>
          <w:lang w:val="es-MX"/>
        </w:rPr>
        <w:t>.</w:t>
      </w:r>
    </w:p>
    <w:p w14:paraId="2BC0AD2E" w14:textId="7FF2E5A7" w:rsidR="00B40C7A" w:rsidRDefault="00B40C7A" w:rsidP="00B40C7A">
      <w:pPr>
        <w:rPr>
          <w:lang w:val="es-MX"/>
        </w:rPr>
      </w:pPr>
    </w:p>
    <w:p w14:paraId="19C08B44" w14:textId="77777777" w:rsidR="00B40C7A" w:rsidRDefault="00B40C7A" w:rsidP="00B40C7A">
      <w:pPr>
        <w:rPr>
          <w:lang w:val="es-MX"/>
        </w:rPr>
      </w:pPr>
    </w:p>
    <w:p w14:paraId="2C041163" w14:textId="77777777" w:rsidR="00B40C7A" w:rsidRDefault="00B40C7A" w:rsidP="00B40C7A"/>
    <w:p w14:paraId="331BD816" w14:textId="77777777" w:rsidR="00B40C7A" w:rsidRDefault="00B40C7A" w:rsidP="00B40C7A"/>
    <w:p w14:paraId="4E3D84A8" w14:textId="77777777" w:rsidR="00B40C7A" w:rsidRDefault="00B40C7A" w:rsidP="00B40C7A">
      <w:r>
        <w:t>En las siguientes ilustraciones se presenta la curva de distribución de probabilidad obtenida para el factor de escalamiento así calculado:</w:t>
      </w:r>
    </w:p>
    <w:p w14:paraId="2916F182" w14:textId="77777777" w:rsidR="00B40C7A" w:rsidRDefault="00B40C7A" w:rsidP="00B40C7A"/>
    <w:p w14:paraId="703BBED9" w14:textId="4405C64F" w:rsidR="00B40C7A" w:rsidRDefault="00B40C7A" w:rsidP="00B40C7A">
      <w:pPr>
        <w:rPr>
          <w:b/>
          <w:bCs/>
          <w:color w:val="4F81BD" w:themeColor="accent1"/>
          <w:sz w:val="18"/>
          <w:szCs w:val="18"/>
        </w:rPr>
      </w:pPr>
    </w:p>
    <w:p w14:paraId="3F1574A2" w14:textId="28D73AF7" w:rsidR="00B40C7A" w:rsidRDefault="00B40C7A" w:rsidP="00B40C7A">
      <w:pPr>
        <w:pStyle w:val="Caption"/>
        <w:jc w:val="center"/>
      </w:pPr>
      <w:bookmarkStart w:id="74" w:name="_Toc427650674"/>
      <w:bookmarkStart w:id="75" w:name="_Toc484602636"/>
      <w:r>
        <w:t xml:space="preserve">Ilustración </w:t>
      </w:r>
      <w:r>
        <w:fldChar w:fldCharType="begin"/>
      </w:r>
      <w:r>
        <w:instrText xml:space="preserve"> SEQ Ilustración \* ARABIC </w:instrText>
      </w:r>
      <w:r>
        <w:fldChar w:fldCharType="separate"/>
      </w:r>
      <w:r w:rsidR="00011CB8">
        <w:rPr>
          <w:noProof/>
        </w:rPr>
        <w:t>4</w:t>
      </w:r>
      <w:r>
        <w:fldChar w:fldCharType="end"/>
      </w:r>
      <w:r>
        <w:t>. Curva de</w:t>
      </w:r>
      <w:r w:rsidR="007C2654">
        <w:t xml:space="preserve"> Probabilidad de</w:t>
      </w:r>
      <w:r>
        <w:t xml:space="preserve"> Factor de Escalamiento</w:t>
      </w:r>
      <w:r w:rsidR="007C2654">
        <w:t xml:space="preserve"> (</w:t>
      </w:r>
      <w:r w:rsidR="00DB6731">
        <w:t>Calculado 2017</w:t>
      </w:r>
      <w:r w:rsidR="007C2654">
        <w:t>-2021</w:t>
      </w:r>
      <w:r>
        <w:t>)</w:t>
      </w:r>
      <w:bookmarkEnd w:id="74"/>
      <w:bookmarkEnd w:id="75"/>
    </w:p>
    <w:p w14:paraId="783F6A4A" w14:textId="675085DA" w:rsidR="00DB6731" w:rsidRPr="00DB6731" w:rsidRDefault="00DB6731" w:rsidP="00DB6731">
      <w:pPr>
        <w:jc w:val="center"/>
      </w:pPr>
      <w:r w:rsidRPr="00DB6731">
        <w:rPr>
          <w:noProof/>
        </w:rPr>
        <w:drawing>
          <wp:inline distT="0" distB="0" distL="0" distR="0" wp14:anchorId="47C6B46F" wp14:editId="3BEF5037">
            <wp:extent cx="4625847" cy="2838060"/>
            <wp:effectExtent l="0" t="0" r="381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28914" cy="2839942"/>
                    </a:xfrm>
                    <a:prstGeom prst="rect">
                      <a:avLst/>
                    </a:prstGeom>
                    <a:noFill/>
                    <a:ln>
                      <a:noFill/>
                    </a:ln>
                  </pic:spPr>
                </pic:pic>
              </a:graphicData>
            </a:graphic>
          </wp:inline>
        </w:drawing>
      </w:r>
    </w:p>
    <w:p w14:paraId="61DDAEA1" w14:textId="77777777" w:rsidR="00B40C7A" w:rsidRPr="00847F01" w:rsidRDefault="00B40C7A" w:rsidP="00DB6731">
      <w:pPr>
        <w:jc w:val="center"/>
        <w:rPr>
          <w:sz w:val="18"/>
          <w:szCs w:val="18"/>
        </w:rPr>
      </w:pPr>
      <w:r w:rsidRPr="00847F01">
        <w:rPr>
          <w:sz w:val="18"/>
          <w:szCs w:val="18"/>
        </w:rPr>
        <w:t>Fuente: Elaboración propia</w:t>
      </w:r>
    </w:p>
    <w:p w14:paraId="4087679C" w14:textId="77777777" w:rsidR="00B40C7A" w:rsidRDefault="00B40C7A" w:rsidP="00B40C7A"/>
    <w:p w14:paraId="5162403B" w14:textId="7BA079B8" w:rsidR="00AD2E79" w:rsidRDefault="00B40C7A" w:rsidP="00B40C7A">
      <w:r>
        <w:t>Se tiene que l</w:t>
      </w:r>
      <w:r w:rsidRPr="002A12AF">
        <w:t>a provisión de Escalamiento considerando un plazo de</w:t>
      </w:r>
      <w:r w:rsidR="00AD2E79">
        <w:t xml:space="preserve"> proyecto de</w:t>
      </w:r>
      <w:r w:rsidRPr="002A12AF">
        <w:t xml:space="preserve"> </w:t>
      </w:r>
      <w:r w:rsidR="00AD2E79">
        <w:t>40</w:t>
      </w:r>
      <w:r w:rsidRPr="002A12AF">
        <w:t xml:space="preserve"> </w:t>
      </w:r>
      <w:r w:rsidR="00AD2E79">
        <w:t>meses contados a partir de 2018</w:t>
      </w:r>
      <w:r w:rsidRPr="002A12AF">
        <w:t xml:space="preserve"> (Diseño+Construcción), se estima </w:t>
      </w:r>
      <w:r w:rsidR="00AD2E79">
        <w:t>con un nivel de confianza de 90% en 11,36% sobre el costo de obra.</w:t>
      </w:r>
    </w:p>
    <w:p w14:paraId="0ED7B79A" w14:textId="77777777" w:rsidR="00AD2E79" w:rsidRDefault="00AD2E79" w:rsidP="00B40C7A"/>
    <w:p w14:paraId="319CEC56" w14:textId="77777777" w:rsidR="00B40C7A" w:rsidRPr="00CF2C57" w:rsidRDefault="00B40C7A" w:rsidP="00B40C7A">
      <w:pPr>
        <w:pStyle w:val="Heading2"/>
      </w:pPr>
      <w:bookmarkStart w:id="76" w:name="_Toc427650647"/>
      <w:bookmarkStart w:id="77" w:name="_Toc484602617"/>
      <w:r>
        <w:t>Cálculo del Total Contingente</w:t>
      </w:r>
      <w:bookmarkEnd w:id="76"/>
      <w:bookmarkEnd w:id="77"/>
    </w:p>
    <w:p w14:paraId="6414580D" w14:textId="77777777" w:rsidR="00B40C7A" w:rsidRDefault="00B40C7A" w:rsidP="00E25E91"/>
    <w:p w14:paraId="1DD13050" w14:textId="2CF305DA" w:rsidR="00787E49" w:rsidRDefault="00031187" w:rsidP="00E25E91">
      <w:pPr>
        <w:rPr>
          <w:lang w:val="es-MX"/>
        </w:rPr>
      </w:pPr>
      <w:r>
        <w:rPr>
          <w:lang w:val="es-MX"/>
        </w:rPr>
        <w:t xml:space="preserve">A </w:t>
      </w:r>
      <w:r w:rsidR="003B52D5">
        <w:rPr>
          <w:lang w:val="es-MX"/>
        </w:rPr>
        <w:t>continuación,</w:t>
      </w:r>
      <w:r>
        <w:rPr>
          <w:lang w:val="es-MX"/>
        </w:rPr>
        <w:t xml:space="preserve"> se presenta el</w:t>
      </w:r>
      <w:r w:rsidR="000852B7" w:rsidRPr="007D5463">
        <w:rPr>
          <w:lang w:val="es-MX"/>
        </w:rPr>
        <w:t xml:space="preserve"> </w:t>
      </w:r>
      <w:r>
        <w:rPr>
          <w:lang w:val="es-MX"/>
        </w:rPr>
        <w:t>resultado obtenido de</w:t>
      </w:r>
      <w:r w:rsidR="00D41CFF">
        <w:rPr>
          <w:lang w:val="es-MX"/>
        </w:rPr>
        <w:t xml:space="preserve"> la valoración de la provisión para imprevistos como porcentaje del costo de obra, y que suma el efecto de: variación del precio en el proceso licitatorio, riesgo de costos de obras adicionales no previstas, y escalamiento de precios unitarios en el tiempo de ejecución del proyecto desde la fijación de presupuesto en 2016.</w:t>
      </w:r>
    </w:p>
    <w:p w14:paraId="2E06D7CE" w14:textId="59D9D326" w:rsidR="00D41CFF" w:rsidRDefault="00D41CFF" w:rsidP="00E25E91">
      <w:pPr>
        <w:rPr>
          <w:lang w:val="es-MX"/>
        </w:rPr>
      </w:pPr>
    </w:p>
    <w:p w14:paraId="14863DBC" w14:textId="47EA36BD" w:rsidR="00D41CFF" w:rsidRDefault="00D41CFF" w:rsidP="00E25E91">
      <w:pPr>
        <w:rPr>
          <w:lang w:val="es-MX"/>
        </w:rPr>
      </w:pPr>
      <w:r>
        <w:rPr>
          <w:lang w:val="es-MX"/>
        </w:rPr>
        <w:t xml:space="preserve">Del análisis de Montecarlo se obtiene </w:t>
      </w:r>
      <w:r w:rsidR="00F46028">
        <w:rPr>
          <w:lang w:val="es-MX"/>
        </w:rPr>
        <w:t>que con un nivel de confianza de 90% se debe adoptar una provisión para cubrir posibles costos adicionales de 10% sobre el costo estimado de o</w:t>
      </w:r>
      <w:r w:rsidR="00031187">
        <w:rPr>
          <w:lang w:val="es-MX"/>
        </w:rPr>
        <w:t>bra (ver siguiente ilustración), lo que representa la suma de USD $ 5,12 millones.</w:t>
      </w:r>
    </w:p>
    <w:p w14:paraId="5FE6A817" w14:textId="237112FB" w:rsidR="00D41CFF" w:rsidRDefault="00D41CFF" w:rsidP="00E25E91">
      <w:pPr>
        <w:rPr>
          <w:lang w:val="es-MX"/>
        </w:rPr>
      </w:pPr>
    </w:p>
    <w:p w14:paraId="0AC68C0C" w14:textId="640856E6" w:rsidR="00F46028" w:rsidRPr="003B52D5" w:rsidRDefault="00F46028" w:rsidP="00F46028">
      <w:pPr>
        <w:pStyle w:val="Caption"/>
        <w:jc w:val="center"/>
      </w:pPr>
      <w:bookmarkStart w:id="78" w:name="_Toc484602637"/>
      <w:r w:rsidRPr="003B52D5">
        <w:t xml:space="preserve">Ilustración </w:t>
      </w:r>
      <w:r w:rsidRPr="003B52D5">
        <w:fldChar w:fldCharType="begin"/>
      </w:r>
      <w:r w:rsidRPr="003B52D5">
        <w:instrText xml:space="preserve"> SEQ Ilustración \* ARABIC </w:instrText>
      </w:r>
      <w:r w:rsidRPr="003B52D5">
        <w:fldChar w:fldCharType="separate"/>
      </w:r>
      <w:r w:rsidR="00011CB8">
        <w:rPr>
          <w:noProof/>
        </w:rPr>
        <w:t>5</w:t>
      </w:r>
      <w:r w:rsidRPr="003B52D5">
        <w:fldChar w:fldCharType="end"/>
      </w:r>
      <w:r w:rsidRPr="003B52D5">
        <w:t>. Provisión de Costos Adicionales</w:t>
      </w:r>
      <w:bookmarkEnd w:id="78"/>
    </w:p>
    <w:p w14:paraId="1E7F7EE4" w14:textId="3195A421" w:rsidR="00D41CFF" w:rsidRDefault="0047192B" w:rsidP="0047192B">
      <w:pPr>
        <w:jc w:val="center"/>
        <w:rPr>
          <w:lang w:val="es-MX"/>
        </w:rPr>
      </w:pPr>
      <w:r w:rsidRPr="0047192B">
        <w:rPr>
          <w:noProof/>
        </w:rPr>
        <w:drawing>
          <wp:inline distT="0" distB="0" distL="0" distR="0" wp14:anchorId="44A1E43C" wp14:editId="5A853D03">
            <wp:extent cx="4665603" cy="2862452"/>
            <wp:effectExtent l="0" t="0" r="1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68467" cy="2864209"/>
                    </a:xfrm>
                    <a:prstGeom prst="rect">
                      <a:avLst/>
                    </a:prstGeom>
                    <a:noFill/>
                    <a:ln>
                      <a:noFill/>
                    </a:ln>
                  </pic:spPr>
                </pic:pic>
              </a:graphicData>
            </a:graphic>
          </wp:inline>
        </w:drawing>
      </w:r>
    </w:p>
    <w:p w14:paraId="1A57AFA1" w14:textId="77777777" w:rsidR="003B52D5" w:rsidRPr="00847F01" w:rsidRDefault="003B52D5" w:rsidP="003B52D5">
      <w:pPr>
        <w:jc w:val="center"/>
        <w:rPr>
          <w:sz w:val="18"/>
          <w:szCs w:val="18"/>
        </w:rPr>
      </w:pPr>
      <w:r w:rsidRPr="00847F01">
        <w:rPr>
          <w:sz w:val="18"/>
          <w:szCs w:val="18"/>
        </w:rPr>
        <w:t>Fuente: Elaboración propia</w:t>
      </w:r>
    </w:p>
    <w:p w14:paraId="54C646BA" w14:textId="77777777" w:rsidR="003B52D5" w:rsidRDefault="003B52D5" w:rsidP="0047192B">
      <w:pPr>
        <w:jc w:val="center"/>
        <w:rPr>
          <w:lang w:val="es-MX"/>
        </w:rPr>
      </w:pPr>
    </w:p>
    <w:p w14:paraId="129ECAD9" w14:textId="1B2B492F" w:rsidR="004A7169" w:rsidRDefault="004A7169" w:rsidP="00E25E91">
      <w:pPr>
        <w:pStyle w:val="Heading1"/>
      </w:pPr>
      <w:bookmarkStart w:id="79" w:name="_Toc484602618"/>
      <w:r>
        <w:t>Conclusiones y Recomendaciones</w:t>
      </w:r>
      <w:bookmarkEnd w:id="79"/>
    </w:p>
    <w:p w14:paraId="229F5029" w14:textId="54D2FFD2" w:rsidR="004A7169" w:rsidRDefault="004A7169"/>
    <w:p w14:paraId="0D38AA84" w14:textId="314EA2E8" w:rsidR="0024737E" w:rsidRDefault="0024737E" w:rsidP="0024737E">
      <w:pPr>
        <w:rPr>
          <w:rFonts w:eastAsiaTheme="majorEastAsia"/>
        </w:rPr>
      </w:pPr>
      <w:r w:rsidRPr="00083C24">
        <w:rPr>
          <w:rFonts w:eastAsiaTheme="majorEastAsia"/>
        </w:rPr>
        <w:t xml:space="preserve">Con base en los análisis realizados y resultados obtenidos se </w:t>
      </w:r>
      <w:r w:rsidR="00024B49" w:rsidRPr="00083C24">
        <w:rPr>
          <w:rFonts w:eastAsiaTheme="majorEastAsia"/>
        </w:rPr>
        <w:t>tienen las siguientes conclusiones y recom</w:t>
      </w:r>
      <w:r w:rsidRPr="00083C24">
        <w:rPr>
          <w:rFonts w:eastAsiaTheme="majorEastAsia"/>
        </w:rPr>
        <w:t>enda</w:t>
      </w:r>
      <w:r w:rsidR="00024B49" w:rsidRPr="00083C24">
        <w:rPr>
          <w:rFonts w:eastAsiaTheme="majorEastAsia"/>
        </w:rPr>
        <w:t>ciones</w:t>
      </w:r>
      <w:r w:rsidRPr="00083C24">
        <w:rPr>
          <w:rFonts w:eastAsiaTheme="majorEastAsia"/>
        </w:rPr>
        <w:t>:</w:t>
      </w:r>
    </w:p>
    <w:p w14:paraId="30CC6EC1" w14:textId="77777777" w:rsidR="003F408B" w:rsidRPr="00083C24" w:rsidRDefault="003F408B" w:rsidP="0024737E">
      <w:pPr>
        <w:rPr>
          <w:rFonts w:eastAsiaTheme="majorEastAsia"/>
        </w:rPr>
      </w:pPr>
    </w:p>
    <w:p w14:paraId="662C6162" w14:textId="29F2FFF8" w:rsidR="003F408B" w:rsidRDefault="003F408B" w:rsidP="002F37F5">
      <w:pPr>
        <w:pStyle w:val="ListParagraph"/>
        <w:numPr>
          <w:ilvl w:val="0"/>
          <w:numId w:val="28"/>
        </w:numPr>
        <w:rPr>
          <w:lang w:val="es-MX"/>
        </w:rPr>
      </w:pPr>
      <w:r>
        <w:rPr>
          <w:lang w:val="es-MX"/>
        </w:rPr>
        <w:t>S</w:t>
      </w:r>
      <w:r w:rsidRPr="003F408B">
        <w:rPr>
          <w:lang w:val="es-MX"/>
        </w:rPr>
        <w:t>e encuentra necesario una provisión de 10% sobre el costo total del proyecto, que cubriría</w:t>
      </w:r>
      <w:r>
        <w:rPr>
          <w:lang w:val="es-MX"/>
        </w:rPr>
        <w:t xml:space="preserve"> con un nivel de confianza de 90%</w:t>
      </w:r>
      <w:r w:rsidRPr="003F408B">
        <w:rPr>
          <w:lang w:val="es-MX"/>
        </w:rPr>
        <w:t>: i) la variación entre el presupuesto actual y el presupuesto de adjudicación del proyecto + ii) el riesgo de costo de obras adicionales durante la ejecución del proyecto + iii) la variación de precios unitarios de mercado de los insumos de obra desde la actualidad hasta la entrega programada de obra (primer semestre de 2021).</w:t>
      </w:r>
      <w:r w:rsidR="002F37F5">
        <w:rPr>
          <w:lang w:val="es-MX"/>
        </w:rPr>
        <w:t xml:space="preserve"> Dicha provisión equivale a</w:t>
      </w:r>
      <w:r w:rsidR="002F37F5" w:rsidRPr="002F37F5">
        <w:rPr>
          <w:lang w:val="es-MX"/>
        </w:rPr>
        <w:t xml:space="preserve"> la suma de USD $ 5,12 millones.</w:t>
      </w:r>
    </w:p>
    <w:p w14:paraId="21D55141" w14:textId="500117FF" w:rsidR="00417CB0" w:rsidRPr="003F408B" w:rsidRDefault="00417CB0" w:rsidP="00417CB0">
      <w:pPr>
        <w:pStyle w:val="ListParagraph"/>
        <w:numPr>
          <w:ilvl w:val="0"/>
          <w:numId w:val="28"/>
        </w:numPr>
        <w:rPr>
          <w:lang w:val="es-MX"/>
        </w:rPr>
      </w:pPr>
      <w:r>
        <w:t xml:space="preserve">Con respecto a la recomendación de asignación de riesgos analizados ver </w:t>
      </w:r>
      <w:r>
        <w:fldChar w:fldCharType="begin"/>
      </w:r>
      <w:r>
        <w:instrText xml:space="preserve"> REF _Ref484598419 \h </w:instrText>
      </w:r>
      <w:r>
        <w:fldChar w:fldCharType="separate"/>
      </w:r>
      <w:r w:rsidR="00011CB8" w:rsidRPr="007D5463">
        <w:t xml:space="preserve">Tabla </w:t>
      </w:r>
      <w:r w:rsidR="00011CB8">
        <w:rPr>
          <w:noProof/>
        </w:rPr>
        <w:t>9</w:t>
      </w:r>
      <w:r w:rsidR="00011CB8" w:rsidRPr="007D5463">
        <w:t xml:space="preserve">. </w:t>
      </w:r>
      <w:r w:rsidR="00011CB8" w:rsidRPr="007D5463">
        <w:rPr>
          <w:lang w:val="es-MX"/>
        </w:rPr>
        <w:t>Riesgos: Asignación y Mitigación</w:t>
      </w:r>
      <w:r>
        <w:fldChar w:fldCharType="end"/>
      </w:r>
    </w:p>
    <w:p w14:paraId="725BB493" w14:textId="1D799963" w:rsidR="005C1885" w:rsidRDefault="004C6CB1" w:rsidP="008724C2">
      <w:pPr>
        <w:pStyle w:val="ListParagraph"/>
        <w:numPr>
          <w:ilvl w:val="0"/>
          <w:numId w:val="28"/>
        </w:numPr>
        <w:rPr>
          <w:lang w:val="es-MX"/>
        </w:rPr>
      </w:pPr>
      <w:r>
        <w:rPr>
          <w:lang w:val="es-MX"/>
        </w:rPr>
        <w:t>Para l</w:t>
      </w:r>
      <w:r w:rsidR="00936465">
        <w:rPr>
          <w:lang w:val="es-MX"/>
        </w:rPr>
        <w:t xml:space="preserve">a </w:t>
      </w:r>
      <w:r>
        <w:rPr>
          <w:lang w:val="es-MX"/>
        </w:rPr>
        <w:t>cuantificación</w:t>
      </w:r>
      <w:r w:rsidR="00936465">
        <w:rPr>
          <w:lang w:val="es-MX"/>
        </w:rPr>
        <w:t xml:space="preserve"> de ri</w:t>
      </w:r>
      <w:r>
        <w:rPr>
          <w:lang w:val="es-MX"/>
        </w:rPr>
        <w:t>esgos en proyectos futuros es necesario contar con bases de datos que reflejen el comportamiento de proyectos recientes</w:t>
      </w:r>
      <w:r w:rsidR="0029618C">
        <w:rPr>
          <w:lang w:val="es-MX"/>
        </w:rPr>
        <w:t xml:space="preserve"> y la mejora en gestión por parte del organismo ejecutor. En este sentido se </w:t>
      </w:r>
      <w:r w:rsidR="00222DD6">
        <w:rPr>
          <w:lang w:val="es-MX"/>
        </w:rPr>
        <w:t xml:space="preserve">sugiere en los proyectos financiados por BID (y en otros si es posible), </w:t>
      </w:r>
      <w:r w:rsidR="00D81202">
        <w:rPr>
          <w:lang w:val="es-MX"/>
        </w:rPr>
        <w:t>insistir al organismo ejecutor sobre la importancia de constituir y mantener actualizada una base de datos donde</w:t>
      </w:r>
      <w:r w:rsidR="00B5523A">
        <w:rPr>
          <w:lang w:val="es-MX"/>
        </w:rPr>
        <w:t xml:space="preserve"> se registren (con detalle de actividades </w:t>
      </w:r>
      <w:r w:rsidR="00B5523A">
        <w:rPr>
          <w:lang w:val="es-MX"/>
        </w:rPr>
        <w:lastRenderedPageBreak/>
        <w:t>y costos unitarios): los presupuestos iniciales, los presupuestos de adjudicación, los presupuestos finales, el plazo inicial estimado, el plazo real de ejecución, y aquellos hechos que motivaron costos adicionales</w:t>
      </w:r>
      <w:r w:rsidR="00BA459E">
        <w:rPr>
          <w:lang w:val="es-MX"/>
        </w:rPr>
        <w:t xml:space="preserve"> y/o retrasos en los plazos de ejecución</w:t>
      </w:r>
      <w:r w:rsidR="00B5523A">
        <w:rPr>
          <w:lang w:val="es-MX"/>
        </w:rPr>
        <w:t>, así como ajustes por escalamiento vs lo inicialmente previsto.</w:t>
      </w:r>
    </w:p>
    <w:p w14:paraId="26E81E1C" w14:textId="42FCABE8" w:rsidR="008724C2" w:rsidRPr="008724C2" w:rsidRDefault="008724C2" w:rsidP="008724C2">
      <w:pPr>
        <w:pStyle w:val="ListParagraph"/>
        <w:numPr>
          <w:ilvl w:val="0"/>
          <w:numId w:val="28"/>
        </w:numPr>
        <w:rPr>
          <w:lang w:val="es-MX"/>
        </w:rPr>
      </w:pPr>
      <w:r w:rsidRPr="008724C2">
        <w:rPr>
          <w:lang w:val="es-MX"/>
        </w:rPr>
        <w:t>Con respecto a los mecanismos de mitigación del riesgo de costos adicionales por mayores cantidades de obra se recomienda:</w:t>
      </w:r>
    </w:p>
    <w:p w14:paraId="7E5297C8" w14:textId="77777777" w:rsidR="008724C2" w:rsidRPr="000E6959" w:rsidRDefault="008724C2" w:rsidP="008724C2">
      <w:pPr>
        <w:pStyle w:val="ListParagraph"/>
        <w:numPr>
          <w:ilvl w:val="1"/>
          <w:numId w:val="28"/>
        </w:numPr>
      </w:pPr>
      <w:r w:rsidRPr="000E6959">
        <w:t>Profundizar en estudios de campo en etapa de preinversión.</w:t>
      </w:r>
    </w:p>
    <w:p w14:paraId="3F943319" w14:textId="47F955CD" w:rsidR="009B6C64" w:rsidRDefault="009B6C64" w:rsidP="008724C2">
      <w:pPr>
        <w:pStyle w:val="ListParagraph"/>
        <w:numPr>
          <w:ilvl w:val="1"/>
          <w:numId w:val="28"/>
        </w:numPr>
      </w:pPr>
      <w:r>
        <w:t>Formalizar las interacciones con la comunidad y consignar sus solicitudes, de tal forma que puedan ser analizadas como parte de los estudios TESA.</w:t>
      </w:r>
    </w:p>
    <w:p w14:paraId="4195DAFA" w14:textId="3E4DF688" w:rsidR="008724C2" w:rsidRDefault="009B6C64" w:rsidP="008724C2">
      <w:pPr>
        <w:pStyle w:val="ListParagraph"/>
        <w:numPr>
          <w:ilvl w:val="1"/>
          <w:numId w:val="28"/>
        </w:numPr>
      </w:pPr>
      <w:r>
        <w:t>Constituir una figura similar a “Asistente Técnico” empleada en países como Nicaragua, que apoye</w:t>
      </w:r>
      <w:r w:rsidR="008724C2" w:rsidRPr="000E6959">
        <w:t xml:space="preserve"> la gestión de control de costos y optimización de diseños.</w:t>
      </w:r>
    </w:p>
    <w:p w14:paraId="4FF7A29C" w14:textId="03AA350E" w:rsidR="009B6C64" w:rsidRPr="000E6959" w:rsidRDefault="009B6C64" w:rsidP="008724C2">
      <w:pPr>
        <w:pStyle w:val="ListParagraph"/>
        <w:numPr>
          <w:ilvl w:val="1"/>
          <w:numId w:val="28"/>
        </w:numPr>
      </w:pPr>
      <w:r>
        <w:t xml:space="preserve">Regular </w:t>
      </w:r>
      <w:r w:rsidR="00772BD9">
        <w:t>y disminuir la provisión por contingencias, de manera que forcé en la ejecución del proyecto, a la entidad ejecutora y al constructor, al control de costos y optimización de diseños.</w:t>
      </w:r>
    </w:p>
    <w:p w14:paraId="4FA0D906" w14:textId="77777777" w:rsidR="003F408B" w:rsidRDefault="003F408B" w:rsidP="003F408B">
      <w:pPr>
        <w:pStyle w:val="ListParagraph"/>
      </w:pPr>
    </w:p>
    <w:p w14:paraId="10688D7A" w14:textId="0C5E60FB" w:rsidR="009D0F05" w:rsidRDefault="009D0F05" w:rsidP="009D0F05"/>
    <w:p w14:paraId="5BDCA6AB" w14:textId="58D7B44A" w:rsidR="004A7169" w:rsidRPr="00024B49" w:rsidRDefault="004A7169" w:rsidP="009D0F05">
      <w:pPr>
        <w:pStyle w:val="ListParagraph"/>
        <w:ind w:left="426"/>
      </w:pPr>
    </w:p>
    <w:p w14:paraId="3935C269" w14:textId="77777777" w:rsidR="00BA459E" w:rsidRDefault="00BA459E">
      <w:pPr>
        <w:rPr>
          <w:rFonts w:asciiTheme="majorHAnsi" w:eastAsiaTheme="majorEastAsia" w:hAnsiTheme="majorHAnsi" w:cstheme="majorBidi"/>
          <w:b/>
          <w:bCs/>
          <w:color w:val="365F91" w:themeColor="accent1" w:themeShade="BF"/>
          <w:sz w:val="28"/>
          <w:szCs w:val="28"/>
        </w:rPr>
      </w:pPr>
      <w:r>
        <w:br w:type="page"/>
      </w:r>
    </w:p>
    <w:p w14:paraId="70B5B53D" w14:textId="665DD809" w:rsidR="00354DF0" w:rsidRDefault="00600CC6" w:rsidP="00E25E91">
      <w:pPr>
        <w:pStyle w:val="Heading1"/>
      </w:pPr>
      <w:bookmarkStart w:id="80" w:name="_Toc484602619"/>
      <w:r>
        <w:lastRenderedPageBreak/>
        <w:t>Lista de referencias</w:t>
      </w:r>
      <w:bookmarkEnd w:id="80"/>
    </w:p>
    <w:p w14:paraId="77541ED7" w14:textId="3373D4FE" w:rsidR="00FC7A61" w:rsidRDefault="00FC7A61" w:rsidP="00FC7A61"/>
    <w:p w14:paraId="37D55CF6" w14:textId="5A9D1E96" w:rsidR="00EC567E" w:rsidRPr="004F04A9" w:rsidRDefault="00EC567E" w:rsidP="004F04A9">
      <w:pPr>
        <w:pStyle w:val="ListParagraph"/>
        <w:numPr>
          <w:ilvl w:val="0"/>
          <w:numId w:val="44"/>
        </w:numPr>
        <w:rPr>
          <w:lang w:val="pt-BR"/>
        </w:rPr>
      </w:pPr>
      <w:r>
        <w:t>“Estudio de Costos de Proyectos de Transporte en Bolivia y</w:t>
      </w:r>
      <w:r w:rsidRPr="006A091B">
        <w:t xml:space="preserve"> Evaluación Económica</w:t>
      </w:r>
      <w:r>
        <w:t xml:space="preserve"> y Social de Proyectos para el Programa d</w:t>
      </w:r>
      <w:r w:rsidRPr="006A091B">
        <w:t>e Inversión</w:t>
      </w:r>
      <w:r>
        <w:t xml:space="preserve"> -  </w:t>
      </w:r>
      <w:r w:rsidRPr="006A091B">
        <w:t>ATN/OC–14682-BO</w:t>
      </w:r>
      <w:r>
        <w:t xml:space="preserve"> // </w:t>
      </w:r>
      <w:r w:rsidRPr="006A091B">
        <w:t>Valoración</w:t>
      </w:r>
      <w:r>
        <w:t xml:space="preserve"> de l</w:t>
      </w:r>
      <w:r w:rsidRPr="006A091B">
        <w:t xml:space="preserve">a Incertidumbre </w:t>
      </w:r>
      <w:r>
        <w:t>Asociada a la Estimación de los Precios de Referencia y</w:t>
      </w:r>
      <w:r w:rsidRPr="006A091B">
        <w:t xml:space="preserve"> Es</w:t>
      </w:r>
      <w:r>
        <w:t xml:space="preserve">timación de Costos Adicionales // 2016” . </w:t>
      </w:r>
      <w:r w:rsidRPr="004F04A9">
        <w:rPr>
          <w:lang w:val="pt-BR"/>
        </w:rPr>
        <w:t>Ing. Leonardo Vásquez (BID, Febrero de 2016)</w:t>
      </w:r>
    </w:p>
    <w:p w14:paraId="7DBEE6D7" w14:textId="510888B6" w:rsidR="00FC7A61" w:rsidRPr="00D314CC" w:rsidRDefault="00FC7A61" w:rsidP="004F04A9">
      <w:pPr>
        <w:pStyle w:val="ListParagraph"/>
        <w:numPr>
          <w:ilvl w:val="0"/>
          <w:numId w:val="44"/>
        </w:numPr>
        <w:rPr>
          <w:lang w:val="pt-BR"/>
        </w:rPr>
      </w:pPr>
      <w:r w:rsidRPr="00D314CC">
        <w:rPr>
          <w:lang w:val="pt-BR"/>
        </w:rPr>
        <w:t>Estudio TESA – Tramo Angostura-Comarapa / Subtramo III – Mairana-Bermejo, Resumen Ejecutivo. ABC – BID, CPS DE INGEGNIERÍA S.A.C. - BELMONTE INGENIEROS SRL, 2016</w:t>
      </w:r>
    </w:p>
    <w:p w14:paraId="4B6BEE42" w14:textId="04A3B79B" w:rsidR="00A45C3C" w:rsidRDefault="00A45C3C" w:rsidP="004F04A9">
      <w:pPr>
        <w:pStyle w:val="ListParagraph"/>
        <w:numPr>
          <w:ilvl w:val="0"/>
          <w:numId w:val="44"/>
        </w:numPr>
      </w:pPr>
      <w:r>
        <w:t>“Manual para la Estimación y Seguimiento del Costo Final de un Programa de Infraestructura” (BID, 2016, Monteverde, Pereyra y Pérez)</w:t>
      </w:r>
    </w:p>
    <w:p w14:paraId="070CF824" w14:textId="4A36FA58" w:rsidR="004F04A9" w:rsidRDefault="004F04A9" w:rsidP="004F04A9">
      <w:pPr>
        <w:pStyle w:val="ListParagraph"/>
        <w:numPr>
          <w:ilvl w:val="0"/>
          <w:numId w:val="44"/>
        </w:numPr>
      </w:pPr>
      <w:r>
        <w:t>Revista de Precios Unitarios, Cámara Departamental de la Construcción 2017</w:t>
      </w:r>
    </w:p>
    <w:p w14:paraId="1556805D" w14:textId="77777777" w:rsidR="00EC567E" w:rsidRPr="00D314CC" w:rsidRDefault="00EC567E" w:rsidP="004F04A9">
      <w:pPr>
        <w:pStyle w:val="ListParagraph"/>
        <w:numPr>
          <w:ilvl w:val="0"/>
          <w:numId w:val="44"/>
        </w:numPr>
        <w:rPr>
          <w:lang w:val="es-ES_tradnl"/>
        </w:rPr>
      </w:pPr>
      <w:r w:rsidRPr="00D314CC">
        <w:rPr>
          <w:lang w:val="es-ES_tradnl"/>
        </w:rPr>
        <w:t>Términos de Referencia contratación costos adicionales (BID, 2017)</w:t>
      </w:r>
    </w:p>
    <w:p w14:paraId="08F9B6E2" w14:textId="7B4F1FE5" w:rsidR="00A45C3C" w:rsidRDefault="00A45C3C"/>
    <w:p w14:paraId="4CD7625C" w14:textId="21A83380" w:rsidR="00EC567E" w:rsidRPr="004F04A9" w:rsidRDefault="00AF3AAE" w:rsidP="004F04A9">
      <w:pPr>
        <w:pStyle w:val="ListParagraph"/>
        <w:numPr>
          <w:ilvl w:val="0"/>
          <w:numId w:val="44"/>
        </w:numPr>
        <w:rPr>
          <w:lang w:val="pt-BR"/>
        </w:rPr>
      </w:pPr>
      <w:r w:rsidRPr="004F04A9">
        <w:rPr>
          <w:lang w:val="pt-BR"/>
        </w:rPr>
        <w:t>Páginas</w:t>
      </w:r>
      <w:r w:rsidR="00EC567E" w:rsidRPr="004F04A9">
        <w:rPr>
          <w:lang w:val="pt-BR"/>
        </w:rPr>
        <w:t xml:space="preserve"> WEB:</w:t>
      </w:r>
    </w:p>
    <w:p w14:paraId="61C7DD23" w14:textId="1DDFE50B" w:rsidR="00EC567E" w:rsidRDefault="00A45C3C" w:rsidP="004F04A9">
      <w:pPr>
        <w:pStyle w:val="ListParagraph"/>
        <w:numPr>
          <w:ilvl w:val="1"/>
          <w:numId w:val="44"/>
        </w:numPr>
      </w:pPr>
      <w:r>
        <w:t xml:space="preserve">Instituto Nacional de </w:t>
      </w:r>
      <w:r w:rsidR="00AF3AAE">
        <w:t>Estadística:</w:t>
      </w:r>
      <w:r w:rsidR="00EC567E">
        <w:t xml:space="preserve"> </w:t>
      </w:r>
      <w:r w:rsidR="00EC567E" w:rsidRPr="00EC567E">
        <w:t>http://www.ine.gob.bo</w:t>
      </w:r>
    </w:p>
    <w:p w14:paraId="7EEB8B62" w14:textId="2D72314A" w:rsidR="00A45C3C" w:rsidRDefault="00A45C3C" w:rsidP="004F04A9">
      <w:pPr>
        <w:pStyle w:val="ListParagraph"/>
        <w:numPr>
          <w:ilvl w:val="1"/>
          <w:numId w:val="44"/>
        </w:numPr>
      </w:pPr>
      <w:r>
        <w:t>Administradora Boliviana de Carreteras</w:t>
      </w:r>
      <w:r w:rsidR="00EC567E">
        <w:t xml:space="preserve">: </w:t>
      </w:r>
      <w:r w:rsidR="00AF3AAE">
        <w:t>http://www.abc.gob.bo</w:t>
      </w:r>
    </w:p>
    <w:p w14:paraId="652DE87E" w14:textId="40E60935" w:rsidR="008770DA" w:rsidRDefault="008770DA" w:rsidP="004F04A9">
      <w:pPr>
        <w:pStyle w:val="ListParagraph"/>
        <w:numPr>
          <w:ilvl w:val="1"/>
          <w:numId w:val="44"/>
        </w:numPr>
      </w:pPr>
      <w:r>
        <w:t xml:space="preserve">Banco Central de </w:t>
      </w:r>
      <w:r w:rsidR="00AF3AAE">
        <w:t>Bolivia:</w:t>
      </w:r>
      <w:r>
        <w:t xml:space="preserve"> </w:t>
      </w:r>
      <w:r w:rsidR="004F04A9" w:rsidRPr="00AF3AAE">
        <w:t>https://www.bcb.gob.bo/</w:t>
      </w:r>
    </w:p>
    <w:p w14:paraId="61ACFC9F" w14:textId="1A9A8E01" w:rsidR="00EC567E" w:rsidRDefault="00EC567E">
      <w:r>
        <w:br w:type="page"/>
      </w:r>
    </w:p>
    <w:p w14:paraId="2D54BDA4" w14:textId="7FCBEB60" w:rsidR="00AF7A2D" w:rsidRDefault="00AF7A2D" w:rsidP="00D02505">
      <w:pPr>
        <w:pStyle w:val="Heading1"/>
        <w:numPr>
          <w:ilvl w:val="0"/>
          <w:numId w:val="0"/>
        </w:numPr>
        <w:ind w:left="432"/>
      </w:pPr>
      <w:bookmarkStart w:id="81" w:name="_Ref484588041"/>
      <w:bookmarkStart w:id="82" w:name="_Toc484602620"/>
      <w:r w:rsidRPr="00AF7A2D">
        <w:lastRenderedPageBreak/>
        <w:t>ANEXOS</w:t>
      </w:r>
      <w:r w:rsidR="00D02505">
        <w:t xml:space="preserve"> - </w:t>
      </w:r>
      <w:r w:rsidR="00D02505" w:rsidRPr="00D02505">
        <w:t>Series Históricas de Precios</w:t>
      </w:r>
      <w:r w:rsidR="00CD7B40">
        <w:t xml:space="preserve"> y Resultados Modelo ARIMA</w:t>
      </w:r>
      <w:bookmarkEnd w:id="81"/>
      <w:bookmarkEnd w:id="82"/>
    </w:p>
    <w:p w14:paraId="3D03791C" w14:textId="4F9235CE" w:rsidR="00AF7A2D" w:rsidRDefault="00AF7A2D" w:rsidP="00E25E91"/>
    <w:p w14:paraId="372712B4" w14:textId="6FE0B978" w:rsidR="008F122E" w:rsidRDefault="00AE5EEF" w:rsidP="00E25E91">
      <w:r>
        <w:t>En la siguiente tabla presentan las series empleadas</w:t>
      </w:r>
      <w:r w:rsidR="005530FC">
        <w:t xml:space="preserve"> de índices de precios</w:t>
      </w:r>
      <w:r>
        <w:t xml:space="preserve"> </w:t>
      </w:r>
      <w:r w:rsidR="005530FC">
        <w:t>para estimar la variación de precios de mercado de los principales insumos de obra</w:t>
      </w:r>
      <w:r w:rsidR="00671B66">
        <w:t>, dichas series reflejan la variación nominal de precios en el Departamento de Santa Cruz de la Sierra</w:t>
      </w:r>
      <w:r w:rsidR="005530FC">
        <w:t>:</w:t>
      </w:r>
    </w:p>
    <w:p w14:paraId="55F6C528" w14:textId="137228B0" w:rsidR="005530FC" w:rsidRDefault="005530FC" w:rsidP="00E25E91"/>
    <w:p w14:paraId="1D8F9F16" w14:textId="16FC5B46" w:rsidR="005530FC" w:rsidRDefault="005530FC" w:rsidP="005530FC">
      <w:pPr>
        <w:pStyle w:val="Caption"/>
        <w:jc w:val="center"/>
      </w:pPr>
      <w:bookmarkStart w:id="83" w:name="_Toc484602631"/>
      <w:r>
        <w:t xml:space="preserve">Tabla </w:t>
      </w:r>
      <w:r>
        <w:fldChar w:fldCharType="begin"/>
      </w:r>
      <w:r>
        <w:instrText xml:space="preserve"> SEQ Tabla \* ARABIC </w:instrText>
      </w:r>
      <w:r>
        <w:fldChar w:fldCharType="separate"/>
      </w:r>
      <w:r w:rsidR="00011CB8">
        <w:rPr>
          <w:noProof/>
        </w:rPr>
        <w:t>11</w:t>
      </w:r>
      <w:r>
        <w:fldChar w:fldCharType="end"/>
      </w:r>
      <w:r>
        <w:t>. Series Índices de Precios de Principales Insumos de Obra</w:t>
      </w:r>
      <w:bookmarkEnd w:id="83"/>
    </w:p>
    <w:tbl>
      <w:tblPr>
        <w:tblW w:w="8492" w:type="dxa"/>
        <w:tblInd w:w="562" w:type="dxa"/>
        <w:tblCellMar>
          <w:left w:w="70" w:type="dxa"/>
          <w:right w:w="70" w:type="dxa"/>
        </w:tblCellMar>
        <w:tblLook w:val="04A0" w:firstRow="1" w:lastRow="0" w:firstColumn="1" w:lastColumn="0" w:noHBand="0" w:noVBand="1"/>
      </w:tblPr>
      <w:tblGrid>
        <w:gridCol w:w="1418"/>
        <w:gridCol w:w="870"/>
        <w:gridCol w:w="940"/>
        <w:gridCol w:w="992"/>
        <w:gridCol w:w="992"/>
        <w:gridCol w:w="1154"/>
        <w:gridCol w:w="992"/>
        <w:gridCol w:w="1134"/>
      </w:tblGrid>
      <w:tr w:rsidR="005530FC" w:rsidRPr="005530FC" w14:paraId="64C78FE5" w14:textId="77777777" w:rsidTr="0012718A">
        <w:trPr>
          <w:trHeight w:val="300"/>
        </w:trPr>
        <w:tc>
          <w:tcPr>
            <w:tcW w:w="1418" w:type="dxa"/>
            <w:tcBorders>
              <w:top w:val="single" w:sz="4" w:space="0" w:color="auto"/>
              <w:left w:val="single" w:sz="4" w:space="0" w:color="auto"/>
              <w:bottom w:val="single" w:sz="4" w:space="0" w:color="auto"/>
              <w:right w:val="single" w:sz="4" w:space="0" w:color="auto"/>
            </w:tcBorders>
            <w:shd w:val="clear" w:color="000000" w:fill="215967"/>
            <w:noWrap/>
            <w:vAlign w:val="bottom"/>
            <w:hideMark/>
          </w:tcPr>
          <w:p w14:paraId="7A5E7D0B" w14:textId="77777777" w:rsidR="005530FC" w:rsidRPr="005530FC" w:rsidRDefault="005530FC" w:rsidP="005530FC">
            <w:pPr>
              <w:spacing w:line="240" w:lineRule="auto"/>
              <w:jc w:val="center"/>
              <w:rPr>
                <w:color w:val="FFFFFF"/>
                <w:sz w:val="16"/>
                <w:szCs w:val="16"/>
              </w:rPr>
            </w:pPr>
            <w:r w:rsidRPr="005530FC">
              <w:rPr>
                <w:color w:val="FFFFFF"/>
                <w:sz w:val="16"/>
                <w:szCs w:val="16"/>
              </w:rPr>
              <w:t>Fuente</w:t>
            </w:r>
          </w:p>
        </w:tc>
        <w:tc>
          <w:tcPr>
            <w:tcW w:w="870" w:type="dxa"/>
            <w:tcBorders>
              <w:top w:val="single" w:sz="4" w:space="0" w:color="auto"/>
              <w:left w:val="nil"/>
              <w:bottom w:val="single" w:sz="4" w:space="0" w:color="auto"/>
              <w:right w:val="single" w:sz="4" w:space="0" w:color="auto"/>
            </w:tcBorders>
            <w:shd w:val="clear" w:color="000000" w:fill="215967"/>
            <w:noWrap/>
            <w:vAlign w:val="bottom"/>
            <w:hideMark/>
          </w:tcPr>
          <w:p w14:paraId="15F00F0D" w14:textId="77777777" w:rsidR="005530FC" w:rsidRPr="005530FC" w:rsidRDefault="005530FC" w:rsidP="005530FC">
            <w:pPr>
              <w:spacing w:line="240" w:lineRule="auto"/>
              <w:jc w:val="center"/>
              <w:rPr>
                <w:color w:val="FFFFFF"/>
                <w:sz w:val="16"/>
                <w:szCs w:val="16"/>
              </w:rPr>
            </w:pPr>
            <w:r w:rsidRPr="005530FC">
              <w:rPr>
                <w:color w:val="FFFFFF"/>
                <w:sz w:val="16"/>
                <w:szCs w:val="16"/>
              </w:rPr>
              <w:t>ABC</w:t>
            </w:r>
          </w:p>
        </w:tc>
        <w:tc>
          <w:tcPr>
            <w:tcW w:w="940" w:type="dxa"/>
            <w:tcBorders>
              <w:top w:val="single" w:sz="4" w:space="0" w:color="auto"/>
              <w:left w:val="nil"/>
              <w:bottom w:val="single" w:sz="4" w:space="0" w:color="auto"/>
              <w:right w:val="single" w:sz="4" w:space="0" w:color="auto"/>
            </w:tcBorders>
            <w:shd w:val="clear" w:color="000000" w:fill="215967"/>
            <w:noWrap/>
            <w:vAlign w:val="bottom"/>
            <w:hideMark/>
          </w:tcPr>
          <w:p w14:paraId="357E2989" w14:textId="77777777" w:rsidR="005530FC" w:rsidRPr="005530FC" w:rsidRDefault="005530FC" w:rsidP="005530FC">
            <w:pPr>
              <w:spacing w:line="240" w:lineRule="auto"/>
              <w:jc w:val="center"/>
              <w:rPr>
                <w:color w:val="FFFFFF"/>
                <w:sz w:val="16"/>
                <w:szCs w:val="16"/>
              </w:rPr>
            </w:pPr>
            <w:r w:rsidRPr="005530FC">
              <w:rPr>
                <w:color w:val="FFFFFF"/>
                <w:sz w:val="16"/>
                <w:szCs w:val="16"/>
              </w:rPr>
              <w:t>ABC, INE</w:t>
            </w:r>
          </w:p>
        </w:tc>
        <w:tc>
          <w:tcPr>
            <w:tcW w:w="992" w:type="dxa"/>
            <w:tcBorders>
              <w:top w:val="single" w:sz="4" w:space="0" w:color="auto"/>
              <w:left w:val="nil"/>
              <w:bottom w:val="single" w:sz="4" w:space="0" w:color="auto"/>
              <w:right w:val="single" w:sz="4" w:space="0" w:color="auto"/>
            </w:tcBorders>
            <w:shd w:val="clear" w:color="000000" w:fill="215967"/>
            <w:noWrap/>
            <w:vAlign w:val="bottom"/>
            <w:hideMark/>
          </w:tcPr>
          <w:p w14:paraId="440C2F02" w14:textId="77777777" w:rsidR="005530FC" w:rsidRPr="005530FC" w:rsidRDefault="005530FC" w:rsidP="005530FC">
            <w:pPr>
              <w:spacing w:line="240" w:lineRule="auto"/>
              <w:jc w:val="center"/>
              <w:rPr>
                <w:color w:val="FFFFFF"/>
                <w:sz w:val="16"/>
                <w:szCs w:val="16"/>
              </w:rPr>
            </w:pPr>
            <w:r w:rsidRPr="005530FC">
              <w:rPr>
                <w:color w:val="FFFFFF"/>
                <w:sz w:val="16"/>
                <w:szCs w:val="16"/>
              </w:rPr>
              <w:t>ABC, INE</w:t>
            </w:r>
          </w:p>
        </w:tc>
        <w:tc>
          <w:tcPr>
            <w:tcW w:w="992" w:type="dxa"/>
            <w:tcBorders>
              <w:top w:val="single" w:sz="4" w:space="0" w:color="auto"/>
              <w:left w:val="nil"/>
              <w:bottom w:val="single" w:sz="4" w:space="0" w:color="auto"/>
              <w:right w:val="single" w:sz="4" w:space="0" w:color="auto"/>
            </w:tcBorders>
            <w:shd w:val="clear" w:color="000000" w:fill="215967"/>
            <w:noWrap/>
            <w:vAlign w:val="bottom"/>
            <w:hideMark/>
          </w:tcPr>
          <w:p w14:paraId="22742915" w14:textId="77777777" w:rsidR="005530FC" w:rsidRPr="005530FC" w:rsidRDefault="005530FC" w:rsidP="005530FC">
            <w:pPr>
              <w:spacing w:line="240" w:lineRule="auto"/>
              <w:jc w:val="center"/>
              <w:rPr>
                <w:color w:val="FFFFFF"/>
                <w:sz w:val="16"/>
                <w:szCs w:val="16"/>
              </w:rPr>
            </w:pPr>
            <w:r w:rsidRPr="005530FC">
              <w:rPr>
                <w:color w:val="FFFFFF"/>
                <w:sz w:val="16"/>
                <w:szCs w:val="16"/>
              </w:rPr>
              <w:t>INE</w:t>
            </w:r>
          </w:p>
        </w:tc>
        <w:tc>
          <w:tcPr>
            <w:tcW w:w="1154" w:type="dxa"/>
            <w:tcBorders>
              <w:top w:val="single" w:sz="4" w:space="0" w:color="auto"/>
              <w:left w:val="nil"/>
              <w:bottom w:val="single" w:sz="4" w:space="0" w:color="auto"/>
              <w:right w:val="single" w:sz="4" w:space="0" w:color="auto"/>
            </w:tcBorders>
            <w:shd w:val="clear" w:color="000000" w:fill="215967"/>
            <w:noWrap/>
            <w:vAlign w:val="bottom"/>
            <w:hideMark/>
          </w:tcPr>
          <w:p w14:paraId="5D58DDCC" w14:textId="77777777" w:rsidR="005530FC" w:rsidRPr="005530FC" w:rsidRDefault="005530FC" w:rsidP="005530FC">
            <w:pPr>
              <w:spacing w:line="240" w:lineRule="auto"/>
              <w:jc w:val="center"/>
              <w:rPr>
                <w:color w:val="FFFFFF"/>
                <w:sz w:val="16"/>
                <w:szCs w:val="16"/>
              </w:rPr>
            </w:pPr>
            <w:r w:rsidRPr="005530FC">
              <w:rPr>
                <w:color w:val="FFFFFF"/>
                <w:sz w:val="16"/>
                <w:szCs w:val="16"/>
              </w:rPr>
              <w:t>INE</w:t>
            </w:r>
          </w:p>
        </w:tc>
        <w:tc>
          <w:tcPr>
            <w:tcW w:w="992" w:type="dxa"/>
            <w:tcBorders>
              <w:top w:val="single" w:sz="4" w:space="0" w:color="auto"/>
              <w:left w:val="nil"/>
              <w:bottom w:val="single" w:sz="4" w:space="0" w:color="auto"/>
              <w:right w:val="single" w:sz="4" w:space="0" w:color="auto"/>
            </w:tcBorders>
            <w:shd w:val="clear" w:color="000000" w:fill="215967"/>
            <w:noWrap/>
            <w:vAlign w:val="bottom"/>
            <w:hideMark/>
          </w:tcPr>
          <w:p w14:paraId="3541CCC7" w14:textId="77777777" w:rsidR="005530FC" w:rsidRPr="005530FC" w:rsidRDefault="005530FC" w:rsidP="005530FC">
            <w:pPr>
              <w:spacing w:line="240" w:lineRule="auto"/>
              <w:jc w:val="center"/>
              <w:rPr>
                <w:color w:val="FFFFFF"/>
                <w:sz w:val="16"/>
                <w:szCs w:val="16"/>
              </w:rPr>
            </w:pPr>
            <w:r w:rsidRPr="005530FC">
              <w:rPr>
                <w:color w:val="FFFFFF"/>
                <w:sz w:val="16"/>
                <w:szCs w:val="16"/>
              </w:rPr>
              <w:t>INE</w:t>
            </w:r>
          </w:p>
        </w:tc>
        <w:tc>
          <w:tcPr>
            <w:tcW w:w="1134" w:type="dxa"/>
            <w:tcBorders>
              <w:top w:val="single" w:sz="4" w:space="0" w:color="auto"/>
              <w:left w:val="nil"/>
              <w:bottom w:val="single" w:sz="4" w:space="0" w:color="auto"/>
              <w:right w:val="single" w:sz="4" w:space="0" w:color="auto"/>
            </w:tcBorders>
            <w:shd w:val="clear" w:color="000000" w:fill="215967"/>
            <w:noWrap/>
            <w:vAlign w:val="bottom"/>
            <w:hideMark/>
          </w:tcPr>
          <w:p w14:paraId="3859B6D3" w14:textId="77777777" w:rsidR="005530FC" w:rsidRPr="005530FC" w:rsidRDefault="005530FC" w:rsidP="005530FC">
            <w:pPr>
              <w:spacing w:line="240" w:lineRule="auto"/>
              <w:jc w:val="center"/>
              <w:rPr>
                <w:color w:val="FFFFFF"/>
                <w:sz w:val="16"/>
                <w:szCs w:val="16"/>
              </w:rPr>
            </w:pPr>
            <w:r w:rsidRPr="005530FC">
              <w:rPr>
                <w:color w:val="FFFFFF"/>
                <w:sz w:val="16"/>
                <w:szCs w:val="16"/>
              </w:rPr>
              <w:t>INE</w:t>
            </w:r>
          </w:p>
        </w:tc>
      </w:tr>
      <w:tr w:rsidR="005530FC" w:rsidRPr="005530FC" w14:paraId="7549565C" w14:textId="77777777" w:rsidTr="0012718A">
        <w:trPr>
          <w:trHeight w:val="300"/>
        </w:trPr>
        <w:tc>
          <w:tcPr>
            <w:tcW w:w="1418" w:type="dxa"/>
            <w:tcBorders>
              <w:top w:val="nil"/>
              <w:left w:val="single" w:sz="4" w:space="0" w:color="auto"/>
              <w:bottom w:val="single" w:sz="4" w:space="0" w:color="auto"/>
              <w:right w:val="single" w:sz="4" w:space="0" w:color="auto"/>
            </w:tcBorders>
            <w:shd w:val="clear" w:color="000000" w:fill="215967"/>
            <w:noWrap/>
            <w:vAlign w:val="bottom"/>
            <w:hideMark/>
          </w:tcPr>
          <w:p w14:paraId="56E83CD3" w14:textId="77777777" w:rsidR="005530FC" w:rsidRPr="005530FC" w:rsidRDefault="005530FC" w:rsidP="005530FC">
            <w:pPr>
              <w:spacing w:line="240" w:lineRule="auto"/>
              <w:jc w:val="center"/>
              <w:rPr>
                <w:color w:val="FFFFFF"/>
                <w:sz w:val="16"/>
                <w:szCs w:val="16"/>
              </w:rPr>
            </w:pPr>
            <w:r w:rsidRPr="005530FC">
              <w:rPr>
                <w:color w:val="FFFFFF"/>
                <w:sz w:val="16"/>
                <w:szCs w:val="16"/>
              </w:rPr>
              <w:t>AÑO</w:t>
            </w:r>
          </w:p>
        </w:tc>
        <w:tc>
          <w:tcPr>
            <w:tcW w:w="870" w:type="dxa"/>
            <w:tcBorders>
              <w:top w:val="nil"/>
              <w:left w:val="nil"/>
              <w:bottom w:val="single" w:sz="4" w:space="0" w:color="auto"/>
              <w:right w:val="single" w:sz="4" w:space="0" w:color="auto"/>
            </w:tcBorders>
            <w:shd w:val="clear" w:color="000000" w:fill="215967"/>
            <w:noWrap/>
            <w:vAlign w:val="bottom"/>
            <w:hideMark/>
          </w:tcPr>
          <w:p w14:paraId="2672556D" w14:textId="77777777" w:rsidR="005530FC" w:rsidRPr="005530FC" w:rsidRDefault="005530FC" w:rsidP="005530FC">
            <w:pPr>
              <w:spacing w:line="240" w:lineRule="auto"/>
              <w:jc w:val="center"/>
              <w:rPr>
                <w:color w:val="FFFFFF"/>
                <w:sz w:val="16"/>
                <w:szCs w:val="16"/>
              </w:rPr>
            </w:pPr>
            <w:r w:rsidRPr="005530FC">
              <w:rPr>
                <w:color w:val="FFFFFF"/>
                <w:sz w:val="16"/>
                <w:szCs w:val="16"/>
              </w:rPr>
              <w:t>ASFALTO</w:t>
            </w:r>
          </w:p>
        </w:tc>
        <w:tc>
          <w:tcPr>
            <w:tcW w:w="940" w:type="dxa"/>
            <w:tcBorders>
              <w:top w:val="nil"/>
              <w:left w:val="nil"/>
              <w:bottom w:val="single" w:sz="4" w:space="0" w:color="auto"/>
              <w:right w:val="single" w:sz="4" w:space="0" w:color="auto"/>
            </w:tcBorders>
            <w:shd w:val="clear" w:color="000000" w:fill="215967"/>
            <w:noWrap/>
            <w:vAlign w:val="bottom"/>
            <w:hideMark/>
          </w:tcPr>
          <w:p w14:paraId="0B440A39" w14:textId="77777777" w:rsidR="005530FC" w:rsidRPr="005530FC" w:rsidRDefault="005530FC" w:rsidP="005530FC">
            <w:pPr>
              <w:spacing w:line="240" w:lineRule="auto"/>
              <w:jc w:val="center"/>
              <w:rPr>
                <w:color w:val="FFFFFF"/>
                <w:sz w:val="16"/>
                <w:szCs w:val="16"/>
              </w:rPr>
            </w:pPr>
            <w:r w:rsidRPr="005530FC">
              <w:rPr>
                <w:color w:val="FFFFFF"/>
                <w:sz w:val="16"/>
                <w:szCs w:val="16"/>
              </w:rPr>
              <w:t>CEMENTO</w:t>
            </w:r>
          </w:p>
        </w:tc>
        <w:tc>
          <w:tcPr>
            <w:tcW w:w="992" w:type="dxa"/>
            <w:tcBorders>
              <w:top w:val="nil"/>
              <w:left w:val="nil"/>
              <w:bottom w:val="single" w:sz="4" w:space="0" w:color="auto"/>
              <w:right w:val="single" w:sz="4" w:space="0" w:color="auto"/>
            </w:tcBorders>
            <w:shd w:val="clear" w:color="000000" w:fill="215967"/>
            <w:noWrap/>
            <w:vAlign w:val="bottom"/>
            <w:hideMark/>
          </w:tcPr>
          <w:p w14:paraId="4C48D518" w14:textId="77777777" w:rsidR="005530FC" w:rsidRPr="005530FC" w:rsidRDefault="005530FC" w:rsidP="005530FC">
            <w:pPr>
              <w:spacing w:line="240" w:lineRule="auto"/>
              <w:jc w:val="center"/>
              <w:rPr>
                <w:color w:val="FFFFFF"/>
                <w:sz w:val="16"/>
                <w:szCs w:val="16"/>
              </w:rPr>
            </w:pPr>
            <w:r w:rsidRPr="005530FC">
              <w:rPr>
                <w:color w:val="FFFFFF"/>
                <w:sz w:val="16"/>
                <w:szCs w:val="16"/>
              </w:rPr>
              <w:t>FIERRO</w:t>
            </w:r>
          </w:p>
        </w:tc>
        <w:tc>
          <w:tcPr>
            <w:tcW w:w="992" w:type="dxa"/>
            <w:tcBorders>
              <w:top w:val="nil"/>
              <w:left w:val="nil"/>
              <w:bottom w:val="single" w:sz="4" w:space="0" w:color="auto"/>
              <w:right w:val="single" w:sz="4" w:space="0" w:color="auto"/>
            </w:tcBorders>
            <w:shd w:val="clear" w:color="000000" w:fill="215967"/>
            <w:noWrap/>
            <w:vAlign w:val="bottom"/>
            <w:hideMark/>
          </w:tcPr>
          <w:p w14:paraId="2123CFE3" w14:textId="77777777" w:rsidR="005530FC" w:rsidRPr="005530FC" w:rsidRDefault="005530FC" w:rsidP="005530FC">
            <w:pPr>
              <w:spacing w:line="240" w:lineRule="auto"/>
              <w:jc w:val="center"/>
              <w:rPr>
                <w:color w:val="FFFFFF"/>
                <w:sz w:val="16"/>
                <w:szCs w:val="16"/>
              </w:rPr>
            </w:pPr>
            <w:r w:rsidRPr="005530FC">
              <w:rPr>
                <w:color w:val="FFFFFF"/>
                <w:sz w:val="16"/>
                <w:szCs w:val="16"/>
              </w:rPr>
              <w:t>GENERAL</w:t>
            </w:r>
          </w:p>
        </w:tc>
        <w:tc>
          <w:tcPr>
            <w:tcW w:w="1154" w:type="dxa"/>
            <w:tcBorders>
              <w:top w:val="nil"/>
              <w:left w:val="nil"/>
              <w:bottom w:val="single" w:sz="4" w:space="0" w:color="auto"/>
              <w:right w:val="single" w:sz="4" w:space="0" w:color="auto"/>
            </w:tcBorders>
            <w:shd w:val="clear" w:color="000000" w:fill="215967"/>
            <w:noWrap/>
            <w:vAlign w:val="bottom"/>
            <w:hideMark/>
          </w:tcPr>
          <w:p w14:paraId="75EB0CF4" w14:textId="77777777" w:rsidR="005530FC" w:rsidRPr="005530FC" w:rsidRDefault="005530FC" w:rsidP="005530FC">
            <w:pPr>
              <w:spacing w:line="240" w:lineRule="auto"/>
              <w:jc w:val="center"/>
              <w:rPr>
                <w:color w:val="FFFFFF"/>
                <w:sz w:val="16"/>
                <w:szCs w:val="16"/>
              </w:rPr>
            </w:pPr>
            <w:r w:rsidRPr="005530FC">
              <w:rPr>
                <w:color w:val="FFFFFF"/>
                <w:sz w:val="16"/>
                <w:szCs w:val="16"/>
              </w:rPr>
              <w:t>MATERIALES</w:t>
            </w:r>
          </w:p>
        </w:tc>
        <w:tc>
          <w:tcPr>
            <w:tcW w:w="992" w:type="dxa"/>
            <w:tcBorders>
              <w:top w:val="nil"/>
              <w:left w:val="nil"/>
              <w:bottom w:val="single" w:sz="4" w:space="0" w:color="auto"/>
              <w:right w:val="single" w:sz="4" w:space="0" w:color="auto"/>
            </w:tcBorders>
            <w:shd w:val="clear" w:color="000000" w:fill="215967"/>
            <w:noWrap/>
            <w:vAlign w:val="bottom"/>
            <w:hideMark/>
          </w:tcPr>
          <w:p w14:paraId="555CF682" w14:textId="77777777" w:rsidR="005530FC" w:rsidRPr="005530FC" w:rsidRDefault="005530FC" w:rsidP="005530FC">
            <w:pPr>
              <w:spacing w:line="240" w:lineRule="auto"/>
              <w:jc w:val="center"/>
              <w:rPr>
                <w:color w:val="FFFFFF"/>
                <w:sz w:val="16"/>
                <w:szCs w:val="16"/>
              </w:rPr>
            </w:pPr>
            <w:r w:rsidRPr="005530FC">
              <w:rPr>
                <w:color w:val="FFFFFF"/>
                <w:sz w:val="16"/>
                <w:szCs w:val="16"/>
              </w:rPr>
              <w:t>EQUIPOS</w:t>
            </w:r>
          </w:p>
        </w:tc>
        <w:tc>
          <w:tcPr>
            <w:tcW w:w="1134" w:type="dxa"/>
            <w:tcBorders>
              <w:top w:val="nil"/>
              <w:left w:val="nil"/>
              <w:bottom w:val="single" w:sz="4" w:space="0" w:color="auto"/>
              <w:right w:val="single" w:sz="4" w:space="0" w:color="auto"/>
            </w:tcBorders>
            <w:shd w:val="clear" w:color="000000" w:fill="215967"/>
            <w:noWrap/>
            <w:vAlign w:val="bottom"/>
            <w:hideMark/>
          </w:tcPr>
          <w:p w14:paraId="6A69BB75" w14:textId="77777777" w:rsidR="005530FC" w:rsidRPr="005530FC" w:rsidRDefault="005530FC" w:rsidP="005530FC">
            <w:pPr>
              <w:spacing w:line="240" w:lineRule="auto"/>
              <w:jc w:val="center"/>
              <w:rPr>
                <w:color w:val="FFFFFF"/>
                <w:sz w:val="16"/>
                <w:szCs w:val="16"/>
              </w:rPr>
            </w:pPr>
            <w:r w:rsidRPr="005530FC">
              <w:rPr>
                <w:color w:val="FFFFFF"/>
                <w:sz w:val="16"/>
                <w:szCs w:val="16"/>
              </w:rPr>
              <w:t>MANO DE OBRA</w:t>
            </w:r>
          </w:p>
        </w:tc>
      </w:tr>
      <w:tr w:rsidR="005530FC" w:rsidRPr="005530FC" w14:paraId="483654CA" w14:textId="77777777" w:rsidTr="0012718A">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98305FA" w14:textId="77777777" w:rsidR="005530FC" w:rsidRPr="005530FC" w:rsidRDefault="005530FC" w:rsidP="005530FC">
            <w:pPr>
              <w:spacing w:line="240" w:lineRule="auto"/>
              <w:jc w:val="center"/>
              <w:rPr>
                <w:color w:val="000000"/>
                <w:sz w:val="16"/>
                <w:szCs w:val="16"/>
              </w:rPr>
            </w:pPr>
            <w:r w:rsidRPr="005530FC">
              <w:rPr>
                <w:color w:val="000000"/>
                <w:sz w:val="16"/>
                <w:szCs w:val="16"/>
              </w:rPr>
              <w:t>2002</w:t>
            </w:r>
          </w:p>
        </w:tc>
        <w:tc>
          <w:tcPr>
            <w:tcW w:w="870" w:type="dxa"/>
            <w:tcBorders>
              <w:top w:val="nil"/>
              <w:left w:val="nil"/>
              <w:bottom w:val="single" w:sz="4" w:space="0" w:color="auto"/>
              <w:right w:val="single" w:sz="4" w:space="0" w:color="auto"/>
            </w:tcBorders>
            <w:shd w:val="clear" w:color="auto" w:fill="auto"/>
            <w:noWrap/>
            <w:vAlign w:val="bottom"/>
            <w:hideMark/>
          </w:tcPr>
          <w:p w14:paraId="528919B7" w14:textId="49103AFE" w:rsidR="005530FC" w:rsidRPr="005530FC" w:rsidRDefault="005530FC" w:rsidP="005530FC">
            <w:pPr>
              <w:spacing w:line="240" w:lineRule="auto"/>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noWrap/>
            <w:vAlign w:val="bottom"/>
            <w:hideMark/>
          </w:tcPr>
          <w:p w14:paraId="70AC6FC6" w14:textId="2C5139E3" w:rsidR="005530FC" w:rsidRPr="005530FC" w:rsidRDefault="005530FC" w:rsidP="005530FC">
            <w:pPr>
              <w:spacing w:line="240" w:lineRule="auto"/>
              <w:jc w:val="center"/>
              <w:rPr>
                <w:color w:val="000000"/>
                <w:sz w:val="16"/>
                <w:szCs w:val="16"/>
              </w:rPr>
            </w:pPr>
            <w:r w:rsidRPr="005530FC">
              <w:rPr>
                <w:color w:val="000000"/>
                <w:sz w:val="16"/>
                <w:szCs w:val="16"/>
              </w:rPr>
              <w:t>41,70</w:t>
            </w:r>
          </w:p>
        </w:tc>
        <w:tc>
          <w:tcPr>
            <w:tcW w:w="992" w:type="dxa"/>
            <w:tcBorders>
              <w:top w:val="nil"/>
              <w:left w:val="nil"/>
              <w:bottom w:val="single" w:sz="4" w:space="0" w:color="auto"/>
              <w:right w:val="single" w:sz="4" w:space="0" w:color="auto"/>
            </w:tcBorders>
            <w:shd w:val="clear" w:color="auto" w:fill="auto"/>
            <w:noWrap/>
            <w:vAlign w:val="bottom"/>
            <w:hideMark/>
          </w:tcPr>
          <w:p w14:paraId="2248E728" w14:textId="36D76C93" w:rsidR="005530FC" w:rsidRPr="005530FC" w:rsidRDefault="005530FC" w:rsidP="005530FC">
            <w:pPr>
              <w:spacing w:line="240" w:lineRule="auto"/>
              <w:jc w:val="center"/>
              <w:rPr>
                <w:color w:val="000000"/>
                <w:sz w:val="16"/>
                <w:szCs w:val="16"/>
              </w:rPr>
            </w:pPr>
            <w:r w:rsidRPr="005530FC">
              <w:rPr>
                <w:color w:val="000000"/>
                <w:sz w:val="16"/>
                <w:szCs w:val="16"/>
              </w:rPr>
              <w:t>15,74</w:t>
            </w:r>
          </w:p>
        </w:tc>
        <w:tc>
          <w:tcPr>
            <w:tcW w:w="992" w:type="dxa"/>
            <w:tcBorders>
              <w:top w:val="nil"/>
              <w:left w:val="nil"/>
              <w:bottom w:val="single" w:sz="4" w:space="0" w:color="auto"/>
              <w:right w:val="single" w:sz="4" w:space="0" w:color="auto"/>
            </w:tcBorders>
            <w:shd w:val="clear" w:color="auto" w:fill="auto"/>
            <w:noWrap/>
            <w:vAlign w:val="bottom"/>
            <w:hideMark/>
          </w:tcPr>
          <w:p w14:paraId="61D8B67B" w14:textId="4F52E45D" w:rsidR="005530FC" w:rsidRPr="005530FC" w:rsidRDefault="005530FC" w:rsidP="005530FC">
            <w:pPr>
              <w:spacing w:line="240" w:lineRule="auto"/>
              <w:jc w:val="center"/>
              <w:rPr>
                <w:color w:val="000000"/>
                <w:sz w:val="16"/>
                <w:szCs w:val="16"/>
              </w:rPr>
            </w:pPr>
            <w:r w:rsidRPr="005530FC">
              <w:rPr>
                <w:color w:val="000000"/>
                <w:sz w:val="16"/>
                <w:szCs w:val="16"/>
              </w:rPr>
              <w:t>104,34</w:t>
            </w:r>
          </w:p>
        </w:tc>
        <w:tc>
          <w:tcPr>
            <w:tcW w:w="1154" w:type="dxa"/>
            <w:tcBorders>
              <w:top w:val="nil"/>
              <w:left w:val="nil"/>
              <w:bottom w:val="single" w:sz="4" w:space="0" w:color="auto"/>
              <w:right w:val="single" w:sz="4" w:space="0" w:color="auto"/>
            </w:tcBorders>
            <w:shd w:val="clear" w:color="auto" w:fill="auto"/>
            <w:noWrap/>
            <w:vAlign w:val="bottom"/>
            <w:hideMark/>
          </w:tcPr>
          <w:p w14:paraId="51DD7B6D" w14:textId="0369C86A" w:rsidR="005530FC" w:rsidRPr="005530FC" w:rsidRDefault="005530FC" w:rsidP="005530FC">
            <w:pPr>
              <w:spacing w:line="240" w:lineRule="auto"/>
              <w:jc w:val="center"/>
              <w:rPr>
                <w:color w:val="000000"/>
                <w:sz w:val="16"/>
                <w:szCs w:val="16"/>
              </w:rPr>
            </w:pPr>
            <w:r w:rsidRPr="005530FC">
              <w:rPr>
                <w:color w:val="000000"/>
                <w:sz w:val="16"/>
                <w:szCs w:val="16"/>
              </w:rPr>
              <w:t>95,23</w:t>
            </w:r>
          </w:p>
        </w:tc>
        <w:tc>
          <w:tcPr>
            <w:tcW w:w="992" w:type="dxa"/>
            <w:tcBorders>
              <w:top w:val="nil"/>
              <w:left w:val="nil"/>
              <w:bottom w:val="single" w:sz="4" w:space="0" w:color="auto"/>
              <w:right w:val="single" w:sz="4" w:space="0" w:color="auto"/>
            </w:tcBorders>
            <w:shd w:val="clear" w:color="auto" w:fill="auto"/>
            <w:noWrap/>
            <w:vAlign w:val="bottom"/>
            <w:hideMark/>
          </w:tcPr>
          <w:p w14:paraId="38D4F045" w14:textId="2ECDDC39" w:rsidR="005530FC" w:rsidRPr="005530FC" w:rsidRDefault="005530FC" w:rsidP="005530FC">
            <w:pPr>
              <w:spacing w:line="240" w:lineRule="auto"/>
              <w:jc w:val="center"/>
              <w:rPr>
                <w:color w:val="000000"/>
                <w:sz w:val="16"/>
                <w:szCs w:val="16"/>
              </w:rPr>
            </w:pPr>
            <w:r w:rsidRPr="005530FC">
              <w:rPr>
                <w:color w:val="000000"/>
                <w:sz w:val="16"/>
                <w:szCs w:val="16"/>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5C126194" w14:textId="77777777" w:rsidR="005530FC" w:rsidRPr="005530FC" w:rsidRDefault="005530FC" w:rsidP="005530FC">
            <w:pPr>
              <w:spacing w:line="240" w:lineRule="auto"/>
              <w:jc w:val="center"/>
              <w:rPr>
                <w:color w:val="000000"/>
                <w:sz w:val="16"/>
                <w:szCs w:val="16"/>
              </w:rPr>
            </w:pPr>
            <w:r w:rsidRPr="005530FC">
              <w:rPr>
                <w:color w:val="000000"/>
                <w:sz w:val="16"/>
                <w:szCs w:val="16"/>
              </w:rPr>
              <w:t>102,29</w:t>
            </w:r>
          </w:p>
        </w:tc>
      </w:tr>
      <w:tr w:rsidR="005530FC" w:rsidRPr="005530FC" w14:paraId="5B500387" w14:textId="77777777" w:rsidTr="0012718A">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75FA40B" w14:textId="77777777" w:rsidR="005530FC" w:rsidRPr="005530FC" w:rsidRDefault="005530FC" w:rsidP="005530FC">
            <w:pPr>
              <w:spacing w:line="240" w:lineRule="auto"/>
              <w:jc w:val="center"/>
              <w:rPr>
                <w:color w:val="000000"/>
                <w:sz w:val="16"/>
                <w:szCs w:val="16"/>
              </w:rPr>
            </w:pPr>
            <w:r w:rsidRPr="005530FC">
              <w:rPr>
                <w:color w:val="000000"/>
                <w:sz w:val="16"/>
                <w:szCs w:val="16"/>
              </w:rPr>
              <w:t>2003</w:t>
            </w:r>
          </w:p>
        </w:tc>
        <w:tc>
          <w:tcPr>
            <w:tcW w:w="870" w:type="dxa"/>
            <w:tcBorders>
              <w:top w:val="nil"/>
              <w:left w:val="nil"/>
              <w:bottom w:val="single" w:sz="4" w:space="0" w:color="auto"/>
              <w:right w:val="single" w:sz="4" w:space="0" w:color="auto"/>
            </w:tcBorders>
            <w:shd w:val="clear" w:color="auto" w:fill="auto"/>
            <w:noWrap/>
            <w:vAlign w:val="bottom"/>
            <w:hideMark/>
          </w:tcPr>
          <w:p w14:paraId="5B2531F4" w14:textId="2A864D1A" w:rsidR="005530FC" w:rsidRPr="005530FC" w:rsidRDefault="005530FC" w:rsidP="005530FC">
            <w:pPr>
              <w:spacing w:line="240" w:lineRule="auto"/>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noWrap/>
            <w:vAlign w:val="bottom"/>
            <w:hideMark/>
          </w:tcPr>
          <w:p w14:paraId="3CFA566D" w14:textId="668E1FD3" w:rsidR="005530FC" w:rsidRPr="005530FC" w:rsidRDefault="005530FC" w:rsidP="005530FC">
            <w:pPr>
              <w:spacing w:line="240" w:lineRule="auto"/>
              <w:jc w:val="center"/>
              <w:rPr>
                <w:color w:val="000000"/>
                <w:sz w:val="16"/>
                <w:szCs w:val="16"/>
              </w:rPr>
            </w:pPr>
            <w:r w:rsidRPr="005530FC">
              <w:rPr>
                <w:color w:val="000000"/>
                <w:sz w:val="16"/>
                <w:szCs w:val="16"/>
              </w:rPr>
              <w:t>43,40</w:t>
            </w:r>
          </w:p>
        </w:tc>
        <w:tc>
          <w:tcPr>
            <w:tcW w:w="992" w:type="dxa"/>
            <w:tcBorders>
              <w:top w:val="nil"/>
              <w:left w:val="nil"/>
              <w:bottom w:val="single" w:sz="4" w:space="0" w:color="auto"/>
              <w:right w:val="single" w:sz="4" w:space="0" w:color="auto"/>
            </w:tcBorders>
            <w:shd w:val="clear" w:color="auto" w:fill="auto"/>
            <w:noWrap/>
            <w:vAlign w:val="bottom"/>
            <w:hideMark/>
          </w:tcPr>
          <w:p w14:paraId="6AD265F1" w14:textId="290091E5" w:rsidR="005530FC" w:rsidRPr="005530FC" w:rsidRDefault="005530FC" w:rsidP="005530FC">
            <w:pPr>
              <w:spacing w:line="240" w:lineRule="auto"/>
              <w:jc w:val="center"/>
              <w:rPr>
                <w:color w:val="000000"/>
                <w:sz w:val="16"/>
                <w:szCs w:val="16"/>
              </w:rPr>
            </w:pPr>
            <w:r w:rsidRPr="005530FC">
              <w:rPr>
                <w:color w:val="000000"/>
                <w:sz w:val="16"/>
                <w:szCs w:val="16"/>
              </w:rPr>
              <w:t>18,81</w:t>
            </w:r>
          </w:p>
        </w:tc>
        <w:tc>
          <w:tcPr>
            <w:tcW w:w="992" w:type="dxa"/>
            <w:tcBorders>
              <w:top w:val="nil"/>
              <w:left w:val="nil"/>
              <w:bottom w:val="single" w:sz="4" w:space="0" w:color="auto"/>
              <w:right w:val="single" w:sz="4" w:space="0" w:color="auto"/>
            </w:tcBorders>
            <w:shd w:val="clear" w:color="auto" w:fill="auto"/>
            <w:noWrap/>
            <w:vAlign w:val="bottom"/>
            <w:hideMark/>
          </w:tcPr>
          <w:p w14:paraId="249DC04B" w14:textId="42B62EC2" w:rsidR="005530FC" w:rsidRPr="005530FC" w:rsidRDefault="005530FC" w:rsidP="005530FC">
            <w:pPr>
              <w:spacing w:line="240" w:lineRule="auto"/>
              <w:jc w:val="center"/>
              <w:rPr>
                <w:color w:val="000000"/>
                <w:sz w:val="16"/>
                <w:szCs w:val="16"/>
              </w:rPr>
            </w:pPr>
            <w:r w:rsidRPr="005530FC">
              <w:rPr>
                <w:color w:val="000000"/>
                <w:sz w:val="16"/>
                <w:szCs w:val="16"/>
              </w:rPr>
              <w:t>103,90</w:t>
            </w:r>
          </w:p>
        </w:tc>
        <w:tc>
          <w:tcPr>
            <w:tcW w:w="1154" w:type="dxa"/>
            <w:tcBorders>
              <w:top w:val="nil"/>
              <w:left w:val="nil"/>
              <w:bottom w:val="single" w:sz="4" w:space="0" w:color="auto"/>
              <w:right w:val="single" w:sz="4" w:space="0" w:color="auto"/>
            </w:tcBorders>
            <w:shd w:val="clear" w:color="auto" w:fill="auto"/>
            <w:noWrap/>
            <w:vAlign w:val="bottom"/>
            <w:hideMark/>
          </w:tcPr>
          <w:p w14:paraId="52E6CCE5" w14:textId="63732515" w:rsidR="005530FC" w:rsidRPr="005530FC" w:rsidRDefault="005530FC" w:rsidP="005530FC">
            <w:pPr>
              <w:spacing w:line="240" w:lineRule="auto"/>
              <w:jc w:val="center"/>
              <w:rPr>
                <w:color w:val="000000"/>
                <w:sz w:val="16"/>
                <w:szCs w:val="16"/>
              </w:rPr>
            </w:pPr>
            <w:r w:rsidRPr="005530FC">
              <w:rPr>
                <w:color w:val="000000"/>
                <w:sz w:val="16"/>
                <w:szCs w:val="16"/>
              </w:rPr>
              <w:t>107,06</w:t>
            </w:r>
          </w:p>
        </w:tc>
        <w:tc>
          <w:tcPr>
            <w:tcW w:w="992" w:type="dxa"/>
            <w:tcBorders>
              <w:top w:val="nil"/>
              <w:left w:val="nil"/>
              <w:bottom w:val="single" w:sz="4" w:space="0" w:color="auto"/>
              <w:right w:val="single" w:sz="4" w:space="0" w:color="auto"/>
            </w:tcBorders>
            <w:shd w:val="clear" w:color="auto" w:fill="auto"/>
            <w:noWrap/>
            <w:vAlign w:val="bottom"/>
            <w:hideMark/>
          </w:tcPr>
          <w:p w14:paraId="7B4F4A40" w14:textId="03F16CB7" w:rsidR="005530FC" w:rsidRPr="005530FC" w:rsidRDefault="005530FC" w:rsidP="005530FC">
            <w:pPr>
              <w:spacing w:line="240" w:lineRule="auto"/>
              <w:jc w:val="center"/>
              <w:rPr>
                <w:color w:val="000000"/>
                <w:sz w:val="16"/>
                <w:szCs w:val="16"/>
              </w:rPr>
            </w:pPr>
            <w:r w:rsidRPr="005530FC">
              <w:rPr>
                <w:color w:val="000000"/>
                <w:sz w:val="16"/>
                <w:szCs w:val="16"/>
              </w:rPr>
              <w:t>1,04</w:t>
            </w:r>
          </w:p>
        </w:tc>
        <w:tc>
          <w:tcPr>
            <w:tcW w:w="1134" w:type="dxa"/>
            <w:tcBorders>
              <w:top w:val="nil"/>
              <w:left w:val="nil"/>
              <w:bottom w:val="single" w:sz="4" w:space="0" w:color="auto"/>
              <w:right w:val="single" w:sz="4" w:space="0" w:color="auto"/>
            </w:tcBorders>
            <w:shd w:val="clear" w:color="auto" w:fill="auto"/>
            <w:noWrap/>
            <w:vAlign w:val="bottom"/>
            <w:hideMark/>
          </w:tcPr>
          <w:p w14:paraId="2BE06A05" w14:textId="77777777" w:rsidR="005530FC" w:rsidRPr="005530FC" w:rsidRDefault="005530FC" w:rsidP="005530FC">
            <w:pPr>
              <w:spacing w:line="240" w:lineRule="auto"/>
              <w:jc w:val="center"/>
              <w:rPr>
                <w:color w:val="000000"/>
                <w:sz w:val="16"/>
                <w:szCs w:val="16"/>
              </w:rPr>
            </w:pPr>
            <w:r w:rsidRPr="005530FC">
              <w:rPr>
                <w:color w:val="000000"/>
                <w:sz w:val="16"/>
                <w:szCs w:val="16"/>
              </w:rPr>
              <w:t>96,92</w:t>
            </w:r>
          </w:p>
        </w:tc>
      </w:tr>
      <w:tr w:rsidR="005530FC" w:rsidRPr="005530FC" w14:paraId="106864A1" w14:textId="77777777" w:rsidTr="0012718A">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7A43759" w14:textId="77777777" w:rsidR="005530FC" w:rsidRPr="005530FC" w:rsidRDefault="005530FC" w:rsidP="005530FC">
            <w:pPr>
              <w:spacing w:line="240" w:lineRule="auto"/>
              <w:jc w:val="center"/>
              <w:rPr>
                <w:color w:val="000000"/>
                <w:sz w:val="16"/>
                <w:szCs w:val="16"/>
              </w:rPr>
            </w:pPr>
            <w:r w:rsidRPr="005530FC">
              <w:rPr>
                <w:color w:val="000000"/>
                <w:sz w:val="16"/>
                <w:szCs w:val="16"/>
              </w:rPr>
              <w:t>2004</w:t>
            </w:r>
          </w:p>
        </w:tc>
        <w:tc>
          <w:tcPr>
            <w:tcW w:w="870" w:type="dxa"/>
            <w:tcBorders>
              <w:top w:val="nil"/>
              <w:left w:val="nil"/>
              <w:bottom w:val="single" w:sz="4" w:space="0" w:color="auto"/>
              <w:right w:val="single" w:sz="4" w:space="0" w:color="auto"/>
            </w:tcBorders>
            <w:shd w:val="clear" w:color="auto" w:fill="auto"/>
            <w:noWrap/>
            <w:vAlign w:val="bottom"/>
            <w:hideMark/>
          </w:tcPr>
          <w:p w14:paraId="61EC1AFC" w14:textId="5FE46519" w:rsidR="005530FC" w:rsidRPr="005530FC" w:rsidRDefault="005530FC" w:rsidP="005530FC">
            <w:pPr>
              <w:spacing w:line="240" w:lineRule="auto"/>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noWrap/>
            <w:vAlign w:val="bottom"/>
            <w:hideMark/>
          </w:tcPr>
          <w:p w14:paraId="39D42497" w14:textId="2A5E17E6" w:rsidR="005530FC" w:rsidRPr="005530FC" w:rsidRDefault="005530FC" w:rsidP="005530FC">
            <w:pPr>
              <w:spacing w:line="240" w:lineRule="auto"/>
              <w:jc w:val="center"/>
              <w:rPr>
                <w:color w:val="000000"/>
                <w:sz w:val="16"/>
                <w:szCs w:val="16"/>
              </w:rPr>
            </w:pPr>
            <w:r w:rsidRPr="005530FC">
              <w:rPr>
                <w:color w:val="000000"/>
                <w:sz w:val="16"/>
                <w:szCs w:val="16"/>
              </w:rPr>
              <w:t>46,30</w:t>
            </w:r>
          </w:p>
        </w:tc>
        <w:tc>
          <w:tcPr>
            <w:tcW w:w="992" w:type="dxa"/>
            <w:tcBorders>
              <w:top w:val="nil"/>
              <w:left w:val="nil"/>
              <w:bottom w:val="single" w:sz="4" w:space="0" w:color="auto"/>
              <w:right w:val="single" w:sz="4" w:space="0" w:color="auto"/>
            </w:tcBorders>
            <w:shd w:val="clear" w:color="auto" w:fill="auto"/>
            <w:noWrap/>
            <w:vAlign w:val="bottom"/>
            <w:hideMark/>
          </w:tcPr>
          <w:p w14:paraId="1A8C960A" w14:textId="648997BC" w:rsidR="005530FC" w:rsidRPr="005530FC" w:rsidRDefault="005530FC" w:rsidP="005530FC">
            <w:pPr>
              <w:spacing w:line="240" w:lineRule="auto"/>
              <w:jc w:val="center"/>
              <w:rPr>
                <w:color w:val="000000"/>
                <w:sz w:val="16"/>
                <w:szCs w:val="16"/>
              </w:rPr>
            </w:pPr>
            <w:r w:rsidRPr="005530FC">
              <w:rPr>
                <w:color w:val="000000"/>
                <w:sz w:val="16"/>
                <w:szCs w:val="16"/>
              </w:rPr>
              <w:t>30,95</w:t>
            </w:r>
          </w:p>
        </w:tc>
        <w:tc>
          <w:tcPr>
            <w:tcW w:w="992" w:type="dxa"/>
            <w:tcBorders>
              <w:top w:val="nil"/>
              <w:left w:val="nil"/>
              <w:bottom w:val="single" w:sz="4" w:space="0" w:color="auto"/>
              <w:right w:val="single" w:sz="4" w:space="0" w:color="auto"/>
            </w:tcBorders>
            <w:shd w:val="clear" w:color="auto" w:fill="auto"/>
            <w:noWrap/>
            <w:vAlign w:val="bottom"/>
            <w:hideMark/>
          </w:tcPr>
          <w:p w14:paraId="1E64C7AA" w14:textId="3E0685E3" w:rsidR="005530FC" w:rsidRPr="005530FC" w:rsidRDefault="005530FC" w:rsidP="005530FC">
            <w:pPr>
              <w:spacing w:line="240" w:lineRule="auto"/>
              <w:jc w:val="center"/>
              <w:rPr>
                <w:color w:val="000000"/>
                <w:sz w:val="16"/>
                <w:szCs w:val="16"/>
              </w:rPr>
            </w:pPr>
            <w:r w:rsidRPr="005530FC">
              <w:rPr>
                <w:color w:val="000000"/>
                <w:sz w:val="16"/>
                <w:szCs w:val="16"/>
              </w:rPr>
              <w:t>112,49</w:t>
            </w:r>
          </w:p>
        </w:tc>
        <w:tc>
          <w:tcPr>
            <w:tcW w:w="1154" w:type="dxa"/>
            <w:tcBorders>
              <w:top w:val="nil"/>
              <w:left w:val="nil"/>
              <w:bottom w:val="single" w:sz="4" w:space="0" w:color="auto"/>
              <w:right w:val="single" w:sz="4" w:space="0" w:color="auto"/>
            </w:tcBorders>
            <w:shd w:val="clear" w:color="auto" w:fill="auto"/>
            <w:noWrap/>
            <w:vAlign w:val="bottom"/>
            <w:hideMark/>
          </w:tcPr>
          <w:p w14:paraId="1B4C89EB" w14:textId="2CFE250C" w:rsidR="005530FC" w:rsidRPr="005530FC" w:rsidRDefault="005530FC" w:rsidP="005530FC">
            <w:pPr>
              <w:spacing w:line="240" w:lineRule="auto"/>
              <w:jc w:val="center"/>
              <w:rPr>
                <w:color w:val="000000"/>
                <w:sz w:val="16"/>
                <w:szCs w:val="16"/>
              </w:rPr>
            </w:pPr>
            <w:r w:rsidRPr="005530FC">
              <w:rPr>
                <w:color w:val="000000"/>
                <w:sz w:val="16"/>
                <w:szCs w:val="16"/>
              </w:rPr>
              <w:t>122,49</w:t>
            </w:r>
          </w:p>
        </w:tc>
        <w:tc>
          <w:tcPr>
            <w:tcW w:w="992" w:type="dxa"/>
            <w:tcBorders>
              <w:top w:val="nil"/>
              <w:left w:val="nil"/>
              <w:bottom w:val="single" w:sz="4" w:space="0" w:color="auto"/>
              <w:right w:val="single" w:sz="4" w:space="0" w:color="auto"/>
            </w:tcBorders>
            <w:shd w:val="clear" w:color="auto" w:fill="auto"/>
            <w:noWrap/>
            <w:vAlign w:val="bottom"/>
            <w:hideMark/>
          </w:tcPr>
          <w:p w14:paraId="6253C8F2" w14:textId="27ED3EFB" w:rsidR="005530FC" w:rsidRPr="005530FC" w:rsidRDefault="005530FC" w:rsidP="005530FC">
            <w:pPr>
              <w:spacing w:line="240" w:lineRule="auto"/>
              <w:jc w:val="center"/>
              <w:rPr>
                <w:color w:val="000000"/>
                <w:sz w:val="16"/>
                <w:szCs w:val="16"/>
              </w:rPr>
            </w:pPr>
            <w:r w:rsidRPr="005530FC">
              <w:rPr>
                <w:color w:val="000000"/>
                <w:sz w:val="16"/>
                <w:szCs w:val="16"/>
              </w:rPr>
              <w:t>1,08</w:t>
            </w:r>
          </w:p>
        </w:tc>
        <w:tc>
          <w:tcPr>
            <w:tcW w:w="1134" w:type="dxa"/>
            <w:tcBorders>
              <w:top w:val="nil"/>
              <w:left w:val="nil"/>
              <w:bottom w:val="single" w:sz="4" w:space="0" w:color="auto"/>
              <w:right w:val="single" w:sz="4" w:space="0" w:color="auto"/>
            </w:tcBorders>
            <w:shd w:val="clear" w:color="auto" w:fill="auto"/>
            <w:noWrap/>
            <w:vAlign w:val="bottom"/>
            <w:hideMark/>
          </w:tcPr>
          <w:p w14:paraId="4350DE2E" w14:textId="77777777" w:rsidR="005530FC" w:rsidRPr="005530FC" w:rsidRDefault="005530FC" w:rsidP="005530FC">
            <w:pPr>
              <w:spacing w:line="240" w:lineRule="auto"/>
              <w:jc w:val="center"/>
              <w:rPr>
                <w:color w:val="000000"/>
                <w:sz w:val="16"/>
                <w:szCs w:val="16"/>
              </w:rPr>
            </w:pPr>
            <w:r w:rsidRPr="005530FC">
              <w:rPr>
                <w:color w:val="000000"/>
                <w:sz w:val="16"/>
                <w:szCs w:val="16"/>
              </w:rPr>
              <w:t>99,88</w:t>
            </w:r>
          </w:p>
        </w:tc>
      </w:tr>
      <w:tr w:rsidR="005530FC" w:rsidRPr="005530FC" w14:paraId="39DC34E8" w14:textId="77777777" w:rsidTr="0012718A">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FE926C5" w14:textId="77777777" w:rsidR="005530FC" w:rsidRPr="005530FC" w:rsidRDefault="005530FC" w:rsidP="005530FC">
            <w:pPr>
              <w:spacing w:line="240" w:lineRule="auto"/>
              <w:jc w:val="center"/>
              <w:rPr>
                <w:color w:val="000000"/>
                <w:sz w:val="16"/>
                <w:szCs w:val="16"/>
              </w:rPr>
            </w:pPr>
            <w:r w:rsidRPr="005530FC">
              <w:rPr>
                <w:color w:val="000000"/>
                <w:sz w:val="16"/>
                <w:szCs w:val="16"/>
              </w:rPr>
              <w:t>2005</w:t>
            </w:r>
          </w:p>
        </w:tc>
        <w:tc>
          <w:tcPr>
            <w:tcW w:w="870" w:type="dxa"/>
            <w:tcBorders>
              <w:top w:val="nil"/>
              <w:left w:val="nil"/>
              <w:bottom w:val="single" w:sz="4" w:space="0" w:color="auto"/>
              <w:right w:val="single" w:sz="4" w:space="0" w:color="auto"/>
            </w:tcBorders>
            <w:shd w:val="clear" w:color="auto" w:fill="auto"/>
            <w:noWrap/>
            <w:vAlign w:val="bottom"/>
            <w:hideMark/>
          </w:tcPr>
          <w:p w14:paraId="7E810278" w14:textId="5395FD9F" w:rsidR="005530FC" w:rsidRPr="005530FC" w:rsidRDefault="005530FC" w:rsidP="005530FC">
            <w:pPr>
              <w:spacing w:line="240" w:lineRule="auto"/>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noWrap/>
            <w:vAlign w:val="bottom"/>
            <w:hideMark/>
          </w:tcPr>
          <w:p w14:paraId="3648AA8F" w14:textId="0A12F3B7" w:rsidR="005530FC" w:rsidRPr="005530FC" w:rsidRDefault="005530FC" w:rsidP="005530FC">
            <w:pPr>
              <w:spacing w:line="240" w:lineRule="auto"/>
              <w:jc w:val="center"/>
              <w:rPr>
                <w:color w:val="000000"/>
                <w:sz w:val="16"/>
                <w:szCs w:val="16"/>
              </w:rPr>
            </w:pPr>
            <w:r w:rsidRPr="005530FC">
              <w:rPr>
                <w:color w:val="000000"/>
                <w:sz w:val="16"/>
                <w:szCs w:val="16"/>
              </w:rPr>
              <w:t>47,00</w:t>
            </w:r>
          </w:p>
        </w:tc>
        <w:tc>
          <w:tcPr>
            <w:tcW w:w="992" w:type="dxa"/>
            <w:tcBorders>
              <w:top w:val="nil"/>
              <w:left w:val="nil"/>
              <w:bottom w:val="single" w:sz="4" w:space="0" w:color="auto"/>
              <w:right w:val="single" w:sz="4" w:space="0" w:color="auto"/>
            </w:tcBorders>
            <w:shd w:val="clear" w:color="auto" w:fill="auto"/>
            <w:noWrap/>
            <w:vAlign w:val="bottom"/>
            <w:hideMark/>
          </w:tcPr>
          <w:p w14:paraId="1CC3F842" w14:textId="1F5C058D" w:rsidR="005530FC" w:rsidRPr="005530FC" w:rsidRDefault="005530FC" w:rsidP="005530FC">
            <w:pPr>
              <w:spacing w:line="240" w:lineRule="auto"/>
              <w:jc w:val="center"/>
              <w:rPr>
                <w:color w:val="000000"/>
                <w:sz w:val="16"/>
                <w:szCs w:val="16"/>
              </w:rPr>
            </w:pPr>
            <w:r w:rsidRPr="005530FC">
              <w:rPr>
                <w:color w:val="000000"/>
                <w:sz w:val="16"/>
                <w:szCs w:val="16"/>
              </w:rPr>
              <w:t>30,39</w:t>
            </w:r>
          </w:p>
        </w:tc>
        <w:tc>
          <w:tcPr>
            <w:tcW w:w="992" w:type="dxa"/>
            <w:tcBorders>
              <w:top w:val="nil"/>
              <w:left w:val="nil"/>
              <w:bottom w:val="single" w:sz="4" w:space="0" w:color="auto"/>
              <w:right w:val="single" w:sz="4" w:space="0" w:color="auto"/>
            </w:tcBorders>
            <w:shd w:val="clear" w:color="auto" w:fill="auto"/>
            <w:noWrap/>
            <w:vAlign w:val="bottom"/>
            <w:hideMark/>
          </w:tcPr>
          <w:p w14:paraId="2517BA52" w14:textId="47D19F11" w:rsidR="005530FC" w:rsidRPr="005530FC" w:rsidRDefault="005530FC" w:rsidP="005530FC">
            <w:pPr>
              <w:spacing w:line="240" w:lineRule="auto"/>
              <w:jc w:val="center"/>
              <w:rPr>
                <w:color w:val="000000"/>
                <w:sz w:val="16"/>
                <w:szCs w:val="16"/>
              </w:rPr>
            </w:pPr>
            <w:r w:rsidRPr="005530FC">
              <w:rPr>
                <w:color w:val="000000"/>
                <w:sz w:val="16"/>
                <w:szCs w:val="16"/>
              </w:rPr>
              <w:t>117,95</w:t>
            </w:r>
          </w:p>
        </w:tc>
        <w:tc>
          <w:tcPr>
            <w:tcW w:w="1154" w:type="dxa"/>
            <w:tcBorders>
              <w:top w:val="nil"/>
              <w:left w:val="nil"/>
              <w:bottom w:val="single" w:sz="4" w:space="0" w:color="auto"/>
              <w:right w:val="single" w:sz="4" w:space="0" w:color="auto"/>
            </w:tcBorders>
            <w:shd w:val="clear" w:color="auto" w:fill="auto"/>
            <w:noWrap/>
            <w:vAlign w:val="bottom"/>
            <w:hideMark/>
          </w:tcPr>
          <w:p w14:paraId="1A539410" w14:textId="00D92396" w:rsidR="005530FC" w:rsidRPr="005530FC" w:rsidRDefault="005530FC" w:rsidP="005530FC">
            <w:pPr>
              <w:spacing w:line="240" w:lineRule="auto"/>
              <w:jc w:val="center"/>
              <w:rPr>
                <w:color w:val="000000"/>
                <w:sz w:val="16"/>
                <w:szCs w:val="16"/>
              </w:rPr>
            </w:pPr>
            <w:r w:rsidRPr="005530FC">
              <w:rPr>
                <w:color w:val="000000"/>
                <w:sz w:val="16"/>
                <w:szCs w:val="16"/>
              </w:rPr>
              <w:t>131,65</w:t>
            </w:r>
          </w:p>
        </w:tc>
        <w:tc>
          <w:tcPr>
            <w:tcW w:w="992" w:type="dxa"/>
            <w:tcBorders>
              <w:top w:val="nil"/>
              <w:left w:val="nil"/>
              <w:bottom w:val="single" w:sz="4" w:space="0" w:color="auto"/>
              <w:right w:val="single" w:sz="4" w:space="0" w:color="auto"/>
            </w:tcBorders>
            <w:shd w:val="clear" w:color="auto" w:fill="auto"/>
            <w:noWrap/>
            <w:vAlign w:val="bottom"/>
            <w:hideMark/>
          </w:tcPr>
          <w:p w14:paraId="1363ED1A" w14:textId="437F8C59" w:rsidR="005530FC" w:rsidRPr="005530FC" w:rsidRDefault="005530FC" w:rsidP="005530FC">
            <w:pPr>
              <w:spacing w:line="240" w:lineRule="auto"/>
              <w:jc w:val="center"/>
              <w:rPr>
                <w:color w:val="000000"/>
                <w:sz w:val="16"/>
                <w:szCs w:val="16"/>
              </w:rPr>
            </w:pPr>
            <w:r w:rsidRPr="005530FC">
              <w:rPr>
                <w:color w:val="000000"/>
                <w:sz w:val="16"/>
                <w:szCs w:val="16"/>
              </w:rPr>
              <w:t>1,08</w:t>
            </w:r>
          </w:p>
        </w:tc>
        <w:tc>
          <w:tcPr>
            <w:tcW w:w="1134" w:type="dxa"/>
            <w:tcBorders>
              <w:top w:val="nil"/>
              <w:left w:val="nil"/>
              <w:bottom w:val="single" w:sz="4" w:space="0" w:color="auto"/>
              <w:right w:val="single" w:sz="4" w:space="0" w:color="auto"/>
            </w:tcBorders>
            <w:shd w:val="clear" w:color="auto" w:fill="auto"/>
            <w:noWrap/>
            <w:vAlign w:val="bottom"/>
            <w:hideMark/>
          </w:tcPr>
          <w:p w14:paraId="7B8BB643" w14:textId="77777777" w:rsidR="005530FC" w:rsidRPr="005530FC" w:rsidRDefault="005530FC" w:rsidP="005530FC">
            <w:pPr>
              <w:spacing w:line="240" w:lineRule="auto"/>
              <w:jc w:val="center"/>
              <w:rPr>
                <w:color w:val="000000"/>
                <w:sz w:val="16"/>
                <w:szCs w:val="16"/>
              </w:rPr>
            </w:pPr>
            <w:r w:rsidRPr="005530FC">
              <w:rPr>
                <w:color w:val="000000"/>
                <w:sz w:val="16"/>
                <w:szCs w:val="16"/>
              </w:rPr>
              <w:t>102,38</w:t>
            </w:r>
          </w:p>
        </w:tc>
      </w:tr>
      <w:tr w:rsidR="005530FC" w:rsidRPr="005530FC" w14:paraId="5C9472FD" w14:textId="77777777" w:rsidTr="0012718A">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FE678D4" w14:textId="77777777" w:rsidR="005530FC" w:rsidRPr="005530FC" w:rsidRDefault="005530FC" w:rsidP="005530FC">
            <w:pPr>
              <w:spacing w:line="240" w:lineRule="auto"/>
              <w:jc w:val="center"/>
              <w:rPr>
                <w:color w:val="000000"/>
                <w:sz w:val="16"/>
                <w:szCs w:val="16"/>
              </w:rPr>
            </w:pPr>
            <w:r w:rsidRPr="005530FC">
              <w:rPr>
                <w:color w:val="000000"/>
                <w:sz w:val="16"/>
                <w:szCs w:val="16"/>
              </w:rPr>
              <w:t>2006</w:t>
            </w:r>
          </w:p>
        </w:tc>
        <w:tc>
          <w:tcPr>
            <w:tcW w:w="870" w:type="dxa"/>
            <w:tcBorders>
              <w:top w:val="nil"/>
              <w:left w:val="nil"/>
              <w:bottom w:val="single" w:sz="4" w:space="0" w:color="auto"/>
              <w:right w:val="single" w:sz="4" w:space="0" w:color="auto"/>
            </w:tcBorders>
            <w:shd w:val="clear" w:color="auto" w:fill="auto"/>
            <w:noWrap/>
            <w:vAlign w:val="bottom"/>
            <w:hideMark/>
          </w:tcPr>
          <w:p w14:paraId="57B640F8" w14:textId="0F380D43" w:rsidR="005530FC" w:rsidRPr="005530FC" w:rsidRDefault="005530FC" w:rsidP="005530FC">
            <w:pPr>
              <w:spacing w:line="240" w:lineRule="auto"/>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noWrap/>
            <w:vAlign w:val="bottom"/>
            <w:hideMark/>
          </w:tcPr>
          <w:p w14:paraId="05E74FC6" w14:textId="59A226E6" w:rsidR="005530FC" w:rsidRPr="005530FC" w:rsidRDefault="005530FC" w:rsidP="005530FC">
            <w:pPr>
              <w:spacing w:line="240" w:lineRule="auto"/>
              <w:jc w:val="center"/>
              <w:rPr>
                <w:color w:val="000000"/>
                <w:sz w:val="16"/>
                <w:szCs w:val="16"/>
              </w:rPr>
            </w:pPr>
            <w:r w:rsidRPr="005530FC">
              <w:rPr>
                <w:color w:val="000000"/>
                <w:sz w:val="16"/>
                <w:szCs w:val="16"/>
              </w:rPr>
              <w:t>47,60</w:t>
            </w:r>
          </w:p>
        </w:tc>
        <w:tc>
          <w:tcPr>
            <w:tcW w:w="992" w:type="dxa"/>
            <w:tcBorders>
              <w:top w:val="nil"/>
              <w:left w:val="nil"/>
              <w:bottom w:val="single" w:sz="4" w:space="0" w:color="auto"/>
              <w:right w:val="single" w:sz="4" w:space="0" w:color="auto"/>
            </w:tcBorders>
            <w:shd w:val="clear" w:color="auto" w:fill="auto"/>
            <w:noWrap/>
            <w:vAlign w:val="bottom"/>
            <w:hideMark/>
          </w:tcPr>
          <w:p w14:paraId="15EC2511" w14:textId="73F4DD3D" w:rsidR="005530FC" w:rsidRPr="005530FC" w:rsidRDefault="005530FC" w:rsidP="005530FC">
            <w:pPr>
              <w:spacing w:line="240" w:lineRule="auto"/>
              <w:jc w:val="center"/>
              <w:rPr>
                <w:color w:val="000000"/>
                <w:sz w:val="16"/>
                <w:szCs w:val="16"/>
              </w:rPr>
            </w:pPr>
            <w:r w:rsidRPr="005530FC">
              <w:rPr>
                <w:color w:val="000000"/>
                <w:sz w:val="16"/>
                <w:szCs w:val="16"/>
              </w:rPr>
              <w:t>33,36</w:t>
            </w:r>
          </w:p>
        </w:tc>
        <w:tc>
          <w:tcPr>
            <w:tcW w:w="992" w:type="dxa"/>
            <w:tcBorders>
              <w:top w:val="nil"/>
              <w:left w:val="nil"/>
              <w:bottom w:val="single" w:sz="4" w:space="0" w:color="auto"/>
              <w:right w:val="single" w:sz="4" w:space="0" w:color="auto"/>
            </w:tcBorders>
            <w:shd w:val="clear" w:color="auto" w:fill="auto"/>
            <w:noWrap/>
            <w:vAlign w:val="bottom"/>
            <w:hideMark/>
          </w:tcPr>
          <w:p w14:paraId="1F56B141" w14:textId="6CD2099B" w:rsidR="005530FC" w:rsidRPr="005530FC" w:rsidRDefault="005530FC" w:rsidP="005530FC">
            <w:pPr>
              <w:spacing w:line="240" w:lineRule="auto"/>
              <w:jc w:val="center"/>
              <w:rPr>
                <w:color w:val="000000"/>
                <w:sz w:val="16"/>
                <w:szCs w:val="16"/>
              </w:rPr>
            </w:pPr>
            <w:r w:rsidRPr="005530FC">
              <w:rPr>
                <w:color w:val="000000"/>
                <w:sz w:val="16"/>
                <w:szCs w:val="16"/>
              </w:rPr>
              <w:t>124,06</w:t>
            </w:r>
          </w:p>
        </w:tc>
        <w:tc>
          <w:tcPr>
            <w:tcW w:w="1154" w:type="dxa"/>
            <w:tcBorders>
              <w:top w:val="nil"/>
              <w:left w:val="nil"/>
              <w:bottom w:val="single" w:sz="4" w:space="0" w:color="auto"/>
              <w:right w:val="single" w:sz="4" w:space="0" w:color="auto"/>
            </w:tcBorders>
            <w:shd w:val="clear" w:color="auto" w:fill="auto"/>
            <w:noWrap/>
            <w:vAlign w:val="bottom"/>
            <w:hideMark/>
          </w:tcPr>
          <w:p w14:paraId="5BDAC74E" w14:textId="0C4366A7" w:rsidR="005530FC" w:rsidRPr="005530FC" w:rsidRDefault="005530FC" w:rsidP="005530FC">
            <w:pPr>
              <w:spacing w:line="240" w:lineRule="auto"/>
              <w:jc w:val="center"/>
              <w:rPr>
                <w:color w:val="000000"/>
                <w:sz w:val="16"/>
                <w:szCs w:val="16"/>
              </w:rPr>
            </w:pPr>
            <w:r w:rsidRPr="005530FC">
              <w:rPr>
                <w:color w:val="000000"/>
                <w:sz w:val="16"/>
                <w:szCs w:val="16"/>
              </w:rPr>
              <w:t>142,92</w:t>
            </w:r>
          </w:p>
        </w:tc>
        <w:tc>
          <w:tcPr>
            <w:tcW w:w="992" w:type="dxa"/>
            <w:tcBorders>
              <w:top w:val="nil"/>
              <w:left w:val="nil"/>
              <w:bottom w:val="single" w:sz="4" w:space="0" w:color="auto"/>
              <w:right w:val="single" w:sz="4" w:space="0" w:color="auto"/>
            </w:tcBorders>
            <w:shd w:val="clear" w:color="auto" w:fill="auto"/>
            <w:noWrap/>
            <w:vAlign w:val="bottom"/>
            <w:hideMark/>
          </w:tcPr>
          <w:p w14:paraId="731CDA1E" w14:textId="11060950" w:rsidR="005530FC" w:rsidRPr="005530FC" w:rsidRDefault="005530FC" w:rsidP="005530FC">
            <w:pPr>
              <w:spacing w:line="240" w:lineRule="auto"/>
              <w:jc w:val="center"/>
              <w:rPr>
                <w:color w:val="000000"/>
                <w:sz w:val="16"/>
                <w:szCs w:val="16"/>
              </w:rPr>
            </w:pPr>
            <w:r w:rsidRPr="005530FC">
              <w:rPr>
                <w:color w:val="000000"/>
                <w:sz w:val="16"/>
                <w:szCs w:val="16"/>
              </w:rPr>
              <w:t>1,07</w:t>
            </w:r>
          </w:p>
        </w:tc>
        <w:tc>
          <w:tcPr>
            <w:tcW w:w="1134" w:type="dxa"/>
            <w:tcBorders>
              <w:top w:val="nil"/>
              <w:left w:val="nil"/>
              <w:bottom w:val="single" w:sz="4" w:space="0" w:color="auto"/>
              <w:right w:val="single" w:sz="4" w:space="0" w:color="auto"/>
            </w:tcBorders>
            <w:shd w:val="clear" w:color="auto" w:fill="auto"/>
            <w:noWrap/>
            <w:vAlign w:val="bottom"/>
            <w:hideMark/>
          </w:tcPr>
          <w:p w14:paraId="34E8A87C" w14:textId="77777777" w:rsidR="005530FC" w:rsidRPr="005530FC" w:rsidRDefault="005530FC" w:rsidP="005530FC">
            <w:pPr>
              <w:spacing w:line="240" w:lineRule="auto"/>
              <w:jc w:val="center"/>
              <w:rPr>
                <w:color w:val="000000"/>
                <w:sz w:val="16"/>
                <w:szCs w:val="16"/>
              </w:rPr>
            </w:pPr>
            <w:r w:rsidRPr="005530FC">
              <w:rPr>
                <w:color w:val="000000"/>
                <w:sz w:val="16"/>
                <w:szCs w:val="16"/>
              </w:rPr>
              <w:t>105,45</w:t>
            </w:r>
          </w:p>
        </w:tc>
      </w:tr>
      <w:tr w:rsidR="005530FC" w:rsidRPr="005530FC" w14:paraId="118EA0CC" w14:textId="77777777" w:rsidTr="0012718A">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60C3ADD" w14:textId="77777777" w:rsidR="005530FC" w:rsidRPr="005530FC" w:rsidRDefault="005530FC" w:rsidP="005530FC">
            <w:pPr>
              <w:spacing w:line="240" w:lineRule="auto"/>
              <w:jc w:val="center"/>
              <w:rPr>
                <w:color w:val="000000"/>
                <w:sz w:val="16"/>
                <w:szCs w:val="16"/>
              </w:rPr>
            </w:pPr>
            <w:r w:rsidRPr="005530FC">
              <w:rPr>
                <w:color w:val="000000"/>
                <w:sz w:val="16"/>
                <w:szCs w:val="16"/>
              </w:rPr>
              <w:t>2007</w:t>
            </w:r>
          </w:p>
        </w:tc>
        <w:tc>
          <w:tcPr>
            <w:tcW w:w="870" w:type="dxa"/>
            <w:tcBorders>
              <w:top w:val="nil"/>
              <w:left w:val="nil"/>
              <w:bottom w:val="single" w:sz="4" w:space="0" w:color="auto"/>
              <w:right w:val="single" w:sz="4" w:space="0" w:color="auto"/>
            </w:tcBorders>
            <w:shd w:val="clear" w:color="auto" w:fill="auto"/>
            <w:noWrap/>
            <w:vAlign w:val="bottom"/>
            <w:hideMark/>
          </w:tcPr>
          <w:p w14:paraId="5E3AF9CA" w14:textId="2F9FF16B" w:rsidR="005530FC" w:rsidRPr="005530FC" w:rsidRDefault="005530FC" w:rsidP="005530FC">
            <w:pPr>
              <w:spacing w:line="240" w:lineRule="auto"/>
              <w:jc w:val="center"/>
              <w:rPr>
                <w:color w:val="000000"/>
                <w:sz w:val="16"/>
                <w:szCs w:val="16"/>
              </w:rPr>
            </w:pPr>
          </w:p>
        </w:tc>
        <w:tc>
          <w:tcPr>
            <w:tcW w:w="940" w:type="dxa"/>
            <w:tcBorders>
              <w:top w:val="nil"/>
              <w:left w:val="nil"/>
              <w:bottom w:val="single" w:sz="4" w:space="0" w:color="auto"/>
              <w:right w:val="single" w:sz="4" w:space="0" w:color="auto"/>
            </w:tcBorders>
            <w:shd w:val="clear" w:color="auto" w:fill="auto"/>
            <w:noWrap/>
            <w:vAlign w:val="bottom"/>
            <w:hideMark/>
          </w:tcPr>
          <w:p w14:paraId="178D9B7E" w14:textId="0588783E" w:rsidR="005530FC" w:rsidRPr="005530FC" w:rsidRDefault="005530FC" w:rsidP="005530FC">
            <w:pPr>
              <w:spacing w:line="240" w:lineRule="auto"/>
              <w:jc w:val="center"/>
              <w:rPr>
                <w:color w:val="000000"/>
                <w:sz w:val="16"/>
                <w:szCs w:val="16"/>
              </w:rPr>
            </w:pPr>
            <w:r w:rsidRPr="005530FC">
              <w:rPr>
                <w:color w:val="000000"/>
                <w:sz w:val="16"/>
                <w:szCs w:val="16"/>
              </w:rPr>
              <w:t>53,36</w:t>
            </w:r>
          </w:p>
        </w:tc>
        <w:tc>
          <w:tcPr>
            <w:tcW w:w="992" w:type="dxa"/>
            <w:tcBorders>
              <w:top w:val="nil"/>
              <w:left w:val="nil"/>
              <w:bottom w:val="single" w:sz="4" w:space="0" w:color="auto"/>
              <w:right w:val="single" w:sz="4" w:space="0" w:color="auto"/>
            </w:tcBorders>
            <w:shd w:val="clear" w:color="auto" w:fill="auto"/>
            <w:noWrap/>
            <w:vAlign w:val="bottom"/>
            <w:hideMark/>
          </w:tcPr>
          <w:p w14:paraId="2E92F3D6" w14:textId="57680511" w:rsidR="005530FC" w:rsidRPr="005530FC" w:rsidRDefault="005530FC" w:rsidP="005530FC">
            <w:pPr>
              <w:spacing w:line="240" w:lineRule="auto"/>
              <w:jc w:val="center"/>
              <w:rPr>
                <w:color w:val="000000"/>
                <w:sz w:val="16"/>
                <w:szCs w:val="16"/>
              </w:rPr>
            </w:pPr>
            <w:r w:rsidRPr="005530FC">
              <w:rPr>
                <w:color w:val="000000"/>
                <w:sz w:val="16"/>
                <w:szCs w:val="16"/>
              </w:rPr>
              <w:t>38,80</w:t>
            </w:r>
          </w:p>
        </w:tc>
        <w:tc>
          <w:tcPr>
            <w:tcW w:w="992" w:type="dxa"/>
            <w:tcBorders>
              <w:top w:val="nil"/>
              <w:left w:val="nil"/>
              <w:bottom w:val="single" w:sz="4" w:space="0" w:color="auto"/>
              <w:right w:val="single" w:sz="4" w:space="0" w:color="auto"/>
            </w:tcBorders>
            <w:shd w:val="clear" w:color="auto" w:fill="auto"/>
            <w:noWrap/>
            <w:vAlign w:val="bottom"/>
            <w:hideMark/>
          </w:tcPr>
          <w:p w14:paraId="56A12205" w14:textId="612EDA3A" w:rsidR="005530FC" w:rsidRPr="005530FC" w:rsidRDefault="005530FC" w:rsidP="005530FC">
            <w:pPr>
              <w:spacing w:line="240" w:lineRule="auto"/>
              <w:jc w:val="center"/>
              <w:rPr>
                <w:color w:val="000000"/>
                <w:sz w:val="16"/>
                <w:szCs w:val="16"/>
              </w:rPr>
            </w:pPr>
            <w:r w:rsidRPr="005530FC">
              <w:rPr>
                <w:color w:val="000000"/>
                <w:sz w:val="16"/>
                <w:szCs w:val="16"/>
              </w:rPr>
              <w:t>137,11</w:t>
            </w:r>
          </w:p>
        </w:tc>
        <w:tc>
          <w:tcPr>
            <w:tcW w:w="1154" w:type="dxa"/>
            <w:tcBorders>
              <w:top w:val="nil"/>
              <w:left w:val="nil"/>
              <w:bottom w:val="single" w:sz="4" w:space="0" w:color="auto"/>
              <w:right w:val="single" w:sz="4" w:space="0" w:color="auto"/>
            </w:tcBorders>
            <w:shd w:val="clear" w:color="auto" w:fill="auto"/>
            <w:noWrap/>
            <w:vAlign w:val="bottom"/>
            <w:hideMark/>
          </w:tcPr>
          <w:p w14:paraId="7EA30C61" w14:textId="2FD54156" w:rsidR="005530FC" w:rsidRPr="005530FC" w:rsidRDefault="005530FC" w:rsidP="005530FC">
            <w:pPr>
              <w:spacing w:line="240" w:lineRule="auto"/>
              <w:jc w:val="center"/>
              <w:rPr>
                <w:color w:val="000000"/>
                <w:sz w:val="16"/>
                <w:szCs w:val="16"/>
              </w:rPr>
            </w:pPr>
            <w:r w:rsidRPr="005530FC">
              <w:rPr>
                <w:color w:val="000000"/>
                <w:sz w:val="16"/>
                <w:szCs w:val="16"/>
              </w:rPr>
              <w:t>162,74</w:t>
            </w:r>
          </w:p>
        </w:tc>
        <w:tc>
          <w:tcPr>
            <w:tcW w:w="992" w:type="dxa"/>
            <w:tcBorders>
              <w:top w:val="nil"/>
              <w:left w:val="nil"/>
              <w:bottom w:val="single" w:sz="4" w:space="0" w:color="auto"/>
              <w:right w:val="single" w:sz="4" w:space="0" w:color="auto"/>
            </w:tcBorders>
            <w:shd w:val="clear" w:color="auto" w:fill="auto"/>
            <w:noWrap/>
            <w:vAlign w:val="bottom"/>
            <w:hideMark/>
          </w:tcPr>
          <w:p w14:paraId="501EDB06" w14:textId="3F38DF1A" w:rsidR="005530FC" w:rsidRPr="005530FC" w:rsidRDefault="005530FC" w:rsidP="005530FC">
            <w:pPr>
              <w:spacing w:line="240" w:lineRule="auto"/>
              <w:jc w:val="center"/>
              <w:rPr>
                <w:color w:val="000000"/>
                <w:sz w:val="16"/>
                <w:szCs w:val="16"/>
              </w:rPr>
            </w:pPr>
            <w:r w:rsidRPr="005530FC">
              <w:rPr>
                <w:color w:val="000000"/>
                <w:sz w:val="16"/>
                <w:szCs w:val="16"/>
              </w:rPr>
              <w:t>1,02</w:t>
            </w:r>
          </w:p>
        </w:tc>
        <w:tc>
          <w:tcPr>
            <w:tcW w:w="1134" w:type="dxa"/>
            <w:tcBorders>
              <w:top w:val="nil"/>
              <w:left w:val="nil"/>
              <w:bottom w:val="single" w:sz="4" w:space="0" w:color="auto"/>
              <w:right w:val="single" w:sz="4" w:space="0" w:color="auto"/>
            </w:tcBorders>
            <w:shd w:val="clear" w:color="auto" w:fill="auto"/>
            <w:noWrap/>
            <w:vAlign w:val="bottom"/>
            <w:hideMark/>
          </w:tcPr>
          <w:p w14:paraId="4AC563B3" w14:textId="77777777" w:rsidR="005530FC" w:rsidRPr="005530FC" w:rsidRDefault="005530FC" w:rsidP="005530FC">
            <w:pPr>
              <w:spacing w:line="240" w:lineRule="auto"/>
              <w:jc w:val="center"/>
              <w:rPr>
                <w:color w:val="000000"/>
                <w:sz w:val="16"/>
                <w:szCs w:val="16"/>
              </w:rPr>
            </w:pPr>
            <w:r w:rsidRPr="005530FC">
              <w:rPr>
                <w:color w:val="000000"/>
                <w:sz w:val="16"/>
                <w:szCs w:val="16"/>
              </w:rPr>
              <w:t>122,33</w:t>
            </w:r>
          </w:p>
        </w:tc>
      </w:tr>
      <w:tr w:rsidR="005530FC" w:rsidRPr="005530FC" w14:paraId="12E66896" w14:textId="77777777" w:rsidTr="0012718A">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7BB72A0" w14:textId="77777777" w:rsidR="005530FC" w:rsidRPr="005530FC" w:rsidRDefault="005530FC" w:rsidP="005530FC">
            <w:pPr>
              <w:spacing w:line="240" w:lineRule="auto"/>
              <w:jc w:val="center"/>
              <w:rPr>
                <w:color w:val="000000"/>
                <w:sz w:val="16"/>
                <w:szCs w:val="16"/>
              </w:rPr>
            </w:pPr>
            <w:r w:rsidRPr="005530FC">
              <w:rPr>
                <w:color w:val="000000"/>
                <w:sz w:val="16"/>
                <w:szCs w:val="16"/>
              </w:rPr>
              <w:t>2008</w:t>
            </w:r>
          </w:p>
        </w:tc>
        <w:tc>
          <w:tcPr>
            <w:tcW w:w="870" w:type="dxa"/>
            <w:tcBorders>
              <w:top w:val="nil"/>
              <w:left w:val="nil"/>
              <w:bottom w:val="single" w:sz="4" w:space="0" w:color="auto"/>
              <w:right w:val="single" w:sz="4" w:space="0" w:color="auto"/>
            </w:tcBorders>
            <w:shd w:val="clear" w:color="auto" w:fill="auto"/>
            <w:noWrap/>
            <w:vAlign w:val="bottom"/>
            <w:hideMark/>
          </w:tcPr>
          <w:p w14:paraId="5D2926A9" w14:textId="6BF411A8" w:rsidR="005530FC" w:rsidRPr="005530FC" w:rsidRDefault="005530FC" w:rsidP="005530FC">
            <w:pPr>
              <w:spacing w:line="240" w:lineRule="auto"/>
              <w:jc w:val="center"/>
              <w:rPr>
                <w:color w:val="000000"/>
                <w:sz w:val="16"/>
                <w:szCs w:val="16"/>
              </w:rPr>
            </w:pPr>
            <w:r w:rsidRPr="005530FC">
              <w:rPr>
                <w:color w:val="000000"/>
                <w:sz w:val="16"/>
                <w:szCs w:val="16"/>
              </w:rPr>
              <w:t>1.100</w:t>
            </w:r>
          </w:p>
        </w:tc>
        <w:tc>
          <w:tcPr>
            <w:tcW w:w="940" w:type="dxa"/>
            <w:tcBorders>
              <w:top w:val="nil"/>
              <w:left w:val="nil"/>
              <w:bottom w:val="single" w:sz="4" w:space="0" w:color="auto"/>
              <w:right w:val="single" w:sz="4" w:space="0" w:color="auto"/>
            </w:tcBorders>
            <w:shd w:val="clear" w:color="auto" w:fill="auto"/>
            <w:noWrap/>
            <w:vAlign w:val="bottom"/>
            <w:hideMark/>
          </w:tcPr>
          <w:p w14:paraId="0EBD06A0" w14:textId="43C80D71" w:rsidR="005530FC" w:rsidRPr="005530FC" w:rsidRDefault="005530FC" w:rsidP="005530FC">
            <w:pPr>
              <w:spacing w:line="240" w:lineRule="auto"/>
              <w:jc w:val="center"/>
              <w:rPr>
                <w:color w:val="000000"/>
                <w:sz w:val="16"/>
                <w:szCs w:val="16"/>
              </w:rPr>
            </w:pPr>
            <w:r w:rsidRPr="005530FC">
              <w:rPr>
                <w:color w:val="000000"/>
                <w:sz w:val="16"/>
                <w:szCs w:val="16"/>
              </w:rPr>
              <w:t>59,20</w:t>
            </w:r>
          </w:p>
        </w:tc>
        <w:tc>
          <w:tcPr>
            <w:tcW w:w="992" w:type="dxa"/>
            <w:tcBorders>
              <w:top w:val="nil"/>
              <w:left w:val="nil"/>
              <w:bottom w:val="single" w:sz="4" w:space="0" w:color="auto"/>
              <w:right w:val="single" w:sz="4" w:space="0" w:color="auto"/>
            </w:tcBorders>
            <w:shd w:val="clear" w:color="auto" w:fill="auto"/>
            <w:noWrap/>
            <w:vAlign w:val="bottom"/>
            <w:hideMark/>
          </w:tcPr>
          <w:p w14:paraId="04B3EAD1" w14:textId="7DA97601" w:rsidR="005530FC" w:rsidRPr="005530FC" w:rsidRDefault="005530FC" w:rsidP="005530FC">
            <w:pPr>
              <w:spacing w:line="240" w:lineRule="auto"/>
              <w:jc w:val="center"/>
              <w:rPr>
                <w:color w:val="000000"/>
                <w:sz w:val="16"/>
                <w:szCs w:val="16"/>
              </w:rPr>
            </w:pPr>
            <w:r w:rsidRPr="005530FC">
              <w:rPr>
                <w:color w:val="000000"/>
                <w:sz w:val="16"/>
                <w:szCs w:val="16"/>
              </w:rPr>
              <w:t>65,34</w:t>
            </w:r>
          </w:p>
        </w:tc>
        <w:tc>
          <w:tcPr>
            <w:tcW w:w="992" w:type="dxa"/>
            <w:tcBorders>
              <w:top w:val="nil"/>
              <w:left w:val="nil"/>
              <w:bottom w:val="single" w:sz="4" w:space="0" w:color="auto"/>
              <w:right w:val="single" w:sz="4" w:space="0" w:color="auto"/>
            </w:tcBorders>
            <w:shd w:val="clear" w:color="auto" w:fill="auto"/>
            <w:noWrap/>
            <w:vAlign w:val="bottom"/>
            <w:hideMark/>
          </w:tcPr>
          <w:p w14:paraId="0543FA5E" w14:textId="333D3A7A" w:rsidR="005530FC" w:rsidRPr="005530FC" w:rsidRDefault="005530FC" w:rsidP="005530FC">
            <w:pPr>
              <w:spacing w:line="240" w:lineRule="auto"/>
              <w:jc w:val="center"/>
              <w:rPr>
                <w:color w:val="000000"/>
                <w:sz w:val="16"/>
                <w:szCs w:val="16"/>
              </w:rPr>
            </w:pPr>
            <w:r w:rsidRPr="005530FC">
              <w:rPr>
                <w:color w:val="000000"/>
                <w:sz w:val="16"/>
                <w:szCs w:val="16"/>
              </w:rPr>
              <w:t>169,74</w:t>
            </w:r>
          </w:p>
        </w:tc>
        <w:tc>
          <w:tcPr>
            <w:tcW w:w="1154" w:type="dxa"/>
            <w:tcBorders>
              <w:top w:val="nil"/>
              <w:left w:val="nil"/>
              <w:bottom w:val="single" w:sz="4" w:space="0" w:color="auto"/>
              <w:right w:val="single" w:sz="4" w:space="0" w:color="auto"/>
            </w:tcBorders>
            <w:shd w:val="clear" w:color="auto" w:fill="auto"/>
            <w:noWrap/>
            <w:vAlign w:val="bottom"/>
            <w:hideMark/>
          </w:tcPr>
          <w:p w14:paraId="1BE8A298" w14:textId="44E36DA6" w:rsidR="005530FC" w:rsidRPr="005530FC" w:rsidRDefault="005530FC" w:rsidP="005530FC">
            <w:pPr>
              <w:spacing w:line="240" w:lineRule="auto"/>
              <w:jc w:val="center"/>
              <w:rPr>
                <w:color w:val="000000"/>
                <w:sz w:val="16"/>
                <w:szCs w:val="16"/>
              </w:rPr>
            </w:pPr>
            <w:r w:rsidRPr="005530FC">
              <w:rPr>
                <w:color w:val="000000"/>
                <w:sz w:val="16"/>
                <w:szCs w:val="16"/>
              </w:rPr>
              <w:t>214,84</w:t>
            </w:r>
          </w:p>
        </w:tc>
        <w:tc>
          <w:tcPr>
            <w:tcW w:w="992" w:type="dxa"/>
            <w:tcBorders>
              <w:top w:val="nil"/>
              <w:left w:val="nil"/>
              <w:bottom w:val="single" w:sz="4" w:space="0" w:color="auto"/>
              <w:right w:val="single" w:sz="4" w:space="0" w:color="auto"/>
            </w:tcBorders>
            <w:shd w:val="clear" w:color="auto" w:fill="auto"/>
            <w:noWrap/>
            <w:vAlign w:val="bottom"/>
            <w:hideMark/>
          </w:tcPr>
          <w:p w14:paraId="46B26EC5" w14:textId="64D6884E" w:rsidR="005530FC" w:rsidRPr="005530FC" w:rsidRDefault="005530FC" w:rsidP="005530FC">
            <w:pPr>
              <w:spacing w:line="240" w:lineRule="auto"/>
              <w:jc w:val="center"/>
              <w:rPr>
                <w:color w:val="000000"/>
                <w:sz w:val="16"/>
                <w:szCs w:val="16"/>
              </w:rPr>
            </w:pPr>
            <w:r w:rsidRPr="005530FC">
              <w:rPr>
                <w:color w:val="000000"/>
                <w:sz w:val="16"/>
                <w:szCs w:val="16"/>
              </w:rPr>
              <w:t>0,95</w:t>
            </w:r>
          </w:p>
        </w:tc>
        <w:tc>
          <w:tcPr>
            <w:tcW w:w="1134" w:type="dxa"/>
            <w:tcBorders>
              <w:top w:val="nil"/>
              <w:left w:val="nil"/>
              <w:bottom w:val="single" w:sz="4" w:space="0" w:color="auto"/>
              <w:right w:val="single" w:sz="4" w:space="0" w:color="auto"/>
            </w:tcBorders>
            <w:shd w:val="clear" w:color="auto" w:fill="auto"/>
            <w:noWrap/>
            <w:vAlign w:val="bottom"/>
            <w:hideMark/>
          </w:tcPr>
          <w:p w14:paraId="46505555" w14:textId="77777777" w:rsidR="005530FC" w:rsidRPr="005530FC" w:rsidRDefault="005530FC" w:rsidP="005530FC">
            <w:pPr>
              <w:spacing w:line="240" w:lineRule="auto"/>
              <w:jc w:val="center"/>
              <w:rPr>
                <w:color w:val="000000"/>
                <w:sz w:val="16"/>
                <w:szCs w:val="16"/>
              </w:rPr>
            </w:pPr>
            <w:r w:rsidRPr="005530FC">
              <w:rPr>
                <w:color w:val="000000"/>
                <w:sz w:val="16"/>
                <w:szCs w:val="16"/>
              </w:rPr>
              <w:t>159,89</w:t>
            </w:r>
          </w:p>
        </w:tc>
      </w:tr>
      <w:tr w:rsidR="005530FC" w:rsidRPr="005530FC" w14:paraId="61D868B9" w14:textId="77777777" w:rsidTr="0012718A">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C46F9A4" w14:textId="77777777" w:rsidR="005530FC" w:rsidRPr="005530FC" w:rsidRDefault="005530FC" w:rsidP="005530FC">
            <w:pPr>
              <w:spacing w:line="240" w:lineRule="auto"/>
              <w:jc w:val="center"/>
              <w:rPr>
                <w:color w:val="000000"/>
                <w:sz w:val="16"/>
                <w:szCs w:val="16"/>
              </w:rPr>
            </w:pPr>
            <w:r w:rsidRPr="005530FC">
              <w:rPr>
                <w:color w:val="000000"/>
                <w:sz w:val="16"/>
                <w:szCs w:val="16"/>
              </w:rPr>
              <w:t>2009</w:t>
            </w:r>
          </w:p>
        </w:tc>
        <w:tc>
          <w:tcPr>
            <w:tcW w:w="870" w:type="dxa"/>
            <w:tcBorders>
              <w:top w:val="nil"/>
              <w:left w:val="nil"/>
              <w:bottom w:val="single" w:sz="4" w:space="0" w:color="auto"/>
              <w:right w:val="single" w:sz="4" w:space="0" w:color="auto"/>
            </w:tcBorders>
            <w:shd w:val="clear" w:color="auto" w:fill="auto"/>
            <w:noWrap/>
            <w:vAlign w:val="bottom"/>
            <w:hideMark/>
          </w:tcPr>
          <w:p w14:paraId="39E3D66E" w14:textId="23741EEB" w:rsidR="005530FC" w:rsidRPr="005530FC" w:rsidRDefault="005530FC" w:rsidP="005530FC">
            <w:pPr>
              <w:spacing w:line="240" w:lineRule="auto"/>
              <w:jc w:val="center"/>
              <w:rPr>
                <w:color w:val="000000"/>
                <w:sz w:val="16"/>
                <w:szCs w:val="16"/>
              </w:rPr>
            </w:pPr>
            <w:r w:rsidRPr="005530FC">
              <w:rPr>
                <w:color w:val="000000"/>
                <w:sz w:val="16"/>
                <w:szCs w:val="16"/>
              </w:rPr>
              <w:t>1.000</w:t>
            </w:r>
          </w:p>
        </w:tc>
        <w:tc>
          <w:tcPr>
            <w:tcW w:w="940" w:type="dxa"/>
            <w:tcBorders>
              <w:top w:val="nil"/>
              <w:left w:val="nil"/>
              <w:bottom w:val="single" w:sz="4" w:space="0" w:color="auto"/>
              <w:right w:val="single" w:sz="4" w:space="0" w:color="auto"/>
            </w:tcBorders>
            <w:shd w:val="clear" w:color="auto" w:fill="auto"/>
            <w:noWrap/>
            <w:vAlign w:val="bottom"/>
            <w:hideMark/>
          </w:tcPr>
          <w:p w14:paraId="74A6093B" w14:textId="0FCA4B26" w:rsidR="005530FC" w:rsidRPr="005530FC" w:rsidRDefault="005530FC" w:rsidP="005530FC">
            <w:pPr>
              <w:spacing w:line="240" w:lineRule="auto"/>
              <w:jc w:val="center"/>
              <w:rPr>
                <w:color w:val="000000"/>
                <w:sz w:val="16"/>
                <w:szCs w:val="16"/>
              </w:rPr>
            </w:pPr>
            <w:r w:rsidRPr="005530FC">
              <w:rPr>
                <w:color w:val="000000"/>
                <w:sz w:val="16"/>
                <w:szCs w:val="16"/>
              </w:rPr>
              <w:t>55,40</w:t>
            </w:r>
          </w:p>
        </w:tc>
        <w:tc>
          <w:tcPr>
            <w:tcW w:w="992" w:type="dxa"/>
            <w:tcBorders>
              <w:top w:val="nil"/>
              <w:left w:val="nil"/>
              <w:bottom w:val="single" w:sz="4" w:space="0" w:color="auto"/>
              <w:right w:val="single" w:sz="4" w:space="0" w:color="auto"/>
            </w:tcBorders>
            <w:shd w:val="clear" w:color="auto" w:fill="auto"/>
            <w:noWrap/>
            <w:vAlign w:val="bottom"/>
            <w:hideMark/>
          </w:tcPr>
          <w:p w14:paraId="20BD2362" w14:textId="5E23A4E8" w:rsidR="005530FC" w:rsidRPr="005530FC" w:rsidRDefault="005530FC" w:rsidP="005530FC">
            <w:pPr>
              <w:spacing w:line="240" w:lineRule="auto"/>
              <w:jc w:val="center"/>
              <w:rPr>
                <w:color w:val="000000"/>
                <w:sz w:val="16"/>
                <w:szCs w:val="16"/>
              </w:rPr>
            </w:pPr>
            <w:r w:rsidRPr="005530FC">
              <w:rPr>
                <w:color w:val="000000"/>
                <w:sz w:val="16"/>
                <w:szCs w:val="16"/>
              </w:rPr>
              <w:t>34,32</w:t>
            </w:r>
          </w:p>
        </w:tc>
        <w:tc>
          <w:tcPr>
            <w:tcW w:w="992" w:type="dxa"/>
            <w:tcBorders>
              <w:top w:val="nil"/>
              <w:left w:val="nil"/>
              <w:bottom w:val="single" w:sz="4" w:space="0" w:color="auto"/>
              <w:right w:val="single" w:sz="4" w:space="0" w:color="auto"/>
            </w:tcBorders>
            <w:shd w:val="clear" w:color="auto" w:fill="auto"/>
            <w:noWrap/>
            <w:vAlign w:val="bottom"/>
            <w:hideMark/>
          </w:tcPr>
          <w:p w14:paraId="13031F53" w14:textId="25BE9FF5" w:rsidR="005530FC" w:rsidRPr="005530FC" w:rsidRDefault="005530FC" w:rsidP="005530FC">
            <w:pPr>
              <w:spacing w:line="240" w:lineRule="auto"/>
              <w:jc w:val="center"/>
              <w:rPr>
                <w:color w:val="000000"/>
                <w:sz w:val="16"/>
                <w:szCs w:val="16"/>
              </w:rPr>
            </w:pPr>
            <w:r w:rsidRPr="005530FC">
              <w:rPr>
                <w:color w:val="000000"/>
                <w:sz w:val="16"/>
                <w:szCs w:val="16"/>
              </w:rPr>
              <w:t>160,73</w:t>
            </w:r>
          </w:p>
        </w:tc>
        <w:tc>
          <w:tcPr>
            <w:tcW w:w="1154" w:type="dxa"/>
            <w:tcBorders>
              <w:top w:val="nil"/>
              <w:left w:val="nil"/>
              <w:bottom w:val="single" w:sz="4" w:space="0" w:color="auto"/>
              <w:right w:val="single" w:sz="4" w:space="0" w:color="auto"/>
            </w:tcBorders>
            <w:shd w:val="clear" w:color="auto" w:fill="auto"/>
            <w:noWrap/>
            <w:vAlign w:val="bottom"/>
            <w:hideMark/>
          </w:tcPr>
          <w:p w14:paraId="79D579E2" w14:textId="544951E9" w:rsidR="005530FC" w:rsidRPr="005530FC" w:rsidRDefault="005530FC" w:rsidP="005530FC">
            <w:pPr>
              <w:spacing w:line="240" w:lineRule="auto"/>
              <w:jc w:val="center"/>
              <w:rPr>
                <w:color w:val="000000"/>
                <w:sz w:val="16"/>
                <w:szCs w:val="16"/>
              </w:rPr>
            </w:pPr>
            <w:r w:rsidRPr="005530FC">
              <w:rPr>
                <w:color w:val="000000"/>
                <w:sz w:val="16"/>
                <w:szCs w:val="16"/>
              </w:rPr>
              <w:t>186,91</w:t>
            </w:r>
          </w:p>
        </w:tc>
        <w:tc>
          <w:tcPr>
            <w:tcW w:w="992" w:type="dxa"/>
            <w:tcBorders>
              <w:top w:val="nil"/>
              <w:left w:val="nil"/>
              <w:bottom w:val="single" w:sz="4" w:space="0" w:color="auto"/>
              <w:right w:val="single" w:sz="4" w:space="0" w:color="auto"/>
            </w:tcBorders>
            <w:shd w:val="clear" w:color="auto" w:fill="auto"/>
            <w:noWrap/>
            <w:vAlign w:val="bottom"/>
            <w:hideMark/>
          </w:tcPr>
          <w:p w14:paraId="0DB1BEED" w14:textId="5139C4D8" w:rsidR="005530FC" w:rsidRPr="005530FC" w:rsidRDefault="005530FC" w:rsidP="005530FC">
            <w:pPr>
              <w:spacing w:line="240" w:lineRule="auto"/>
              <w:jc w:val="center"/>
              <w:rPr>
                <w:color w:val="000000"/>
                <w:sz w:val="16"/>
                <w:szCs w:val="16"/>
              </w:rPr>
            </w:pPr>
            <w:r w:rsidRPr="005530FC">
              <w:rPr>
                <w:color w:val="000000"/>
                <w:sz w:val="16"/>
                <w:szCs w:val="16"/>
              </w:rPr>
              <w:t>0,95</w:t>
            </w:r>
          </w:p>
        </w:tc>
        <w:tc>
          <w:tcPr>
            <w:tcW w:w="1134" w:type="dxa"/>
            <w:tcBorders>
              <w:top w:val="nil"/>
              <w:left w:val="nil"/>
              <w:bottom w:val="single" w:sz="4" w:space="0" w:color="auto"/>
              <w:right w:val="single" w:sz="4" w:space="0" w:color="auto"/>
            </w:tcBorders>
            <w:shd w:val="clear" w:color="auto" w:fill="auto"/>
            <w:noWrap/>
            <w:vAlign w:val="bottom"/>
            <w:hideMark/>
          </w:tcPr>
          <w:p w14:paraId="76F64C42" w14:textId="77777777" w:rsidR="005530FC" w:rsidRPr="005530FC" w:rsidRDefault="005530FC" w:rsidP="005530FC">
            <w:pPr>
              <w:spacing w:line="240" w:lineRule="auto"/>
              <w:jc w:val="center"/>
              <w:rPr>
                <w:color w:val="000000"/>
                <w:sz w:val="16"/>
                <w:szCs w:val="16"/>
              </w:rPr>
            </w:pPr>
            <w:r w:rsidRPr="005530FC">
              <w:rPr>
                <w:color w:val="000000"/>
                <w:sz w:val="16"/>
                <w:szCs w:val="16"/>
              </w:rPr>
              <w:t>175,34</w:t>
            </w:r>
          </w:p>
        </w:tc>
      </w:tr>
      <w:tr w:rsidR="005530FC" w:rsidRPr="005530FC" w14:paraId="3FB915E0" w14:textId="77777777" w:rsidTr="0012718A">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6367F03" w14:textId="77777777" w:rsidR="005530FC" w:rsidRPr="005530FC" w:rsidRDefault="005530FC" w:rsidP="005530FC">
            <w:pPr>
              <w:spacing w:line="240" w:lineRule="auto"/>
              <w:jc w:val="center"/>
              <w:rPr>
                <w:color w:val="000000"/>
                <w:sz w:val="16"/>
                <w:szCs w:val="16"/>
              </w:rPr>
            </w:pPr>
            <w:r w:rsidRPr="005530FC">
              <w:rPr>
                <w:color w:val="000000"/>
                <w:sz w:val="16"/>
                <w:szCs w:val="16"/>
              </w:rPr>
              <w:t>2010</w:t>
            </w:r>
          </w:p>
        </w:tc>
        <w:tc>
          <w:tcPr>
            <w:tcW w:w="870" w:type="dxa"/>
            <w:tcBorders>
              <w:top w:val="nil"/>
              <w:left w:val="nil"/>
              <w:bottom w:val="single" w:sz="4" w:space="0" w:color="auto"/>
              <w:right w:val="single" w:sz="4" w:space="0" w:color="auto"/>
            </w:tcBorders>
            <w:shd w:val="clear" w:color="auto" w:fill="auto"/>
            <w:noWrap/>
            <w:vAlign w:val="bottom"/>
            <w:hideMark/>
          </w:tcPr>
          <w:p w14:paraId="33B36EF5" w14:textId="5C8B1A57" w:rsidR="005530FC" w:rsidRPr="005530FC" w:rsidRDefault="005530FC" w:rsidP="005530FC">
            <w:pPr>
              <w:spacing w:line="240" w:lineRule="auto"/>
              <w:jc w:val="center"/>
              <w:rPr>
                <w:color w:val="000000"/>
                <w:sz w:val="16"/>
                <w:szCs w:val="16"/>
              </w:rPr>
            </w:pPr>
            <w:r w:rsidRPr="005530FC">
              <w:rPr>
                <w:color w:val="000000"/>
                <w:sz w:val="16"/>
                <w:szCs w:val="16"/>
              </w:rPr>
              <w:t>850</w:t>
            </w:r>
          </w:p>
        </w:tc>
        <w:tc>
          <w:tcPr>
            <w:tcW w:w="940" w:type="dxa"/>
            <w:tcBorders>
              <w:top w:val="nil"/>
              <w:left w:val="nil"/>
              <w:bottom w:val="single" w:sz="4" w:space="0" w:color="auto"/>
              <w:right w:val="single" w:sz="4" w:space="0" w:color="auto"/>
            </w:tcBorders>
            <w:shd w:val="clear" w:color="auto" w:fill="auto"/>
            <w:noWrap/>
            <w:vAlign w:val="bottom"/>
            <w:hideMark/>
          </w:tcPr>
          <w:p w14:paraId="05B470D1" w14:textId="0D10E30C" w:rsidR="005530FC" w:rsidRPr="005530FC" w:rsidRDefault="005530FC" w:rsidP="005530FC">
            <w:pPr>
              <w:spacing w:line="240" w:lineRule="auto"/>
              <w:jc w:val="center"/>
              <w:rPr>
                <w:color w:val="000000"/>
                <w:sz w:val="16"/>
                <w:szCs w:val="16"/>
              </w:rPr>
            </w:pPr>
            <w:r w:rsidRPr="005530FC">
              <w:rPr>
                <w:color w:val="000000"/>
                <w:sz w:val="16"/>
                <w:szCs w:val="16"/>
              </w:rPr>
              <w:t>55,05</w:t>
            </w:r>
          </w:p>
        </w:tc>
        <w:tc>
          <w:tcPr>
            <w:tcW w:w="992" w:type="dxa"/>
            <w:tcBorders>
              <w:top w:val="nil"/>
              <w:left w:val="nil"/>
              <w:bottom w:val="single" w:sz="4" w:space="0" w:color="auto"/>
              <w:right w:val="single" w:sz="4" w:space="0" w:color="auto"/>
            </w:tcBorders>
            <w:shd w:val="clear" w:color="auto" w:fill="auto"/>
            <w:noWrap/>
            <w:vAlign w:val="bottom"/>
            <w:hideMark/>
          </w:tcPr>
          <w:p w14:paraId="7658C429" w14:textId="2BFC2EBC" w:rsidR="005530FC" w:rsidRPr="005530FC" w:rsidRDefault="005530FC" w:rsidP="005530FC">
            <w:pPr>
              <w:spacing w:line="240" w:lineRule="auto"/>
              <w:jc w:val="center"/>
              <w:rPr>
                <w:color w:val="000000"/>
                <w:sz w:val="16"/>
                <w:szCs w:val="16"/>
              </w:rPr>
            </w:pPr>
            <w:r w:rsidRPr="005530FC">
              <w:rPr>
                <w:color w:val="000000"/>
                <w:sz w:val="16"/>
                <w:szCs w:val="16"/>
              </w:rPr>
              <w:t>37,30</w:t>
            </w:r>
          </w:p>
        </w:tc>
        <w:tc>
          <w:tcPr>
            <w:tcW w:w="992" w:type="dxa"/>
            <w:tcBorders>
              <w:top w:val="nil"/>
              <w:left w:val="nil"/>
              <w:bottom w:val="single" w:sz="4" w:space="0" w:color="auto"/>
              <w:right w:val="single" w:sz="4" w:space="0" w:color="auto"/>
            </w:tcBorders>
            <w:shd w:val="clear" w:color="auto" w:fill="auto"/>
            <w:noWrap/>
            <w:vAlign w:val="bottom"/>
            <w:hideMark/>
          </w:tcPr>
          <w:p w14:paraId="466A489D" w14:textId="1920F8E6" w:rsidR="005530FC" w:rsidRPr="005530FC" w:rsidRDefault="005530FC" w:rsidP="005530FC">
            <w:pPr>
              <w:spacing w:line="240" w:lineRule="auto"/>
              <w:jc w:val="center"/>
              <w:rPr>
                <w:color w:val="000000"/>
                <w:sz w:val="16"/>
                <w:szCs w:val="16"/>
              </w:rPr>
            </w:pPr>
            <w:r w:rsidRPr="005530FC">
              <w:rPr>
                <w:color w:val="000000"/>
                <w:sz w:val="16"/>
                <w:szCs w:val="16"/>
              </w:rPr>
              <w:t>161,21</w:t>
            </w:r>
          </w:p>
        </w:tc>
        <w:tc>
          <w:tcPr>
            <w:tcW w:w="1154" w:type="dxa"/>
            <w:tcBorders>
              <w:top w:val="nil"/>
              <w:left w:val="nil"/>
              <w:bottom w:val="single" w:sz="4" w:space="0" w:color="auto"/>
              <w:right w:val="single" w:sz="4" w:space="0" w:color="auto"/>
            </w:tcBorders>
            <w:shd w:val="clear" w:color="auto" w:fill="auto"/>
            <w:noWrap/>
            <w:vAlign w:val="bottom"/>
            <w:hideMark/>
          </w:tcPr>
          <w:p w14:paraId="76708247" w14:textId="160EB5C3" w:rsidR="005530FC" w:rsidRPr="005530FC" w:rsidRDefault="005530FC" w:rsidP="005530FC">
            <w:pPr>
              <w:spacing w:line="240" w:lineRule="auto"/>
              <w:jc w:val="center"/>
              <w:rPr>
                <w:color w:val="000000"/>
                <w:sz w:val="16"/>
                <w:szCs w:val="16"/>
              </w:rPr>
            </w:pPr>
            <w:r w:rsidRPr="005530FC">
              <w:rPr>
                <w:color w:val="000000"/>
                <w:sz w:val="16"/>
                <w:szCs w:val="16"/>
              </w:rPr>
              <w:t>176,21</w:t>
            </w:r>
          </w:p>
        </w:tc>
        <w:tc>
          <w:tcPr>
            <w:tcW w:w="992" w:type="dxa"/>
            <w:tcBorders>
              <w:top w:val="nil"/>
              <w:left w:val="nil"/>
              <w:bottom w:val="single" w:sz="4" w:space="0" w:color="auto"/>
              <w:right w:val="single" w:sz="4" w:space="0" w:color="auto"/>
            </w:tcBorders>
            <w:shd w:val="clear" w:color="auto" w:fill="auto"/>
            <w:noWrap/>
            <w:vAlign w:val="bottom"/>
            <w:hideMark/>
          </w:tcPr>
          <w:p w14:paraId="5542D66D" w14:textId="6B6BE3E1" w:rsidR="005530FC" w:rsidRPr="005530FC" w:rsidRDefault="005530FC" w:rsidP="005530FC">
            <w:pPr>
              <w:spacing w:line="240" w:lineRule="auto"/>
              <w:jc w:val="center"/>
              <w:rPr>
                <w:color w:val="000000"/>
                <w:sz w:val="16"/>
                <w:szCs w:val="16"/>
              </w:rPr>
            </w:pPr>
            <w:r w:rsidRPr="005530FC">
              <w:rPr>
                <w:color w:val="000000"/>
                <w:sz w:val="16"/>
                <w:szCs w:val="16"/>
              </w:rPr>
              <w:t>0,94</w:t>
            </w:r>
          </w:p>
        </w:tc>
        <w:tc>
          <w:tcPr>
            <w:tcW w:w="1134" w:type="dxa"/>
            <w:tcBorders>
              <w:top w:val="nil"/>
              <w:left w:val="nil"/>
              <w:bottom w:val="single" w:sz="4" w:space="0" w:color="auto"/>
              <w:right w:val="single" w:sz="4" w:space="0" w:color="auto"/>
            </w:tcBorders>
            <w:shd w:val="clear" w:color="auto" w:fill="auto"/>
            <w:noWrap/>
            <w:vAlign w:val="bottom"/>
            <w:hideMark/>
          </w:tcPr>
          <w:p w14:paraId="0028FE86" w14:textId="77777777" w:rsidR="005530FC" w:rsidRPr="005530FC" w:rsidRDefault="005530FC" w:rsidP="005530FC">
            <w:pPr>
              <w:spacing w:line="240" w:lineRule="auto"/>
              <w:jc w:val="center"/>
              <w:rPr>
                <w:color w:val="000000"/>
                <w:sz w:val="16"/>
                <w:szCs w:val="16"/>
              </w:rPr>
            </w:pPr>
            <w:r w:rsidRPr="005530FC">
              <w:rPr>
                <w:color w:val="000000"/>
                <w:sz w:val="16"/>
                <w:szCs w:val="16"/>
              </w:rPr>
              <w:t>196,13</w:t>
            </w:r>
          </w:p>
        </w:tc>
      </w:tr>
      <w:tr w:rsidR="005530FC" w:rsidRPr="005530FC" w14:paraId="06CDD449" w14:textId="77777777" w:rsidTr="0012718A">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A88F8E2" w14:textId="77777777" w:rsidR="005530FC" w:rsidRPr="005530FC" w:rsidRDefault="005530FC" w:rsidP="005530FC">
            <w:pPr>
              <w:spacing w:line="240" w:lineRule="auto"/>
              <w:jc w:val="center"/>
              <w:rPr>
                <w:color w:val="000000"/>
                <w:sz w:val="16"/>
                <w:szCs w:val="16"/>
              </w:rPr>
            </w:pPr>
            <w:r w:rsidRPr="005530FC">
              <w:rPr>
                <w:color w:val="000000"/>
                <w:sz w:val="16"/>
                <w:szCs w:val="16"/>
              </w:rPr>
              <w:t>2011</w:t>
            </w:r>
          </w:p>
        </w:tc>
        <w:tc>
          <w:tcPr>
            <w:tcW w:w="870" w:type="dxa"/>
            <w:tcBorders>
              <w:top w:val="nil"/>
              <w:left w:val="nil"/>
              <w:bottom w:val="single" w:sz="4" w:space="0" w:color="auto"/>
              <w:right w:val="single" w:sz="4" w:space="0" w:color="auto"/>
            </w:tcBorders>
            <w:shd w:val="clear" w:color="auto" w:fill="auto"/>
            <w:noWrap/>
            <w:vAlign w:val="bottom"/>
            <w:hideMark/>
          </w:tcPr>
          <w:p w14:paraId="33C0DB68" w14:textId="42C2A633" w:rsidR="005530FC" w:rsidRPr="005530FC" w:rsidRDefault="005530FC" w:rsidP="005530FC">
            <w:pPr>
              <w:spacing w:line="240" w:lineRule="auto"/>
              <w:jc w:val="center"/>
              <w:rPr>
                <w:color w:val="000000"/>
                <w:sz w:val="16"/>
                <w:szCs w:val="16"/>
              </w:rPr>
            </w:pPr>
            <w:r w:rsidRPr="005530FC">
              <w:rPr>
                <w:color w:val="000000"/>
                <w:sz w:val="16"/>
                <w:szCs w:val="16"/>
              </w:rPr>
              <w:t>1.250</w:t>
            </w:r>
          </w:p>
        </w:tc>
        <w:tc>
          <w:tcPr>
            <w:tcW w:w="940" w:type="dxa"/>
            <w:tcBorders>
              <w:top w:val="nil"/>
              <w:left w:val="nil"/>
              <w:bottom w:val="single" w:sz="4" w:space="0" w:color="auto"/>
              <w:right w:val="single" w:sz="4" w:space="0" w:color="auto"/>
            </w:tcBorders>
            <w:shd w:val="clear" w:color="auto" w:fill="auto"/>
            <w:noWrap/>
            <w:vAlign w:val="bottom"/>
            <w:hideMark/>
          </w:tcPr>
          <w:p w14:paraId="08ADEE71" w14:textId="77D38A99" w:rsidR="005530FC" w:rsidRPr="005530FC" w:rsidRDefault="005530FC" w:rsidP="005530FC">
            <w:pPr>
              <w:spacing w:line="240" w:lineRule="auto"/>
              <w:jc w:val="center"/>
              <w:rPr>
                <w:color w:val="000000"/>
                <w:sz w:val="16"/>
                <w:szCs w:val="16"/>
              </w:rPr>
            </w:pPr>
            <w:r w:rsidRPr="005530FC">
              <w:rPr>
                <w:color w:val="000000"/>
                <w:sz w:val="16"/>
                <w:szCs w:val="16"/>
              </w:rPr>
              <w:t>62,80</w:t>
            </w:r>
          </w:p>
        </w:tc>
        <w:tc>
          <w:tcPr>
            <w:tcW w:w="992" w:type="dxa"/>
            <w:tcBorders>
              <w:top w:val="nil"/>
              <w:left w:val="nil"/>
              <w:bottom w:val="single" w:sz="4" w:space="0" w:color="auto"/>
              <w:right w:val="single" w:sz="4" w:space="0" w:color="auto"/>
            </w:tcBorders>
            <w:shd w:val="clear" w:color="auto" w:fill="auto"/>
            <w:noWrap/>
            <w:vAlign w:val="bottom"/>
            <w:hideMark/>
          </w:tcPr>
          <w:p w14:paraId="13A1075F" w14:textId="049BC0FB" w:rsidR="005530FC" w:rsidRPr="005530FC" w:rsidRDefault="005530FC" w:rsidP="005530FC">
            <w:pPr>
              <w:spacing w:line="240" w:lineRule="auto"/>
              <w:jc w:val="center"/>
              <w:rPr>
                <w:color w:val="000000"/>
                <w:sz w:val="16"/>
                <w:szCs w:val="16"/>
              </w:rPr>
            </w:pPr>
            <w:r w:rsidRPr="005530FC">
              <w:rPr>
                <w:color w:val="000000"/>
                <w:sz w:val="16"/>
                <w:szCs w:val="16"/>
              </w:rPr>
              <w:t>44,98</w:t>
            </w:r>
          </w:p>
        </w:tc>
        <w:tc>
          <w:tcPr>
            <w:tcW w:w="992" w:type="dxa"/>
            <w:tcBorders>
              <w:top w:val="nil"/>
              <w:left w:val="nil"/>
              <w:bottom w:val="single" w:sz="4" w:space="0" w:color="auto"/>
              <w:right w:val="single" w:sz="4" w:space="0" w:color="auto"/>
            </w:tcBorders>
            <w:shd w:val="clear" w:color="auto" w:fill="auto"/>
            <w:noWrap/>
            <w:vAlign w:val="bottom"/>
            <w:hideMark/>
          </w:tcPr>
          <w:p w14:paraId="23A48255" w14:textId="4DCD26C9" w:rsidR="005530FC" w:rsidRPr="005530FC" w:rsidRDefault="005530FC" w:rsidP="005530FC">
            <w:pPr>
              <w:spacing w:line="240" w:lineRule="auto"/>
              <w:jc w:val="center"/>
              <w:rPr>
                <w:color w:val="000000"/>
                <w:sz w:val="16"/>
                <w:szCs w:val="16"/>
              </w:rPr>
            </w:pPr>
            <w:r w:rsidRPr="005530FC">
              <w:rPr>
                <w:color w:val="000000"/>
                <w:sz w:val="16"/>
                <w:szCs w:val="16"/>
              </w:rPr>
              <w:t>183,88</w:t>
            </w:r>
          </w:p>
        </w:tc>
        <w:tc>
          <w:tcPr>
            <w:tcW w:w="1154" w:type="dxa"/>
            <w:tcBorders>
              <w:top w:val="nil"/>
              <w:left w:val="nil"/>
              <w:bottom w:val="single" w:sz="4" w:space="0" w:color="auto"/>
              <w:right w:val="single" w:sz="4" w:space="0" w:color="auto"/>
            </w:tcBorders>
            <w:shd w:val="clear" w:color="auto" w:fill="auto"/>
            <w:noWrap/>
            <w:vAlign w:val="bottom"/>
            <w:hideMark/>
          </w:tcPr>
          <w:p w14:paraId="7928C0E8" w14:textId="3E08AB1F" w:rsidR="005530FC" w:rsidRPr="005530FC" w:rsidRDefault="005530FC" w:rsidP="005530FC">
            <w:pPr>
              <w:spacing w:line="240" w:lineRule="auto"/>
              <w:jc w:val="center"/>
              <w:rPr>
                <w:color w:val="000000"/>
                <w:sz w:val="16"/>
                <w:szCs w:val="16"/>
              </w:rPr>
            </w:pPr>
            <w:r w:rsidRPr="005530FC">
              <w:rPr>
                <w:color w:val="000000"/>
                <w:sz w:val="16"/>
                <w:szCs w:val="16"/>
              </w:rPr>
              <w:t>217,85</w:t>
            </w:r>
          </w:p>
        </w:tc>
        <w:tc>
          <w:tcPr>
            <w:tcW w:w="992" w:type="dxa"/>
            <w:tcBorders>
              <w:top w:val="nil"/>
              <w:left w:val="nil"/>
              <w:bottom w:val="single" w:sz="4" w:space="0" w:color="auto"/>
              <w:right w:val="single" w:sz="4" w:space="0" w:color="auto"/>
            </w:tcBorders>
            <w:shd w:val="clear" w:color="auto" w:fill="auto"/>
            <w:noWrap/>
            <w:vAlign w:val="bottom"/>
            <w:hideMark/>
          </w:tcPr>
          <w:p w14:paraId="2B7D6FCE" w14:textId="3A86AF48" w:rsidR="005530FC" w:rsidRPr="005530FC" w:rsidRDefault="005530FC" w:rsidP="005530FC">
            <w:pPr>
              <w:spacing w:line="240" w:lineRule="auto"/>
              <w:jc w:val="center"/>
              <w:rPr>
                <w:color w:val="000000"/>
                <w:sz w:val="16"/>
                <w:szCs w:val="16"/>
              </w:rPr>
            </w:pPr>
            <w:r w:rsidRPr="005530FC">
              <w:rPr>
                <w:color w:val="000000"/>
                <w:sz w:val="16"/>
                <w:szCs w:val="16"/>
              </w:rPr>
              <w:t>0,93</w:t>
            </w:r>
          </w:p>
        </w:tc>
        <w:tc>
          <w:tcPr>
            <w:tcW w:w="1134" w:type="dxa"/>
            <w:tcBorders>
              <w:top w:val="nil"/>
              <w:left w:val="nil"/>
              <w:bottom w:val="single" w:sz="4" w:space="0" w:color="auto"/>
              <w:right w:val="single" w:sz="4" w:space="0" w:color="auto"/>
            </w:tcBorders>
            <w:shd w:val="clear" w:color="auto" w:fill="auto"/>
            <w:noWrap/>
            <w:vAlign w:val="bottom"/>
            <w:hideMark/>
          </w:tcPr>
          <w:p w14:paraId="0636FE7E" w14:textId="77777777" w:rsidR="005530FC" w:rsidRPr="005530FC" w:rsidRDefault="005530FC" w:rsidP="005530FC">
            <w:pPr>
              <w:spacing w:line="240" w:lineRule="auto"/>
              <w:jc w:val="center"/>
              <w:rPr>
                <w:color w:val="000000"/>
                <w:sz w:val="16"/>
                <w:szCs w:val="16"/>
              </w:rPr>
            </w:pPr>
            <w:r w:rsidRPr="005530FC">
              <w:rPr>
                <w:color w:val="000000"/>
                <w:sz w:val="16"/>
                <w:szCs w:val="16"/>
              </w:rPr>
              <w:t>213,29</w:t>
            </w:r>
          </w:p>
        </w:tc>
      </w:tr>
      <w:tr w:rsidR="005530FC" w:rsidRPr="005530FC" w14:paraId="181D5D9F" w14:textId="77777777" w:rsidTr="0012718A">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155A3F4" w14:textId="77777777" w:rsidR="005530FC" w:rsidRPr="005530FC" w:rsidRDefault="005530FC" w:rsidP="005530FC">
            <w:pPr>
              <w:spacing w:line="240" w:lineRule="auto"/>
              <w:jc w:val="center"/>
              <w:rPr>
                <w:color w:val="000000"/>
                <w:sz w:val="16"/>
                <w:szCs w:val="16"/>
              </w:rPr>
            </w:pPr>
            <w:r w:rsidRPr="005530FC">
              <w:rPr>
                <w:color w:val="000000"/>
                <w:sz w:val="16"/>
                <w:szCs w:val="16"/>
              </w:rPr>
              <w:t>2012</w:t>
            </w:r>
          </w:p>
        </w:tc>
        <w:tc>
          <w:tcPr>
            <w:tcW w:w="870" w:type="dxa"/>
            <w:tcBorders>
              <w:top w:val="nil"/>
              <w:left w:val="nil"/>
              <w:bottom w:val="single" w:sz="4" w:space="0" w:color="auto"/>
              <w:right w:val="single" w:sz="4" w:space="0" w:color="auto"/>
            </w:tcBorders>
            <w:shd w:val="clear" w:color="auto" w:fill="auto"/>
            <w:noWrap/>
            <w:vAlign w:val="bottom"/>
            <w:hideMark/>
          </w:tcPr>
          <w:p w14:paraId="6D7F7A4A" w14:textId="660807AC" w:rsidR="005530FC" w:rsidRPr="005530FC" w:rsidRDefault="005530FC" w:rsidP="005530FC">
            <w:pPr>
              <w:spacing w:line="240" w:lineRule="auto"/>
              <w:jc w:val="center"/>
              <w:rPr>
                <w:color w:val="000000"/>
                <w:sz w:val="16"/>
                <w:szCs w:val="16"/>
              </w:rPr>
            </w:pPr>
            <w:r w:rsidRPr="005530FC">
              <w:rPr>
                <w:color w:val="000000"/>
                <w:sz w:val="16"/>
                <w:szCs w:val="16"/>
              </w:rPr>
              <w:t>1.000</w:t>
            </w:r>
          </w:p>
        </w:tc>
        <w:tc>
          <w:tcPr>
            <w:tcW w:w="940" w:type="dxa"/>
            <w:tcBorders>
              <w:top w:val="nil"/>
              <w:left w:val="nil"/>
              <w:bottom w:val="single" w:sz="4" w:space="0" w:color="auto"/>
              <w:right w:val="single" w:sz="4" w:space="0" w:color="auto"/>
            </w:tcBorders>
            <w:shd w:val="clear" w:color="auto" w:fill="auto"/>
            <w:noWrap/>
            <w:vAlign w:val="bottom"/>
            <w:hideMark/>
          </w:tcPr>
          <w:p w14:paraId="4E8360FE" w14:textId="7A64B243" w:rsidR="005530FC" w:rsidRPr="005530FC" w:rsidRDefault="005530FC" w:rsidP="005530FC">
            <w:pPr>
              <w:spacing w:line="240" w:lineRule="auto"/>
              <w:jc w:val="center"/>
              <w:rPr>
                <w:color w:val="000000"/>
                <w:sz w:val="16"/>
                <w:szCs w:val="16"/>
              </w:rPr>
            </w:pPr>
            <w:r w:rsidRPr="005530FC">
              <w:rPr>
                <w:color w:val="000000"/>
                <w:sz w:val="16"/>
                <w:szCs w:val="16"/>
              </w:rPr>
              <w:t>61,00</w:t>
            </w:r>
          </w:p>
        </w:tc>
        <w:tc>
          <w:tcPr>
            <w:tcW w:w="992" w:type="dxa"/>
            <w:tcBorders>
              <w:top w:val="nil"/>
              <w:left w:val="nil"/>
              <w:bottom w:val="single" w:sz="4" w:space="0" w:color="auto"/>
              <w:right w:val="single" w:sz="4" w:space="0" w:color="auto"/>
            </w:tcBorders>
            <w:shd w:val="clear" w:color="auto" w:fill="auto"/>
            <w:noWrap/>
            <w:vAlign w:val="bottom"/>
            <w:hideMark/>
          </w:tcPr>
          <w:p w14:paraId="212CD0B5" w14:textId="1E47B54B" w:rsidR="005530FC" w:rsidRPr="005530FC" w:rsidRDefault="005530FC" w:rsidP="005530FC">
            <w:pPr>
              <w:spacing w:line="240" w:lineRule="auto"/>
              <w:jc w:val="center"/>
              <w:rPr>
                <w:color w:val="000000"/>
                <w:sz w:val="16"/>
                <w:szCs w:val="16"/>
              </w:rPr>
            </w:pPr>
            <w:r w:rsidRPr="005530FC">
              <w:rPr>
                <w:color w:val="000000"/>
                <w:sz w:val="16"/>
                <w:szCs w:val="16"/>
              </w:rPr>
              <w:t>44,54</w:t>
            </w:r>
          </w:p>
        </w:tc>
        <w:tc>
          <w:tcPr>
            <w:tcW w:w="992" w:type="dxa"/>
            <w:tcBorders>
              <w:top w:val="nil"/>
              <w:left w:val="nil"/>
              <w:bottom w:val="single" w:sz="4" w:space="0" w:color="auto"/>
              <w:right w:val="single" w:sz="4" w:space="0" w:color="auto"/>
            </w:tcBorders>
            <w:shd w:val="clear" w:color="auto" w:fill="auto"/>
            <w:noWrap/>
            <w:vAlign w:val="bottom"/>
            <w:hideMark/>
          </w:tcPr>
          <w:p w14:paraId="4F4F80D3" w14:textId="46D2850E" w:rsidR="005530FC" w:rsidRPr="005530FC" w:rsidRDefault="005530FC" w:rsidP="005530FC">
            <w:pPr>
              <w:spacing w:line="240" w:lineRule="auto"/>
              <w:jc w:val="center"/>
              <w:rPr>
                <w:color w:val="000000"/>
                <w:sz w:val="16"/>
                <w:szCs w:val="16"/>
              </w:rPr>
            </w:pPr>
            <w:r w:rsidRPr="005530FC">
              <w:rPr>
                <w:color w:val="000000"/>
                <w:sz w:val="16"/>
                <w:szCs w:val="16"/>
              </w:rPr>
              <w:t>195,98</w:t>
            </w:r>
          </w:p>
        </w:tc>
        <w:tc>
          <w:tcPr>
            <w:tcW w:w="1154" w:type="dxa"/>
            <w:tcBorders>
              <w:top w:val="nil"/>
              <w:left w:val="nil"/>
              <w:bottom w:val="single" w:sz="4" w:space="0" w:color="auto"/>
              <w:right w:val="single" w:sz="4" w:space="0" w:color="auto"/>
            </w:tcBorders>
            <w:shd w:val="clear" w:color="auto" w:fill="auto"/>
            <w:noWrap/>
            <w:vAlign w:val="bottom"/>
            <w:hideMark/>
          </w:tcPr>
          <w:p w14:paraId="380E0D06" w14:textId="68B55BE6" w:rsidR="005530FC" w:rsidRPr="005530FC" w:rsidRDefault="005530FC" w:rsidP="005530FC">
            <w:pPr>
              <w:spacing w:line="240" w:lineRule="auto"/>
              <w:jc w:val="center"/>
              <w:rPr>
                <w:color w:val="000000"/>
                <w:sz w:val="16"/>
                <w:szCs w:val="16"/>
              </w:rPr>
            </w:pPr>
            <w:r w:rsidRPr="005530FC">
              <w:rPr>
                <w:color w:val="000000"/>
                <w:sz w:val="16"/>
                <w:szCs w:val="16"/>
              </w:rPr>
              <w:t>236,70</w:t>
            </w:r>
          </w:p>
        </w:tc>
        <w:tc>
          <w:tcPr>
            <w:tcW w:w="992" w:type="dxa"/>
            <w:tcBorders>
              <w:top w:val="nil"/>
              <w:left w:val="nil"/>
              <w:bottom w:val="single" w:sz="4" w:space="0" w:color="auto"/>
              <w:right w:val="single" w:sz="4" w:space="0" w:color="auto"/>
            </w:tcBorders>
            <w:shd w:val="clear" w:color="auto" w:fill="auto"/>
            <w:noWrap/>
            <w:vAlign w:val="bottom"/>
            <w:hideMark/>
          </w:tcPr>
          <w:p w14:paraId="0E166803" w14:textId="04190F82" w:rsidR="005530FC" w:rsidRPr="005530FC" w:rsidRDefault="005530FC" w:rsidP="005530FC">
            <w:pPr>
              <w:spacing w:line="240" w:lineRule="auto"/>
              <w:jc w:val="center"/>
              <w:rPr>
                <w:color w:val="000000"/>
                <w:sz w:val="16"/>
                <w:szCs w:val="16"/>
              </w:rPr>
            </w:pPr>
            <w:r w:rsidRPr="005530FC">
              <w:rPr>
                <w:color w:val="000000"/>
                <w:sz w:val="16"/>
                <w:szCs w:val="16"/>
              </w:rPr>
              <w:t>0,93</w:t>
            </w:r>
          </w:p>
        </w:tc>
        <w:tc>
          <w:tcPr>
            <w:tcW w:w="1134" w:type="dxa"/>
            <w:tcBorders>
              <w:top w:val="nil"/>
              <w:left w:val="nil"/>
              <w:bottom w:val="single" w:sz="4" w:space="0" w:color="auto"/>
              <w:right w:val="single" w:sz="4" w:space="0" w:color="auto"/>
            </w:tcBorders>
            <w:shd w:val="clear" w:color="auto" w:fill="auto"/>
            <w:noWrap/>
            <w:vAlign w:val="bottom"/>
            <w:hideMark/>
          </w:tcPr>
          <w:p w14:paraId="0CA103D9" w14:textId="77777777" w:rsidR="005530FC" w:rsidRPr="005530FC" w:rsidRDefault="005530FC" w:rsidP="005530FC">
            <w:pPr>
              <w:spacing w:line="240" w:lineRule="auto"/>
              <w:jc w:val="center"/>
              <w:rPr>
                <w:color w:val="000000"/>
                <w:sz w:val="16"/>
                <w:szCs w:val="16"/>
              </w:rPr>
            </w:pPr>
            <w:r w:rsidRPr="005530FC">
              <w:rPr>
                <w:color w:val="000000"/>
                <w:sz w:val="16"/>
                <w:szCs w:val="16"/>
              </w:rPr>
              <w:t>228,61</w:t>
            </w:r>
          </w:p>
        </w:tc>
      </w:tr>
      <w:tr w:rsidR="005530FC" w:rsidRPr="005530FC" w14:paraId="1727850E" w14:textId="77777777" w:rsidTr="0012718A">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99D62AC" w14:textId="77777777" w:rsidR="005530FC" w:rsidRPr="005530FC" w:rsidRDefault="005530FC" w:rsidP="005530FC">
            <w:pPr>
              <w:spacing w:line="240" w:lineRule="auto"/>
              <w:jc w:val="center"/>
              <w:rPr>
                <w:color w:val="000000"/>
                <w:sz w:val="16"/>
                <w:szCs w:val="16"/>
              </w:rPr>
            </w:pPr>
            <w:r w:rsidRPr="005530FC">
              <w:rPr>
                <w:color w:val="000000"/>
                <w:sz w:val="16"/>
                <w:szCs w:val="16"/>
              </w:rPr>
              <w:t>2013</w:t>
            </w:r>
          </w:p>
        </w:tc>
        <w:tc>
          <w:tcPr>
            <w:tcW w:w="870" w:type="dxa"/>
            <w:tcBorders>
              <w:top w:val="nil"/>
              <w:left w:val="nil"/>
              <w:bottom w:val="single" w:sz="4" w:space="0" w:color="auto"/>
              <w:right w:val="single" w:sz="4" w:space="0" w:color="auto"/>
            </w:tcBorders>
            <w:shd w:val="clear" w:color="auto" w:fill="auto"/>
            <w:noWrap/>
            <w:vAlign w:val="bottom"/>
            <w:hideMark/>
          </w:tcPr>
          <w:p w14:paraId="65DF2604" w14:textId="27914F5D" w:rsidR="005530FC" w:rsidRPr="005530FC" w:rsidRDefault="005530FC" w:rsidP="005530FC">
            <w:pPr>
              <w:spacing w:line="240" w:lineRule="auto"/>
              <w:jc w:val="center"/>
              <w:rPr>
                <w:color w:val="000000"/>
                <w:sz w:val="16"/>
                <w:szCs w:val="16"/>
              </w:rPr>
            </w:pPr>
            <w:r w:rsidRPr="005530FC">
              <w:rPr>
                <w:color w:val="000000"/>
                <w:sz w:val="16"/>
                <w:szCs w:val="16"/>
              </w:rPr>
              <w:t>1.205</w:t>
            </w:r>
          </w:p>
        </w:tc>
        <w:tc>
          <w:tcPr>
            <w:tcW w:w="940" w:type="dxa"/>
            <w:tcBorders>
              <w:top w:val="nil"/>
              <w:left w:val="nil"/>
              <w:bottom w:val="single" w:sz="4" w:space="0" w:color="auto"/>
              <w:right w:val="single" w:sz="4" w:space="0" w:color="auto"/>
            </w:tcBorders>
            <w:shd w:val="clear" w:color="auto" w:fill="auto"/>
            <w:noWrap/>
            <w:vAlign w:val="bottom"/>
            <w:hideMark/>
          </w:tcPr>
          <w:p w14:paraId="3CC256DF" w14:textId="3414DAD8" w:rsidR="005530FC" w:rsidRPr="005530FC" w:rsidRDefault="005530FC" w:rsidP="005530FC">
            <w:pPr>
              <w:spacing w:line="240" w:lineRule="auto"/>
              <w:jc w:val="center"/>
              <w:rPr>
                <w:color w:val="000000"/>
                <w:sz w:val="16"/>
                <w:szCs w:val="16"/>
              </w:rPr>
            </w:pPr>
            <w:r w:rsidRPr="005530FC">
              <w:rPr>
                <w:color w:val="000000"/>
                <w:sz w:val="16"/>
                <w:szCs w:val="16"/>
              </w:rPr>
              <w:t>61,26</w:t>
            </w:r>
          </w:p>
        </w:tc>
        <w:tc>
          <w:tcPr>
            <w:tcW w:w="992" w:type="dxa"/>
            <w:tcBorders>
              <w:top w:val="nil"/>
              <w:left w:val="nil"/>
              <w:bottom w:val="single" w:sz="4" w:space="0" w:color="auto"/>
              <w:right w:val="single" w:sz="4" w:space="0" w:color="auto"/>
            </w:tcBorders>
            <w:shd w:val="clear" w:color="auto" w:fill="auto"/>
            <w:noWrap/>
            <w:vAlign w:val="bottom"/>
            <w:hideMark/>
          </w:tcPr>
          <w:p w14:paraId="068B86AD" w14:textId="20B9C3C7" w:rsidR="005530FC" w:rsidRPr="005530FC" w:rsidRDefault="005530FC" w:rsidP="005530FC">
            <w:pPr>
              <w:spacing w:line="240" w:lineRule="auto"/>
              <w:jc w:val="center"/>
              <w:rPr>
                <w:color w:val="000000"/>
                <w:sz w:val="16"/>
                <w:szCs w:val="16"/>
              </w:rPr>
            </w:pPr>
            <w:r w:rsidRPr="005530FC">
              <w:rPr>
                <w:color w:val="000000"/>
                <w:sz w:val="16"/>
                <w:szCs w:val="16"/>
              </w:rPr>
              <w:t>45,52</w:t>
            </w:r>
          </w:p>
        </w:tc>
        <w:tc>
          <w:tcPr>
            <w:tcW w:w="992" w:type="dxa"/>
            <w:tcBorders>
              <w:top w:val="nil"/>
              <w:left w:val="nil"/>
              <w:bottom w:val="single" w:sz="4" w:space="0" w:color="auto"/>
              <w:right w:val="single" w:sz="4" w:space="0" w:color="auto"/>
            </w:tcBorders>
            <w:shd w:val="clear" w:color="auto" w:fill="auto"/>
            <w:noWrap/>
            <w:vAlign w:val="bottom"/>
            <w:hideMark/>
          </w:tcPr>
          <w:p w14:paraId="31BA5046" w14:textId="201A017D" w:rsidR="005530FC" w:rsidRPr="005530FC" w:rsidRDefault="005530FC" w:rsidP="005530FC">
            <w:pPr>
              <w:spacing w:line="240" w:lineRule="auto"/>
              <w:jc w:val="center"/>
              <w:rPr>
                <w:color w:val="000000"/>
                <w:sz w:val="16"/>
                <w:szCs w:val="16"/>
              </w:rPr>
            </w:pPr>
            <w:r w:rsidRPr="005530FC">
              <w:rPr>
                <w:color w:val="000000"/>
                <w:sz w:val="16"/>
                <w:szCs w:val="16"/>
              </w:rPr>
              <w:t>197,70</w:t>
            </w:r>
          </w:p>
        </w:tc>
        <w:tc>
          <w:tcPr>
            <w:tcW w:w="1154" w:type="dxa"/>
            <w:tcBorders>
              <w:top w:val="nil"/>
              <w:left w:val="nil"/>
              <w:bottom w:val="single" w:sz="4" w:space="0" w:color="auto"/>
              <w:right w:val="single" w:sz="4" w:space="0" w:color="auto"/>
            </w:tcBorders>
            <w:shd w:val="clear" w:color="auto" w:fill="auto"/>
            <w:noWrap/>
            <w:vAlign w:val="bottom"/>
            <w:hideMark/>
          </w:tcPr>
          <w:p w14:paraId="53A65476" w14:textId="45CDB85F" w:rsidR="005530FC" w:rsidRPr="005530FC" w:rsidRDefault="005530FC" w:rsidP="005530FC">
            <w:pPr>
              <w:spacing w:line="240" w:lineRule="auto"/>
              <w:jc w:val="center"/>
              <w:rPr>
                <w:color w:val="000000"/>
                <w:sz w:val="16"/>
                <w:szCs w:val="16"/>
              </w:rPr>
            </w:pPr>
            <w:r w:rsidRPr="005530FC">
              <w:rPr>
                <w:color w:val="000000"/>
                <w:sz w:val="16"/>
                <w:szCs w:val="16"/>
              </w:rPr>
              <w:t>237,70</w:t>
            </w:r>
          </w:p>
        </w:tc>
        <w:tc>
          <w:tcPr>
            <w:tcW w:w="992" w:type="dxa"/>
            <w:tcBorders>
              <w:top w:val="nil"/>
              <w:left w:val="nil"/>
              <w:bottom w:val="single" w:sz="4" w:space="0" w:color="auto"/>
              <w:right w:val="single" w:sz="4" w:space="0" w:color="auto"/>
            </w:tcBorders>
            <w:shd w:val="clear" w:color="auto" w:fill="auto"/>
            <w:noWrap/>
            <w:vAlign w:val="bottom"/>
            <w:hideMark/>
          </w:tcPr>
          <w:p w14:paraId="2F031433" w14:textId="6EB2B9F6" w:rsidR="005530FC" w:rsidRPr="005530FC" w:rsidRDefault="005530FC" w:rsidP="005530FC">
            <w:pPr>
              <w:spacing w:line="240" w:lineRule="auto"/>
              <w:jc w:val="center"/>
              <w:rPr>
                <w:color w:val="000000"/>
                <w:sz w:val="16"/>
                <w:szCs w:val="16"/>
              </w:rPr>
            </w:pPr>
            <w:r w:rsidRPr="005530FC">
              <w:rPr>
                <w:color w:val="000000"/>
                <w:sz w:val="16"/>
                <w:szCs w:val="16"/>
              </w:rPr>
              <w:t>0,93</w:t>
            </w:r>
          </w:p>
        </w:tc>
        <w:tc>
          <w:tcPr>
            <w:tcW w:w="1134" w:type="dxa"/>
            <w:tcBorders>
              <w:top w:val="nil"/>
              <w:left w:val="nil"/>
              <w:bottom w:val="single" w:sz="4" w:space="0" w:color="auto"/>
              <w:right w:val="single" w:sz="4" w:space="0" w:color="auto"/>
            </w:tcBorders>
            <w:shd w:val="clear" w:color="auto" w:fill="auto"/>
            <w:noWrap/>
            <w:vAlign w:val="bottom"/>
            <w:hideMark/>
          </w:tcPr>
          <w:p w14:paraId="242AC07F" w14:textId="77777777" w:rsidR="005530FC" w:rsidRPr="005530FC" w:rsidRDefault="005530FC" w:rsidP="005530FC">
            <w:pPr>
              <w:spacing w:line="240" w:lineRule="auto"/>
              <w:jc w:val="center"/>
              <w:rPr>
                <w:color w:val="000000"/>
                <w:sz w:val="16"/>
                <w:szCs w:val="16"/>
              </w:rPr>
            </w:pPr>
            <w:r w:rsidRPr="005530FC">
              <w:rPr>
                <w:color w:val="000000"/>
                <w:sz w:val="16"/>
                <w:szCs w:val="16"/>
              </w:rPr>
              <w:t>230,54</w:t>
            </w:r>
          </w:p>
        </w:tc>
      </w:tr>
      <w:tr w:rsidR="005530FC" w:rsidRPr="005530FC" w14:paraId="7FE3980C" w14:textId="77777777" w:rsidTr="0012718A">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2283769" w14:textId="77777777" w:rsidR="005530FC" w:rsidRPr="005530FC" w:rsidRDefault="005530FC" w:rsidP="005530FC">
            <w:pPr>
              <w:spacing w:line="240" w:lineRule="auto"/>
              <w:jc w:val="center"/>
              <w:rPr>
                <w:color w:val="000000"/>
                <w:sz w:val="16"/>
                <w:szCs w:val="16"/>
              </w:rPr>
            </w:pPr>
            <w:r w:rsidRPr="005530FC">
              <w:rPr>
                <w:color w:val="000000"/>
                <w:sz w:val="16"/>
                <w:szCs w:val="16"/>
              </w:rPr>
              <w:t>2014</w:t>
            </w:r>
          </w:p>
        </w:tc>
        <w:tc>
          <w:tcPr>
            <w:tcW w:w="870" w:type="dxa"/>
            <w:tcBorders>
              <w:top w:val="nil"/>
              <w:left w:val="nil"/>
              <w:bottom w:val="single" w:sz="4" w:space="0" w:color="auto"/>
              <w:right w:val="single" w:sz="4" w:space="0" w:color="auto"/>
            </w:tcBorders>
            <w:shd w:val="clear" w:color="auto" w:fill="auto"/>
            <w:noWrap/>
            <w:vAlign w:val="bottom"/>
            <w:hideMark/>
          </w:tcPr>
          <w:p w14:paraId="3BE2A25E" w14:textId="468BEFE2" w:rsidR="005530FC" w:rsidRPr="005530FC" w:rsidRDefault="005530FC" w:rsidP="005530FC">
            <w:pPr>
              <w:spacing w:line="240" w:lineRule="auto"/>
              <w:jc w:val="center"/>
              <w:rPr>
                <w:color w:val="000000"/>
                <w:sz w:val="16"/>
                <w:szCs w:val="16"/>
              </w:rPr>
            </w:pPr>
            <w:r w:rsidRPr="005530FC">
              <w:rPr>
                <w:color w:val="000000"/>
                <w:sz w:val="16"/>
                <w:szCs w:val="16"/>
              </w:rPr>
              <w:t>1.410</w:t>
            </w:r>
          </w:p>
        </w:tc>
        <w:tc>
          <w:tcPr>
            <w:tcW w:w="940" w:type="dxa"/>
            <w:tcBorders>
              <w:top w:val="nil"/>
              <w:left w:val="nil"/>
              <w:bottom w:val="single" w:sz="4" w:space="0" w:color="auto"/>
              <w:right w:val="single" w:sz="4" w:space="0" w:color="auto"/>
            </w:tcBorders>
            <w:shd w:val="clear" w:color="auto" w:fill="auto"/>
            <w:noWrap/>
            <w:vAlign w:val="bottom"/>
            <w:hideMark/>
          </w:tcPr>
          <w:p w14:paraId="007BC738" w14:textId="6DB67BF4" w:rsidR="005530FC" w:rsidRPr="005530FC" w:rsidRDefault="005530FC" w:rsidP="005530FC">
            <w:pPr>
              <w:spacing w:line="240" w:lineRule="auto"/>
              <w:jc w:val="center"/>
              <w:rPr>
                <w:color w:val="000000"/>
                <w:sz w:val="16"/>
                <w:szCs w:val="16"/>
              </w:rPr>
            </w:pPr>
            <w:r w:rsidRPr="005530FC">
              <w:rPr>
                <w:color w:val="000000"/>
                <w:sz w:val="16"/>
                <w:szCs w:val="16"/>
              </w:rPr>
              <w:t>59,00</w:t>
            </w:r>
          </w:p>
        </w:tc>
        <w:tc>
          <w:tcPr>
            <w:tcW w:w="992" w:type="dxa"/>
            <w:tcBorders>
              <w:top w:val="nil"/>
              <w:left w:val="nil"/>
              <w:bottom w:val="single" w:sz="4" w:space="0" w:color="auto"/>
              <w:right w:val="single" w:sz="4" w:space="0" w:color="auto"/>
            </w:tcBorders>
            <w:shd w:val="clear" w:color="auto" w:fill="auto"/>
            <w:noWrap/>
            <w:vAlign w:val="bottom"/>
            <w:hideMark/>
          </w:tcPr>
          <w:p w14:paraId="2796655E" w14:textId="79174503" w:rsidR="005530FC" w:rsidRPr="005530FC" w:rsidRDefault="005530FC" w:rsidP="005530FC">
            <w:pPr>
              <w:spacing w:line="240" w:lineRule="auto"/>
              <w:jc w:val="center"/>
              <w:rPr>
                <w:color w:val="000000"/>
                <w:sz w:val="16"/>
                <w:szCs w:val="16"/>
              </w:rPr>
            </w:pPr>
            <w:r w:rsidRPr="005530FC">
              <w:rPr>
                <w:color w:val="000000"/>
                <w:sz w:val="16"/>
                <w:szCs w:val="16"/>
              </w:rPr>
              <w:t>42,95</w:t>
            </w:r>
          </w:p>
        </w:tc>
        <w:tc>
          <w:tcPr>
            <w:tcW w:w="992" w:type="dxa"/>
            <w:tcBorders>
              <w:top w:val="nil"/>
              <w:left w:val="nil"/>
              <w:bottom w:val="single" w:sz="4" w:space="0" w:color="auto"/>
              <w:right w:val="single" w:sz="4" w:space="0" w:color="auto"/>
            </w:tcBorders>
            <w:shd w:val="clear" w:color="auto" w:fill="auto"/>
            <w:noWrap/>
            <w:vAlign w:val="bottom"/>
            <w:hideMark/>
          </w:tcPr>
          <w:p w14:paraId="4FBB9F90" w14:textId="2B8D9432" w:rsidR="005530FC" w:rsidRPr="005530FC" w:rsidRDefault="005530FC" w:rsidP="005530FC">
            <w:pPr>
              <w:spacing w:line="240" w:lineRule="auto"/>
              <w:jc w:val="center"/>
              <w:rPr>
                <w:color w:val="000000"/>
                <w:sz w:val="16"/>
                <w:szCs w:val="16"/>
              </w:rPr>
            </w:pPr>
            <w:r w:rsidRPr="005530FC">
              <w:rPr>
                <w:color w:val="000000"/>
                <w:sz w:val="16"/>
                <w:szCs w:val="16"/>
              </w:rPr>
              <w:t>197,72</w:t>
            </w:r>
          </w:p>
        </w:tc>
        <w:tc>
          <w:tcPr>
            <w:tcW w:w="1154" w:type="dxa"/>
            <w:tcBorders>
              <w:top w:val="nil"/>
              <w:left w:val="nil"/>
              <w:bottom w:val="single" w:sz="4" w:space="0" w:color="auto"/>
              <w:right w:val="single" w:sz="4" w:space="0" w:color="auto"/>
            </w:tcBorders>
            <w:shd w:val="clear" w:color="auto" w:fill="auto"/>
            <w:noWrap/>
            <w:vAlign w:val="bottom"/>
            <w:hideMark/>
          </w:tcPr>
          <w:p w14:paraId="6BE5498A" w14:textId="1AEB442B" w:rsidR="005530FC" w:rsidRPr="005530FC" w:rsidRDefault="005530FC" w:rsidP="005530FC">
            <w:pPr>
              <w:spacing w:line="240" w:lineRule="auto"/>
              <w:jc w:val="center"/>
              <w:rPr>
                <w:color w:val="000000"/>
                <w:sz w:val="16"/>
                <w:szCs w:val="16"/>
              </w:rPr>
            </w:pPr>
            <w:r w:rsidRPr="005530FC">
              <w:rPr>
                <w:color w:val="000000"/>
                <w:sz w:val="16"/>
                <w:szCs w:val="16"/>
              </w:rPr>
              <w:t>234,99</w:t>
            </w:r>
          </w:p>
        </w:tc>
        <w:tc>
          <w:tcPr>
            <w:tcW w:w="992" w:type="dxa"/>
            <w:tcBorders>
              <w:top w:val="nil"/>
              <w:left w:val="nil"/>
              <w:bottom w:val="single" w:sz="4" w:space="0" w:color="auto"/>
              <w:right w:val="single" w:sz="4" w:space="0" w:color="auto"/>
            </w:tcBorders>
            <w:shd w:val="clear" w:color="auto" w:fill="auto"/>
            <w:noWrap/>
            <w:vAlign w:val="bottom"/>
            <w:hideMark/>
          </w:tcPr>
          <w:p w14:paraId="56431CC8" w14:textId="58FF1F49" w:rsidR="005530FC" w:rsidRPr="005530FC" w:rsidRDefault="005530FC" w:rsidP="005530FC">
            <w:pPr>
              <w:spacing w:line="240" w:lineRule="auto"/>
              <w:jc w:val="center"/>
              <w:rPr>
                <w:color w:val="000000"/>
                <w:sz w:val="16"/>
                <w:szCs w:val="16"/>
              </w:rPr>
            </w:pPr>
            <w:r w:rsidRPr="005530FC">
              <w:rPr>
                <w:color w:val="000000"/>
                <w:sz w:val="16"/>
                <w:szCs w:val="16"/>
              </w:rPr>
              <w:t>0,93</w:t>
            </w:r>
          </w:p>
        </w:tc>
        <w:tc>
          <w:tcPr>
            <w:tcW w:w="1134" w:type="dxa"/>
            <w:tcBorders>
              <w:top w:val="nil"/>
              <w:left w:val="nil"/>
              <w:bottom w:val="single" w:sz="4" w:space="0" w:color="auto"/>
              <w:right w:val="single" w:sz="4" w:space="0" w:color="auto"/>
            </w:tcBorders>
            <w:shd w:val="clear" w:color="auto" w:fill="auto"/>
            <w:noWrap/>
            <w:vAlign w:val="bottom"/>
            <w:hideMark/>
          </w:tcPr>
          <w:p w14:paraId="67B402FD" w14:textId="77777777" w:rsidR="005530FC" w:rsidRPr="005530FC" w:rsidRDefault="005530FC" w:rsidP="005530FC">
            <w:pPr>
              <w:spacing w:line="240" w:lineRule="auto"/>
              <w:jc w:val="center"/>
              <w:rPr>
                <w:color w:val="000000"/>
                <w:sz w:val="16"/>
                <w:szCs w:val="16"/>
              </w:rPr>
            </w:pPr>
            <w:r w:rsidRPr="005530FC">
              <w:rPr>
                <w:color w:val="000000"/>
                <w:sz w:val="16"/>
                <w:szCs w:val="16"/>
              </w:rPr>
              <w:t>236,67</w:t>
            </w:r>
          </w:p>
        </w:tc>
      </w:tr>
      <w:tr w:rsidR="0012718A" w:rsidRPr="005530FC" w14:paraId="1F89C338" w14:textId="77777777" w:rsidTr="0012718A">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94CF307" w14:textId="77777777" w:rsidR="005530FC" w:rsidRPr="005530FC" w:rsidRDefault="005530FC" w:rsidP="005530FC">
            <w:pPr>
              <w:spacing w:line="240" w:lineRule="auto"/>
              <w:jc w:val="center"/>
              <w:rPr>
                <w:color w:val="000000"/>
                <w:sz w:val="16"/>
                <w:szCs w:val="16"/>
              </w:rPr>
            </w:pPr>
            <w:r w:rsidRPr="005530FC">
              <w:rPr>
                <w:color w:val="000000"/>
                <w:sz w:val="16"/>
                <w:szCs w:val="16"/>
              </w:rPr>
              <w:t>2015</w:t>
            </w:r>
          </w:p>
        </w:tc>
        <w:tc>
          <w:tcPr>
            <w:tcW w:w="870" w:type="dxa"/>
            <w:tcBorders>
              <w:top w:val="nil"/>
              <w:left w:val="nil"/>
              <w:bottom w:val="single" w:sz="4" w:space="0" w:color="auto"/>
              <w:right w:val="single" w:sz="4" w:space="0" w:color="auto"/>
            </w:tcBorders>
            <w:shd w:val="clear" w:color="auto" w:fill="auto"/>
            <w:noWrap/>
            <w:vAlign w:val="bottom"/>
            <w:hideMark/>
          </w:tcPr>
          <w:p w14:paraId="78143852" w14:textId="5979AB3A" w:rsidR="005530FC" w:rsidRPr="005530FC" w:rsidRDefault="005530FC" w:rsidP="005530FC">
            <w:pPr>
              <w:spacing w:line="240" w:lineRule="auto"/>
              <w:jc w:val="center"/>
              <w:rPr>
                <w:color w:val="000000"/>
                <w:sz w:val="16"/>
                <w:szCs w:val="16"/>
              </w:rPr>
            </w:pPr>
            <w:r w:rsidRPr="005530FC">
              <w:rPr>
                <w:color w:val="000000"/>
                <w:sz w:val="16"/>
                <w:szCs w:val="16"/>
              </w:rPr>
              <w:t>1.284</w:t>
            </w:r>
          </w:p>
        </w:tc>
        <w:tc>
          <w:tcPr>
            <w:tcW w:w="940" w:type="dxa"/>
            <w:tcBorders>
              <w:top w:val="nil"/>
              <w:left w:val="nil"/>
              <w:bottom w:val="single" w:sz="4" w:space="0" w:color="auto"/>
              <w:right w:val="single" w:sz="4" w:space="0" w:color="auto"/>
            </w:tcBorders>
            <w:shd w:val="clear" w:color="auto" w:fill="auto"/>
            <w:noWrap/>
            <w:vAlign w:val="bottom"/>
            <w:hideMark/>
          </w:tcPr>
          <w:p w14:paraId="3AC18764" w14:textId="4D845E78" w:rsidR="005530FC" w:rsidRPr="005530FC" w:rsidRDefault="005530FC" w:rsidP="005530FC">
            <w:pPr>
              <w:spacing w:line="240" w:lineRule="auto"/>
              <w:jc w:val="center"/>
              <w:rPr>
                <w:color w:val="000000"/>
                <w:sz w:val="16"/>
                <w:szCs w:val="16"/>
              </w:rPr>
            </w:pPr>
            <w:r w:rsidRPr="005530FC">
              <w:rPr>
                <w:color w:val="000000"/>
                <w:sz w:val="16"/>
                <w:szCs w:val="16"/>
              </w:rPr>
              <w:t>58,80</w:t>
            </w:r>
          </w:p>
        </w:tc>
        <w:tc>
          <w:tcPr>
            <w:tcW w:w="992" w:type="dxa"/>
            <w:tcBorders>
              <w:top w:val="nil"/>
              <w:left w:val="nil"/>
              <w:bottom w:val="single" w:sz="4" w:space="0" w:color="auto"/>
              <w:right w:val="single" w:sz="4" w:space="0" w:color="auto"/>
            </w:tcBorders>
            <w:shd w:val="clear" w:color="auto" w:fill="auto"/>
            <w:noWrap/>
            <w:vAlign w:val="bottom"/>
            <w:hideMark/>
          </w:tcPr>
          <w:p w14:paraId="2D73ECDB" w14:textId="44DA799D" w:rsidR="005530FC" w:rsidRPr="005530FC" w:rsidRDefault="005530FC" w:rsidP="005530FC">
            <w:pPr>
              <w:spacing w:line="240" w:lineRule="auto"/>
              <w:jc w:val="center"/>
              <w:rPr>
                <w:color w:val="000000"/>
                <w:sz w:val="16"/>
                <w:szCs w:val="16"/>
              </w:rPr>
            </w:pPr>
            <w:r w:rsidRPr="005530FC">
              <w:rPr>
                <w:color w:val="000000"/>
                <w:sz w:val="16"/>
                <w:szCs w:val="16"/>
              </w:rPr>
              <w:t>40,43</w:t>
            </w:r>
          </w:p>
        </w:tc>
        <w:tc>
          <w:tcPr>
            <w:tcW w:w="992" w:type="dxa"/>
            <w:tcBorders>
              <w:top w:val="nil"/>
              <w:left w:val="nil"/>
              <w:bottom w:val="single" w:sz="4" w:space="0" w:color="auto"/>
              <w:right w:val="single" w:sz="4" w:space="0" w:color="auto"/>
            </w:tcBorders>
            <w:shd w:val="clear" w:color="auto" w:fill="auto"/>
            <w:noWrap/>
            <w:vAlign w:val="bottom"/>
            <w:hideMark/>
          </w:tcPr>
          <w:p w14:paraId="53526C1E" w14:textId="7D4A1DA6" w:rsidR="005530FC" w:rsidRPr="005530FC" w:rsidRDefault="005530FC" w:rsidP="005530FC">
            <w:pPr>
              <w:spacing w:line="240" w:lineRule="auto"/>
              <w:jc w:val="center"/>
              <w:rPr>
                <w:color w:val="000000"/>
                <w:sz w:val="16"/>
                <w:szCs w:val="16"/>
              </w:rPr>
            </w:pPr>
            <w:r w:rsidRPr="005530FC">
              <w:rPr>
                <w:color w:val="000000"/>
                <w:sz w:val="16"/>
                <w:szCs w:val="16"/>
              </w:rPr>
              <w:t>198,28</w:t>
            </w:r>
          </w:p>
        </w:tc>
        <w:tc>
          <w:tcPr>
            <w:tcW w:w="1154" w:type="dxa"/>
            <w:tcBorders>
              <w:top w:val="nil"/>
              <w:left w:val="nil"/>
              <w:bottom w:val="single" w:sz="4" w:space="0" w:color="auto"/>
              <w:right w:val="single" w:sz="4" w:space="0" w:color="auto"/>
            </w:tcBorders>
            <w:shd w:val="clear" w:color="auto" w:fill="auto"/>
            <w:noWrap/>
            <w:vAlign w:val="bottom"/>
            <w:hideMark/>
          </w:tcPr>
          <w:p w14:paraId="1C0A9D95" w14:textId="5237E0E7" w:rsidR="005530FC" w:rsidRPr="005530FC" w:rsidRDefault="005530FC" w:rsidP="005530FC">
            <w:pPr>
              <w:spacing w:line="240" w:lineRule="auto"/>
              <w:jc w:val="center"/>
              <w:rPr>
                <w:color w:val="000000"/>
                <w:sz w:val="16"/>
                <w:szCs w:val="16"/>
              </w:rPr>
            </w:pPr>
            <w:r w:rsidRPr="005530FC">
              <w:rPr>
                <w:color w:val="000000"/>
                <w:sz w:val="16"/>
                <w:szCs w:val="16"/>
              </w:rPr>
              <w:t>224,46</w:t>
            </w:r>
          </w:p>
        </w:tc>
        <w:tc>
          <w:tcPr>
            <w:tcW w:w="992" w:type="dxa"/>
            <w:tcBorders>
              <w:top w:val="nil"/>
              <w:left w:val="nil"/>
              <w:bottom w:val="single" w:sz="4" w:space="0" w:color="auto"/>
              <w:right w:val="single" w:sz="4" w:space="0" w:color="auto"/>
            </w:tcBorders>
            <w:shd w:val="clear" w:color="auto" w:fill="auto"/>
            <w:noWrap/>
            <w:vAlign w:val="bottom"/>
            <w:hideMark/>
          </w:tcPr>
          <w:p w14:paraId="5E4C1912" w14:textId="75429FCB" w:rsidR="005530FC" w:rsidRPr="005530FC" w:rsidRDefault="005530FC" w:rsidP="005530FC">
            <w:pPr>
              <w:spacing w:line="240" w:lineRule="auto"/>
              <w:jc w:val="center"/>
              <w:rPr>
                <w:color w:val="000000"/>
                <w:sz w:val="16"/>
                <w:szCs w:val="16"/>
              </w:rPr>
            </w:pPr>
            <w:r w:rsidRPr="005530FC">
              <w:rPr>
                <w:color w:val="000000"/>
                <w:sz w:val="16"/>
                <w:szCs w:val="16"/>
              </w:rPr>
              <w:t>0,93</w:t>
            </w:r>
          </w:p>
        </w:tc>
        <w:tc>
          <w:tcPr>
            <w:tcW w:w="1134" w:type="dxa"/>
            <w:tcBorders>
              <w:top w:val="nil"/>
              <w:left w:val="nil"/>
              <w:bottom w:val="single" w:sz="4" w:space="0" w:color="auto"/>
              <w:right w:val="single" w:sz="4" w:space="0" w:color="auto"/>
            </w:tcBorders>
            <w:shd w:val="clear" w:color="auto" w:fill="auto"/>
            <w:noWrap/>
            <w:vAlign w:val="bottom"/>
            <w:hideMark/>
          </w:tcPr>
          <w:p w14:paraId="286AAD5E" w14:textId="77777777" w:rsidR="005530FC" w:rsidRPr="005530FC" w:rsidRDefault="005530FC" w:rsidP="005530FC">
            <w:pPr>
              <w:spacing w:line="240" w:lineRule="auto"/>
              <w:jc w:val="center"/>
              <w:rPr>
                <w:color w:val="000000"/>
                <w:sz w:val="16"/>
                <w:szCs w:val="16"/>
              </w:rPr>
            </w:pPr>
            <w:r w:rsidRPr="005530FC">
              <w:rPr>
                <w:color w:val="000000"/>
                <w:sz w:val="16"/>
                <w:szCs w:val="16"/>
              </w:rPr>
              <w:t>258,07</w:t>
            </w:r>
          </w:p>
        </w:tc>
      </w:tr>
      <w:tr w:rsidR="00343B97" w:rsidRPr="005530FC" w14:paraId="2384897F" w14:textId="77777777" w:rsidTr="0012718A">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30D8B" w14:textId="77777777" w:rsidR="005530FC" w:rsidRPr="005530FC" w:rsidRDefault="005530FC" w:rsidP="005530FC">
            <w:pPr>
              <w:spacing w:line="240" w:lineRule="auto"/>
              <w:jc w:val="center"/>
              <w:rPr>
                <w:color w:val="000000"/>
                <w:sz w:val="16"/>
                <w:szCs w:val="16"/>
              </w:rPr>
            </w:pPr>
            <w:r w:rsidRPr="005530FC">
              <w:rPr>
                <w:color w:val="000000"/>
                <w:sz w:val="16"/>
                <w:szCs w:val="16"/>
              </w:rPr>
              <w:t>2016</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14:paraId="0CFB4AF1" w14:textId="4AD07160" w:rsidR="005530FC" w:rsidRPr="005530FC" w:rsidRDefault="005530FC" w:rsidP="005530FC">
            <w:pPr>
              <w:spacing w:line="240" w:lineRule="auto"/>
              <w:jc w:val="center"/>
              <w:rPr>
                <w:color w:val="000000"/>
                <w:sz w:val="16"/>
                <w:szCs w:val="16"/>
              </w:rPr>
            </w:pPr>
            <w:r w:rsidRPr="005530FC">
              <w:rPr>
                <w:color w:val="000000"/>
                <w:sz w:val="16"/>
                <w:szCs w:val="16"/>
              </w:rPr>
              <w:t>1.158</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1F76B0EF" w14:textId="6F91DD12" w:rsidR="005530FC" w:rsidRPr="005530FC" w:rsidRDefault="005530FC" w:rsidP="005530FC">
            <w:pPr>
              <w:spacing w:line="240" w:lineRule="auto"/>
              <w:jc w:val="center"/>
              <w:rPr>
                <w:color w:val="000000"/>
                <w:sz w:val="16"/>
                <w:szCs w:val="16"/>
              </w:rPr>
            </w:pPr>
            <w:r w:rsidRPr="005530FC">
              <w:rPr>
                <w:color w:val="000000"/>
                <w:sz w:val="16"/>
                <w:szCs w:val="16"/>
              </w:rPr>
              <w:t>58,00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E7FD5" w14:textId="709F5DB4" w:rsidR="005530FC" w:rsidRPr="005530FC" w:rsidRDefault="005530FC" w:rsidP="005530FC">
            <w:pPr>
              <w:spacing w:line="240" w:lineRule="auto"/>
              <w:jc w:val="center"/>
              <w:rPr>
                <w:color w:val="000000"/>
                <w:sz w:val="16"/>
                <w:szCs w:val="16"/>
              </w:rPr>
            </w:pPr>
            <w:r w:rsidRPr="005530FC">
              <w:rPr>
                <w:color w:val="000000"/>
                <w:sz w:val="16"/>
                <w:szCs w:val="16"/>
              </w:rPr>
              <w:t>35,09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52ACFC1" w14:textId="5B7CE02C" w:rsidR="005530FC" w:rsidRPr="005530FC" w:rsidRDefault="005530FC" w:rsidP="005530FC">
            <w:pPr>
              <w:spacing w:line="240" w:lineRule="auto"/>
              <w:jc w:val="center"/>
              <w:rPr>
                <w:color w:val="000000"/>
                <w:sz w:val="16"/>
                <w:szCs w:val="16"/>
              </w:rPr>
            </w:pPr>
            <w:r w:rsidRPr="005530FC">
              <w:rPr>
                <w:color w:val="000000"/>
                <w:sz w:val="16"/>
                <w:szCs w:val="16"/>
              </w:rPr>
              <w:t>198,39</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14:paraId="6670F83D" w14:textId="7F454595" w:rsidR="005530FC" w:rsidRPr="005530FC" w:rsidRDefault="005530FC" w:rsidP="005530FC">
            <w:pPr>
              <w:spacing w:line="240" w:lineRule="auto"/>
              <w:jc w:val="center"/>
              <w:rPr>
                <w:color w:val="000000"/>
                <w:sz w:val="16"/>
                <w:szCs w:val="16"/>
              </w:rPr>
            </w:pPr>
            <w:r w:rsidRPr="005530FC">
              <w:rPr>
                <w:color w:val="000000"/>
                <w:sz w:val="16"/>
                <w:szCs w:val="16"/>
              </w:rPr>
              <w:t>216,54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6F02B82" w14:textId="3FF2341D" w:rsidR="005530FC" w:rsidRPr="005530FC" w:rsidRDefault="005530FC" w:rsidP="005530FC">
            <w:pPr>
              <w:spacing w:line="240" w:lineRule="auto"/>
              <w:jc w:val="center"/>
              <w:rPr>
                <w:color w:val="000000"/>
                <w:sz w:val="16"/>
                <w:szCs w:val="16"/>
              </w:rPr>
            </w:pPr>
            <w:r w:rsidRPr="005530FC">
              <w:rPr>
                <w:color w:val="000000"/>
                <w:sz w:val="16"/>
                <w:szCs w:val="16"/>
              </w:rPr>
              <w:t>0,93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6C1CA8F" w14:textId="77777777" w:rsidR="005530FC" w:rsidRPr="005530FC" w:rsidRDefault="005530FC" w:rsidP="005530FC">
            <w:pPr>
              <w:spacing w:line="240" w:lineRule="auto"/>
              <w:jc w:val="center"/>
              <w:rPr>
                <w:color w:val="000000"/>
                <w:sz w:val="16"/>
                <w:szCs w:val="16"/>
              </w:rPr>
            </w:pPr>
            <w:r w:rsidRPr="005530FC">
              <w:rPr>
                <w:color w:val="000000"/>
                <w:sz w:val="16"/>
                <w:szCs w:val="16"/>
              </w:rPr>
              <w:t>272,68</w:t>
            </w:r>
          </w:p>
        </w:tc>
      </w:tr>
      <w:tr w:rsidR="0012718A" w:rsidRPr="005530FC" w14:paraId="5EC98FCB" w14:textId="77777777" w:rsidTr="0012718A">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806511" w14:textId="02DA9624" w:rsidR="0012718A" w:rsidRPr="0012718A" w:rsidRDefault="0012718A" w:rsidP="0012718A">
            <w:pPr>
              <w:spacing w:line="240" w:lineRule="auto"/>
              <w:jc w:val="center"/>
              <w:rPr>
                <w:color w:val="000000"/>
                <w:sz w:val="16"/>
                <w:szCs w:val="16"/>
              </w:rPr>
            </w:pPr>
            <w:r w:rsidRPr="0012718A">
              <w:rPr>
                <w:color w:val="000000"/>
                <w:sz w:val="16"/>
                <w:szCs w:val="16"/>
              </w:rPr>
              <w:t>Variación Promedio Anual 2008-2016</w:t>
            </w:r>
          </w:p>
        </w:tc>
        <w:tc>
          <w:tcPr>
            <w:tcW w:w="870" w:type="dxa"/>
            <w:tcBorders>
              <w:top w:val="single" w:sz="4" w:space="0" w:color="auto"/>
              <w:left w:val="nil"/>
              <w:bottom w:val="single" w:sz="4" w:space="0" w:color="auto"/>
              <w:right w:val="single" w:sz="4" w:space="0" w:color="auto"/>
            </w:tcBorders>
            <w:shd w:val="clear" w:color="auto" w:fill="auto"/>
            <w:noWrap/>
          </w:tcPr>
          <w:p w14:paraId="4CB1E63C" w14:textId="5317E731" w:rsidR="0012718A" w:rsidRPr="0012718A" w:rsidRDefault="0012718A" w:rsidP="0012718A">
            <w:pPr>
              <w:spacing w:line="240" w:lineRule="auto"/>
              <w:jc w:val="center"/>
              <w:rPr>
                <w:color w:val="000000"/>
                <w:sz w:val="16"/>
                <w:szCs w:val="16"/>
              </w:rPr>
            </w:pPr>
            <w:r w:rsidRPr="0012718A">
              <w:rPr>
                <w:color w:val="000000"/>
                <w:sz w:val="16"/>
                <w:szCs w:val="16"/>
              </w:rPr>
              <w:t>0,64%</w:t>
            </w:r>
          </w:p>
        </w:tc>
        <w:tc>
          <w:tcPr>
            <w:tcW w:w="940" w:type="dxa"/>
            <w:tcBorders>
              <w:top w:val="single" w:sz="4" w:space="0" w:color="auto"/>
              <w:left w:val="nil"/>
              <w:bottom w:val="single" w:sz="4" w:space="0" w:color="auto"/>
              <w:right w:val="single" w:sz="4" w:space="0" w:color="auto"/>
            </w:tcBorders>
            <w:shd w:val="clear" w:color="auto" w:fill="auto"/>
            <w:noWrap/>
          </w:tcPr>
          <w:p w14:paraId="5FDA7A51" w14:textId="570D222F" w:rsidR="0012718A" w:rsidRPr="0012718A" w:rsidRDefault="0012718A" w:rsidP="0012718A">
            <w:pPr>
              <w:spacing w:line="240" w:lineRule="auto"/>
              <w:jc w:val="center"/>
              <w:rPr>
                <w:color w:val="000000"/>
                <w:sz w:val="16"/>
                <w:szCs w:val="16"/>
              </w:rPr>
            </w:pPr>
            <w:r w:rsidRPr="0012718A">
              <w:rPr>
                <w:color w:val="000000"/>
                <w:sz w:val="16"/>
                <w:szCs w:val="16"/>
              </w:rPr>
              <w:t>-0,26%</w:t>
            </w:r>
          </w:p>
        </w:tc>
        <w:tc>
          <w:tcPr>
            <w:tcW w:w="992" w:type="dxa"/>
            <w:tcBorders>
              <w:top w:val="single" w:sz="4" w:space="0" w:color="auto"/>
              <w:left w:val="nil"/>
              <w:bottom w:val="single" w:sz="4" w:space="0" w:color="auto"/>
              <w:right w:val="single" w:sz="4" w:space="0" w:color="auto"/>
            </w:tcBorders>
            <w:shd w:val="clear" w:color="auto" w:fill="auto"/>
            <w:noWrap/>
          </w:tcPr>
          <w:p w14:paraId="5B934C31" w14:textId="2DE547AE" w:rsidR="0012718A" w:rsidRPr="0012718A" w:rsidRDefault="0012718A" w:rsidP="0012718A">
            <w:pPr>
              <w:spacing w:line="240" w:lineRule="auto"/>
              <w:jc w:val="center"/>
              <w:rPr>
                <w:color w:val="000000"/>
                <w:sz w:val="16"/>
                <w:szCs w:val="16"/>
              </w:rPr>
            </w:pPr>
            <w:r w:rsidRPr="0012718A">
              <w:rPr>
                <w:color w:val="000000"/>
                <w:sz w:val="16"/>
                <w:szCs w:val="16"/>
              </w:rPr>
              <w:t>-7,48%</w:t>
            </w:r>
          </w:p>
        </w:tc>
        <w:tc>
          <w:tcPr>
            <w:tcW w:w="992" w:type="dxa"/>
            <w:tcBorders>
              <w:top w:val="single" w:sz="4" w:space="0" w:color="auto"/>
              <w:left w:val="nil"/>
              <w:bottom w:val="single" w:sz="4" w:space="0" w:color="auto"/>
              <w:right w:val="single" w:sz="4" w:space="0" w:color="auto"/>
            </w:tcBorders>
            <w:shd w:val="clear" w:color="auto" w:fill="auto"/>
            <w:noWrap/>
          </w:tcPr>
          <w:p w14:paraId="3CDEDAAE" w14:textId="4FFBB98C" w:rsidR="0012718A" w:rsidRPr="0012718A" w:rsidRDefault="0012718A" w:rsidP="0012718A">
            <w:pPr>
              <w:spacing w:line="240" w:lineRule="auto"/>
              <w:jc w:val="center"/>
              <w:rPr>
                <w:color w:val="000000"/>
                <w:sz w:val="16"/>
                <w:szCs w:val="16"/>
              </w:rPr>
            </w:pPr>
            <w:r w:rsidRPr="0012718A">
              <w:rPr>
                <w:color w:val="000000"/>
                <w:sz w:val="16"/>
                <w:szCs w:val="16"/>
              </w:rPr>
              <w:t>1,97%</w:t>
            </w:r>
          </w:p>
        </w:tc>
        <w:tc>
          <w:tcPr>
            <w:tcW w:w="1154" w:type="dxa"/>
            <w:tcBorders>
              <w:top w:val="single" w:sz="4" w:space="0" w:color="auto"/>
              <w:left w:val="nil"/>
              <w:bottom w:val="single" w:sz="4" w:space="0" w:color="auto"/>
              <w:right w:val="single" w:sz="4" w:space="0" w:color="auto"/>
            </w:tcBorders>
            <w:shd w:val="clear" w:color="auto" w:fill="auto"/>
            <w:noWrap/>
          </w:tcPr>
          <w:p w14:paraId="4C7807BF" w14:textId="070A19D0" w:rsidR="0012718A" w:rsidRPr="0012718A" w:rsidRDefault="0012718A" w:rsidP="0012718A">
            <w:pPr>
              <w:spacing w:line="240" w:lineRule="auto"/>
              <w:jc w:val="center"/>
              <w:rPr>
                <w:color w:val="000000"/>
                <w:sz w:val="16"/>
                <w:szCs w:val="16"/>
              </w:rPr>
            </w:pPr>
            <w:r w:rsidRPr="0012718A">
              <w:rPr>
                <w:color w:val="000000"/>
                <w:sz w:val="16"/>
                <w:szCs w:val="16"/>
              </w:rPr>
              <w:t>0,10%</w:t>
            </w:r>
          </w:p>
        </w:tc>
        <w:tc>
          <w:tcPr>
            <w:tcW w:w="992" w:type="dxa"/>
            <w:tcBorders>
              <w:top w:val="single" w:sz="4" w:space="0" w:color="auto"/>
              <w:left w:val="nil"/>
              <w:bottom w:val="single" w:sz="4" w:space="0" w:color="auto"/>
              <w:right w:val="single" w:sz="4" w:space="0" w:color="auto"/>
            </w:tcBorders>
            <w:shd w:val="clear" w:color="auto" w:fill="auto"/>
            <w:noWrap/>
          </w:tcPr>
          <w:p w14:paraId="33CE0F9E" w14:textId="298CEDE5" w:rsidR="0012718A" w:rsidRPr="0012718A" w:rsidRDefault="0012718A" w:rsidP="0012718A">
            <w:pPr>
              <w:spacing w:line="240" w:lineRule="auto"/>
              <w:jc w:val="center"/>
              <w:rPr>
                <w:color w:val="000000"/>
                <w:sz w:val="16"/>
                <w:szCs w:val="16"/>
              </w:rPr>
            </w:pPr>
            <w:r w:rsidRPr="0012718A">
              <w:rPr>
                <w:color w:val="000000"/>
                <w:sz w:val="16"/>
                <w:szCs w:val="16"/>
              </w:rPr>
              <w:t>-0,20%</w:t>
            </w:r>
          </w:p>
        </w:tc>
        <w:tc>
          <w:tcPr>
            <w:tcW w:w="1134" w:type="dxa"/>
            <w:tcBorders>
              <w:top w:val="single" w:sz="4" w:space="0" w:color="auto"/>
              <w:left w:val="nil"/>
              <w:bottom w:val="single" w:sz="4" w:space="0" w:color="auto"/>
              <w:right w:val="single" w:sz="4" w:space="0" w:color="auto"/>
            </w:tcBorders>
            <w:shd w:val="clear" w:color="auto" w:fill="auto"/>
            <w:noWrap/>
          </w:tcPr>
          <w:p w14:paraId="0339E317" w14:textId="1E8F3FE9" w:rsidR="0012718A" w:rsidRPr="0012718A" w:rsidRDefault="0012718A" w:rsidP="0012718A">
            <w:pPr>
              <w:spacing w:line="240" w:lineRule="auto"/>
              <w:jc w:val="center"/>
              <w:rPr>
                <w:color w:val="000000"/>
                <w:sz w:val="16"/>
                <w:szCs w:val="16"/>
              </w:rPr>
            </w:pPr>
            <w:r w:rsidRPr="0012718A">
              <w:rPr>
                <w:color w:val="000000"/>
                <w:sz w:val="16"/>
                <w:szCs w:val="16"/>
              </w:rPr>
              <w:t>6,90%</w:t>
            </w:r>
          </w:p>
        </w:tc>
      </w:tr>
    </w:tbl>
    <w:p w14:paraId="0E8672D1" w14:textId="1CF19D92" w:rsidR="005530FC" w:rsidRDefault="005530FC" w:rsidP="005530FC">
      <w:pPr>
        <w:jc w:val="center"/>
        <w:rPr>
          <w:sz w:val="16"/>
          <w:szCs w:val="16"/>
        </w:rPr>
      </w:pPr>
      <w:r w:rsidRPr="005530FC">
        <w:rPr>
          <w:sz w:val="16"/>
          <w:szCs w:val="16"/>
        </w:rPr>
        <w:t xml:space="preserve">Fuente: </w:t>
      </w:r>
      <w:r w:rsidR="00B80F21">
        <w:rPr>
          <w:sz w:val="16"/>
          <w:szCs w:val="16"/>
        </w:rPr>
        <w:t xml:space="preserve">Elaboración propia a partir de </w:t>
      </w:r>
      <w:r>
        <w:rPr>
          <w:sz w:val="16"/>
          <w:szCs w:val="16"/>
        </w:rPr>
        <w:t xml:space="preserve">Indicadores de precios, paginas: </w:t>
      </w:r>
      <w:r w:rsidRPr="005530FC">
        <w:rPr>
          <w:sz w:val="16"/>
          <w:szCs w:val="16"/>
        </w:rPr>
        <w:t>ABC e INE</w:t>
      </w:r>
    </w:p>
    <w:p w14:paraId="4EE92BCE" w14:textId="74471700" w:rsidR="00343B97" w:rsidRDefault="00343B97" w:rsidP="00343B97">
      <w:pPr>
        <w:rPr>
          <w:sz w:val="16"/>
          <w:szCs w:val="16"/>
        </w:rPr>
      </w:pPr>
    </w:p>
    <w:p w14:paraId="41BF85B6" w14:textId="77777777" w:rsidR="00B80F21" w:rsidRDefault="00B80F21" w:rsidP="00343B97"/>
    <w:p w14:paraId="0F080D19" w14:textId="3DAE8F0D" w:rsidR="00B80F21" w:rsidRDefault="00B80F21" w:rsidP="00343B97">
      <w:r>
        <w:t xml:space="preserve">Se reporta en la </w:t>
      </w:r>
      <w:r w:rsidR="00161B2E">
        <w:t>última</w:t>
      </w:r>
      <w:r>
        <w:t xml:space="preserve"> fila de la tabla la variación promedio anual 2008-2016</w:t>
      </w:r>
      <w:r w:rsidR="006A615D">
        <w:t>, destacándose</w:t>
      </w:r>
      <w:r w:rsidR="0080505A">
        <w:t>: i)</w:t>
      </w:r>
      <w:r w:rsidR="006A615D">
        <w:t xml:space="preserve"> </w:t>
      </w:r>
      <w:r w:rsidR="0080505A">
        <w:t>la variación negativa</w:t>
      </w:r>
      <w:r w:rsidR="006A615D">
        <w:t xml:space="preserve"> del acero (fierro) de -7,48%</w:t>
      </w:r>
      <w:r w:rsidR="0080505A">
        <w:t xml:space="preserve"> anual</w:t>
      </w:r>
      <w:r w:rsidR="006A615D">
        <w:t xml:space="preserve"> producto</w:t>
      </w:r>
      <w:r w:rsidR="0080505A">
        <w:t xml:space="preserve"> de la influencia de la oferta de mercado chino; y ii) la variación positiva del costo de mano de obra</w:t>
      </w:r>
      <w:r w:rsidR="006A615D">
        <w:t xml:space="preserve"> </w:t>
      </w:r>
      <w:r w:rsidR="0080505A">
        <w:t>6,90% anual, consecuencia de la política de gobierno en este sentido.</w:t>
      </w:r>
    </w:p>
    <w:p w14:paraId="27B3CE99" w14:textId="77777777" w:rsidR="00161B2E" w:rsidRDefault="00161B2E" w:rsidP="00343B97"/>
    <w:p w14:paraId="350024F8" w14:textId="77777777" w:rsidR="0080505A" w:rsidRDefault="0080505A">
      <w:r>
        <w:br w:type="page"/>
      </w:r>
    </w:p>
    <w:p w14:paraId="664A4F36" w14:textId="26CD81FA" w:rsidR="00343B97" w:rsidRDefault="00343B97" w:rsidP="00343B97">
      <w:r>
        <w:lastRenderedPageBreak/>
        <w:t>Dichos índices al normalizarse (base 2008 = 100) presentan</w:t>
      </w:r>
      <w:r w:rsidR="008F5EAA">
        <w:t xml:space="preserve"> el siguiente comportamiento:</w:t>
      </w:r>
    </w:p>
    <w:p w14:paraId="1BBC1986" w14:textId="7843E030" w:rsidR="008F5EAA" w:rsidRDefault="008F5EAA" w:rsidP="00343B97"/>
    <w:p w14:paraId="5EFC910A" w14:textId="2355270A" w:rsidR="008F5EAA" w:rsidRDefault="00B80F21" w:rsidP="00B80F21">
      <w:pPr>
        <w:pStyle w:val="Caption"/>
        <w:jc w:val="center"/>
      </w:pPr>
      <w:bookmarkStart w:id="84" w:name="_Toc484602638"/>
      <w:r>
        <w:t xml:space="preserve">Ilustración </w:t>
      </w:r>
      <w:r>
        <w:fldChar w:fldCharType="begin"/>
      </w:r>
      <w:r>
        <w:instrText xml:space="preserve"> SEQ Ilustración \* ARABIC </w:instrText>
      </w:r>
      <w:r>
        <w:fldChar w:fldCharType="separate"/>
      </w:r>
      <w:r w:rsidR="00011CB8">
        <w:rPr>
          <w:noProof/>
        </w:rPr>
        <w:t>6</w:t>
      </w:r>
      <w:r>
        <w:fldChar w:fldCharType="end"/>
      </w:r>
      <w:r>
        <w:t>. Índices de Precios Normalizados (Base 2008=100)</w:t>
      </w:r>
      <w:bookmarkEnd w:id="84"/>
    </w:p>
    <w:p w14:paraId="5D796BD7" w14:textId="2F2D9239" w:rsidR="00B80F21" w:rsidRPr="00B80F21" w:rsidRDefault="00B80F21" w:rsidP="00671B66">
      <w:pPr>
        <w:jc w:val="center"/>
      </w:pPr>
      <w:r w:rsidRPr="00B80F21">
        <w:rPr>
          <w:noProof/>
        </w:rPr>
        <w:drawing>
          <wp:inline distT="0" distB="0" distL="0" distR="0" wp14:anchorId="4F711875" wp14:editId="34AC54EE">
            <wp:extent cx="3709833" cy="2080512"/>
            <wp:effectExtent l="0" t="0" r="508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26227" cy="2089706"/>
                    </a:xfrm>
                    <a:prstGeom prst="rect">
                      <a:avLst/>
                    </a:prstGeom>
                    <a:noFill/>
                    <a:ln>
                      <a:noFill/>
                    </a:ln>
                  </pic:spPr>
                </pic:pic>
              </a:graphicData>
            </a:graphic>
          </wp:inline>
        </w:drawing>
      </w:r>
    </w:p>
    <w:p w14:paraId="0925403F" w14:textId="77777777" w:rsidR="00B80F21" w:rsidRDefault="00B80F21" w:rsidP="00B80F21">
      <w:pPr>
        <w:jc w:val="center"/>
        <w:rPr>
          <w:sz w:val="16"/>
          <w:szCs w:val="16"/>
        </w:rPr>
      </w:pPr>
      <w:r w:rsidRPr="005530FC">
        <w:rPr>
          <w:sz w:val="16"/>
          <w:szCs w:val="16"/>
        </w:rPr>
        <w:t xml:space="preserve">Fuente: </w:t>
      </w:r>
      <w:r>
        <w:rPr>
          <w:sz w:val="16"/>
          <w:szCs w:val="16"/>
        </w:rPr>
        <w:t xml:space="preserve">Elaboración propia a partir de Indicadores de precios, paginas: </w:t>
      </w:r>
      <w:r w:rsidRPr="005530FC">
        <w:rPr>
          <w:sz w:val="16"/>
          <w:szCs w:val="16"/>
        </w:rPr>
        <w:t>ABC e INE</w:t>
      </w:r>
    </w:p>
    <w:p w14:paraId="07638F46" w14:textId="1B6085AC" w:rsidR="00B80F21" w:rsidRDefault="00B80F21" w:rsidP="00B80F21"/>
    <w:p w14:paraId="60F4D171" w14:textId="5B31C60A" w:rsidR="00671B66" w:rsidRDefault="00671B66" w:rsidP="00B80F21">
      <w:r>
        <w:t>Reflejando el índice general de precios de la construcción la media del comportamiento de los demás insumos, con una variación promedio anual entre 2008 y 2016 de 1,97%.</w:t>
      </w:r>
    </w:p>
    <w:p w14:paraId="1F875111" w14:textId="7BED40A8" w:rsidR="00671B66" w:rsidRDefault="00671B66" w:rsidP="00B80F21"/>
    <w:p w14:paraId="57D6770C" w14:textId="044E6F59" w:rsidR="00DA0F10" w:rsidRDefault="00DA0F10" w:rsidP="00B80F21">
      <w:r>
        <w:t xml:space="preserve">Empleando dichas series se corrió un modelo ARIMA para estimar la variación promedio anual en el corto y mediano plazo (2017 a 2021), </w:t>
      </w:r>
      <w:r w:rsidR="00FE46F1">
        <w:t xml:space="preserve">mediante </w:t>
      </w:r>
      <w:r>
        <w:t>el modelo ARIMA</w:t>
      </w:r>
      <w:r w:rsidR="00715A46">
        <w:t xml:space="preserve"> </w:t>
      </w:r>
      <w:r w:rsidR="00FE46F1">
        <w:t>se llegó a la proyección del valor del índice</w:t>
      </w:r>
      <w:r w:rsidR="00426FBB">
        <w:t xml:space="preserve"> entre 2017 y 2021, y se obtienen rangos de nivel de confianza, del siguiente tipo:</w:t>
      </w:r>
    </w:p>
    <w:p w14:paraId="501253E4" w14:textId="77777777" w:rsidR="00DA5CD9" w:rsidRDefault="00DA5CD9" w:rsidP="00B80F21"/>
    <w:p w14:paraId="032DAF14" w14:textId="3017F330" w:rsidR="00DA5CD9" w:rsidRDefault="00DA5CD9" w:rsidP="00DA5CD9">
      <w:pPr>
        <w:pStyle w:val="Caption"/>
        <w:jc w:val="center"/>
      </w:pPr>
      <w:bookmarkStart w:id="85" w:name="_Toc484602639"/>
      <w:r>
        <w:t xml:space="preserve">Ilustración </w:t>
      </w:r>
      <w:r>
        <w:fldChar w:fldCharType="begin"/>
      </w:r>
      <w:r>
        <w:instrText xml:space="preserve"> SEQ Ilustración \* ARABIC </w:instrText>
      </w:r>
      <w:r>
        <w:fldChar w:fldCharType="separate"/>
      </w:r>
      <w:r w:rsidR="00011CB8">
        <w:rPr>
          <w:noProof/>
        </w:rPr>
        <w:t>7</w:t>
      </w:r>
      <w:r>
        <w:fldChar w:fldCharType="end"/>
      </w:r>
      <w:r>
        <w:t>. Índice General de Costos - Proyección ARIMA</w:t>
      </w:r>
      <w:bookmarkEnd w:id="85"/>
      <w:r>
        <w:t xml:space="preserve"> </w:t>
      </w:r>
    </w:p>
    <w:p w14:paraId="609C1E58" w14:textId="54454220" w:rsidR="00426FBB" w:rsidRDefault="00DA5CD9" w:rsidP="00DA5CD9">
      <w:pPr>
        <w:jc w:val="center"/>
      </w:pPr>
      <w:r w:rsidRPr="00F736C8">
        <w:rPr>
          <w:noProof/>
        </w:rPr>
        <w:drawing>
          <wp:inline distT="0" distB="0" distL="0" distR="0" wp14:anchorId="000696A0" wp14:editId="17CD392A">
            <wp:extent cx="3912235" cy="2360642"/>
            <wp:effectExtent l="0" t="0" r="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20539" cy="2365653"/>
                    </a:xfrm>
                    <a:prstGeom prst="rect">
                      <a:avLst/>
                    </a:prstGeom>
                    <a:noFill/>
                    <a:ln>
                      <a:noFill/>
                    </a:ln>
                  </pic:spPr>
                </pic:pic>
              </a:graphicData>
            </a:graphic>
          </wp:inline>
        </w:drawing>
      </w:r>
    </w:p>
    <w:p w14:paraId="08239B03" w14:textId="7A18DFF2" w:rsidR="00426FBB" w:rsidRDefault="00DA5CD9" w:rsidP="00DA5CD9">
      <w:pPr>
        <w:jc w:val="center"/>
      </w:pPr>
      <w:r w:rsidRPr="005530FC">
        <w:rPr>
          <w:sz w:val="16"/>
          <w:szCs w:val="16"/>
        </w:rPr>
        <w:t xml:space="preserve">Fuente: </w:t>
      </w:r>
      <w:r>
        <w:rPr>
          <w:sz w:val="16"/>
          <w:szCs w:val="16"/>
        </w:rPr>
        <w:t>Elaboración propia</w:t>
      </w:r>
    </w:p>
    <w:p w14:paraId="14F0B5A6" w14:textId="5334DE8F" w:rsidR="00671B66" w:rsidRDefault="00671B66" w:rsidP="00B80F21"/>
    <w:p w14:paraId="72F90766" w14:textId="77777777" w:rsidR="004A1D99" w:rsidRDefault="004A1D99" w:rsidP="00E23262">
      <w:r>
        <w:lastRenderedPageBreak/>
        <w:t>Dichos índices proyectados se emplean para establecer las variaciones de costos de la siguiente forma:</w:t>
      </w:r>
    </w:p>
    <w:p w14:paraId="47492E71" w14:textId="33DC719F" w:rsidR="00E23262" w:rsidRPr="00E23262" w:rsidRDefault="00E23262" w:rsidP="004A1D99">
      <w:pPr>
        <w:pStyle w:val="ListParagraph"/>
        <w:numPr>
          <w:ilvl w:val="0"/>
          <w:numId w:val="45"/>
        </w:numPr>
      </w:pPr>
      <w:r w:rsidRPr="00E23262">
        <w:t>Se asume una distrib</w:t>
      </w:r>
      <w:r w:rsidR="00FA4F91">
        <w:t>ución de probabilidad normal.</w:t>
      </w:r>
    </w:p>
    <w:p w14:paraId="5D876E24" w14:textId="4AC3DF2E" w:rsidR="00E23262" w:rsidRPr="00E23262" w:rsidRDefault="00FA4F91" w:rsidP="004A1D99">
      <w:pPr>
        <w:pStyle w:val="ListParagraph"/>
        <w:numPr>
          <w:ilvl w:val="0"/>
          <w:numId w:val="45"/>
        </w:numPr>
      </w:pPr>
      <w:r>
        <w:t>Como m</w:t>
      </w:r>
      <w:r w:rsidR="00E23262" w:rsidRPr="00E23262">
        <w:t>edia</w:t>
      </w:r>
      <w:r>
        <w:t xml:space="preserve"> de la variación</w:t>
      </w:r>
      <w:r w:rsidR="007A391F">
        <w:t>,</w:t>
      </w:r>
      <w:r>
        <w:t xml:space="preserve"> se toma el valor promedio </w:t>
      </w:r>
      <w:r w:rsidR="007A391F">
        <w:t xml:space="preserve">de las variaciones </w:t>
      </w:r>
      <w:r>
        <w:t>de las proyecciones</w:t>
      </w:r>
      <w:r w:rsidR="007A391F">
        <w:t xml:space="preserve"> del índice entre</w:t>
      </w:r>
      <w:r>
        <w:t xml:space="preserve"> 2017 a 2021.</w:t>
      </w:r>
      <w:r w:rsidR="00E23262" w:rsidRPr="00E23262">
        <w:t xml:space="preserve"> </w:t>
      </w:r>
    </w:p>
    <w:p w14:paraId="2F994F5E" w14:textId="41425760" w:rsidR="00E23262" w:rsidRPr="00E23262" w:rsidRDefault="00FA4F91" w:rsidP="004A1D99">
      <w:pPr>
        <w:pStyle w:val="ListParagraph"/>
        <w:numPr>
          <w:ilvl w:val="0"/>
          <w:numId w:val="45"/>
        </w:numPr>
      </w:pPr>
      <w:r>
        <w:t xml:space="preserve">La desviación estándar </w:t>
      </w:r>
      <w:r w:rsidR="00A723A3">
        <w:t xml:space="preserve">se </w:t>
      </w:r>
      <w:r w:rsidR="00A723A3" w:rsidRPr="00E23262">
        <w:t>calcula</w:t>
      </w:r>
      <w:r w:rsidR="00A723A3">
        <w:t xml:space="preserve"> como el</w:t>
      </w:r>
      <w:r w:rsidR="00E23262" w:rsidRPr="00E23262">
        <w:t xml:space="preserve"> promedio de la diferencia entre el valor medio</w:t>
      </w:r>
      <w:r w:rsidR="00A723A3">
        <w:t xml:space="preserve"> de la variación de los valores promedio del indice</w:t>
      </w:r>
      <w:r w:rsidR="00E23262" w:rsidRPr="00E23262">
        <w:t xml:space="preserve"> y los límites de rango entre 15% y 85% de probabilidad del modelo ARIMA</w:t>
      </w:r>
    </w:p>
    <w:p w14:paraId="27869F65" w14:textId="299B4102" w:rsidR="00E23262" w:rsidRDefault="00AE1976" w:rsidP="004A1D99">
      <w:pPr>
        <w:pStyle w:val="ListParagraph"/>
        <w:numPr>
          <w:ilvl w:val="0"/>
          <w:numId w:val="45"/>
        </w:numPr>
      </w:pPr>
      <w:r>
        <w:t>L</w:t>
      </w:r>
      <w:r w:rsidR="00A723A3">
        <w:t>a curva de probabilidad se acota e</w:t>
      </w:r>
      <w:r w:rsidR="00E23262" w:rsidRPr="00E23262">
        <w:t>ntre los límites de rango entre 10% y 90% de probabilidad del modelo ARIMA</w:t>
      </w:r>
    </w:p>
    <w:p w14:paraId="4419BCD2" w14:textId="09731D9F" w:rsidR="00AE1976" w:rsidRPr="00E23262" w:rsidRDefault="00AE1976" w:rsidP="004A1D99">
      <w:pPr>
        <w:pStyle w:val="ListParagraph"/>
        <w:numPr>
          <w:ilvl w:val="0"/>
          <w:numId w:val="45"/>
        </w:numPr>
      </w:pPr>
      <w:r>
        <w:t>Finalmente se establecen correlaciones entre la proyección en l momento i e i+1, y correlación con el índice general, lo que vincula las proyecciones de todos los insumos según el comportamiento histórico.</w:t>
      </w:r>
    </w:p>
    <w:p w14:paraId="2E4AF821" w14:textId="7C369D05" w:rsidR="00E23262" w:rsidRDefault="00E23262" w:rsidP="00B80F21"/>
    <w:p w14:paraId="5632BEE7" w14:textId="48533B5B" w:rsidR="00A723A3" w:rsidRDefault="00A723A3" w:rsidP="00B80F21">
      <w:r>
        <w:t>A continuación, se presentan los resultados obtenidos para los índices de costos analizados:</w:t>
      </w:r>
    </w:p>
    <w:p w14:paraId="5CCC142C" w14:textId="00DC58BF" w:rsidR="00A723A3" w:rsidRDefault="00A723A3" w:rsidP="00B80F21"/>
    <w:p w14:paraId="5ECB6155" w14:textId="2044524F" w:rsidR="00AE1976" w:rsidRDefault="00AE1976" w:rsidP="00AE1976">
      <w:pPr>
        <w:pStyle w:val="Caption"/>
        <w:jc w:val="center"/>
      </w:pPr>
      <w:bookmarkStart w:id="86" w:name="_Toc484602632"/>
      <w:r>
        <w:t xml:space="preserve">Tabla </w:t>
      </w:r>
      <w:r>
        <w:fldChar w:fldCharType="begin"/>
      </w:r>
      <w:r>
        <w:instrText xml:space="preserve"> SEQ Tabla \* ARABIC </w:instrText>
      </w:r>
      <w:r>
        <w:fldChar w:fldCharType="separate"/>
      </w:r>
      <w:r w:rsidR="00011CB8">
        <w:rPr>
          <w:noProof/>
        </w:rPr>
        <w:t>12</w:t>
      </w:r>
      <w:r>
        <w:fldChar w:fldCharType="end"/>
      </w:r>
      <w:r>
        <w:t>. Caracterización de la Variación Anual de Precios de Mercado de Insumos Básicos</w:t>
      </w:r>
      <w:bookmarkEnd w:id="86"/>
    </w:p>
    <w:tbl>
      <w:tblPr>
        <w:tblW w:w="7852" w:type="dxa"/>
        <w:tblInd w:w="562" w:type="dxa"/>
        <w:tblCellMar>
          <w:left w:w="70" w:type="dxa"/>
          <w:right w:w="70" w:type="dxa"/>
        </w:tblCellMar>
        <w:tblLook w:val="04A0" w:firstRow="1" w:lastRow="0" w:firstColumn="1" w:lastColumn="0" w:noHBand="0" w:noVBand="1"/>
      </w:tblPr>
      <w:tblGrid>
        <w:gridCol w:w="2547"/>
        <w:gridCol w:w="811"/>
        <w:gridCol w:w="991"/>
        <w:gridCol w:w="852"/>
        <w:gridCol w:w="851"/>
        <w:gridCol w:w="850"/>
        <w:gridCol w:w="950"/>
      </w:tblGrid>
      <w:tr w:rsidR="00AE1976" w:rsidRPr="00DB2862" w14:paraId="1DC69217" w14:textId="77777777" w:rsidTr="00844C7D">
        <w:trPr>
          <w:trHeight w:val="600"/>
        </w:trPr>
        <w:tc>
          <w:tcPr>
            <w:tcW w:w="2547" w:type="dxa"/>
            <w:tcBorders>
              <w:top w:val="single" w:sz="4" w:space="0" w:color="auto"/>
              <w:left w:val="single" w:sz="4" w:space="0" w:color="auto"/>
              <w:bottom w:val="single" w:sz="4" w:space="0" w:color="auto"/>
              <w:right w:val="single" w:sz="4" w:space="0" w:color="auto"/>
            </w:tcBorders>
            <w:shd w:val="clear" w:color="000000" w:fill="215967"/>
            <w:vAlign w:val="center"/>
            <w:hideMark/>
          </w:tcPr>
          <w:p w14:paraId="3B61D358" w14:textId="77777777" w:rsidR="00AE1976" w:rsidRPr="00945BC1" w:rsidRDefault="00AE1976" w:rsidP="0086555E">
            <w:pPr>
              <w:spacing w:line="240" w:lineRule="auto"/>
              <w:jc w:val="center"/>
              <w:rPr>
                <w:b/>
                <w:bCs/>
                <w:color w:val="FFFFFF"/>
                <w:sz w:val="16"/>
                <w:szCs w:val="16"/>
              </w:rPr>
            </w:pPr>
            <w:r w:rsidRPr="00945BC1">
              <w:rPr>
                <w:b/>
                <w:bCs/>
                <w:color w:val="FFFFFF"/>
                <w:sz w:val="16"/>
                <w:szCs w:val="16"/>
              </w:rPr>
              <w:t>MATERIAL</w:t>
            </w:r>
          </w:p>
        </w:tc>
        <w:tc>
          <w:tcPr>
            <w:tcW w:w="811" w:type="dxa"/>
            <w:tcBorders>
              <w:top w:val="single" w:sz="4" w:space="0" w:color="auto"/>
              <w:left w:val="nil"/>
              <w:bottom w:val="single" w:sz="4" w:space="0" w:color="auto"/>
              <w:right w:val="single" w:sz="4" w:space="0" w:color="auto"/>
            </w:tcBorders>
            <w:shd w:val="clear" w:color="000000" w:fill="215967"/>
            <w:noWrap/>
            <w:vAlign w:val="center"/>
            <w:hideMark/>
          </w:tcPr>
          <w:p w14:paraId="7CA88D2D" w14:textId="77777777" w:rsidR="00AE1976" w:rsidRPr="00945BC1" w:rsidRDefault="00AE1976" w:rsidP="0086555E">
            <w:pPr>
              <w:spacing w:line="240" w:lineRule="auto"/>
              <w:jc w:val="center"/>
              <w:rPr>
                <w:b/>
                <w:bCs/>
                <w:color w:val="FFFFFF"/>
                <w:sz w:val="16"/>
                <w:szCs w:val="16"/>
              </w:rPr>
            </w:pPr>
            <w:r w:rsidRPr="00945BC1">
              <w:rPr>
                <w:b/>
                <w:bCs/>
                <w:color w:val="FFFFFF"/>
                <w:sz w:val="16"/>
                <w:szCs w:val="16"/>
              </w:rPr>
              <w:t>MEDIA</w:t>
            </w:r>
          </w:p>
        </w:tc>
        <w:tc>
          <w:tcPr>
            <w:tcW w:w="991" w:type="dxa"/>
            <w:tcBorders>
              <w:top w:val="single" w:sz="4" w:space="0" w:color="auto"/>
              <w:left w:val="nil"/>
              <w:bottom w:val="single" w:sz="4" w:space="0" w:color="auto"/>
              <w:right w:val="single" w:sz="4" w:space="0" w:color="auto"/>
            </w:tcBorders>
            <w:shd w:val="clear" w:color="000000" w:fill="215967"/>
            <w:noWrap/>
            <w:vAlign w:val="center"/>
            <w:hideMark/>
          </w:tcPr>
          <w:p w14:paraId="693CFB12" w14:textId="77777777" w:rsidR="00AE1976" w:rsidRPr="00945BC1" w:rsidRDefault="00AE1976" w:rsidP="0086555E">
            <w:pPr>
              <w:spacing w:line="240" w:lineRule="auto"/>
              <w:jc w:val="center"/>
              <w:rPr>
                <w:b/>
                <w:bCs/>
                <w:color w:val="FFFFFF"/>
                <w:sz w:val="16"/>
                <w:szCs w:val="16"/>
              </w:rPr>
            </w:pPr>
            <w:r w:rsidRPr="00945BC1">
              <w:rPr>
                <w:b/>
                <w:bCs/>
                <w:color w:val="FFFFFF"/>
                <w:sz w:val="16"/>
                <w:szCs w:val="16"/>
              </w:rPr>
              <w:t>DESVSTD</w:t>
            </w:r>
          </w:p>
        </w:tc>
        <w:tc>
          <w:tcPr>
            <w:tcW w:w="852" w:type="dxa"/>
            <w:tcBorders>
              <w:top w:val="single" w:sz="4" w:space="0" w:color="auto"/>
              <w:left w:val="nil"/>
              <w:bottom w:val="single" w:sz="4" w:space="0" w:color="auto"/>
              <w:right w:val="single" w:sz="4" w:space="0" w:color="auto"/>
            </w:tcBorders>
            <w:shd w:val="clear" w:color="000000" w:fill="215967"/>
            <w:noWrap/>
            <w:vAlign w:val="center"/>
            <w:hideMark/>
          </w:tcPr>
          <w:p w14:paraId="6378C7F7" w14:textId="77777777" w:rsidR="00AE1976" w:rsidRPr="00945BC1" w:rsidRDefault="00AE1976" w:rsidP="0086555E">
            <w:pPr>
              <w:spacing w:line="240" w:lineRule="auto"/>
              <w:jc w:val="center"/>
              <w:rPr>
                <w:b/>
                <w:bCs/>
                <w:color w:val="FFFFFF"/>
                <w:sz w:val="16"/>
                <w:szCs w:val="16"/>
              </w:rPr>
            </w:pPr>
            <w:r w:rsidRPr="00945BC1">
              <w:rPr>
                <w:b/>
                <w:bCs/>
                <w:color w:val="FFFFFF"/>
                <w:sz w:val="16"/>
                <w:szCs w:val="16"/>
              </w:rPr>
              <w:t>MAX</w:t>
            </w:r>
          </w:p>
        </w:tc>
        <w:tc>
          <w:tcPr>
            <w:tcW w:w="851" w:type="dxa"/>
            <w:tcBorders>
              <w:top w:val="single" w:sz="4" w:space="0" w:color="auto"/>
              <w:left w:val="nil"/>
              <w:bottom w:val="single" w:sz="4" w:space="0" w:color="auto"/>
              <w:right w:val="single" w:sz="4" w:space="0" w:color="auto"/>
            </w:tcBorders>
            <w:shd w:val="clear" w:color="000000" w:fill="215967"/>
            <w:noWrap/>
            <w:vAlign w:val="center"/>
            <w:hideMark/>
          </w:tcPr>
          <w:p w14:paraId="2B9C342F" w14:textId="77777777" w:rsidR="00AE1976" w:rsidRPr="00945BC1" w:rsidRDefault="00AE1976" w:rsidP="0086555E">
            <w:pPr>
              <w:spacing w:line="240" w:lineRule="auto"/>
              <w:jc w:val="center"/>
              <w:rPr>
                <w:b/>
                <w:bCs/>
                <w:color w:val="FFFFFF"/>
                <w:sz w:val="16"/>
                <w:szCs w:val="16"/>
              </w:rPr>
            </w:pPr>
            <w:r w:rsidRPr="00945BC1">
              <w:rPr>
                <w:b/>
                <w:bCs/>
                <w:color w:val="FFFFFF"/>
                <w:sz w:val="16"/>
                <w:szCs w:val="16"/>
              </w:rPr>
              <w:t>MIN</w:t>
            </w:r>
          </w:p>
        </w:tc>
        <w:tc>
          <w:tcPr>
            <w:tcW w:w="850" w:type="dxa"/>
            <w:tcBorders>
              <w:top w:val="single" w:sz="4" w:space="0" w:color="auto"/>
              <w:left w:val="nil"/>
              <w:bottom w:val="single" w:sz="4" w:space="0" w:color="auto"/>
              <w:right w:val="single" w:sz="4" w:space="0" w:color="auto"/>
            </w:tcBorders>
            <w:shd w:val="clear" w:color="000000" w:fill="215967"/>
            <w:noWrap/>
            <w:vAlign w:val="center"/>
            <w:hideMark/>
          </w:tcPr>
          <w:p w14:paraId="228AC6AB" w14:textId="77777777" w:rsidR="00AE1976" w:rsidRPr="00945BC1" w:rsidRDefault="00AE1976" w:rsidP="0086555E">
            <w:pPr>
              <w:spacing w:line="240" w:lineRule="auto"/>
              <w:jc w:val="center"/>
              <w:rPr>
                <w:b/>
                <w:bCs/>
                <w:color w:val="FFFFFF"/>
                <w:sz w:val="16"/>
                <w:szCs w:val="16"/>
              </w:rPr>
            </w:pPr>
            <w:r w:rsidRPr="00945BC1">
              <w:rPr>
                <w:b/>
                <w:bCs/>
                <w:color w:val="FFFFFF"/>
                <w:sz w:val="16"/>
                <w:szCs w:val="16"/>
              </w:rPr>
              <w:t>COEF CORR I+1</w:t>
            </w:r>
          </w:p>
        </w:tc>
        <w:tc>
          <w:tcPr>
            <w:tcW w:w="950" w:type="dxa"/>
            <w:tcBorders>
              <w:top w:val="single" w:sz="4" w:space="0" w:color="auto"/>
              <w:left w:val="nil"/>
              <w:bottom w:val="single" w:sz="4" w:space="0" w:color="auto"/>
              <w:right w:val="single" w:sz="4" w:space="0" w:color="auto"/>
            </w:tcBorders>
            <w:shd w:val="clear" w:color="000000" w:fill="215967"/>
            <w:noWrap/>
            <w:vAlign w:val="center"/>
            <w:hideMark/>
          </w:tcPr>
          <w:p w14:paraId="40F44E8F" w14:textId="77777777" w:rsidR="00AE1976" w:rsidRPr="00945BC1" w:rsidRDefault="00AE1976" w:rsidP="0086555E">
            <w:pPr>
              <w:spacing w:line="240" w:lineRule="auto"/>
              <w:jc w:val="center"/>
              <w:rPr>
                <w:b/>
                <w:bCs/>
                <w:color w:val="FFFFFF"/>
                <w:sz w:val="16"/>
                <w:szCs w:val="16"/>
              </w:rPr>
            </w:pPr>
            <w:r w:rsidRPr="00945BC1">
              <w:rPr>
                <w:b/>
                <w:bCs/>
                <w:color w:val="FFFFFF"/>
                <w:sz w:val="16"/>
                <w:szCs w:val="16"/>
              </w:rPr>
              <w:t>COEF</w:t>
            </w:r>
          </w:p>
          <w:p w14:paraId="7776A5E1" w14:textId="77777777" w:rsidR="00AE1976" w:rsidRPr="00945BC1" w:rsidRDefault="00AE1976" w:rsidP="0086555E">
            <w:pPr>
              <w:spacing w:line="240" w:lineRule="auto"/>
              <w:jc w:val="center"/>
              <w:rPr>
                <w:b/>
                <w:bCs/>
                <w:color w:val="FFFFFF"/>
                <w:sz w:val="16"/>
                <w:szCs w:val="16"/>
              </w:rPr>
            </w:pPr>
            <w:r w:rsidRPr="00945BC1">
              <w:rPr>
                <w:b/>
                <w:bCs/>
                <w:color w:val="FFFFFF"/>
                <w:sz w:val="16"/>
                <w:szCs w:val="16"/>
              </w:rPr>
              <w:t>CORRLAC GRAL</w:t>
            </w:r>
          </w:p>
        </w:tc>
      </w:tr>
      <w:tr w:rsidR="00AE1976" w:rsidRPr="00DB2862" w14:paraId="4F1DE6C3" w14:textId="77777777" w:rsidTr="00844C7D">
        <w:trPr>
          <w:trHeight w:val="45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F3ED1" w14:textId="77777777" w:rsidR="00AE1976" w:rsidRPr="00945BC1" w:rsidRDefault="00AE1976" w:rsidP="0086555E">
            <w:pPr>
              <w:spacing w:line="240" w:lineRule="auto"/>
              <w:jc w:val="left"/>
              <w:rPr>
                <w:color w:val="000000" w:themeColor="text1"/>
                <w:sz w:val="16"/>
                <w:szCs w:val="16"/>
              </w:rPr>
            </w:pPr>
            <w:r w:rsidRPr="00945BC1">
              <w:rPr>
                <w:color w:val="000000" w:themeColor="text1"/>
                <w:sz w:val="16"/>
                <w:szCs w:val="16"/>
              </w:rPr>
              <w:t>Cemento asfaltico con polímero</w:t>
            </w:r>
          </w:p>
          <w:p w14:paraId="4079B630" w14:textId="77777777" w:rsidR="00AE1976" w:rsidRPr="00945BC1" w:rsidRDefault="00AE1976" w:rsidP="0086555E">
            <w:pPr>
              <w:spacing w:line="240" w:lineRule="auto"/>
              <w:jc w:val="left"/>
              <w:rPr>
                <w:color w:val="000000" w:themeColor="text1"/>
                <w:sz w:val="16"/>
                <w:szCs w:val="16"/>
              </w:rPr>
            </w:pPr>
            <w:r w:rsidRPr="00945BC1">
              <w:rPr>
                <w:color w:val="000000" w:themeColor="text1"/>
                <w:sz w:val="16"/>
                <w:szCs w:val="16"/>
              </w:rPr>
              <w:t>(ABC)</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14:paraId="2D153B51" w14:textId="77777777" w:rsidR="00AE1976" w:rsidRPr="00945BC1" w:rsidRDefault="00AE1976" w:rsidP="0086555E">
            <w:pPr>
              <w:spacing w:line="240" w:lineRule="auto"/>
              <w:jc w:val="center"/>
              <w:rPr>
                <w:color w:val="000000" w:themeColor="text1"/>
                <w:sz w:val="16"/>
                <w:szCs w:val="16"/>
              </w:rPr>
            </w:pPr>
            <w:r w:rsidRPr="00945BC1">
              <w:rPr>
                <w:color w:val="000000" w:themeColor="text1"/>
                <w:sz w:val="16"/>
                <w:szCs w:val="16"/>
              </w:rPr>
              <w:t>-0,31%</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22915065" w14:textId="77777777" w:rsidR="00AE1976" w:rsidRPr="00945BC1" w:rsidRDefault="00AE1976" w:rsidP="0086555E">
            <w:pPr>
              <w:spacing w:line="240" w:lineRule="auto"/>
              <w:jc w:val="center"/>
              <w:rPr>
                <w:color w:val="000000" w:themeColor="text1"/>
                <w:sz w:val="16"/>
                <w:szCs w:val="16"/>
              </w:rPr>
            </w:pPr>
            <w:r w:rsidRPr="00945BC1">
              <w:rPr>
                <w:color w:val="000000" w:themeColor="text1"/>
                <w:sz w:val="16"/>
                <w:szCs w:val="16"/>
              </w:rPr>
              <w:t>14,58%</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14:paraId="3BC5EE7C" w14:textId="77777777" w:rsidR="00AE1976" w:rsidRPr="00945BC1" w:rsidRDefault="00AE1976" w:rsidP="0086555E">
            <w:pPr>
              <w:spacing w:line="240" w:lineRule="auto"/>
              <w:jc w:val="center"/>
              <w:rPr>
                <w:color w:val="000000" w:themeColor="text1"/>
                <w:sz w:val="16"/>
                <w:szCs w:val="16"/>
              </w:rPr>
            </w:pPr>
            <w:r w:rsidRPr="00945BC1">
              <w:rPr>
                <w:color w:val="000000" w:themeColor="text1"/>
                <w:sz w:val="16"/>
                <w:szCs w:val="16"/>
              </w:rPr>
              <w:t>17,71%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35AE2F0" w14:textId="77777777" w:rsidR="00AE1976" w:rsidRPr="00945BC1" w:rsidRDefault="00AE1976" w:rsidP="0086555E">
            <w:pPr>
              <w:spacing w:line="240" w:lineRule="auto"/>
              <w:jc w:val="center"/>
              <w:rPr>
                <w:color w:val="000000" w:themeColor="text1"/>
                <w:sz w:val="16"/>
                <w:szCs w:val="16"/>
              </w:rPr>
            </w:pPr>
            <w:r w:rsidRPr="00945BC1">
              <w:rPr>
                <w:color w:val="000000" w:themeColor="text1"/>
                <w:sz w:val="16"/>
                <w:szCs w:val="16"/>
              </w:rPr>
              <w:t>-18,34%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0C0ED80" w14:textId="77777777" w:rsidR="00AE1976" w:rsidRPr="00945BC1" w:rsidRDefault="00AE1976" w:rsidP="0086555E">
            <w:pPr>
              <w:spacing w:line="240" w:lineRule="auto"/>
              <w:jc w:val="center"/>
              <w:rPr>
                <w:color w:val="000000" w:themeColor="text1"/>
                <w:sz w:val="16"/>
                <w:szCs w:val="16"/>
              </w:rPr>
            </w:pPr>
            <w:r w:rsidRPr="00945BC1">
              <w:rPr>
                <w:color w:val="000000" w:themeColor="text1"/>
                <w:sz w:val="16"/>
                <w:szCs w:val="16"/>
              </w:rPr>
              <w:t>-0,26</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14:paraId="446418F2" w14:textId="77777777" w:rsidR="00AE1976" w:rsidRPr="00945BC1" w:rsidRDefault="00AE1976" w:rsidP="0086555E">
            <w:pPr>
              <w:spacing w:line="240" w:lineRule="auto"/>
              <w:jc w:val="center"/>
              <w:rPr>
                <w:color w:val="000000" w:themeColor="text1"/>
                <w:sz w:val="16"/>
                <w:szCs w:val="16"/>
              </w:rPr>
            </w:pPr>
            <w:r w:rsidRPr="00945BC1">
              <w:rPr>
                <w:color w:val="000000" w:themeColor="text1"/>
                <w:sz w:val="16"/>
                <w:szCs w:val="16"/>
              </w:rPr>
              <w:t>0,69</w:t>
            </w:r>
          </w:p>
        </w:tc>
      </w:tr>
      <w:tr w:rsidR="00AE1976" w:rsidRPr="00DB2862" w14:paraId="045712D4" w14:textId="77777777" w:rsidTr="00844C7D">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AA16E" w14:textId="77777777" w:rsidR="00AE1976" w:rsidRPr="00D314CC" w:rsidRDefault="00AE1976" w:rsidP="0086555E">
            <w:pPr>
              <w:spacing w:line="240" w:lineRule="auto"/>
              <w:jc w:val="left"/>
              <w:rPr>
                <w:color w:val="000000" w:themeColor="text1"/>
                <w:sz w:val="16"/>
                <w:szCs w:val="16"/>
                <w:lang w:val="en-US"/>
              </w:rPr>
            </w:pPr>
            <w:r w:rsidRPr="00D314CC">
              <w:rPr>
                <w:color w:val="000000" w:themeColor="text1"/>
                <w:sz w:val="16"/>
                <w:szCs w:val="16"/>
                <w:lang w:val="en-US"/>
              </w:rPr>
              <w:t>Cemento portland</w:t>
            </w:r>
          </w:p>
          <w:p w14:paraId="037FC398" w14:textId="77777777" w:rsidR="00AE1976" w:rsidRPr="00D314CC" w:rsidRDefault="00AE1976" w:rsidP="0086555E">
            <w:pPr>
              <w:spacing w:line="240" w:lineRule="auto"/>
              <w:jc w:val="left"/>
              <w:rPr>
                <w:color w:val="000000" w:themeColor="text1"/>
                <w:sz w:val="16"/>
                <w:szCs w:val="16"/>
                <w:lang w:val="en-US"/>
              </w:rPr>
            </w:pPr>
            <w:r w:rsidRPr="00D314CC">
              <w:rPr>
                <w:color w:val="000000" w:themeColor="text1"/>
                <w:sz w:val="16"/>
                <w:szCs w:val="16"/>
                <w:lang w:val="en-US"/>
              </w:rPr>
              <w:t>(ABC y INE)</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14:paraId="49EF7107" w14:textId="77777777" w:rsidR="00AE1976" w:rsidRPr="00945BC1" w:rsidRDefault="00AE1976" w:rsidP="0086555E">
            <w:pPr>
              <w:spacing w:line="240" w:lineRule="auto"/>
              <w:jc w:val="center"/>
              <w:rPr>
                <w:color w:val="000000" w:themeColor="text1"/>
                <w:sz w:val="16"/>
                <w:szCs w:val="16"/>
              </w:rPr>
            </w:pPr>
            <w:r w:rsidRPr="00945BC1">
              <w:rPr>
                <w:color w:val="000000" w:themeColor="text1"/>
                <w:sz w:val="16"/>
                <w:szCs w:val="16"/>
              </w:rPr>
              <w:t>-2,93%</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01CFE872" w14:textId="77777777" w:rsidR="00AE1976" w:rsidRPr="00945BC1" w:rsidRDefault="00AE1976" w:rsidP="0086555E">
            <w:pPr>
              <w:spacing w:line="240" w:lineRule="auto"/>
              <w:jc w:val="center"/>
              <w:rPr>
                <w:color w:val="000000" w:themeColor="text1"/>
                <w:sz w:val="16"/>
                <w:szCs w:val="16"/>
              </w:rPr>
            </w:pPr>
            <w:r w:rsidRPr="00945BC1">
              <w:rPr>
                <w:color w:val="000000" w:themeColor="text1"/>
                <w:sz w:val="16"/>
                <w:szCs w:val="16"/>
              </w:rPr>
              <w:t>8,92%</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14:paraId="20151B28" w14:textId="77777777" w:rsidR="00AE1976" w:rsidRPr="00945BC1" w:rsidRDefault="00AE1976" w:rsidP="0086555E">
            <w:pPr>
              <w:spacing w:line="240" w:lineRule="auto"/>
              <w:jc w:val="center"/>
              <w:rPr>
                <w:color w:val="000000" w:themeColor="text1"/>
                <w:sz w:val="16"/>
                <w:szCs w:val="16"/>
              </w:rPr>
            </w:pPr>
            <w:r w:rsidRPr="00945BC1">
              <w:rPr>
                <w:color w:val="000000" w:themeColor="text1"/>
                <w:sz w:val="16"/>
                <w:szCs w:val="16"/>
              </w:rPr>
              <w:t>11,73%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4BF9AC8" w14:textId="77777777" w:rsidR="00AE1976" w:rsidRPr="00945BC1" w:rsidRDefault="00AE1976" w:rsidP="0086555E">
            <w:pPr>
              <w:spacing w:line="240" w:lineRule="auto"/>
              <w:jc w:val="center"/>
              <w:rPr>
                <w:color w:val="000000" w:themeColor="text1"/>
                <w:sz w:val="16"/>
                <w:szCs w:val="16"/>
              </w:rPr>
            </w:pPr>
            <w:r w:rsidRPr="00945BC1">
              <w:rPr>
                <w:color w:val="000000" w:themeColor="text1"/>
                <w:sz w:val="16"/>
                <w:szCs w:val="16"/>
              </w:rPr>
              <w:t>-17,59%</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5A1E5EA" w14:textId="77777777" w:rsidR="00AE1976" w:rsidRPr="00945BC1" w:rsidRDefault="00AE1976" w:rsidP="0086555E">
            <w:pPr>
              <w:spacing w:line="240" w:lineRule="auto"/>
              <w:jc w:val="center"/>
              <w:rPr>
                <w:color w:val="000000" w:themeColor="text1"/>
                <w:sz w:val="16"/>
                <w:szCs w:val="16"/>
              </w:rPr>
            </w:pPr>
            <w:r w:rsidRPr="00945BC1">
              <w:rPr>
                <w:color w:val="000000" w:themeColor="text1"/>
                <w:sz w:val="16"/>
                <w:szCs w:val="16"/>
              </w:rPr>
              <w:t>-0,60</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14:paraId="4EFE1421" w14:textId="77777777" w:rsidR="00AE1976" w:rsidRPr="00945BC1" w:rsidRDefault="00AE1976" w:rsidP="0086555E">
            <w:pPr>
              <w:spacing w:line="240" w:lineRule="auto"/>
              <w:jc w:val="center"/>
              <w:rPr>
                <w:color w:val="000000" w:themeColor="text1"/>
                <w:sz w:val="16"/>
                <w:szCs w:val="16"/>
              </w:rPr>
            </w:pPr>
            <w:r w:rsidRPr="00945BC1">
              <w:rPr>
                <w:color w:val="000000" w:themeColor="text1"/>
                <w:sz w:val="16"/>
                <w:szCs w:val="16"/>
              </w:rPr>
              <w:t>0,85</w:t>
            </w:r>
          </w:p>
        </w:tc>
      </w:tr>
      <w:tr w:rsidR="00AE1976" w:rsidRPr="00DB2862" w14:paraId="1BE756E0" w14:textId="77777777" w:rsidTr="00844C7D">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A0484" w14:textId="77777777" w:rsidR="00AE1976" w:rsidRPr="00945BC1" w:rsidRDefault="00AE1976" w:rsidP="0086555E">
            <w:pPr>
              <w:spacing w:line="240" w:lineRule="auto"/>
              <w:jc w:val="left"/>
              <w:rPr>
                <w:color w:val="000000" w:themeColor="text1"/>
                <w:sz w:val="16"/>
                <w:szCs w:val="16"/>
              </w:rPr>
            </w:pPr>
            <w:r w:rsidRPr="00945BC1">
              <w:rPr>
                <w:color w:val="000000" w:themeColor="text1"/>
                <w:sz w:val="16"/>
                <w:szCs w:val="16"/>
              </w:rPr>
              <w:t>Acero corrugado</w:t>
            </w:r>
          </w:p>
          <w:p w14:paraId="330C09F4" w14:textId="77777777" w:rsidR="00AE1976" w:rsidRPr="00945BC1" w:rsidRDefault="00AE1976" w:rsidP="0086555E">
            <w:pPr>
              <w:spacing w:line="240" w:lineRule="auto"/>
              <w:jc w:val="left"/>
              <w:rPr>
                <w:color w:val="000000" w:themeColor="text1"/>
                <w:sz w:val="16"/>
                <w:szCs w:val="16"/>
              </w:rPr>
            </w:pPr>
            <w:r w:rsidRPr="00945BC1">
              <w:rPr>
                <w:color w:val="000000" w:themeColor="text1"/>
                <w:sz w:val="16"/>
                <w:szCs w:val="16"/>
              </w:rPr>
              <w:t>(ABC y INE)</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14:paraId="00682D8A" w14:textId="77777777" w:rsidR="00AE1976" w:rsidRPr="00945BC1" w:rsidRDefault="00AE1976" w:rsidP="0086555E">
            <w:pPr>
              <w:spacing w:line="240" w:lineRule="auto"/>
              <w:jc w:val="center"/>
              <w:rPr>
                <w:color w:val="000000" w:themeColor="text1"/>
                <w:sz w:val="16"/>
                <w:szCs w:val="16"/>
              </w:rPr>
            </w:pPr>
            <w:r w:rsidRPr="00945BC1">
              <w:rPr>
                <w:color w:val="000000" w:themeColor="text1"/>
                <w:sz w:val="16"/>
                <w:szCs w:val="16"/>
              </w:rPr>
              <w:t>0,00%</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37A7C09B" w14:textId="77777777" w:rsidR="00AE1976" w:rsidRPr="00945BC1" w:rsidRDefault="00AE1976" w:rsidP="0086555E">
            <w:pPr>
              <w:spacing w:line="240" w:lineRule="auto"/>
              <w:jc w:val="center"/>
              <w:rPr>
                <w:color w:val="000000" w:themeColor="text1"/>
                <w:sz w:val="16"/>
                <w:szCs w:val="16"/>
              </w:rPr>
            </w:pPr>
            <w:r w:rsidRPr="00945BC1">
              <w:rPr>
                <w:color w:val="000000" w:themeColor="text1"/>
                <w:sz w:val="16"/>
                <w:szCs w:val="16"/>
              </w:rPr>
              <w:t>5,83%</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14:paraId="3994BA00" w14:textId="77777777" w:rsidR="00AE1976" w:rsidRPr="00945BC1" w:rsidRDefault="00AE1976" w:rsidP="0086555E">
            <w:pPr>
              <w:spacing w:line="240" w:lineRule="auto"/>
              <w:jc w:val="center"/>
              <w:rPr>
                <w:color w:val="000000" w:themeColor="text1"/>
                <w:sz w:val="16"/>
                <w:szCs w:val="16"/>
              </w:rPr>
            </w:pPr>
            <w:r w:rsidRPr="00945BC1">
              <w:rPr>
                <w:color w:val="000000" w:themeColor="text1"/>
                <w:sz w:val="16"/>
                <w:szCs w:val="16"/>
              </w:rPr>
              <w:t>6,00%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9B06300" w14:textId="77777777" w:rsidR="00AE1976" w:rsidRPr="00945BC1" w:rsidRDefault="00AE1976" w:rsidP="0086555E">
            <w:pPr>
              <w:spacing w:line="240" w:lineRule="auto"/>
              <w:jc w:val="center"/>
              <w:rPr>
                <w:color w:val="000000" w:themeColor="text1"/>
                <w:sz w:val="16"/>
                <w:szCs w:val="16"/>
              </w:rPr>
            </w:pPr>
            <w:r w:rsidRPr="00945BC1">
              <w:rPr>
                <w:color w:val="000000" w:themeColor="text1"/>
                <w:sz w:val="16"/>
                <w:szCs w:val="16"/>
              </w:rPr>
              <w:t>-13,21%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ED2B80A" w14:textId="77777777" w:rsidR="00AE1976" w:rsidRPr="00945BC1" w:rsidRDefault="00AE1976" w:rsidP="0086555E">
            <w:pPr>
              <w:spacing w:line="240" w:lineRule="auto"/>
              <w:jc w:val="center"/>
              <w:rPr>
                <w:color w:val="000000" w:themeColor="text1"/>
                <w:sz w:val="16"/>
                <w:szCs w:val="16"/>
              </w:rPr>
            </w:pPr>
            <w:r w:rsidRPr="00945BC1">
              <w:rPr>
                <w:color w:val="000000" w:themeColor="text1"/>
                <w:sz w:val="16"/>
                <w:szCs w:val="16"/>
              </w:rPr>
              <w:t>0,49</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14:paraId="14EB2496" w14:textId="77777777" w:rsidR="00AE1976" w:rsidRPr="00945BC1" w:rsidRDefault="00AE1976" w:rsidP="0086555E">
            <w:pPr>
              <w:spacing w:line="240" w:lineRule="auto"/>
              <w:jc w:val="center"/>
              <w:rPr>
                <w:color w:val="000000" w:themeColor="text1"/>
                <w:sz w:val="16"/>
                <w:szCs w:val="16"/>
              </w:rPr>
            </w:pPr>
            <w:r w:rsidRPr="00945BC1">
              <w:rPr>
                <w:color w:val="000000" w:themeColor="text1"/>
                <w:sz w:val="16"/>
                <w:szCs w:val="16"/>
              </w:rPr>
              <w:t>0,92</w:t>
            </w:r>
          </w:p>
        </w:tc>
      </w:tr>
      <w:tr w:rsidR="00AE1976" w:rsidRPr="00DB2862" w14:paraId="7E51C244" w14:textId="77777777" w:rsidTr="00844C7D">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C94B0" w14:textId="77777777" w:rsidR="00AE1976" w:rsidRPr="00945BC1" w:rsidRDefault="00AE1976" w:rsidP="0086555E">
            <w:pPr>
              <w:spacing w:line="240" w:lineRule="auto"/>
              <w:jc w:val="left"/>
              <w:rPr>
                <w:color w:val="000000" w:themeColor="text1"/>
                <w:sz w:val="16"/>
                <w:szCs w:val="16"/>
              </w:rPr>
            </w:pPr>
            <w:r w:rsidRPr="00945BC1">
              <w:rPr>
                <w:color w:val="000000" w:themeColor="text1"/>
                <w:sz w:val="16"/>
                <w:szCs w:val="16"/>
              </w:rPr>
              <w:t>Asfalto diluido</w:t>
            </w:r>
          </w:p>
          <w:p w14:paraId="38E0D817" w14:textId="77777777" w:rsidR="00AE1976" w:rsidRPr="00945BC1" w:rsidRDefault="00AE1976" w:rsidP="0086555E">
            <w:pPr>
              <w:spacing w:line="240" w:lineRule="auto"/>
              <w:jc w:val="left"/>
              <w:rPr>
                <w:color w:val="000000" w:themeColor="text1"/>
                <w:sz w:val="16"/>
                <w:szCs w:val="16"/>
              </w:rPr>
            </w:pPr>
            <w:r w:rsidRPr="00945BC1">
              <w:rPr>
                <w:color w:val="000000" w:themeColor="text1"/>
                <w:sz w:val="16"/>
                <w:szCs w:val="16"/>
              </w:rPr>
              <w:t>(ABC y INE)</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14:paraId="27F6AA1E" w14:textId="77777777" w:rsidR="00AE1976" w:rsidRPr="00945BC1" w:rsidRDefault="00AE1976" w:rsidP="0086555E">
            <w:pPr>
              <w:spacing w:line="240" w:lineRule="auto"/>
              <w:jc w:val="center"/>
              <w:rPr>
                <w:color w:val="000000" w:themeColor="text1"/>
                <w:sz w:val="16"/>
                <w:szCs w:val="16"/>
              </w:rPr>
            </w:pPr>
            <w:r w:rsidRPr="00945BC1">
              <w:rPr>
                <w:color w:val="000000" w:themeColor="text1"/>
                <w:sz w:val="16"/>
                <w:szCs w:val="16"/>
              </w:rPr>
              <w:t>-0,31%</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3CE9127F" w14:textId="77777777" w:rsidR="00AE1976" w:rsidRPr="00945BC1" w:rsidRDefault="00AE1976" w:rsidP="0086555E">
            <w:pPr>
              <w:spacing w:line="240" w:lineRule="auto"/>
              <w:jc w:val="center"/>
              <w:rPr>
                <w:color w:val="000000" w:themeColor="text1"/>
                <w:sz w:val="16"/>
                <w:szCs w:val="16"/>
              </w:rPr>
            </w:pPr>
            <w:r w:rsidRPr="00945BC1">
              <w:rPr>
                <w:color w:val="000000" w:themeColor="text1"/>
                <w:sz w:val="16"/>
                <w:szCs w:val="16"/>
              </w:rPr>
              <w:t>14,58%</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14:paraId="5477648F" w14:textId="77777777" w:rsidR="00AE1976" w:rsidRPr="00945BC1" w:rsidRDefault="00AE1976" w:rsidP="0086555E">
            <w:pPr>
              <w:spacing w:line="240" w:lineRule="auto"/>
              <w:jc w:val="center"/>
              <w:rPr>
                <w:color w:val="000000" w:themeColor="text1"/>
                <w:sz w:val="16"/>
                <w:szCs w:val="16"/>
              </w:rPr>
            </w:pPr>
            <w:r w:rsidRPr="00945BC1">
              <w:rPr>
                <w:color w:val="000000" w:themeColor="text1"/>
                <w:sz w:val="16"/>
                <w:szCs w:val="16"/>
              </w:rPr>
              <w:t>17,71%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359944D" w14:textId="77777777" w:rsidR="00AE1976" w:rsidRPr="00945BC1" w:rsidRDefault="00AE1976" w:rsidP="0086555E">
            <w:pPr>
              <w:spacing w:line="240" w:lineRule="auto"/>
              <w:jc w:val="center"/>
              <w:rPr>
                <w:color w:val="000000" w:themeColor="text1"/>
                <w:sz w:val="16"/>
                <w:szCs w:val="16"/>
              </w:rPr>
            </w:pPr>
            <w:r w:rsidRPr="00945BC1">
              <w:rPr>
                <w:color w:val="000000" w:themeColor="text1"/>
                <w:sz w:val="16"/>
                <w:szCs w:val="16"/>
              </w:rPr>
              <w:t>-18,34%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E9AF2FD" w14:textId="77777777" w:rsidR="00AE1976" w:rsidRPr="00945BC1" w:rsidRDefault="00AE1976" w:rsidP="0086555E">
            <w:pPr>
              <w:spacing w:line="240" w:lineRule="auto"/>
              <w:jc w:val="center"/>
              <w:rPr>
                <w:color w:val="000000" w:themeColor="text1"/>
                <w:sz w:val="16"/>
                <w:szCs w:val="16"/>
              </w:rPr>
            </w:pPr>
            <w:r w:rsidRPr="00945BC1">
              <w:rPr>
                <w:color w:val="000000" w:themeColor="text1"/>
                <w:sz w:val="16"/>
                <w:szCs w:val="16"/>
              </w:rPr>
              <w:t>-0,26</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14:paraId="3968A369" w14:textId="77777777" w:rsidR="00AE1976" w:rsidRPr="00945BC1" w:rsidRDefault="00AE1976" w:rsidP="0086555E">
            <w:pPr>
              <w:spacing w:line="240" w:lineRule="auto"/>
              <w:jc w:val="center"/>
              <w:rPr>
                <w:color w:val="000000" w:themeColor="text1"/>
                <w:sz w:val="16"/>
                <w:szCs w:val="16"/>
              </w:rPr>
            </w:pPr>
            <w:r w:rsidRPr="00945BC1">
              <w:rPr>
                <w:color w:val="000000" w:themeColor="text1"/>
                <w:sz w:val="16"/>
                <w:szCs w:val="16"/>
              </w:rPr>
              <w:t>0,69</w:t>
            </w:r>
          </w:p>
        </w:tc>
      </w:tr>
      <w:tr w:rsidR="00AE1976" w:rsidRPr="00DB2862" w14:paraId="58E180A9" w14:textId="77777777" w:rsidTr="00844C7D">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6A3B7" w14:textId="77777777" w:rsidR="00AE1976" w:rsidRPr="00945BC1" w:rsidRDefault="00AE1976" w:rsidP="0086555E">
            <w:pPr>
              <w:spacing w:line="240" w:lineRule="auto"/>
              <w:jc w:val="left"/>
              <w:rPr>
                <w:color w:val="000000" w:themeColor="text1"/>
                <w:sz w:val="16"/>
                <w:szCs w:val="16"/>
              </w:rPr>
            </w:pPr>
            <w:r w:rsidRPr="00945BC1">
              <w:rPr>
                <w:color w:val="000000" w:themeColor="text1"/>
                <w:sz w:val="16"/>
                <w:szCs w:val="16"/>
              </w:rPr>
              <w:t>Otros (INE)</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14:paraId="22012F66" w14:textId="77777777" w:rsidR="00AE1976" w:rsidRPr="00945BC1" w:rsidRDefault="00AE1976" w:rsidP="0086555E">
            <w:pPr>
              <w:spacing w:line="240" w:lineRule="auto"/>
              <w:jc w:val="center"/>
              <w:rPr>
                <w:color w:val="000000" w:themeColor="text1"/>
                <w:sz w:val="16"/>
                <w:szCs w:val="16"/>
              </w:rPr>
            </w:pPr>
            <w:r w:rsidRPr="00945BC1">
              <w:rPr>
                <w:color w:val="000000" w:themeColor="text1"/>
                <w:sz w:val="16"/>
                <w:szCs w:val="16"/>
              </w:rPr>
              <w:t>4,32%</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2284288F" w14:textId="77777777" w:rsidR="00AE1976" w:rsidRPr="00945BC1" w:rsidRDefault="00AE1976" w:rsidP="0086555E">
            <w:pPr>
              <w:spacing w:line="240" w:lineRule="auto"/>
              <w:jc w:val="center"/>
              <w:rPr>
                <w:color w:val="000000" w:themeColor="text1"/>
                <w:sz w:val="16"/>
                <w:szCs w:val="16"/>
              </w:rPr>
            </w:pPr>
            <w:r w:rsidRPr="00945BC1">
              <w:rPr>
                <w:color w:val="000000" w:themeColor="text1"/>
                <w:sz w:val="16"/>
                <w:szCs w:val="16"/>
              </w:rPr>
              <w:t>15,77%</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14:paraId="4314BAE2" w14:textId="77777777" w:rsidR="00AE1976" w:rsidRPr="00945BC1" w:rsidRDefault="00AE1976" w:rsidP="0086555E">
            <w:pPr>
              <w:spacing w:line="240" w:lineRule="auto"/>
              <w:jc w:val="center"/>
              <w:rPr>
                <w:color w:val="000000" w:themeColor="text1"/>
                <w:sz w:val="16"/>
                <w:szCs w:val="16"/>
              </w:rPr>
            </w:pPr>
            <w:r w:rsidRPr="00945BC1">
              <w:rPr>
                <w:color w:val="000000" w:themeColor="text1"/>
                <w:sz w:val="16"/>
                <w:szCs w:val="16"/>
              </w:rPr>
              <w:t>23,82%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D524E24" w14:textId="77777777" w:rsidR="00AE1976" w:rsidRPr="00945BC1" w:rsidRDefault="00AE1976" w:rsidP="0086555E">
            <w:pPr>
              <w:spacing w:line="240" w:lineRule="auto"/>
              <w:jc w:val="center"/>
              <w:rPr>
                <w:color w:val="000000" w:themeColor="text1"/>
                <w:sz w:val="16"/>
                <w:szCs w:val="16"/>
              </w:rPr>
            </w:pPr>
            <w:r w:rsidRPr="00945BC1">
              <w:rPr>
                <w:color w:val="000000" w:themeColor="text1"/>
                <w:sz w:val="16"/>
                <w:szCs w:val="16"/>
              </w:rPr>
              <w:t>-15,19%</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98C6CFB" w14:textId="77777777" w:rsidR="00AE1976" w:rsidRPr="00945BC1" w:rsidRDefault="00AE1976" w:rsidP="0086555E">
            <w:pPr>
              <w:spacing w:line="240" w:lineRule="auto"/>
              <w:jc w:val="center"/>
              <w:rPr>
                <w:color w:val="000000" w:themeColor="text1"/>
                <w:sz w:val="16"/>
                <w:szCs w:val="16"/>
              </w:rPr>
            </w:pPr>
            <w:r w:rsidRPr="00945BC1">
              <w:rPr>
                <w:color w:val="000000" w:themeColor="text1"/>
                <w:sz w:val="16"/>
                <w:szCs w:val="16"/>
              </w:rPr>
              <w:t>0,97</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14:paraId="0B3DB1FA" w14:textId="77777777" w:rsidR="00AE1976" w:rsidRPr="00945BC1" w:rsidRDefault="00AE1976" w:rsidP="0086555E">
            <w:pPr>
              <w:spacing w:line="240" w:lineRule="auto"/>
              <w:jc w:val="center"/>
              <w:rPr>
                <w:color w:val="000000" w:themeColor="text1"/>
                <w:sz w:val="16"/>
                <w:szCs w:val="16"/>
              </w:rPr>
            </w:pPr>
            <w:r w:rsidRPr="00945BC1">
              <w:rPr>
                <w:color w:val="000000" w:themeColor="text1"/>
                <w:sz w:val="16"/>
                <w:szCs w:val="16"/>
              </w:rPr>
              <w:t>0,99</w:t>
            </w:r>
          </w:p>
        </w:tc>
      </w:tr>
      <w:tr w:rsidR="00AE1976" w:rsidRPr="00DB2862" w14:paraId="572E5FFE" w14:textId="77777777" w:rsidTr="00844C7D">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1C01D" w14:textId="77777777" w:rsidR="00AE1976" w:rsidRPr="00945BC1" w:rsidRDefault="00AE1976" w:rsidP="0086555E">
            <w:pPr>
              <w:spacing w:line="240" w:lineRule="auto"/>
              <w:jc w:val="left"/>
              <w:rPr>
                <w:color w:val="000000" w:themeColor="text1"/>
                <w:sz w:val="16"/>
                <w:szCs w:val="16"/>
              </w:rPr>
            </w:pPr>
            <w:r w:rsidRPr="00945BC1">
              <w:rPr>
                <w:color w:val="000000" w:themeColor="text1"/>
                <w:sz w:val="16"/>
                <w:szCs w:val="16"/>
              </w:rPr>
              <w:t>Equipo y Herramientas (INE)</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14:paraId="37AF196E" w14:textId="77777777" w:rsidR="00AE1976" w:rsidRPr="00945BC1" w:rsidRDefault="00AE1976" w:rsidP="0086555E">
            <w:pPr>
              <w:spacing w:line="240" w:lineRule="auto"/>
              <w:jc w:val="center"/>
              <w:rPr>
                <w:color w:val="000000" w:themeColor="text1"/>
                <w:sz w:val="16"/>
                <w:szCs w:val="16"/>
              </w:rPr>
            </w:pPr>
            <w:r w:rsidRPr="00945BC1">
              <w:rPr>
                <w:color w:val="000000" w:themeColor="text1"/>
                <w:sz w:val="16"/>
                <w:szCs w:val="16"/>
              </w:rPr>
              <w:t>-0,03%</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536F70DE" w14:textId="77777777" w:rsidR="00AE1976" w:rsidRPr="00945BC1" w:rsidRDefault="00AE1976" w:rsidP="0086555E">
            <w:pPr>
              <w:spacing w:line="240" w:lineRule="auto"/>
              <w:jc w:val="center"/>
              <w:rPr>
                <w:color w:val="000000" w:themeColor="text1"/>
                <w:sz w:val="16"/>
                <w:szCs w:val="16"/>
              </w:rPr>
            </w:pPr>
            <w:r w:rsidRPr="00945BC1">
              <w:rPr>
                <w:color w:val="000000" w:themeColor="text1"/>
                <w:sz w:val="16"/>
                <w:szCs w:val="16"/>
              </w:rPr>
              <w:t>6,09%</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14:paraId="7549E1AB" w14:textId="77777777" w:rsidR="00AE1976" w:rsidRPr="00945BC1" w:rsidRDefault="00AE1976" w:rsidP="0086555E">
            <w:pPr>
              <w:spacing w:line="240" w:lineRule="auto"/>
              <w:jc w:val="center"/>
              <w:rPr>
                <w:color w:val="000000" w:themeColor="text1"/>
                <w:sz w:val="16"/>
                <w:szCs w:val="16"/>
              </w:rPr>
            </w:pPr>
            <w:r w:rsidRPr="00945BC1">
              <w:rPr>
                <w:color w:val="000000" w:themeColor="text1"/>
                <w:sz w:val="16"/>
                <w:szCs w:val="16"/>
              </w:rPr>
              <w:t>7,50%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E6341FA" w14:textId="77777777" w:rsidR="00AE1976" w:rsidRPr="00945BC1" w:rsidRDefault="00AE1976" w:rsidP="0086555E">
            <w:pPr>
              <w:spacing w:line="240" w:lineRule="auto"/>
              <w:jc w:val="center"/>
              <w:rPr>
                <w:color w:val="000000" w:themeColor="text1"/>
                <w:sz w:val="16"/>
                <w:szCs w:val="16"/>
              </w:rPr>
            </w:pPr>
            <w:r w:rsidRPr="00945BC1">
              <w:rPr>
                <w:color w:val="000000" w:themeColor="text1"/>
                <w:sz w:val="16"/>
                <w:szCs w:val="16"/>
              </w:rPr>
              <w:t>-7,57%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0E6DA2E" w14:textId="77777777" w:rsidR="00AE1976" w:rsidRPr="00945BC1" w:rsidRDefault="00AE1976" w:rsidP="0086555E">
            <w:pPr>
              <w:spacing w:line="240" w:lineRule="auto"/>
              <w:jc w:val="center"/>
              <w:rPr>
                <w:color w:val="000000" w:themeColor="text1"/>
                <w:sz w:val="16"/>
                <w:szCs w:val="16"/>
              </w:rPr>
            </w:pPr>
            <w:r w:rsidRPr="00945BC1">
              <w:rPr>
                <w:color w:val="000000" w:themeColor="text1"/>
                <w:sz w:val="16"/>
                <w:szCs w:val="16"/>
              </w:rPr>
              <w:t>0,95</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14:paraId="234CDFB1" w14:textId="77777777" w:rsidR="00AE1976" w:rsidRPr="00945BC1" w:rsidRDefault="00AE1976" w:rsidP="0086555E">
            <w:pPr>
              <w:spacing w:line="240" w:lineRule="auto"/>
              <w:jc w:val="center"/>
              <w:rPr>
                <w:color w:val="000000" w:themeColor="text1"/>
                <w:sz w:val="16"/>
                <w:szCs w:val="16"/>
              </w:rPr>
            </w:pPr>
            <w:r w:rsidRPr="00945BC1">
              <w:rPr>
                <w:color w:val="000000" w:themeColor="text1"/>
                <w:sz w:val="16"/>
                <w:szCs w:val="16"/>
              </w:rPr>
              <w:t>-0,85</w:t>
            </w:r>
          </w:p>
        </w:tc>
      </w:tr>
      <w:tr w:rsidR="00AE1976" w:rsidRPr="00DB2862" w14:paraId="0A1E914A" w14:textId="77777777" w:rsidTr="00844C7D">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5732F" w14:textId="77777777" w:rsidR="00AE1976" w:rsidRPr="00945BC1" w:rsidRDefault="00AE1976" w:rsidP="0086555E">
            <w:pPr>
              <w:spacing w:line="240" w:lineRule="auto"/>
              <w:jc w:val="left"/>
              <w:rPr>
                <w:color w:val="000000" w:themeColor="text1"/>
                <w:sz w:val="16"/>
                <w:szCs w:val="16"/>
              </w:rPr>
            </w:pPr>
            <w:r w:rsidRPr="00945BC1">
              <w:rPr>
                <w:color w:val="000000" w:themeColor="text1"/>
                <w:sz w:val="16"/>
                <w:szCs w:val="16"/>
              </w:rPr>
              <w:t>Gastos generales (INE)</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14:paraId="23B022CA" w14:textId="77777777" w:rsidR="00AE1976" w:rsidRPr="00945BC1" w:rsidRDefault="00AE1976" w:rsidP="0086555E">
            <w:pPr>
              <w:spacing w:line="240" w:lineRule="auto"/>
              <w:jc w:val="center"/>
              <w:rPr>
                <w:color w:val="000000" w:themeColor="text1"/>
                <w:sz w:val="16"/>
                <w:szCs w:val="16"/>
              </w:rPr>
            </w:pPr>
            <w:r w:rsidRPr="00945BC1">
              <w:rPr>
                <w:color w:val="000000" w:themeColor="text1"/>
                <w:sz w:val="16"/>
                <w:szCs w:val="16"/>
              </w:rPr>
              <w:t>1,88%</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37336597" w14:textId="77777777" w:rsidR="00AE1976" w:rsidRPr="00945BC1" w:rsidRDefault="00AE1976" w:rsidP="0086555E">
            <w:pPr>
              <w:spacing w:line="240" w:lineRule="auto"/>
              <w:jc w:val="center"/>
              <w:rPr>
                <w:color w:val="000000" w:themeColor="text1"/>
                <w:sz w:val="16"/>
                <w:szCs w:val="16"/>
              </w:rPr>
            </w:pPr>
            <w:r w:rsidRPr="00945BC1">
              <w:rPr>
                <w:color w:val="000000" w:themeColor="text1"/>
                <w:sz w:val="16"/>
                <w:szCs w:val="16"/>
              </w:rPr>
              <w:t>8,62%</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14:paraId="49CD3343" w14:textId="77777777" w:rsidR="00AE1976" w:rsidRPr="00945BC1" w:rsidRDefault="00AE1976" w:rsidP="0086555E">
            <w:pPr>
              <w:spacing w:line="240" w:lineRule="auto"/>
              <w:jc w:val="center"/>
              <w:rPr>
                <w:color w:val="000000" w:themeColor="text1"/>
                <w:sz w:val="16"/>
                <w:szCs w:val="16"/>
              </w:rPr>
            </w:pPr>
            <w:r w:rsidRPr="00945BC1">
              <w:rPr>
                <w:color w:val="000000" w:themeColor="text1"/>
                <w:sz w:val="16"/>
                <w:szCs w:val="16"/>
              </w:rPr>
              <w:t>12,53%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0347046" w14:textId="77777777" w:rsidR="00AE1976" w:rsidRPr="00945BC1" w:rsidRDefault="00AE1976" w:rsidP="0086555E">
            <w:pPr>
              <w:spacing w:line="240" w:lineRule="auto"/>
              <w:jc w:val="center"/>
              <w:rPr>
                <w:color w:val="000000" w:themeColor="text1"/>
                <w:sz w:val="16"/>
                <w:szCs w:val="16"/>
              </w:rPr>
            </w:pPr>
            <w:r w:rsidRPr="00945BC1">
              <w:rPr>
                <w:color w:val="000000" w:themeColor="text1"/>
                <w:sz w:val="16"/>
                <w:szCs w:val="16"/>
              </w:rPr>
              <w:t>-8,78%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6C40C96" w14:textId="77777777" w:rsidR="00AE1976" w:rsidRPr="00945BC1" w:rsidRDefault="00AE1976" w:rsidP="0086555E">
            <w:pPr>
              <w:spacing w:line="240" w:lineRule="auto"/>
              <w:jc w:val="center"/>
              <w:rPr>
                <w:color w:val="000000" w:themeColor="text1"/>
                <w:sz w:val="16"/>
                <w:szCs w:val="16"/>
              </w:rPr>
            </w:pPr>
            <w:r w:rsidRPr="00945BC1">
              <w:rPr>
                <w:color w:val="000000" w:themeColor="text1"/>
                <w:sz w:val="16"/>
                <w:szCs w:val="16"/>
              </w:rPr>
              <w:t>0,94</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14:paraId="3A23CA8F" w14:textId="77777777" w:rsidR="00AE1976" w:rsidRPr="00945BC1" w:rsidRDefault="00AE1976" w:rsidP="0086555E">
            <w:pPr>
              <w:spacing w:line="240" w:lineRule="auto"/>
              <w:jc w:val="center"/>
              <w:rPr>
                <w:color w:val="000000" w:themeColor="text1"/>
                <w:sz w:val="16"/>
                <w:szCs w:val="16"/>
              </w:rPr>
            </w:pPr>
          </w:p>
        </w:tc>
      </w:tr>
      <w:tr w:rsidR="00AE1976" w:rsidRPr="00DB2862" w14:paraId="7FDFD0A1" w14:textId="77777777" w:rsidTr="00844C7D">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88658" w14:textId="77777777" w:rsidR="00AE1976" w:rsidRPr="00945BC1" w:rsidRDefault="00AE1976" w:rsidP="0086555E">
            <w:pPr>
              <w:spacing w:line="240" w:lineRule="auto"/>
              <w:jc w:val="left"/>
              <w:rPr>
                <w:color w:val="000000" w:themeColor="text1"/>
                <w:sz w:val="16"/>
                <w:szCs w:val="16"/>
              </w:rPr>
            </w:pPr>
            <w:r w:rsidRPr="00945BC1">
              <w:rPr>
                <w:color w:val="000000" w:themeColor="text1"/>
                <w:sz w:val="16"/>
                <w:szCs w:val="16"/>
              </w:rPr>
              <w:t>Mano de Obra + Cargas Sociales + IVA (INE)</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14:paraId="306FEA3E" w14:textId="77777777" w:rsidR="00AE1976" w:rsidRPr="00945BC1" w:rsidRDefault="00AE1976" w:rsidP="0086555E">
            <w:pPr>
              <w:spacing w:line="240" w:lineRule="auto"/>
              <w:jc w:val="center"/>
              <w:rPr>
                <w:color w:val="000000" w:themeColor="text1"/>
                <w:sz w:val="16"/>
                <w:szCs w:val="16"/>
              </w:rPr>
            </w:pPr>
            <w:r w:rsidRPr="00945BC1">
              <w:rPr>
                <w:color w:val="000000" w:themeColor="text1"/>
                <w:sz w:val="16"/>
                <w:szCs w:val="16"/>
              </w:rPr>
              <w:t>2,63%</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507A18F3" w14:textId="77777777" w:rsidR="00AE1976" w:rsidRPr="00945BC1" w:rsidRDefault="00AE1976" w:rsidP="0086555E">
            <w:pPr>
              <w:spacing w:line="240" w:lineRule="auto"/>
              <w:jc w:val="center"/>
              <w:rPr>
                <w:color w:val="000000" w:themeColor="text1"/>
                <w:sz w:val="16"/>
                <w:szCs w:val="16"/>
              </w:rPr>
            </w:pPr>
            <w:r w:rsidRPr="00945BC1">
              <w:rPr>
                <w:color w:val="000000" w:themeColor="text1"/>
                <w:sz w:val="16"/>
                <w:szCs w:val="16"/>
              </w:rPr>
              <w:t>11,63%</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14:paraId="771C069A" w14:textId="77777777" w:rsidR="00AE1976" w:rsidRPr="00945BC1" w:rsidRDefault="00AE1976" w:rsidP="0086555E">
            <w:pPr>
              <w:spacing w:line="240" w:lineRule="auto"/>
              <w:jc w:val="center"/>
              <w:rPr>
                <w:color w:val="000000" w:themeColor="text1"/>
                <w:sz w:val="16"/>
                <w:szCs w:val="16"/>
              </w:rPr>
            </w:pPr>
            <w:r w:rsidRPr="00945BC1">
              <w:rPr>
                <w:color w:val="000000" w:themeColor="text1"/>
                <w:sz w:val="16"/>
                <w:szCs w:val="16"/>
              </w:rPr>
              <w:t>15,60%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9364A78" w14:textId="77777777" w:rsidR="00AE1976" w:rsidRPr="00945BC1" w:rsidRDefault="00AE1976" w:rsidP="0086555E">
            <w:pPr>
              <w:spacing w:line="240" w:lineRule="auto"/>
              <w:jc w:val="center"/>
              <w:rPr>
                <w:color w:val="000000" w:themeColor="text1"/>
                <w:sz w:val="16"/>
                <w:szCs w:val="16"/>
              </w:rPr>
            </w:pPr>
            <w:r w:rsidRPr="00945BC1">
              <w:rPr>
                <w:color w:val="000000" w:themeColor="text1"/>
                <w:sz w:val="16"/>
                <w:szCs w:val="16"/>
              </w:rPr>
              <w:t>1,40%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2D38F46" w14:textId="77777777" w:rsidR="00AE1976" w:rsidRPr="00945BC1" w:rsidRDefault="00AE1976" w:rsidP="0086555E">
            <w:pPr>
              <w:spacing w:line="240" w:lineRule="auto"/>
              <w:jc w:val="center"/>
              <w:rPr>
                <w:color w:val="000000" w:themeColor="text1"/>
                <w:sz w:val="16"/>
                <w:szCs w:val="16"/>
              </w:rPr>
            </w:pPr>
            <w:r w:rsidRPr="00945BC1">
              <w:rPr>
                <w:color w:val="000000" w:themeColor="text1"/>
                <w:sz w:val="16"/>
                <w:szCs w:val="16"/>
              </w:rPr>
              <w:t>0,97</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14:paraId="092C3452" w14:textId="77777777" w:rsidR="00AE1976" w:rsidRPr="00945BC1" w:rsidRDefault="00AE1976" w:rsidP="0086555E">
            <w:pPr>
              <w:spacing w:line="240" w:lineRule="auto"/>
              <w:jc w:val="center"/>
              <w:rPr>
                <w:color w:val="000000" w:themeColor="text1"/>
                <w:sz w:val="16"/>
                <w:szCs w:val="16"/>
              </w:rPr>
            </w:pPr>
            <w:r w:rsidRPr="00945BC1">
              <w:rPr>
                <w:color w:val="000000" w:themeColor="text1"/>
                <w:sz w:val="16"/>
                <w:szCs w:val="16"/>
              </w:rPr>
              <w:t>0,99</w:t>
            </w:r>
          </w:p>
        </w:tc>
      </w:tr>
      <w:tr w:rsidR="00AE1976" w:rsidRPr="00DB2862" w14:paraId="35B34C32" w14:textId="77777777" w:rsidTr="00844C7D">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3B314" w14:textId="77777777" w:rsidR="00AE1976" w:rsidRPr="00945BC1" w:rsidRDefault="00AE1976" w:rsidP="0086555E">
            <w:pPr>
              <w:spacing w:line="240" w:lineRule="auto"/>
              <w:jc w:val="left"/>
              <w:rPr>
                <w:color w:val="000000" w:themeColor="text1"/>
                <w:sz w:val="16"/>
                <w:szCs w:val="16"/>
              </w:rPr>
            </w:pPr>
            <w:r w:rsidRPr="00945BC1">
              <w:rPr>
                <w:color w:val="000000" w:themeColor="text1"/>
                <w:sz w:val="16"/>
                <w:szCs w:val="16"/>
              </w:rPr>
              <w:t>Mano de Obra + Cargas Sociales + IVA (INE)</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14:paraId="6D123007" w14:textId="77777777" w:rsidR="00AE1976" w:rsidRPr="00945BC1" w:rsidRDefault="00AE1976" w:rsidP="0086555E">
            <w:pPr>
              <w:spacing w:line="240" w:lineRule="auto"/>
              <w:jc w:val="center"/>
              <w:rPr>
                <w:color w:val="000000" w:themeColor="text1"/>
                <w:sz w:val="16"/>
                <w:szCs w:val="16"/>
              </w:rPr>
            </w:pPr>
            <w:r w:rsidRPr="00945BC1">
              <w:rPr>
                <w:color w:val="000000" w:themeColor="text1"/>
                <w:sz w:val="16"/>
                <w:szCs w:val="16"/>
              </w:rPr>
              <w:t>2,63%</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6DC975B3" w14:textId="77777777" w:rsidR="00AE1976" w:rsidRPr="00945BC1" w:rsidRDefault="00AE1976" w:rsidP="0086555E">
            <w:pPr>
              <w:spacing w:line="240" w:lineRule="auto"/>
              <w:jc w:val="center"/>
              <w:rPr>
                <w:color w:val="000000" w:themeColor="text1"/>
                <w:sz w:val="16"/>
                <w:szCs w:val="16"/>
              </w:rPr>
            </w:pPr>
            <w:r w:rsidRPr="00945BC1">
              <w:rPr>
                <w:color w:val="000000" w:themeColor="text1"/>
                <w:sz w:val="16"/>
                <w:szCs w:val="16"/>
              </w:rPr>
              <w:t>11,63%</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14:paraId="64B5494A" w14:textId="77777777" w:rsidR="00AE1976" w:rsidRPr="00945BC1" w:rsidRDefault="00AE1976" w:rsidP="0086555E">
            <w:pPr>
              <w:spacing w:line="240" w:lineRule="auto"/>
              <w:jc w:val="center"/>
              <w:rPr>
                <w:color w:val="000000" w:themeColor="text1"/>
                <w:sz w:val="16"/>
                <w:szCs w:val="16"/>
              </w:rPr>
            </w:pPr>
            <w:r w:rsidRPr="00945BC1">
              <w:rPr>
                <w:color w:val="000000" w:themeColor="text1"/>
                <w:sz w:val="16"/>
                <w:szCs w:val="16"/>
              </w:rPr>
              <w:t>17,01%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9C98011" w14:textId="77777777" w:rsidR="00AE1976" w:rsidRPr="00945BC1" w:rsidRDefault="00AE1976" w:rsidP="0086555E">
            <w:pPr>
              <w:spacing w:line="240" w:lineRule="auto"/>
              <w:jc w:val="center"/>
              <w:rPr>
                <w:color w:val="000000" w:themeColor="text1"/>
                <w:sz w:val="16"/>
                <w:szCs w:val="16"/>
              </w:rPr>
            </w:pPr>
            <w:r w:rsidRPr="00945BC1">
              <w:rPr>
                <w:color w:val="000000" w:themeColor="text1"/>
                <w:sz w:val="16"/>
                <w:szCs w:val="16"/>
              </w:rPr>
              <w:t>2,40%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242BA08" w14:textId="77777777" w:rsidR="00AE1976" w:rsidRPr="00945BC1" w:rsidRDefault="00AE1976" w:rsidP="0086555E">
            <w:pPr>
              <w:spacing w:line="240" w:lineRule="auto"/>
              <w:jc w:val="center"/>
              <w:rPr>
                <w:color w:val="000000" w:themeColor="text1"/>
                <w:sz w:val="16"/>
                <w:szCs w:val="16"/>
              </w:rPr>
            </w:pPr>
            <w:r w:rsidRPr="00945BC1">
              <w:rPr>
                <w:color w:val="000000" w:themeColor="text1"/>
                <w:sz w:val="16"/>
                <w:szCs w:val="16"/>
              </w:rPr>
              <w:t>0,97</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14:paraId="34E7A50A" w14:textId="77777777" w:rsidR="00AE1976" w:rsidRPr="00945BC1" w:rsidRDefault="00AE1976" w:rsidP="0086555E">
            <w:pPr>
              <w:spacing w:line="240" w:lineRule="auto"/>
              <w:jc w:val="center"/>
              <w:rPr>
                <w:color w:val="000000" w:themeColor="text1"/>
                <w:sz w:val="16"/>
                <w:szCs w:val="16"/>
              </w:rPr>
            </w:pPr>
            <w:r w:rsidRPr="00945BC1">
              <w:rPr>
                <w:color w:val="000000" w:themeColor="text1"/>
                <w:sz w:val="16"/>
                <w:szCs w:val="16"/>
              </w:rPr>
              <w:t>0,99</w:t>
            </w:r>
          </w:p>
        </w:tc>
      </w:tr>
    </w:tbl>
    <w:p w14:paraId="3DC3B9F4" w14:textId="4CAE8D96" w:rsidR="00AE1976" w:rsidRPr="00E25E91" w:rsidRDefault="00AE1976" w:rsidP="00AE1976">
      <w:pPr>
        <w:jc w:val="center"/>
        <w:rPr>
          <w:sz w:val="18"/>
          <w:szCs w:val="18"/>
        </w:rPr>
      </w:pPr>
      <w:r w:rsidRPr="00E25E91">
        <w:rPr>
          <w:sz w:val="18"/>
          <w:szCs w:val="18"/>
        </w:rPr>
        <w:t xml:space="preserve">Fuente: Elaboración propia </w:t>
      </w:r>
    </w:p>
    <w:p w14:paraId="2045495E" w14:textId="77777777" w:rsidR="00A723A3" w:rsidRPr="00B80F21" w:rsidRDefault="00A723A3" w:rsidP="00B80F21"/>
    <w:sectPr w:rsidR="00A723A3" w:rsidRPr="00B80F21" w:rsidSect="00804429">
      <w:footerReference w:type="default" r:id="rId27"/>
      <w:footerReference w:type="first" r:id="rId2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0A33F" w14:textId="77777777" w:rsidR="000A3AF8" w:rsidRDefault="000A3AF8" w:rsidP="00E25E91">
      <w:r>
        <w:separator/>
      </w:r>
    </w:p>
  </w:endnote>
  <w:endnote w:type="continuationSeparator" w:id="0">
    <w:p w14:paraId="6497CB48" w14:textId="77777777" w:rsidR="000A3AF8" w:rsidRDefault="000A3AF8" w:rsidP="00E25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9235883"/>
      <w:docPartObj>
        <w:docPartGallery w:val="Page Numbers (Bottom of Page)"/>
        <w:docPartUnique/>
      </w:docPartObj>
    </w:sdtPr>
    <w:sdtEndPr>
      <w:rPr>
        <w:color w:val="808080" w:themeColor="background1" w:themeShade="80"/>
        <w:spacing w:val="60"/>
        <w:lang w:val="es-ES"/>
      </w:rPr>
    </w:sdtEndPr>
    <w:sdtContent>
      <w:p w14:paraId="15664C85" w14:textId="08E97CA9" w:rsidR="00DB6731" w:rsidRDefault="00DB6731" w:rsidP="00E25E91">
        <w:pPr>
          <w:pStyle w:val="Footer"/>
        </w:pPr>
        <w:r>
          <w:fldChar w:fldCharType="begin"/>
        </w:r>
        <w:r>
          <w:instrText>PAGE   \* MERGEFORMAT</w:instrText>
        </w:r>
        <w:r>
          <w:fldChar w:fldCharType="separate"/>
        </w:r>
        <w:r w:rsidR="001D1E64" w:rsidRPr="001D1E64">
          <w:rPr>
            <w:noProof/>
            <w:lang w:val="es-ES"/>
          </w:rPr>
          <w:t>20</w:t>
        </w:r>
        <w:r>
          <w:fldChar w:fldCharType="end"/>
        </w:r>
        <w:r>
          <w:rPr>
            <w:lang w:val="es-ES"/>
          </w:rPr>
          <w:t xml:space="preserve"> | </w:t>
        </w:r>
        <w:r>
          <w:rPr>
            <w:color w:val="808080" w:themeColor="background1" w:themeShade="80"/>
            <w:spacing w:val="60"/>
            <w:lang w:val="es-ES"/>
          </w:rPr>
          <w:t>Página</w:t>
        </w:r>
      </w:p>
    </w:sdtContent>
  </w:sdt>
  <w:p w14:paraId="170352B0" w14:textId="77777777" w:rsidR="00DB6731" w:rsidRDefault="00DB6731" w:rsidP="00E25E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13EAB" w14:textId="29C57DED" w:rsidR="00DB6731" w:rsidRDefault="00DB6731" w:rsidP="00E25E91">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A8E02" w14:textId="77777777" w:rsidR="000A3AF8" w:rsidRDefault="000A3AF8" w:rsidP="00E25E91">
      <w:r>
        <w:separator/>
      </w:r>
    </w:p>
  </w:footnote>
  <w:footnote w:type="continuationSeparator" w:id="0">
    <w:p w14:paraId="37DEE092" w14:textId="77777777" w:rsidR="000A3AF8" w:rsidRDefault="000A3AF8" w:rsidP="00E25E91">
      <w:r>
        <w:continuationSeparator/>
      </w:r>
    </w:p>
  </w:footnote>
  <w:footnote w:id="1">
    <w:p w14:paraId="48F0D8F6" w14:textId="3F9617B3" w:rsidR="00DB6731" w:rsidRPr="00C937CA" w:rsidRDefault="00DB6731">
      <w:pPr>
        <w:pStyle w:val="FootnoteText"/>
        <w:rPr>
          <w:lang w:val="es-CO"/>
        </w:rPr>
      </w:pPr>
      <w:r>
        <w:rPr>
          <w:rStyle w:val="FootnoteReference"/>
        </w:rPr>
        <w:footnoteRef/>
      </w:r>
      <w:r>
        <w:t xml:space="preserve"> </w:t>
      </w:r>
      <w:r>
        <w:rPr>
          <w:lang w:val="es-CO"/>
        </w:rPr>
        <w:t xml:space="preserve">Estudio TESA – Tramo Angostura-Comarapa / Subtramo III – Mairana-Bermejo, Resumen Ejecutivo. ABC – BID, </w:t>
      </w:r>
      <w:r w:rsidRPr="00837F78">
        <w:rPr>
          <w:lang w:val="es-CO"/>
        </w:rPr>
        <w:t>CPS DE INGEGNIERÍA S</w:t>
      </w:r>
      <w:r>
        <w:rPr>
          <w:lang w:val="es-CO"/>
        </w:rPr>
        <w:t>.A.C. - BELMONTE INGENIEROS SRL, 2016</w:t>
      </w:r>
    </w:p>
  </w:footnote>
  <w:footnote w:id="2">
    <w:p w14:paraId="6CB7B901" w14:textId="603F41CB" w:rsidR="00DB6731" w:rsidRPr="00162B13" w:rsidRDefault="00DB6731">
      <w:pPr>
        <w:pStyle w:val="FootnoteText"/>
        <w:rPr>
          <w:lang w:val="es-CO"/>
        </w:rPr>
      </w:pPr>
      <w:r>
        <w:rPr>
          <w:rStyle w:val="FootnoteReference"/>
        </w:rPr>
        <w:footnoteRef/>
      </w:r>
      <w:r>
        <w:t xml:space="preserve"> </w:t>
      </w:r>
      <w:r w:rsidRPr="00780B15">
        <w:rPr>
          <w:b/>
        </w:rPr>
        <w:t xml:space="preserve">Provisión empleada </w:t>
      </w:r>
      <w:r w:rsidRPr="00780B15">
        <w:rPr>
          <w:b/>
          <w:lang w:val="es-CO"/>
        </w:rPr>
        <w:t>en los estudios TESA y objeto de revisión en el marco del presente estudio</w:t>
      </w:r>
      <w:r>
        <w:rPr>
          <w:lang w:val="es-CO"/>
        </w:rPr>
        <w:t>.</w:t>
      </w:r>
    </w:p>
  </w:footnote>
  <w:footnote w:id="3">
    <w:p w14:paraId="33B3F86B" w14:textId="39C29A54" w:rsidR="00DB6731" w:rsidRPr="00837F78" w:rsidRDefault="00DB6731">
      <w:pPr>
        <w:pStyle w:val="FootnoteText"/>
        <w:rPr>
          <w:lang w:val="es-CO"/>
        </w:rPr>
      </w:pPr>
      <w:r>
        <w:rPr>
          <w:rStyle w:val="FootnoteReference"/>
        </w:rPr>
        <w:footnoteRef/>
      </w:r>
      <w:r>
        <w:t xml:space="preserve"> </w:t>
      </w:r>
      <w:r>
        <w:rPr>
          <w:lang w:val="es-CO"/>
        </w:rPr>
        <w:t xml:space="preserve">Estudio TESA – Tramo Angostura-Comarapa / Subtramo III – Mairana-Bermejo, Resumen Ejecutivo. ABC – BID, </w:t>
      </w:r>
      <w:r w:rsidRPr="00837F78">
        <w:rPr>
          <w:lang w:val="es-CO"/>
        </w:rPr>
        <w:t>CPS DE INGEGNIERÍA S</w:t>
      </w:r>
      <w:r>
        <w:rPr>
          <w:lang w:val="es-CO"/>
        </w:rPr>
        <w:t>.A.C. - BELMONTE INGENIEROS SRL, 2016</w:t>
      </w:r>
    </w:p>
  </w:footnote>
  <w:footnote w:id="4">
    <w:p w14:paraId="066A13E3" w14:textId="4CC34FF1" w:rsidR="00DB6731" w:rsidRPr="00837F78" w:rsidRDefault="00DB6731">
      <w:pPr>
        <w:pStyle w:val="FootnoteText"/>
        <w:rPr>
          <w:lang w:val="es-CO"/>
        </w:rPr>
      </w:pPr>
      <w:r>
        <w:rPr>
          <w:rStyle w:val="FootnoteReference"/>
        </w:rPr>
        <w:footnoteRef/>
      </w:r>
      <w:r>
        <w:t xml:space="preserve"> </w:t>
      </w:r>
      <w:r>
        <w:rPr>
          <w:lang w:val="es-CO"/>
        </w:rPr>
        <w:t>Idem</w:t>
      </w:r>
    </w:p>
  </w:footnote>
  <w:footnote w:id="5">
    <w:p w14:paraId="4633C22F" w14:textId="379DE466" w:rsidR="00DB6731" w:rsidRPr="00837F78" w:rsidRDefault="00DB6731">
      <w:pPr>
        <w:pStyle w:val="FootnoteText"/>
        <w:rPr>
          <w:lang w:val="es-CO"/>
        </w:rPr>
      </w:pPr>
      <w:r>
        <w:rPr>
          <w:rStyle w:val="FootnoteReference"/>
        </w:rPr>
        <w:footnoteRef/>
      </w:r>
      <w:r>
        <w:t xml:space="preserve"> </w:t>
      </w:r>
      <w:r>
        <w:rPr>
          <w:lang w:val="es-CO"/>
        </w:rPr>
        <w:t>Términos de referencia contratación estudio costos adicionales – BID.</w:t>
      </w:r>
    </w:p>
  </w:footnote>
  <w:footnote w:id="6">
    <w:p w14:paraId="5F22A774" w14:textId="7857B3E6" w:rsidR="00DB6731" w:rsidRPr="002E2223" w:rsidRDefault="00DB6731">
      <w:pPr>
        <w:pStyle w:val="FootnoteText"/>
        <w:rPr>
          <w:lang w:val="es-CO"/>
        </w:rPr>
      </w:pPr>
      <w:r>
        <w:rPr>
          <w:rStyle w:val="FootnoteReference"/>
        </w:rPr>
        <w:footnoteRef/>
      </w:r>
      <w:r>
        <w:t xml:space="preserve"> </w:t>
      </w:r>
      <w:r>
        <w:rPr>
          <w:lang w:val="es-CO"/>
        </w:rPr>
        <w:t xml:space="preserve">Estudio Integral Técnico, Económico, Social y Ambiental - TESA – para el diseño de obras de mantenimiento periódico en la Red Vial Fundamental - Tramo Angostura-Comarapa / Subtramo III – Mairana-Bermejo. ABC – BID, </w:t>
      </w:r>
      <w:r w:rsidRPr="00837F78">
        <w:rPr>
          <w:lang w:val="es-CO"/>
        </w:rPr>
        <w:t>CPS DE INGEGNIERÍA S</w:t>
      </w:r>
      <w:r>
        <w:rPr>
          <w:lang w:val="es-CO"/>
        </w:rPr>
        <w:t>.A.C. - BELMONTE INGENIEROS SRL, 2016</w:t>
      </w:r>
    </w:p>
  </w:footnote>
  <w:footnote w:id="7">
    <w:p w14:paraId="673938F5" w14:textId="73FE8151" w:rsidR="00DB6731" w:rsidRPr="00D314CC" w:rsidRDefault="00DB6731" w:rsidP="00972A54">
      <w:pPr>
        <w:pStyle w:val="FootnoteText"/>
        <w:rPr>
          <w:lang w:val="es-CO"/>
        </w:rPr>
      </w:pPr>
      <w:r>
        <w:rPr>
          <w:rStyle w:val="FootnoteReference"/>
        </w:rPr>
        <w:footnoteRef/>
      </w:r>
      <w:r w:rsidRPr="00D314CC">
        <w:rPr>
          <w:lang w:val="es-CO"/>
        </w:rPr>
        <w:t xml:space="preserve"> Ing. Leonardo Vásquez para BID, Febrero de 2016.</w:t>
      </w:r>
    </w:p>
  </w:footnote>
  <w:footnote w:id="8">
    <w:p w14:paraId="03779E96" w14:textId="17815771" w:rsidR="00DB6731" w:rsidRPr="00BD266C" w:rsidRDefault="00DB6731">
      <w:pPr>
        <w:pStyle w:val="FootnoteText"/>
        <w:rPr>
          <w:lang w:val="es-CO"/>
        </w:rPr>
      </w:pPr>
      <w:r>
        <w:rPr>
          <w:rStyle w:val="FootnoteReference"/>
        </w:rPr>
        <w:footnoteRef/>
      </w:r>
      <w:r>
        <w:t xml:space="preserve"> </w:t>
      </w:r>
      <w:r w:rsidRPr="00BD266C">
        <w:t>http://www.ine.gob.bo</w:t>
      </w:r>
    </w:p>
  </w:footnote>
  <w:footnote w:id="9">
    <w:p w14:paraId="57428503" w14:textId="4E607A56" w:rsidR="00DB6731" w:rsidRPr="00BD266C" w:rsidRDefault="00DB6731">
      <w:pPr>
        <w:pStyle w:val="FootnoteText"/>
        <w:rPr>
          <w:lang w:val="es-CO"/>
        </w:rPr>
      </w:pPr>
      <w:r>
        <w:rPr>
          <w:rStyle w:val="FootnoteReference"/>
        </w:rPr>
        <w:footnoteRef/>
      </w:r>
      <w:r>
        <w:t xml:space="preserve"> </w:t>
      </w:r>
      <w:r w:rsidRPr="00BD266C">
        <w:t>http://www.abc.gob.bo/informacion-estadistica-0</w:t>
      </w:r>
    </w:p>
  </w:footnote>
  <w:footnote w:id="10">
    <w:p w14:paraId="4B631900" w14:textId="77777777" w:rsidR="00DB6731" w:rsidRPr="00D314CC" w:rsidRDefault="00DB6731" w:rsidP="002A7F07">
      <w:pPr>
        <w:pStyle w:val="FootnoteText"/>
        <w:rPr>
          <w:lang w:val="es-CO"/>
        </w:rPr>
      </w:pPr>
      <w:r>
        <w:rPr>
          <w:rStyle w:val="FootnoteReference"/>
        </w:rPr>
        <w:footnoteRef/>
      </w:r>
      <w:r w:rsidRPr="00D314CC">
        <w:rPr>
          <w:lang w:val="es-CO"/>
        </w:rPr>
        <w:t xml:space="preserve"> (BID, 2015)</w:t>
      </w:r>
    </w:p>
  </w:footnote>
  <w:footnote w:id="11">
    <w:p w14:paraId="1DAE53DC" w14:textId="42148BBA" w:rsidR="00DB6731" w:rsidRPr="008C52F2" w:rsidRDefault="00DB6731">
      <w:pPr>
        <w:pStyle w:val="FootnoteText"/>
        <w:rPr>
          <w:lang w:val="es-CO"/>
        </w:rPr>
      </w:pPr>
      <w:r>
        <w:rPr>
          <w:rStyle w:val="FootnoteReference"/>
        </w:rPr>
        <w:footnoteRef/>
      </w:r>
      <w:r>
        <w:t xml:space="preserve"> </w:t>
      </w:r>
      <w:r>
        <w:rPr>
          <w:lang w:val="es-CO"/>
        </w:rPr>
        <w:t>(BID, 2017) Términos de Referencia contratación costos adicionales</w:t>
      </w:r>
    </w:p>
  </w:footnote>
  <w:footnote w:id="12">
    <w:p w14:paraId="187F3685" w14:textId="7B459AED" w:rsidR="00DB6731" w:rsidRPr="002622DF" w:rsidRDefault="00DB6731">
      <w:pPr>
        <w:pStyle w:val="FootnoteText"/>
        <w:rPr>
          <w:lang w:val="es-CO"/>
        </w:rPr>
      </w:pPr>
      <w:r>
        <w:rPr>
          <w:rStyle w:val="FootnoteReference"/>
        </w:rPr>
        <w:footnoteRef/>
      </w:r>
      <w:r>
        <w:t xml:space="preserve"> </w:t>
      </w:r>
      <w:r w:rsidRPr="002622DF">
        <w:t>Project Management Institute</w:t>
      </w:r>
    </w:p>
  </w:footnote>
  <w:footnote w:id="13">
    <w:p w14:paraId="2786A539" w14:textId="77777777" w:rsidR="00DB6731" w:rsidRPr="0079153B" w:rsidRDefault="00DB6731" w:rsidP="002622DF">
      <w:pPr>
        <w:pStyle w:val="FootnoteText"/>
        <w:rPr>
          <w:rFonts w:asciiTheme="minorHAnsi" w:hAnsiTheme="minorHAnsi" w:cstheme="minorHAnsi"/>
          <w:lang w:val="es-MX"/>
        </w:rPr>
      </w:pPr>
      <w:r w:rsidRPr="0079153B">
        <w:rPr>
          <w:rStyle w:val="FootnoteReference"/>
          <w:rFonts w:asciiTheme="minorHAnsi" w:hAnsiTheme="minorHAnsi" w:cstheme="minorHAnsi"/>
        </w:rPr>
        <w:footnoteRef/>
      </w:r>
      <w:r w:rsidRPr="0079153B">
        <w:rPr>
          <w:rFonts w:asciiTheme="minorHAnsi" w:hAnsiTheme="minorHAnsi" w:cstheme="minorHAnsi"/>
          <w:lang w:val="es-MX"/>
        </w:rPr>
        <w:t xml:space="preserve"> Project Management Body of Knowledge del Project Management Institute, guía ampliamente aceptada </w:t>
      </w:r>
      <w:r>
        <w:rPr>
          <w:rFonts w:asciiTheme="minorHAnsi" w:hAnsiTheme="minorHAnsi" w:cstheme="minorHAnsi"/>
          <w:lang w:val="es-MX"/>
        </w:rPr>
        <w:t xml:space="preserve">como </w:t>
      </w:r>
      <w:r w:rsidRPr="0079153B">
        <w:rPr>
          <w:rFonts w:asciiTheme="minorHAnsi" w:hAnsiTheme="minorHAnsi" w:cstheme="minorHAnsi"/>
          <w:lang w:val="es-MX"/>
        </w:rPr>
        <w:t>estándar en la gestión de proyectos</w:t>
      </w:r>
      <w:r>
        <w:rPr>
          <w:rFonts w:asciiTheme="minorHAnsi" w:hAnsiTheme="minorHAnsi" w:cstheme="minorHAnsi"/>
          <w:lang w:val="es-MX"/>
        </w:rPr>
        <w:t>.</w:t>
      </w:r>
    </w:p>
  </w:footnote>
  <w:footnote w:id="14">
    <w:p w14:paraId="491715D5" w14:textId="77777777" w:rsidR="00DB6731" w:rsidRPr="00BD266C" w:rsidRDefault="00DB6731" w:rsidP="002868E2">
      <w:pPr>
        <w:pStyle w:val="FootnoteText"/>
        <w:rPr>
          <w:lang w:val="es-CO"/>
        </w:rPr>
      </w:pPr>
      <w:r>
        <w:rPr>
          <w:rStyle w:val="FootnoteReference"/>
        </w:rPr>
        <w:footnoteRef/>
      </w:r>
      <w:r>
        <w:t xml:space="preserve"> </w:t>
      </w:r>
      <w:r w:rsidRPr="00BD266C">
        <w:t>http://www.ine.gob.bo</w:t>
      </w:r>
    </w:p>
  </w:footnote>
  <w:footnote w:id="15">
    <w:p w14:paraId="236F3AA1" w14:textId="77777777" w:rsidR="00DB6731" w:rsidRPr="00BD266C" w:rsidRDefault="00DB6731" w:rsidP="002868E2">
      <w:pPr>
        <w:pStyle w:val="FootnoteText"/>
        <w:rPr>
          <w:lang w:val="es-CO"/>
        </w:rPr>
      </w:pPr>
      <w:r>
        <w:rPr>
          <w:rStyle w:val="FootnoteReference"/>
        </w:rPr>
        <w:footnoteRef/>
      </w:r>
      <w:r>
        <w:t xml:space="preserve"> </w:t>
      </w:r>
      <w:r w:rsidRPr="00BD266C">
        <w:t>http://www.abc.gob.bo/informacion-estadistica-0</w:t>
      </w:r>
    </w:p>
  </w:footnote>
  <w:footnote w:id="16">
    <w:p w14:paraId="6DE136CE" w14:textId="782CFEE0" w:rsidR="00DB6731" w:rsidRPr="00BD6957" w:rsidRDefault="00DB6731">
      <w:pPr>
        <w:pStyle w:val="FootnoteText"/>
      </w:pPr>
      <w:r>
        <w:rPr>
          <w:rStyle w:val="FootnoteReference"/>
        </w:rPr>
        <w:footnoteRef/>
      </w:r>
      <w:r>
        <w:t xml:space="preserve"> </w:t>
      </w:r>
      <w:r w:rsidRPr="002868E2">
        <w:t>https://www.bcb.gob.bo/</w:t>
      </w:r>
    </w:p>
  </w:footnote>
  <w:footnote w:id="17">
    <w:p w14:paraId="2567235D" w14:textId="0675FD99" w:rsidR="00DB6731" w:rsidRPr="00D02505" w:rsidRDefault="00DB6731">
      <w:pPr>
        <w:pStyle w:val="FootnoteText"/>
        <w:rPr>
          <w:lang w:val="es-CO"/>
        </w:rPr>
      </w:pPr>
      <w:r>
        <w:rPr>
          <w:rStyle w:val="FootnoteReference"/>
        </w:rPr>
        <w:footnoteRef/>
      </w:r>
      <w:r>
        <w:t xml:space="preserve"> </w:t>
      </w:r>
      <w:r w:rsidRPr="003E3BAB">
        <w:t>Estudio Integral Técnico, Económico, Social y Ambiental - TESA – para el diseño de obras de mantenimiento periódico en la Red Vial Fundamental - Tramo Angostura-Comarapa / Subtramo III – Mairana-Bermejo. ABC – BID, CPS DE INGEGNIERÍA S.A.C. - BELMONTE INGENIEROS SRL, 2016</w:t>
      </w:r>
    </w:p>
  </w:footnote>
  <w:footnote w:id="18">
    <w:p w14:paraId="78381AEA" w14:textId="091B38DE" w:rsidR="00DB6731" w:rsidRPr="00BA40DD" w:rsidRDefault="00DB6731">
      <w:pPr>
        <w:pStyle w:val="FootnoteText"/>
        <w:rPr>
          <w:lang w:val="es-CO"/>
        </w:rPr>
      </w:pPr>
      <w:r>
        <w:rPr>
          <w:rStyle w:val="FootnoteReference"/>
        </w:rPr>
        <w:footnoteRef/>
      </w:r>
      <w:r>
        <w:t xml:space="preserve"> </w:t>
      </w:r>
      <w:r>
        <w:rPr>
          <w:lang w:val="es-CO"/>
        </w:rPr>
        <w:t>Idem</w:t>
      </w:r>
    </w:p>
  </w:footnote>
  <w:footnote w:id="19">
    <w:p w14:paraId="02F19714" w14:textId="3D2DB038" w:rsidR="00DB6731" w:rsidRPr="006F4907" w:rsidRDefault="00DB6731">
      <w:pPr>
        <w:pStyle w:val="FootnoteText"/>
        <w:rPr>
          <w:lang w:val="es-CO"/>
        </w:rPr>
      </w:pPr>
      <w:r>
        <w:rPr>
          <w:rStyle w:val="FootnoteReference"/>
        </w:rPr>
        <w:footnoteRef/>
      </w:r>
      <w:r>
        <w:t xml:space="preserve"> </w:t>
      </w:r>
      <w:r w:rsidRPr="00895FD8">
        <w:rPr>
          <w:b/>
          <w:lang w:val="es-CO"/>
        </w:rPr>
        <w:t>Factor a evaluar en el marco del presente estudio.</w:t>
      </w:r>
    </w:p>
  </w:footnote>
  <w:footnote w:id="20">
    <w:p w14:paraId="6A3E3A59" w14:textId="77777777" w:rsidR="00DB6731" w:rsidRPr="00837F78" w:rsidRDefault="00DB6731" w:rsidP="00AC7B9F">
      <w:pPr>
        <w:pStyle w:val="FootnoteText"/>
        <w:rPr>
          <w:lang w:val="es-CO"/>
        </w:rPr>
      </w:pPr>
      <w:r>
        <w:rPr>
          <w:rStyle w:val="FootnoteReference"/>
        </w:rPr>
        <w:footnoteRef/>
      </w:r>
      <w:r>
        <w:t xml:space="preserve"> </w:t>
      </w:r>
      <w:r>
        <w:rPr>
          <w:lang w:val="es-CO"/>
        </w:rPr>
        <w:t xml:space="preserve">Estudio TESA – Tramo Angostura-Comarapa / Subtramo III – Mairana-Bermejo, Resumen Ejecutivo. ABC – BID, </w:t>
      </w:r>
      <w:r w:rsidRPr="00837F78">
        <w:rPr>
          <w:lang w:val="es-CO"/>
        </w:rPr>
        <w:t>CPS DE INGEGNIERÍA S</w:t>
      </w:r>
      <w:r>
        <w:rPr>
          <w:lang w:val="es-CO"/>
        </w:rPr>
        <w:t>.A.C. - BELMONTE INGENIEROS SRL, 2016</w:t>
      </w:r>
    </w:p>
  </w:footnote>
  <w:footnote w:id="21">
    <w:p w14:paraId="53F14CFC" w14:textId="69AD2270" w:rsidR="00DB6731" w:rsidRPr="00837F78" w:rsidRDefault="00DB6731" w:rsidP="009C2F01">
      <w:pPr>
        <w:pStyle w:val="FootnoteText"/>
        <w:rPr>
          <w:lang w:val="es-CO"/>
        </w:rPr>
      </w:pPr>
      <w:r>
        <w:rPr>
          <w:rStyle w:val="FootnoteReference"/>
        </w:rPr>
        <w:footnoteRef/>
      </w:r>
      <w:r>
        <w:t xml:space="preserve"> </w:t>
      </w:r>
      <w:r>
        <w:rPr>
          <w:lang w:val="es-CO"/>
        </w:rPr>
        <w:t>TESA, 2016.</w:t>
      </w:r>
    </w:p>
  </w:footnote>
  <w:footnote w:id="22">
    <w:p w14:paraId="25722378" w14:textId="389037AE" w:rsidR="00DB6731" w:rsidRPr="009C2F01" w:rsidRDefault="00DB6731">
      <w:pPr>
        <w:pStyle w:val="FootnoteText"/>
        <w:rPr>
          <w:lang w:val="es-CO"/>
        </w:rPr>
      </w:pPr>
      <w:r>
        <w:rPr>
          <w:rStyle w:val="FootnoteReference"/>
        </w:rPr>
        <w:footnoteRef/>
      </w:r>
      <w:r>
        <w:t xml:space="preserve"> </w:t>
      </w:r>
      <w:r>
        <w:rPr>
          <w:lang w:val="es-CO"/>
        </w:rPr>
        <w:t>Información funcionarios ABC</w:t>
      </w:r>
    </w:p>
  </w:footnote>
  <w:footnote w:id="23">
    <w:p w14:paraId="22FA3FAA" w14:textId="20AD3281" w:rsidR="00DB6731" w:rsidRPr="007D473D" w:rsidRDefault="00DB6731">
      <w:pPr>
        <w:pStyle w:val="FootnoteText"/>
        <w:rPr>
          <w:lang w:val="es-CO"/>
        </w:rPr>
      </w:pPr>
      <w:r>
        <w:rPr>
          <w:rStyle w:val="FootnoteReference"/>
        </w:rPr>
        <w:footnoteRef/>
      </w:r>
      <w:r>
        <w:t xml:space="preserve"> Precios base tomados del </w:t>
      </w:r>
      <w:r w:rsidRPr="007D473D">
        <w:t>“Estudio de Costos de Proyectos de Transporte en Bolivia y Evaluación Económica y Social de Proyectos para el Programa de Inversión -  ATN/OC–14682-BO // Valoración de la Incertidumbre Asociada a la Estimación de los Precios de Referencia y Estimación de Costos Adicionales // 2016” . Ing. Leonardo Vásquez (BID, Febrero de 2016)</w:t>
      </w:r>
      <w:r>
        <w:t>, actualizados a 2016 con índices de costos, fuentes: INE, BCB, ABC.</w:t>
      </w:r>
    </w:p>
  </w:footnote>
  <w:footnote w:id="24">
    <w:p w14:paraId="36CE6742" w14:textId="0577C22A" w:rsidR="00DB6731" w:rsidRPr="000B2591" w:rsidRDefault="00DB6731">
      <w:pPr>
        <w:pStyle w:val="FootnoteText"/>
        <w:rPr>
          <w:lang w:val="es-CO"/>
        </w:rPr>
      </w:pPr>
      <w:r>
        <w:rPr>
          <w:rStyle w:val="FootnoteReference"/>
        </w:rPr>
        <w:footnoteRef/>
      </w:r>
      <w:r>
        <w:t xml:space="preserve"> </w:t>
      </w:r>
      <w:r>
        <w:rPr>
          <w:lang w:val="es-CO"/>
        </w:rPr>
        <w:t>Idem.</w:t>
      </w:r>
    </w:p>
  </w:footnote>
  <w:footnote w:id="25">
    <w:p w14:paraId="469567AF" w14:textId="77777777" w:rsidR="00DB6731" w:rsidRPr="00BD266C" w:rsidRDefault="00DB6731" w:rsidP="004F6B12">
      <w:pPr>
        <w:pStyle w:val="FootnoteText"/>
        <w:rPr>
          <w:lang w:val="es-CO"/>
        </w:rPr>
      </w:pPr>
      <w:r>
        <w:rPr>
          <w:rStyle w:val="FootnoteReference"/>
        </w:rPr>
        <w:footnoteRef/>
      </w:r>
      <w:r>
        <w:t xml:space="preserve"> </w:t>
      </w:r>
      <w:r w:rsidRPr="00BD266C">
        <w:t>http://www.ine.gob.bo</w:t>
      </w:r>
    </w:p>
  </w:footnote>
  <w:footnote w:id="26">
    <w:p w14:paraId="6CB7872D" w14:textId="77777777" w:rsidR="00DB6731" w:rsidRPr="00BD266C" w:rsidRDefault="00DB6731" w:rsidP="004F6B12">
      <w:pPr>
        <w:pStyle w:val="FootnoteText"/>
        <w:rPr>
          <w:lang w:val="es-CO"/>
        </w:rPr>
      </w:pPr>
      <w:r>
        <w:rPr>
          <w:rStyle w:val="FootnoteReference"/>
        </w:rPr>
        <w:footnoteRef/>
      </w:r>
      <w:r>
        <w:t xml:space="preserve"> </w:t>
      </w:r>
      <w:r w:rsidRPr="00BD266C">
        <w:t>http://www.abc.gob.bo/informacion-estadistica-0</w:t>
      </w:r>
    </w:p>
  </w:footnote>
  <w:footnote w:id="27">
    <w:p w14:paraId="57C9CB0C" w14:textId="77777777" w:rsidR="00DB6731" w:rsidRPr="00BD6957" w:rsidRDefault="00DB6731" w:rsidP="004F6B12">
      <w:pPr>
        <w:pStyle w:val="FootnoteText"/>
      </w:pPr>
      <w:r>
        <w:rPr>
          <w:rStyle w:val="FootnoteReference"/>
        </w:rPr>
        <w:footnoteRef/>
      </w:r>
      <w:r>
        <w:t xml:space="preserve"> </w:t>
      </w:r>
      <w:r w:rsidRPr="002868E2">
        <w:t>https://www.bcb.gob.bo/</w:t>
      </w:r>
    </w:p>
  </w:footnote>
  <w:footnote w:id="28">
    <w:p w14:paraId="28D5B5C0" w14:textId="01F66A50" w:rsidR="00DB6731" w:rsidRPr="00492590" w:rsidRDefault="00DB6731">
      <w:pPr>
        <w:pStyle w:val="FootnoteText"/>
        <w:rPr>
          <w:lang w:val="es-CO"/>
        </w:rPr>
      </w:pPr>
      <w:r>
        <w:rPr>
          <w:rStyle w:val="FootnoteReference"/>
        </w:rPr>
        <w:footnoteRef/>
      </w:r>
      <w:r>
        <w:t xml:space="preserve"> Se reporta proyección de la variación nominal de precios según modelo ARIMA, tomando como base series de precios para el Departamento de Santa Cruz de la Sierra.</w:t>
      </w:r>
    </w:p>
  </w:footnote>
  <w:footnote w:id="29">
    <w:p w14:paraId="5E59E5D8" w14:textId="77777777" w:rsidR="00DB6731" w:rsidRPr="00BD4C3B" w:rsidRDefault="00DB6731" w:rsidP="00E5362D">
      <w:pPr>
        <w:pStyle w:val="FootnoteText"/>
        <w:rPr>
          <w:lang w:val="es-CO"/>
        </w:rPr>
      </w:pPr>
      <w:r>
        <w:rPr>
          <w:rStyle w:val="FootnoteReference"/>
        </w:rPr>
        <w:footnoteRef/>
      </w:r>
      <w:r>
        <w:t xml:space="preserve"> Considerando</w:t>
      </w:r>
      <w:r w:rsidRPr="00BD4C3B">
        <w:t xml:space="preserve"> su experiencia en </w:t>
      </w:r>
      <w:r>
        <w:t xml:space="preserve">la planeación y </w:t>
      </w:r>
      <w:r w:rsidRPr="00BD4C3B">
        <w:t>seguimiento a la ejecución de la construcción de proyectos viales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A4E95"/>
    <w:multiLevelType w:val="hybridMultilevel"/>
    <w:tmpl w:val="E0EA22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9C0371"/>
    <w:multiLevelType w:val="hybridMultilevel"/>
    <w:tmpl w:val="529C9D20"/>
    <w:lvl w:ilvl="0" w:tplc="240A0019">
      <w:start w:val="1"/>
      <w:numFmt w:val="lowerLetter"/>
      <w:lvlText w:val="%1."/>
      <w:lvlJc w:val="left"/>
      <w:pPr>
        <w:ind w:left="2160" w:hanging="360"/>
      </w:p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2" w15:restartNumberingAfterBreak="0">
    <w:nsid w:val="0DAB7FC9"/>
    <w:multiLevelType w:val="multilevel"/>
    <w:tmpl w:val="83D86616"/>
    <w:lvl w:ilvl="0">
      <w:start w:val="1"/>
      <w:numFmt w:val="upperRoman"/>
      <w:lvlRestart w:val="0"/>
      <w:pStyle w:val="Chapter"/>
      <w:lvlText w:val="%1."/>
      <w:lvlJc w:val="center"/>
      <w:pPr>
        <w:tabs>
          <w:tab w:val="num" w:pos="2250"/>
        </w:tabs>
        <w:ind w:left="1602" w:firstLine="288"/>
      </w:pPr>
      <w:rPr>
        <w:b/>
        <w:i w:val="0"/>
      </w:rPr>
    </w:lvl>
    <w:lvl w:ilvl="1">
      <w:start w:val="1"/>
      <w:numFmt w:val="decimal"/>
      <w:pStyle w:val="Paragraph"/>
      <w:isLgl/>
      <w:lvlText w:val="%1.%2"/>
      <w:lvlJc w:val="left"/>
      <w:pPr>
        <w:tabs>
          <w:tab w:val="num" w:pos="2448"/>
        </w:tabs>
        <w:ind w:left="2448" w:hanging="1296"/>
      </w:p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3" w15:restartNumberingAfterBreak="0">
    <w:nsid w:val="0E4F18D1"/>
    <w:multiLevelType w:val="hybridMultilevel"/>
    <w:tmpl w:val="9326A2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E6266F6"/>
    <w:multiLevelType w:val="hybridMultilevel"/>
    <w:tmpl w:val="1FB82D5A"/>
    <w:lvl w:ilvl="0" w:tplc="14DCA0C8">
      <w:start w:val="1"/>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3B65DE9"/>
    <w:multiLevelType w:val="hybridMultilevel"/>
    <w:tmpl w:val="174AB018"/>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6" w15:restartNumberingAfterBreak="0">
    <w:nsid w:val="14A40FC0"/>
    <w:multiLevelType w:val="hybridMultilevel"/>
    <w:tmpl w:val="DA0222D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7D0326C"/>
    <w:multiLevelType w:val="hybridMultilevel"/>
    <w:tmpl w:val="41C6A72C"/>
    <w:lvl w:ilvl="0" w:tplc="240A001B">
      <w:start w:val="1"/>
      <w:numFmt w:val="lowerRoman"/>
      <w:lvlText w:val="%1."/>
      <w:lvlJc w:val="right"/>
      <w:pPr>
        <w:ind w:left="2160" w:hanging="360"/>
      </w:p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8" w15:restartNumberingAfterBreak="0">
    <w:nsid w:val="189B31E1"/>
    <w:multiLevelType w:val="hybridMultilevel"/>
    <w:tmpl w:val="9836B8A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906382D"/>
    <w:multiLevelType w:val="hybridMultilevel"/>
    <w:tmpl w:val="D0FA92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CB503BE"/>
    <w:multiLevelType w:val="hybridMultilevel"/>
    <w:tmpl w:val="167856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DA03CDF"/>
    <w:multiLevelType w:val="hybridMultilevel"/>
    <w:tmpl w:val="116CBB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0BC13F4"/>
    <w:multiLevelType w:val="multilevel"/>
    <w:tmpl w:val="86502CF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22E73682"/>
    <w:multiLevelType w:val="hybridMultilevel"/>
    <w:tmpl w:val="8EC82FF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5055F3B"/>
    <w:multiLevelType w:val="hybridMultilevel"/>
    <w:tmpl w:val="3858F6B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541683A"/>
    <w:multiLevelType w:val="hybridMultilevel"/>
    <w:tmpl w:val="AAE6D8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54615FF"/>
    <w:multiLevelType w:val="hybridMultilevel"/>
    <w:tmpl w:val="360A80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7D67B11"/>
    <w:multiLevelType w:val="hybridMultilevel"/>
    <w:tmpl w:val="F6966B38"/>
    <w:lvl w:ilvl="0" w:tplc="2402C94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EA53125"/>
    <w:multiLevelType w:val="hybridMultilevel"/>
    <w:tmpl w:val="4192F9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F36561F"/>
    <w:multiLevelType w:val="hybridMultilevel"/>
    <w:tmpl w:val="153877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6860AC"/>
    <w:multiLevelType w:val="hybridMultilevel"/>
    <w:tmpl w:val="ADCAC53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1EE4178"/>
    <w:multiLevelType w:val="hybridMultilevel"/>
    <w:tmpl w:val="C9B4AE0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3D943C1"/>
    <w:multiLevelType w:val="hybridMultilevel"/>
    <w:tmpl w:val="F23A2CC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6BB5652"/>
    <w:multiLevelType w:val="hybridMultilevel"/>
    <w:tmpl w:val="7D30354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CE2576C"/>
    <w:multiLevelType w:val="hybridMultilevel"/>
    <w:tmpl w:val="202A74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3DE11E4C"/>
    <w:multiLevelType w:val="hybridMultilevel"/>
    <w:tmpl w:val="0FC44866"/>
    <w:lvl w:ilvl="0" w:tplc="240A0003">
      <w:start w:val="1"/>
      <w:numFmt w:val="bullet"/>
      <w:lvlText w:val="o"/>
      <w:lvlJc w:val="left"/>
      <w:pPr>
        <w:ind w:left="1068" w:hanging="360"/>
      </w:pPr>
      <w:rPr>
        <w:rFonts w:ascii="Courier New" w:hAnsi="Courier New" w:cs="Courier New"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6" w15:restartNumberingAfterBreak="0">
    <w:nsid w:val="3E3F4378"/>
    <w:multiLevelType w:val="hybridMultilevel"/>
    <w:tmpl w:val="0CA6B6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6270F31"/>
    <w:multiLevelType w:val="hybridMultilevel"/>
    <w:tmpl w:val="9EF814D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7FF38FF"/>
    <w:multiLevelType w:val="hybridMultilevel"/>
    <w:tmpl w:val="B644D93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CF60B1"/>
    <w:multiLevelType w:val="hybridMultilevel"/>
    <w:tmpl w:val="556A25AE"/>
    <w:lvl w:ilvl="0" w:tplc="240A0003">
      <w:start w:val="1"/>
      <w:numFmt w:val="bullet"/>
      <w:lvlText w:val="o"/>
      <w:lvlJc w:val="left"/>
      <w:pPr>
        <w:ind w:left="1428" w:hanging="360"/>
      </w:pPr>
      <w:rPr>
        <w:rFonts w:ascii="Courier New" w:hAnsi="Courier New" w:cs="Courier New"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0" w15:restartNumberingAfterBreak="0">
    <w:nsid w:val="4E931FD4"/>
    <w:multiLevelType w:val="hybridMultilevel"/>
    <w:tmpl w:val="84B8F08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4EE72EEB"/>
    <w:multiLevelType w:val="hybridMultilevel"/>
    <w:tmpl w:val="498260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1127496"/>
    <w:multiLevelType w:val="hybridMultilevel"/>
    <w:tmpl w:val="C284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43B28FD"/>
    <w:multiLevelType w:val="hybridMultilevel"/>
    <w:tmpl w:val="4A6A5A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7412C6E"/>
    <w:multiLevelType w:val="hybridMultilevel"/>
    <w:tmpl w:val="5386B8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8B01E15"/>
    <w:multiLevelType w:val="hybridMultilevel"/>
    <w:tmpl w:val="7906509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B464A92"/>
    <w:multiLevelType w:val="hybridMultilevel"/>
    <w:tmpl w:val="0414C6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2CB5974"/>
    <w:multiLevelType w:val="hybridMultilevel"/>
    <w:tmpl w:val="DF64C1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2E23BAB"/>
    <w:multiLevelType w:val="hybridMultilevel"/>
    <w:tmpl w:val="7D407C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4101190"/>
    <w:multiLevelType w:val="hybridMultilevel"/>
    <w:tmpl w:val="DDE67F9E"/>
    <w:lvl w:ilvl="0" w:tplc="240A0013">
      <w:start w:val="1"/>
      <w:numFmt w:val="upperRoman"/>
      <w:lvlText w:val="%1."/>
      <w:lvlJc w:val="right"/>
      <w:pPr>
        <w:ind w:left="2160" w:hanging="360"/>
      </w:p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40" w15:restartNumberingAfterBreak="0">
    <w:nsid w:val="6C2930D0"/>
    <w:multiLevelType w:val="hybridMultilevel"/>
    <w:tmpl w:val="A878AF6A"/>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5EA667F"/>
    <w:multiLevelType w:val="hybridMultilevel"/>
    <w:tmpl w:val="D114A5C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A974E14"/>
    <w:multiLevelType w:val="hybridMultilevel"/>
    <w:tmpl w:val="0756B9B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DA74C07"/>
    <w:multiLevelType w:val="hybridMultilevel"/>
    <w:tmpl w:val="C0E219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F925710"/>
    <w:multiLevelType w:val="hybridMultilevel"/>
    <w:tmpl w:val="8CE81296"/>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5"/>
  </w:num>
  <w:num w:numId="5">
    <w:abstractNumId w:val="9"/>
  </w:num>
  <w:num w:numId="6">
    <w:abstractNumId w:val="2"/>
  </w:num>
  <w:num w:numId="7">
    <w:abstractNumId w:val="0"/>
  </w:num>
  <w:num w:numId="8">
    <w:abstractNumId w:val="23"/>
  </w:num>
  <w:num w:numId="9">
    <w:abstractNumId w:val="3"/>
  </w:num>
  <w:num w:numId="10">
    <w:abstractNumId w:val="14"/>
  </w:num>
  <w:num w:numId="11">
    <w:abstractNumId w:val="1"/>
  </w:num>
  <w:num w:numId="12">
    <w:abstractNumId w:val="37"/>
  </w:num>
  <w:num w:numId="13">
    <w:abstractNumId w:val="13"/>
  </w:num>
  <w:num w:numId="14">
    <w:abstractNumId w:val="20"/>
  </w:num>
  <w:num w:numId="15">
    <w:abstractNumId w:val="17"/>
  </w:num>
  <w:num w:numId="16">
    <w:abstractNumId w:val="31"/>
  </w:num>
  <w:num w:numId="17">
    <w:abstractNumId w:val="25"/>
  </w:num>
  <w:num w:numId="18">
    <w:abstractNumId w:val="18"/>
  </w:num>
  <w:num w:numId="19">
    <w:abstractNumId w:val="30"/>
  </w:num>
  <w:num w:numId="20">
    <w:abstractNumId w:val="11"/>
  </w:num>
  <w:num w:numId="21">
    <w:abstractNumId w:val="24"/>
  </w:num>
  <w:num w:numId="22">
    <w:abstractNumId w:val="26"/>
  </w:num>
  <w:num w:numId="23">
    <w:abstractNumId w:val="4"/>
  </w:num>
  <w:num w:numId="24">
    <w:abstractNumId w:val="32"/>
  </w:num>
  <w:num w:numId="25">
    <w:abstractNumId w:val="16"/>
  </w:num>
  <w:num w:numId="26">
    <w:abstractNumId w:val="43"/>
  </w:num>
  <w:num w:numId="27">
    <w:abstractNumId w:val="34"/>
  </w:num>
  <w:num w:numId="28">
    <w:abstractNumId w:val="21"/>
  </w:num>
  <w:num w:numId="29">
    <w:abstractNumId w:val="36"/>
  </w:num>
  <w:num w:numId="30">
    <w:abstractNumId w:val="28"/>
  </w:num>
  <w:num w:numId="31">
    <w:abstractNumId w:val="22"/>
  </w:num>
  <w:num w:numId="32">
    <w:abstractNumId w:val="27"/>
  </w:num>
  <w:num w:numId="33">
    <w:abstractNumId w:val="39"/>
  </w:num>
  <w:num w:numId="34">
    <w:abstractNumId w:val="7"/>
  </w:num>
  <w:num w:numId="35">
    <w:abstractNumId w:val="5"/>
  </w:num>
  <w:num w:numId="36">
    <w:abstractNumId w:val="40"/>
  </w:num>
  <w:num w:numId="37">
    <w:abstractNumId w:val="35"/>
  </w:num>
  <w:num w:numId="38">
    <w:abstractNumId w:val="29"/>
  </w:num>
  <w:num w:numId="39">
    <w:abstractNumId w:val="8"/>
  </w:num>
  <w:num w:numId="40">
    <w:abstractNumId w:val="6"/>
  </w:num>
  <w:num w:numId="41">
    <w:abstractNumId w:val="19"/>
  </w:num>
  <w:num w:numId="42">
    <w:abstractNumId w:val="41"/>
  </w:num>
  <w:num w:numId="43">
    <w:abstractNumId w:val="38"/>
  </w:num>
  <w:num w:numId="44">
    <w:abstractNumId w:val="42"/>
  </w:num>
  <w:num w:numId="45">
    <w:abstractNumId w:val="33"/>
  </w:num>
  <w:num w:numId="46">
    <w:abstractNumId w:val="4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pt-BR" w:vendorID="64" w:dllVersion="6" w:nlCheck="1" w:checkStyle="0"/>
  <w:activeWritingStyle w:appName="MSWord" w:lang="es-CO"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0" w:nlCheck="1" w:checkStyle="0"/>
  <w:activeWritingStyle w:appName="MSWord" w:lang="es-CO"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es-ES_tradnl" w:vendorID="64" w:dllVersion="0"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BE5"/>
    <w:rsid w:val="00000F39"/>
    <w:rsid w:val="00001709"/>
    <w:rsid w:val="00001E6F"/>
    <w:rsid w:val="000030D5"/>
    <w:rsid w:val="00003DFF"/>
    <w:rsid w:val="0000460E"/>
    <w:rsid w:val="000047AC"/>
    <w:rsid w:val="00004896"/>
    <w:rsid w:val="000048FD"/>
    <w:rsid w:val="00005EAA"/>
    <w:rsid w:val="000060DE"/>
    <w:rsid w:val="0000683A"/>
    <w:rsid w:val="00007358"/>
    <w:rsid w:val="00007638"/>
    <w:rsid w:val="00010FDE"/>
    <w:rsid w:val="00011CB8"/>
    <w:rsid w:val="000130E0"/>
    <w:rsid w:val="000131CE"/>
    <w:rsid w:val="0001368B"/>
    <w:rsid w:val="00015B6E"/>
    <w:rsid w:val="00017B9A"/>
    <w:rsid w:val="00021509"/>
    <w:rsid w:val="00022AE4"/>
    <w:rsid w:val="00023B06"/>
    <w:rsid w:val="0002455E"/>
    <w:rsid w:val="00024B49"/>
    <w:rsid w:val="00030B7B"/>
    <w:rsid w:val="00031187"/>
    <w:rsid w:val="00031240"/>
    <w:rsid w:val="00031414"/>
    <w:rsid w:val="00035A6E"/>
    <w:rsid w:val="000367A1"/>
    <w:rsid w:val="00041F42"/>
    <w:rsid w:val="00042CEA"/>
    <w:rsid w:val="000432D1"/>
    <w:rsid w:val="000436C6"/>
    <w:rsid w:val="000444DF"/>
    <w:rsid w:val="00044D45"/>
    <w:rsid w:val="00047A95"/>
    <w:rsid w:val="00047B94"/>
    <w:rsid w:val="0005069A"/>
    <w:rsid w:val="00052E07"/>
    <w:rsid w:val="00053F0A"/>
    <w:rsid w:val="00055C65"/>
    <w:rsid w:val="00055CA6"/>
    <w:rsid w:val="00056689"/>
    <w:rsid w:val="00056A4C"/>
    <w:rsid w:val="00060824"/>
    <w:rsid w:val="00061C59"/>
    <w:rsid w:val="000640B5"/>
    <w:rsid w:val="00065FA8"/>
    <w:rsid w:val="000703D0"/>
    <w:rsid w:val="00071E56"/>
    <w:rsid w:val="00074BE5"/>
    <w:rsid w:val="00075396"/>
    <w:rsid w:val="00075A0F"/>
    <w:rsid w:val="00077527"/>
    <w:rsid w:val="0008039E"/>
    <w:rsid w:val="00080D84"/>
    <w:rsid w:val="000813E7"/>
    <w:rsid w:val="00081655"/>
    <w:rsid w:val="00083137"/>
    <w:rsid w:val="00083C24"/>
    <w:rsid w:val="000846E4"/>
    <w:rsid w:val="000852B7"/>
    <w:rsid w:val="000857B1"/>
    <w:rsid w:val="00086E1C"/>
    <w:rsid w:val="00090191"/>
    <w:rsid w:val="0009199B"/>
    <w:rsid w:val="00092DBE"/>
    <w:rsid w:val="0009305F"/>
    <w:rsid w:val="00095713"/>
    <w:rsid w:val="000967FF"/>
    <w:rsid w:val="00097C9F"/>
    <w:rsid w:val="000A2EE7"/>
    <w:rsid w:val="000A3AF8"/>
    <w:rsid w:val="000A4A58"/>
    <w:rsid w:val="000A4D76"/>
    <w:rsid w:val="000A5CFD"/>
    <w:rsid w:val="000A5DB7"/>
    <w:rsid w:val="000A7A49"/>
    <w:rsid w:val="000B1154"/>
    <w:rsid w:val="000B1AF1"/>
    <w:rsid w:val="000B2591"/>
    <w:rsid w:val="000B2801"/>
    <w:rsid w:val="000B2939"/>
    <w:rsid w:val="000B31D7"/>
    <w:rsid w:val="000B3B37"/>
    <w:rsid w:val="000B40A3"/>
    <w:rsid w:val="000B446D"/>
    <w:rsid w:val="000B4AF2"/>
    <w:rsid w:val="000B4EFB"/>
    <w:rsid w:val="000B6635"/>
    <w:rsid w:val="000B6AC3"/>
    <w:rsid w:val="000B7F44"/>
    <w:rsid w:val="000C1588"/>
    <w:rsid w:val="000C5787"/>
    <w:rsid w:val="000C651C"/>
    <w:rsid w:val="000C6921"/>
    <w:rsid w:val="000D0AE1"/>
    <w:rsid w:val="000D1181"/>
    <w:rsid w:val="000D1206"/>
    <w:rsid w:val="000D4679"/>
    <w:rsid w:val="000D491E"/>
    <w:rsid w:val="000D6DAF"/>
    <w:rsid w:val="000D7525"/>
    <w:rsid w:val="000E2393"/>
    <w:rsid w:val="000E2543"/>
    <w:rsid w:val="000E2B24"/>
    <w:rsid w:val="000E3B9B"/>
    <w:rsid w:val="000E409D"/>
    <w:rsid w:val="000E41E5"/>
    <w:rsid w:val="000E4F8F"/>
    <w:rsid w:val="000E6959"/>
    <w:rsid w:val="000E7B23"/>
    <w:rsid w:val="000F157D"/>
    <w:rsid w:val="000F3323"/>
    <w:rsid w:val="000F4D90"/>
    <w:rsid w:val="000F7073"/>
    <w:rsid w:val="001034C1"/>
    <w:rsid w:val="001048BE"/>
    <w:rsid w:val="00105F38"/>
    <w:rsid w:val="00106D51"/>
    <w:rsid w:val="001109B8"/>
    <w:rsid w:val="001112DB"/>
    <w:rsid w:val="00112259"/>
    <w:rsid w:val="00112E1F"/>
    <w:rsid w:val="00114A9C"/>
    <w:rsid w:val="0011545C"/>
    <w:rsid w:val="00115819"/>
    <w:rsid w:val="00116B66"/>
    <w:rsid w:val="00117225"/>
    <w:rsid w:val="001172D4"/>
    <w:rsid w:val="001175D3"/>
    <w:rsid w:val="001176CE"/>
    <w:rsid w:val="00120204"/>
    <w:rsid w:val="00123867"/>
    <w:rsid w:val="00126847"/>
    <w:rsid w:val="0012718A"/>
    <w:rsid w:val="001276EB"/>
    <w:rsid w:val="00127D60"/>
    <w:rsid w:val="00135649"/>
    <w:rsid w:val="001358DF"/>
    <w:rsid w:val="001366E2"/>
    <w:rsid w:val="00136920"/>
    <w:rsid w:val="001375D2"/>
    <w:rsid w:val="00137AB1"/>
    <w:rsid w:val="00137C84"/>
    <w:rsid w:val="00142519"/>
    <w:rsid w:val="00142750"/>
    <w:rsid w:val="00142C63"/>
    <w:rsid w:val="0014498A"/>
    <w:rsid w:val="001476A9"/>
    <w:rsid w:val="00150FEA"/>
    <w:rsid w:val="001514F8"/>
    <w:rsid w:val="00151621"/>
    <w:rsid w:val="00153143"/>
    <w:rsid w:val="00153F65"/>
    <w:rsid w:val="001541D4"/>
    <w:rsid w:val="00154EB5"/>
    <w:rsid w:val="00155DBD"/>
    <w:rsid w:val="00156734"/>
    <w:rsid w:val="00156E1F"/>
    <w:rsid w:val="0015704D"/>
    <w:rsid w:val="00161B2E"/>
    <w:rsid w:val="00162B13"/>
    <w:rsid w:val="001630DC"/>
    <w:rsid w:val="00165CF2"/>
    <w:rsid w:val="001672E2"/>
    <w:rsid w:val="001676AC"/>
    <w:rsid w:val="00167A7C"/>
    <w:rsid w:val="001717CA"/>
    <w:rsid w:val="00172204"/>
    <w:rsid w:val="00172850"/>
    <w:rsid w:val="00172C40"/>
    <w:rsid w:val="0017312A"/>
    <w:rsid w:val="0017345D"/>
    <w:rsid w:val="00185B53"/>
    <w:rsid w:val="00185F35"/>
    <w:rsid w:val="001864C9"/>
    <w:rsid w:val="00186D37"/>
    <w:rsid w:val="00187979"/>
    <w:rsid w:val="00191A2D"/>
    <w:rsid w:val="00192E5F"/>
    <w:rsid w:val="00192F66"/>
    <w:rsid w:val="00194FC8"/>
    <w:rsid w:val="00195535"/>
    <w:rsid w:val="00196FC6"/>
    <w:rsid w:val="00197E58"/>
    <w:rsid w:val="001A2B78"/>
    <w:rsid w:val="001A2C51"/>
    <w:rsid w:val="001A2F99"/>
    <w:rsid w:val="001A5464"/>
    <w:rsid w:val="001A54FE"/>
    <w:rsid w:val="001A7B36"/>
    <w:rsid w:val="001B0B2A"/>
    <w:rsid w:val="001B0F14"/>
    <w:rsid w:val="001B20D5"/>
    <w:rsid w:val="001B234F"/>
    <w:rsid w:val="001B364A"/>
    <w:rsid w:val="001B4AC6"/>
    <w:rsid w:val="001B4F38"/>
    <w:rsid w:val="001B5D3D"/>
    <w:rsid w:val="001B6B68"/>
    <w:rsid w:val="001B756A"/>
    <w:rsid w:val="001C0A9E"/>
    <w:rsid w:val="001C174C"/>
    <w:rsid w:val="001C290C"/>
    <w:rsid w:val="001C31AD"/>
    <w:rsid w:val="001C66C8"/>
    <w:rsid w:val="001C743F"/>
    <w:rsid w:val="001C756F"/>
    <w:rsid w:val="001C7AFF"/>
    <w:rsid w:val="001D1E64"/>
    <w:rsid w:val="001D2386"/>
    <w:rsid w:val="001D358F"/>
    <w:rsid w:val="001D35D9"/>
    <w:rsid w:val="001D5681"/>
    <w:rsid w:val="001D5C6F"/>
    <w:rsid w:val="001D6C8F"/>
    <w:rsid w:val="001E16B1"/>
    <w:rsid w:val="001E1CC6"/>
    <w:rsid w:val="001E5198"/>
    <w:rsid w:val="001E71B7"/>
    <w:rsid w:val="001E79CE"/>
    <w:rsid w:val="001F15B3"/>
    <w:rsid w:val="001F1AC3"/>
    <w:rsid w:val="001F3A53"/>
    <w:rsid w:val="001F495C"/>
    <w:rsid w:val="001F554E"/>
    <w:rsid w:val="001F5561"/>
    <w:rsid w:val="001F61B7"/>
    <w:rsid w:val="001F6A5D"/>
    <w:rsid w:val="001F6BB9"/>
    <w:rsid w:val="002013B8"/>
    <w:rsid w:val="00201587"/>
    <w:rsid w:val="0020303F"/>
    <w:rsid w:val="00205912"/>
    <w:rsid w:val="002132EE"/>
    <w:rsid w:val="00214192"/>
    <w:rsid w:val="00214A9B"/>
    <w:rsid w:val="00214ECF"/>
    <w:rsid w:val="00217B0B"/>
    <w:rsid w:val="00217C41"/>
    <w:rsid w:val="00217FAB"/>
    <w:rsid w:val="00220A49"/>
    <w:rsid w:val="00220AA7"/>
    <w:rsid w:val="00222DD6"/>
    <w:rsid w:val="00224ABA"/>
    <w:rsid w:val="002266A2"/>
    <w:rsid w:val="002303DE"/>
    <w:rsid w:val="002304B0"/>
    <w:rsid w:val="00231B32"/>
    <w:rsid w:val="002342A0"/>
    <w:rsid w:val="00234B0A"/>
    <w:rsid w:val="00237D1D"/>
    <w:rsid w:val="00240EAF"/>
    <w:rsid w:val="002416AD"/>
    <w:rsid w:val="00242EE8"/>
    <w:rsid w:val="00245ED1"/>
    <w:rsid w:val="00245FDA"/>
    <w:rsid w:val="002464F8"/>
    <w:rsid w:val="0024682B"/>
    <w:rsid w:val="0024737E"/>
    <w:rsid w:val="002474B1"/>
    <w:rsid w:val="002506BA"/>
    <w:rsid w:val="00252233"/>
    <w:rsid w:val="0025355B"/>
    <w:rsid w:val="00254FA9"/>
    <w:rsid w:val="0025600D"/>
    <w:rsid w:val="0025619C"/>
    <w:rsid w:val="00256C5F"/>
    <w:rsid w:val="00261025"/>
    <w:rsid w:val="002622DF"/>
    <w:rsid w:val="00266525"/>
    <w:rsid w:val="002678C0"/>
    <w:rsid w:val="00271D44"/>
    <w:rsid w:val="002754CF"/>
    <w:rsid w:val="0027562A"/>
    <w:rsid w:val="002771E6"/>
    <w:rsid w:val="00277E7A"/>
    <w:rsid w:val="00277EB1"/>
    <w:rsid w:val="00280379"/>
    <w:rsid w:val="00280DA2"/>
    <w:rsid w:val="00281181"/>
    <w:rsid w:val="0028179A"/>
    <w:rsid w:val="00283296"/>
    <w:rsid w:val="00285520"/>
    <w:rsid w:val="002868E2"/>
    <w:rsid w:val="002904F4"/>
    <w:rsid w:val="00290CE5"/>
    <w:rsid w:val="00292BC6"/>
    <w:rsid w:val="00294021"/>
    <w:rsid w:val="002940B2"/>
    <w:rsid w:val="0029618C"/>
    <w:rsid w:val="002967E9"/>
    <w:rsid w:val="00297623"/>
    <w:rsid w:val="002A030C"/>
    <w:rsid w:val="002A045B"/>
    <w:rsid w:val="002A12AF"/>
    <w:rsid w:val="002A1B41"/>
    <w:rsid w:val="002A28C0"/>
    <w:rsid w:val="002A6D13"/>
    <w:rsid w:val="002A78E2"/>
    <w:rsid w:val="002A7F07"/>
    <w:rsid w:val="002B172A"/>
    <w:rsid w:val="002B1A0D"/>
    <w:rsid w:val="002B308E"/>
    <w:rsid w:val="002B3219"/>
    <w:rsid w:val="002B3949"/>
    <w:rsid w:val="002B3A68"/>
    <w:rsid w:val="002B4218"/>
    <w:rsid w:val="002B4FC6"/>
    <w:rsid w:val="002B5C14"/>
    <w:rsid w:val="002B74B7"/>
    <w:rsid w:val="002C1D2E"/>
    <w:rsid w:val="002C3A62"/>
    <w:rsid w:val="002C41D8"/>
    <w:rsid w:val="002C43D3"/>
    <w:rsid w:val="002D0D11"/>
    <w:rsid w:val="002D1934"/>
    <w:rsid w:val="002D3810"/>
    <w:rsid w:val="002D464B"/>
    <w:rsid w:val="002D487E"/>
    <w:rsid w:val="002D4C97"/>
    <w:rsid w:val="002D4E9F"/>
    <w:rsid w:val="002D6115"/>
    <w:rsid w:val="002D6BFE"/>
    <w:rsid w:val="002E1518"/>
    <w:rsid w:val="002E2223"/>
    <w:rsid w:val="002E26C9"/>
    <w:rsid w:val="002E271B"/>
    <w:rsid w:val="002E33F3"/>
    <w:rsid w:val="002E4B3D"/>
    <w:rsid w:val="002E5276"/>
    <w:rsid w:val="002E75F1"/>
    <w:rsid w:val="002F0FF5"/>
    <w:rsid w:val="002F1A9A"/>
    <w:rsid w:val="002F339B"/>
    <w:rsid w:val="002F37F5"/>
    <w:rsid w:val="002F4F9E"/>
    <w:rsid w:val="002F6639"/>
    <w:rsid w:val="00302BA3"/>
    <w:rsid w:val="003040D2"/>
    <w:rsid w:val="00305326"/>
    <w:rsid w:val="003058E5"/>
    <w:rsid w:val="00310D1C"/>
    <w:rsid w:val="0031240D"/>
    <w:rsid w:val="00315B55"/>
    <w:rsid w:val="00315C49"/>
    <w:rsid w:val="00320CD6"/>
    <w:rsid w:val="00321597"/>
    <w:rsid w:val="003216E7"/>
    <w:rsid w:val="00322A43"/>
    <w:rsid w:val="00324CE7"/>
    <w:rsid w:val="00325BB2"/>
    <w:rsid w:val="00326FF3"/>
    <w:rsid w:val="003336F3"/>
    <w:rsid w:val="00337678"/>
    <w:rsid w:val="00337BBA"/>
    <w:rsid w:val="003419E1"/>
    <w:rsid w:val="00343192"/>
    <w:rsid w:val="00343B97"/>
    <w:rsid w:val="003443DC"/>
    <w:rsid w:val="00346055"/>
    <w:rsid w:val="003467ED"/>
    <w:rsid w:val="003474D8"/>
    <w:rsid w:val="0035250C"/>
    <w:rsid w:val="00352E15"/>
    <w:rsid w:val="003535EC"/>
    <w:rsid w:val="00354085"/>
    <w:rsid w:val="00354DF0"/>
    <w:rsid w:val="003574F9"/>
    <w:rsid w:val="00360110"/>
    <w:rsid w:val="003602C7"/>
    <w:rsid w:val="00361BC6"/>
    <w:rsid w:val="003627F5"/>
    <w:rsid w:val="00363F60"/>
    <w:rsid w:val="00364633"/>
    <w:rsid w:val="003652D4"/>
    <w:rsid w:val="00365568"/>
    <w:rsid w:val="00367C3D"/>
    <w:rsid w:val="003712A9"/>
    <w:rsid w:val="00372CB1"/>
    <w:rsid w:val="00374BF4"/>
    <w:rsid w:val="00376BA1"/>
    <w:rsid w:val="00377DA9"/>
    <w:rsid w:val="003805F9"/>
    <w:rsid w:val="0038070D"/>
    <w:rsid w:val="003822B6"/>
    <w:rsid w:val="00383602"/>
    <w:rsid w:val="00383C7D"/>
    <w:rsid w:val="0038488A"/>
    <w:rsid w:val="00385415"/>
    <w:rsid w:val="003857EC"/>
    <w:rsid w:val="003860B0"/>
    <w:rsid w:val="00386255"/>
    <w:rsid w:val="00386499"/>
    <w:rsid w:val="00387D26"/>
    <w:rsid w:val="00387F32"/>
    <w:rsid w:val="00390AD6"/>
    <w:rsid w:val="00392948"/>
    <w:rsid w:val="00395F3B"/>
    <w:rsid w:val="003A477A"/>
    <w:rsid w:val="003A56BE"/>
    <w:rsid w:val="003A6642"/>
    <w:rsid w:val="003A6A6A"/>
    <w:rsid w:val="003A7DE9"/>
    <w:rsid w:val="003B07B0"/>
    <w:rsid w:val="003B0DAD"/>
    <w:rsid w:val="003B13B1"/>
    <w:rsid w:val="003B1CC4"/>
    <w:rsid w:val="003B20C6"/>
    <w:rsid w:val="003B3892"/>
    <w:rsid w:val="003B4106"/>
    <w:rsid w:val="003B52D5"/>
    <w:rsid w:val="003B55F2"/>
    <w:rsid w:val="003B5F2A"/>
    <w:rsid w:val="003B644B"/>
    <w:rsid w:val="003C028A"/>
    <w:rsid w:val="003C0A10"/>
    <w:rsid w:val="003C11E9"/>
    <w:rsid w:val="003C2337"/>
    <w:rsid w:val="003C26CF"/>
    <w:rsid w:val="003C464C"/>
    <w:rsid w:val="003C5520"/>
    <w:rsid w:val="003C566C"/>
    <w:rsid w:val="003C6461"/>
    <w:rsid w:val="003C7466"/>
    <w:rsid w:val="003D00E8"/>
    <w:rsid w:val="003D139A"/>
    <w:rsid w:val="003D24D3"/>
    <w:rsid w:val="003D2946"/>
    <w:rsid w:val="003D3FE4"/>
    <w:rsid w:val="003E029A"/>
    <w:rsid w:val="003E0912"/>
    <w:rsid w:val="003E0936"/>
    <w:rsid w:val="003E17C9"/>
    <w:rsid w:val="003E35AA"/>
    <w:rsid w:val="003E3BAB"/>
    <w:rsid w:val="003E66F0"/>
    <w:rsid w:val="003F273F"/>
    <w:rsid w:val="003F2D9C"/>
    <w:rsid w:val="003F408B"/>
    <w:rsid w:val="003F5FED"/>
    <w:rsid w:val="003F6041"/>
    <w:rsid w:val="003F63F9"/>
    <w:rsid w:val="003F79E6"/>
    <w:rsid w:val="003F7A11"/>
    <w:rsid w:val="0040453D"/>
    <w:rsid w:val="00407FC2"/>
    <w:rsid w:val="00412710"/>
    <w:rsid w:val="004131B8"/>
    <w:rsid w:val="00414948"/>
    <w:rsid w:val="00414B5A"/>
    <w:rsid w:val="00414C1A"/>
    <w:rsid w:val="0041760C"/>
    <w:rsid w:val="00417CB0"/>
    <w:rsid w:val="00417DDD"/>
    <w:rsid w:val="0042119B"/>
    <w:rsid w:val="00421933"/>
    <w:rsid w:val="00421FBF"/>
    <w:rsid w:val="0042226C"/>
    <w:rsid w:val="004223C3"/>
    <w:rsid w:val="004239B4"/>
    <w:rsid w:val="004247E6"/>
    <w:rsid w:val="00425747"/>
    <w:rsid w:val="00425C2E"/>
    <w:rsid w:val="00425E5C"/>
    <w:rsid w:val="0042617E"/>
    <w:rsid w:val="0042655E"/>
    <w:rsid w:val="00426FBB"/>
    <w:rsid w:val="00433489"/>
    <w:rsid w:val="00436E83"/>
    <w:rsid w:val="00437D22"/>
    <w:rsid w:val="0044089F"/>
    <w:rsid w:val="00440F22"/>
    <w:rsid w:val="0044178B"/>
    <w:rsid w:val="00443B14"/>
    <w:rsid w:val="00444DD8"/>
    <w:rsid w:val="00444F1C"/>
    <w:rsid w:val="004460D2"/>
    <w:rsid w:val="0044611F"/>
    <w:rsid w:val="00446FE1"/>
    <w:rsid w:val="00450241"/>
    <w:rsid w:val="00452C76"/>
    <w:rsid w:val="0045376E"/>
    <w:rsid w:val="00453C90"/>
    <w:rsid w:val="0045409D"/>
    <w:rsid w:val="00456694"/>
    <w:rsid w:val="00457037"/>
    <w:rsid w:val="00460CC5"/>
    <w:rsid w:val="00461E06"/>
    <w:rsid w:val="00462366"/>
    <w:rsid w:val="00462E48"/>
    <w:rsid w:val="00463992"/>
    <w:rsid w:val="00464E59"/>
    <w:rsid w:val="0046671A"/>
    <w:rsid w:val="00470F21"/>
    <w:rsid w:val="0047192B"/>
    <w:rsid w:val="00471C7B"/>
    <w:rsid w:val="0047246A"/>
    <w:rsid w:val="00472AEE"/>
    <w:rsid w:val="004756A3"/>
    <w:rsid w:val="00477615"/>
    <w:rsid w:val="004828CA"/>
    <w:rsid w:val="004851BC"/>
    <w:rsid w:val="00485ABD"/>
    <w:rsid w:val="00487796"/>
    <w:rsid w:val="00491374"/>
    <w:rsid w:val="0049178A"/>
    <w:rsid w:val="00492590"/>
    <w:rsid w:val="00492C34"/>
    <w:rsid w:val="00492EDD"/>
    <w:rsid w:val="00493BB6"/>
    <w:rsid w:val="00494AA5"/>
    <w:rsid w:val="004957AE"/>
    <w:rsid w:val="004961E9"/>
    <w:rsid w:val="00496F1E"/>
    <w:rsid w:val="004A03CA"/>
    <w:rsid w:val="004A10BD"/>
    <w:rsid w:val="004A141E"/>
    <w:rsid w:val="004A1D99"/>
    <w:rsid w:val="004A21E8"/>
    <w:rsid w:val="004A30E1"/>
    <w:rsid w:val="004A4E0A"/>
    <w:rsid w:val="004A7169"/>
    <w:rsid w:val="004A7421"/>
    <w:rsid w:val="004A77D1"/>
    <w:rsid w:val="004B5081"/>
    <w:rsid w:val="004B6255"/>
    <w:rsid w:val="004B79F4"/>
    <w:rsid w:val="004B7AA0"/>
    <w:rsid w:val="004C1500"/>
    <w:rsid w:val="004C155E"/>
    <w:rsid w:val="004C2035"/>
    <w:rsid w:val="004C2E44"/>
    <w:rsid w:val="004C2F59"/>
    <w:rsid w:val="004C55BB"/>
    <w:rsid w:val="004C6310"/>
    <w:rsid w:val="004C6A45"/>
    <w:rsid w:val="004C6CB1"/>
    <w:rsid w:val="004C7E24"/>
    <w:rsid w:val="004D61E1"/>
    <w:rsid w:val="004D65F1"/>
    <w:rsid w:val="004D76E7"/>
    <w:rsid w:val="004E14BA"/>
    <w:rsid w:val="004E1876"/>
    <w:rsid w:val="004E28C2"/>
    <w:rsid w:val="004E2FEC"/>
    <w:rsid w:val="004E3975"/>
    <w:rsid w:val="004E502D"/>
    <w:rsid w:val="004F04A9"/>
    <w:rsid w:val="004F0BB5"/>
    <w:rsid w:val="004F158D"/>
    <w:rsid w:val="004F3472"/>
    <w:rsid w:val="004F6B12"/>
    <w:rsid w:val="004F70B9"/>
    <w:rsid w:val="004F736F"/>
    <w:rsid w:val="004F75C7"/>
    <w:rsid w:val="00500A07"/>
    <w:rsid w:val="00501E29"/>
    <w:rsid w:val="00510946"/>
    <w:rsid w:val="00511266"/>
    <w:rsid w:val="00513E3E"/>
    <w:rsid w:val="0051523B"/>
    <w:rsid w:val="00517F91"/>
    <w:rsid w:val="00520E78"/>
    <w:rsid w:val="005243CF"/>
    <w:rsid w:val="0052584F"/>
    <w:rsid w:val="005303DE"/>
    <w:rsid w:val="00531285"/>
    <w:rsid w:val="00531B36"/>
    <w:rsid w:val="0053433E"/>
    <w:rsid w:val="00535A06"/>
    <w:rsid w:val="005362EF"/>
    <w:rsid w:val="00540148"/>
    <w:rsid w:val="00541235"/>
    <w:rsid w:val="00542E77"/>
    <w:rsid w:val="00543276"/>
    <w:rsid w:val="00544379"/>
    <w:rsid w:val="00545ED1"/>
    <w:rsid w:val="00546E9D"/>
    <w:rsid w:val="005473B6"/>
    <w:rsid w:val="00550356"/>
    <w:rsid w:val="00550B0D"/>
    <w:rsid w:val="00552484"/>
    <w:rsid w:val="00552ACF"/>
    <w:rsid w:val="005530FC"/>
    <w:rsid w:val="00553F46"/>
    <w:rsid w:val="005610EA"/>
    <w:rsid w:val="005614C2"/>
    <w:rsid w:val="00562FCE"/>
    <w:rsid w:val="0056372A"/>
    <w:rsid w:val="005652DC"/>
    <w:rsid w:val="005656C5"/>
    <w:rsid w:val="00566C37"/>
    <w:rsid w:val="00567039"/>
    <w:rsid w:val="005672CA"/>
    <w:rsid w:val="005759A3"/>
    <w:rsid w:val="005765FB"/>
    <w:rsid w:val="005772FD"/>
    <w:rsid w:val="00577B98"/>
    <w:rsid w:val="00577C96"/>
    <w:rsid w:val="005815F3"/>
    <w:rsid w:val="00583B2E"/>
    <w:rsid w:val="00583CCE"/>
    <w:rsid w:val="00583CFE"/>
    <w:rsid w:val="005847C8"/>
    <w:rsid w:val="00584E3E"/>
    <w:rsid w:val="00585546"/>
    <w:rsid w:val="00587E55"/>
    <w:rsid w:val="0059185E"/>
    <w:rsid w:val="00591F20"/>
    <w:rsid w:val="0059205F"/>
    <w:rsid w:val="005934EF"/>
    <w:rsid w:val="0059473C"/>
    <w:rsid w:val="00594ECC"/>
    <w:rsid w:val="0059573D"/>
    <w:rsid w:val="00595DC2"/>
    <w:rsid w:val="005961BF"/>
    <w:rsid w:val="00596B73"/>
    <w:rsid w:val="005975E6"/>
    <w:rsid w:val="00597B75"/>
    <w:rsid w:val="005A16A6"/>
    <w:rsid w:val="005A3C28"/>
    <w:rsid w:val="005A562A"/>
    <w:rsid w:val="005A62C0"/>
    <w:rsid w:val="005A64F4"/>
    <w:rsid w:val="005A7858"/>
    <w:rsid w:val="005B0BA8"/>
    <w:rsid w:val="005B4903"/>
    <w:rsid w:val="005B5ED7"/>
    <w:rsid w:val="005B6646"/>
    <w:rsid w:val="005B78A5"/>
    <w:rsid w:val="005C0264"/>
    <w:rsid w:val="005C063C"/>
    <w:rsid w:val="005C1885"/>
    <w:rsid w:val="005C2125"/>
    <w:rsid w:val="005C2407"/>
    <w:rsid w:val="005C60E9"/>
    <w:rsid w:val="005C63A5"/>
    <w:rsid w:val="005C6780"/>
    <w:rsid w:val="005C72D2"/>
    <w:rsid w:val="005C730C"/>
    <w:rsid w:val="005D1B19"/>
    <w:rsid w:val="005D1F07"/>
    <w:rsid w:val="005D237B"/>
    <w:rsid w:val="005D5895"/>
    <w:rsid w:val="005D67CE"/>
    <w:rsid w:val="005E13D1"/>
    <w:rsid w:val="005E16C9"/>
    <w:rsid w:val="005E63D7"/>
    <w:rsid w:val="005E774D"/>
    <w:rsid w:val="005E7C1D"/>
    <w:rsid w:val="005F0E67"/>
    <w:rsid w:val="005F1680"/>
    <w:rsid w:val="005F461E"/>
    <w:rsid w:val="005F653B"/>
    <w:rsid w:val="006002ED"/>
    <w:rsid w:val="00600CC6"/>
    <w:rsid w:val="00601DF7"/>
    <w:rsid w:val="00602AD3"/>
    <w:rsid w:val="006034B0"/>
    <w:rsid w:val="00603F21"/>
    <w:rsid w:val="006068F8"/>
    <w:rsid w:val="006104B6"/>
    <w:rsid w:val="00610740"/>
    <w:rsid w:val="006108B6"/>
    <w:rsid w:val="00610F04"/>
    <w:rsid w:val="006134C4"/>
    <w:rsid w:val="0061393A"/>
    <w:rsid w:val="00613E65"/>
    <w:rsid w:val="00614590"/>
    <w:rsid w:val="00617F26"/>
    <w:rsid w:val="0062299A"/>
    <w:rsid w:val="00623C3A"/>
    <w:rsid w:val="00623ED1"/>
    <w:rsid w:val="0062432B"/>
    <w:rsid w:val="006247BC"/>
    <w:rsid w:val="00625CC4"/>
    <w:rsid w:val="00626119"/>
    <w:rsid w:val="006304AE"/>
    <w:rsid w:val="0063089B"/>
    <w:rsid w:val="00630938"/>
    <w:rsid w:val="00630C01"/>
    <w:rsid w:val="0063121B"/>
    <w:rsid w:val="00632252"/>
    <w:rsid w:val="006366EC"/>
    <w:rsid w:val="00636719"/>
    <w:rsid w:val="00636D37"/>
    <w:rsid w:val="0063716C"/>
    <w:rsid w:val="00641F38"/>
    <w:rsid w:val="006422DD"/>
    <w:rsid w:val="006425DE"/>
    <w:rsid w:val="0064417F"/>
    <w:rsid w:val="00645F10"/>
    <w:rsid w:val="0064617B"/>
    <w:rsid w:val="006466F8"/>
    <w:rsid w:val="006512B7"/>
    <w:rsid w:val="00651534"/>
    <w:rsid w:val="00651848"/>
    <w:rsid w:val="0065362D"/>
    <w:rsid w:val="0065386C"/>
    <w:rsid w:val="0065725A"/>
    <w:rsid w:val="0065743A"/>
    <w:rsid w:val="006579FE"/>
    <w:rsid w:val="00661530"/>
    <w:rsid w:val="00664967"/>
    <w:rsid w:val="00667285"/>
    <w:rsid w:val="00667A16"/>
    <w:rsid w:val="0067015C"/>
    <w:rsid w:val="0067028E"/>
    <w:rsid w:val="00671B66"/>
    <w:rsid w:val="006731B4"/>
    <w:rsid w:val="00673886"/>
    <w:rsid w:val="00673D52"/>
    <w:rsid w:val="006757D1"/>
    <w:rsid w:val="00675941"/>
    <w:rsid w:val="00676B88"/>
    <w:rsid w:val="006770DE"/>
    <w:rsid w:val="00680B78"/>
    <w:rsid w:val="0068423C"/>
    <w:rsid w:val="00684CE0"/>
    <w:rsid w:val="00684CE7"/>
    <w:rsid w:val="00686E23"/>
    <w:rsid w:val="006873BE"/>
    <w:rsid w:val="006906BA"/>
    <w:rsid w:val="006911AE"/>
    <w:rsid w:val="00691BFB"/>
    <w:rsid w:val="0069447D"/>
    <w:rsid w:val="00694A8E"/>
    <w:rsid w:val="006954EA"/>
    <w:rsid w:val="006963A5"/>
    <w:rsid w:val="00696D2A"/>
    <w:rsid w:val="006A091B"/>
    <w:rsid w:val="006A0AE8"/>
    <w:rsid w:val="006A0E69"/>
    <w:rsid w:val="006A17E5"/>
    <w:rsid w:val="006A1A38"/>
    <w:rsid w:val="006A3B81"/>
    <w:rsid w:val="006A4AF7"/>
    <w:rsid w:val="006A4BC2"/>
    <w:rsid w:val="006A570E"/>
    <w:rsid w:val="006A5856"/>
    <w:rsid w:val="006A615D"/>
    <w:rsid w:val="006A6E12"/>
    <w:rsid w:val="006A7A92"/>
    <w:rsid w:val="006B3BD6"/>
    <w:rsid w:val="006B5EEE"/>
    <w:rsid w:val="006B7695"/>
    <w:rsid w:val="006B7757"/>
    <w:rsid w:val="006C000B"/>
    <w:rsid w:val="006C15BE"/>
    <w:rsid w:val="006C1CDE"/>
    <w:rsid w:val="006C42CE"/>
    <w:rsid w:val="006C5177"/>
    <w:rsid w:val="006C5F39"/>
    <w:rsid w:val="006C68BB"/>
    <w:rsid w:val="006C71D3"/>
    <w:rsid w:val="006C7419"/>
    <w:rsid w:val="006C7569"/>
    <w:rsid w:val="006C7D00"/>
    <w:rsid w:val="006D2CBF"/>
    <w:rsid w:val="006D3C69"/>
    <w:rsid w:val="006D45B4"/>
    <w:rsid w:val="006D4A9B"/>
    <w:rsid w:val="006D5E98"/>
    <w:rsid w:val="006D73ED"/>
    <w:rsid w:val="006E02FE"/>
    <w:rsid w:val="006E1988"/>
    <w:rsid w:val="006E2C10"/>
    <w:rsid w:val="006E5070"/>
    <w:rsid w:val="006E5B9A"/>
    <w:rsid w:val="006E71F3"/>
    <w:rsid w:val="006E774D"/>
    <w:rsid w:val="006F1B1E"/>
    <w:rsid w:val="006F32FC"/>
    <w:rsid w:val="006F39B5"/>
    <w:rsid w:val="006F3BBB"/>
    <w:rsid w:val="006F4907"/>
    <w:rsid w:val="006F4D72"/>
    <w:rsid w:val="006F6863"/>
    <w:rsid w:val="006F69FE"/>
    <w:rsid w:val="0070275A"/>
    <w:rsid w:val="007042F3"/>
    <w:rsid w:val="0070440E"/>
    <w:rsid w:val="00704A4B"/>
    <w:rsid w:val="00707A16"/>
    <w:rsid w:val="00710658"/>
    <w:rsid w:val="00711200"/>
    <w:rsid w:val="0071124B"/>
    <w:rsid w:val="00711AB3"/>
    <w:rsid w:val="00711AEA"/>
    <w:rsid w:val="00712AFC"/>
    <w:rsid w:val="007154DB"/>
    <w:rsid w:val="00715A46"/>
    <w:rsid w:val="00715A8B"/>
    <w:rsid w:val="00721123"/>
    <w:rsid w:val="007224A8"/>
    <w:rsid w:val="007239B2"/>
    <w:rsid w:val="0072475C"/>
    <w:rsid w:val="00725116"/>
    <w:rsid w:val="0072629D"/>
    <w:rsid w:val="007269A7"/>
    <w:rsid w:val="00726B79"/>
    <w:rsid w:val="007271A1"/>
    <w:rsid w:val="0072752C"/>
    <w:rsid w:val="0073037B"/>
    <w:rsid w:val="007308E2"/>
    <w:rsid w:val="00731774"/>
    <w:rsid w:val="0073287B"/>
    <w:rsid w:val="007330E5"/>
    <w:rsid w:val="00733F69"/>
    <w:rsid w:val="00736412"/>
    <w:rsid w:val="0073643D"/>
    <w:rsid w:val="00736BC6"/>
    <w:rsid w:val="00736D7B"/>
    <w:rsid w:val="0074019D"/>
    <w:rsid w:val="00740C5F"/>
    <w:rsid w:val="00740D59"/>
    <w:rsid w:val="0074142D"/>
    <w:rsid w:val="00745761"/>
    <w:rsid w:val="00746A55"/>
    <w:rsid w:val="00753000"/>
    <w:rsid w:val="0075530A"/>
    <w:rsid w:val="007559DD"/>
    <w:rsid w:val="00755C23"/>
    <w:rsid w:val="00757825"/>
    <w:rsid w:val="00760E3A"/>
    <w:rsid w:val="00762E30"/>
    <w:rsid w:val="007648F5"/>
    <w:rsid w:val="00765535"/>
    <w:rsid w:val="0076705B"/>
    <w:rsid w:val="00767F98"/>
    <w:rsid w:val="00770060"/>
    <w:rsid w:val="00771824"/>
    <w:rsid w:val="00771E08"/>
    <w:rsid w:val="00772BD9"/>
    <w:rsid w:val="0077526A"/>
    <w:rsid w:val="007764BA"/>
    <w:rsid w:val="00780B15"/>
    <w:rsid w:val="00780E2A"/>
    <w:rsid w:val="00781344"/>
    <w:rsid w:val="00782F04"/>
    <w:rsid w:val="00782F33"/>
    <w:rsid w:val="00783474"/>
    <w:rsid w:val="00783575"/>
    <w:rsid w:val="00783DB8"/>
    <w:rsid w:val="0078469B"/>
    <w:rsid w:val="00786355"/>
    <w:rsid w:val="0078737C"/>
    <w:rsid w:val="00787E49"/>
    <w:rsid w:val="007922EA"/>
    <w:rsid w:val="00793227"/>
    <w:rsid w:val="0079341D"/>
    <w:rsid w:val="00797161"/>
    <w:rsid w:val="007A00EE"/>
    <w:rsid w:val="007A083A"/>
    <w:rsid w:val="007A0BF2"/>
    <w:rsid w:val="007A0C1A"/>
    <w:rsid w:val="007A165F"/>
    <w:rsid w:val="007A1C5C"/>
    <w:rsid w:val="007A29C9"/>
    <w:rsid w:val="007A391F"/>
    <w:rsid w:val="007A404F"/>
    <w:rsid w:val="007A4C8D"/>
    <w:rsid w:val="007A6141"/>
    <w:rsid w:val="007B198F"/>
    <w:rsid w:val="007B284C"/>
    <w:rsid w:val="007B3B99"/>
    <w:rsid w:val="007B4399"/>
    <w:rsid w:val="007B51DC"/>
    <w:rsid w:val="007B58BB"/>
    <w:rsid w:val="007C13BB"/>
    <w:rsid w:val="007C2654"/>
    <w:rsid w:val="007C535A"/>
    <w:rsid w:val="007C69E2"/>
    <w:rsid w:val="007D3549"/>
    <w:rsid w:val="007D3A01"/>
    <w:rsid w:val="007D473D"/>
    <w:rsid w:val="007D4971"/>
    <w:rsid w:val="007D5627"/>
    <w:rsid w:val="007D5A93"/>
    <w:rsid w:val="007D6A98"/>
    <w:rsid w:val="007E0BF7"/>
    <w:rsid w:val="007E0F98"/>
    <w:rsid w:val="007E1958"/>
    <w:rsid w:val="007E74BF"/>
    <w:rsid w:val="007F0127"/>
    <w:rsid w:val="007F02CD"/>
    <w:rsid w:val="007F11BB"/>
    <w:rsid w:val="007F127A"/>
    <w:rsid w:val="007F160F"/>
    <w:rsid w:val="007F1990"/>
    <w:rsid w:val="007F386F"/>
    <w:rsid w:val="007F4890"/>
    <w:rsid w:val="007F4990"/>
    <w:rsid w:val="008006CC"/>
    <w:rsid w:val="00800989"/>
    <w:rsid w:val="00801EAF"/>
    <w:rsid w:val="00803515"/>
    <w:rsid w:val="0080378D"/>
    <w:rsid w:val="00804429"/>
    <w:rsid w:val="0080505A"/>
    <w:rsid w:val="008062EF"/>
    <w:rsid w:val="00806942"/>
    <w:rsid w:val="008109AE"/>
    <w:rsid w:val="00811472"/>
    <w:rsid w:val="0081266B"/>
    <w:rsid w:val="008146BE"/>
    <w:rsid w:val="00815F2C"/>
    <w:rsid w:val="00821EBD"/>
    <w:rsid w:val="00821FC1"/>
    <w:rsid w:val="008223FE"/>
    <w:rsid w:val="008225F6"/>
    <w:rsid w:val="00822FEE"/>
    <w:rsid w:val="00824C50"/>
    <w:rsid w:val="00826C7B"/>
    <w:rsid w:val="00827373"/>
    <w:rsid w:val="00831333"/>
    <w:rsid w:val="00831A6D"/>
    <w:rsid w:val="00832E3E"/>
    <w:rsid w:val="008335E9"/>
    <w:rsid w:val="008352FD"/>
    <w:rsid w:val="00835B10"/>
    <w:rsid w:val="00835F70"/>
    <w:rsid w:val="008375FD"/>
    <w:rsid w:val="00837CAB"/>
    <w:rsid w:val="00837D62"/>
    <w:rsid w:val="00837DCD"/>
    <w:rsid w:val="00837F78"/>
    <w:rsid w:val="0084062E"/>
    <w:rsid w:val="00842DEA"/>
    <w:rsid w:val="00842E56"/>
    <w:rsid w:val="00843104"/>
    <w:rsid w:val="008437FE"/>
    <w:rsid w:val="008444EA"/>
    <w:rsid w:val="00844C7D"/>
    <w:rsid w:val="00847F01"/>
    <w:rsid w:val="0085072C"/>
    <w:rsid w:val="00850F9F"/>
    <w:rsid w:val="00855AF4"/>
    <w:rsid w:val="0085677E"/>
    <w:rsid w:val="008569D3"/>
    <w:rsid w:val="00860F2C"/>
    <w:rsid w:val="00861F7F"/>
    <w:rsid w:val="0086288B"/>
    <w:rsid w:val="00863B27"/>
    <w:rsid w:val="00863BBB"/>
    <w:rsid w:val="008641CA"/>
    <w:rsid w:val="00864906"/>
    <w:rsid w:val="008672E3"/>
    <w:rsid w:val="00871B5F"/>
    <w:rsid w:val="008724C2"/>
    <w:rsid w:val="008733C3"/>
    <w:rsid w:val="0087361C"/>
    <w:rsid w:val="008738C5"/>
    <w:rsid w:val="00874733"/>
    <w:rsid w:val="008764F0"/>
    <w:rsid w:val="0087691B"/>
    <w:rsid w:val="008770DA"/>
    <w:rsid w:val="0088023E"/>
    <w:rsid w:val="00881793"/>
    <w:rsid w:val="008827E4"/>
    <w:rsid w:val="00886305"/>
    <w:rsid w:val="00886C09"/>
    <w:rsid w:val="008913BC"/>
    <w:rsid w:val="00891710"/>
    <w:rsid w:val="00891B88"/>
    <w:rsid w:val="0089346B"/>
    <w:rsid w:val="008951FB"/>
    <w:rsid w:val="008952DF"/>
    <w:rsid w:val="0089535C"/>
    <w:rsid w:val="00895C5E"/>
    <w:rsid w:val="00895FD8"/>
    <w:rsid w:val="008A0A87"/>
    <w:rsid w:val="008A2E2C"/>
    <w:rsid w:val="008A30AB"/>
    <w:rsid w:val="008A4A0D"/>
    <w:rsid w:val="008B0A7E"/>
    <w:rsid w:val="008B22BC"/>
    <w:rsid w:val="008B3AB3"/>
    <w:rsid w:val="008B3BBF"/>
    <w:rsid w:val="008B49E2"/>
    <w:rsid w:val="008B50EB"/>
    <w:rsid w:val="008B7269"/>
    <w:rsid w:val="008C39D5"/>
    <w:rsid w:val="008C52F2"/>
    <w:rsid w:val="008D0916"/>
    <w:rsid w:val="008D441A"/>
    <w:rsid w:val="008D4E41"/>
    <w:rsid w:val="008E05EB"/>
    <w:rsid w:val="008E6255"/>
    <w:rsid w:val="008E769B"/>
    <w:rsid w:val="008E794B"/>
    <w:rsid w:val="008F0A59"/>
    <w:rsid w:val="008F122E"/>
    <w:rsid w:val="008F2435"/>
    <w:rsid w:val="008F2EFD"/>
    <w:rsid w:val="008F2F53"/>
    <w:rsid w:val="008F32CE"/>
    <w:rsid w:val="008F3F00"/>
    <w:rsid w:val="008F3FA8"/>
    <w:rsid w:val="008F4A2B"/>
    <w:rsid w:val="008F4F1F"/>
    <w:rsid w:val="008F5143"/>
    <w:rsid w:val="008F5EAA"/>
    <w:rsid w:val="008F6C12"/>
    <w:rsid w:val="00901F8E"/>
    <w:rsid w:val="00902E7D"/>
    <w:rsid w:val="00903545"/>
    <w:rsid w:val="00903C8D"/>
    <w:rsid w:val="00903DE8"/>
    <w:rsid w:val="00904011"/>
    <w:rsid w:val="0090748C"/>
    <w:rsid w:val="009100A8"/>
    <w:rsid w:val="009103BE"/>
    <w:rsid w:val="0091169B"/>
    <w:rsid w:val="00912C3C"/>
    <w:rsid w:val="00913ACB"/>
    <w:rsid w:val="00914546"/>
    <w:rsid w:val="009155CC"/>
    <w:rsid w:val="00920E8D"/>
    <w:rsid w:val="009235A5"/>
    <w:rsid w:val="00923EA1"/>
    <w:rsid w:val="00924DF0"/>
    <w:rsid w:val="00930CC5"/>
    <w:rsid w:val="009328CB"/>
    <w:rsid w:val="00933C4E"/>
    <w:rsid w:val="00934675"/>
    <w:rsid w:val="00934FA6"/>
    <w:rsid w:val="00935846"/>
    <w:rsid w:val="00935A41"/>
    <w:rsid w:val="00936465"/>
    <w:rsid w:val="00936C5F"/>
    <w:rsid w:val="00937200"/>
    <w:rsid w:val="00937B30"/>
    <w:rsid w:val="009434A9"/>
    <w:rsid w:val="00945BC1"/>
    <w:rsid w:val="0094603C"/>
    <w:rsid w:val="0094629E"/>
    <w:rsid w:val="00953DF9"/>
    <w:rsid w:val="0095675D"/>
    <w:rsid w:val="00956F57"/>
    <w:rsid w:val="00957B7B"/>
    <w:rsid w:val="009602A0"/>
    <w:rsid w:val="0096316F"/>
    <w:rsid w:val="00963CD3"/>
    <w:rsid w:val="009646AA"/>
    <w:rsid w:val="009661F8"/>
    <w:rsid w:val="009666C7"/>
    <w:rsid w:val="009671F1"/>
    <w:rsid w:val="00971F0F"/>
    <w:rsid w:val="009722D5"/>
    <w:rsid w:val="00972A54"/>
    <w:rsid w:val="0097343F"/>
    <w:rsid w:val="00973EC0"/>
    <w:rsid w:val="00975522"/>
    <w:rsid w:val="00975877"/>
    <w:rsid w:val="00976067"/>
    <w:rsid w:val="00980180"/>
    <w:rsid w:val="00980524"/>
    <w:rsid w:val="009805E1"/>
    <w:rsid w:val="00980F57"/>
    <w:rsid w:val="00981068"/>
    <w:rsid w:val="0098137F"/>
    <w:rsid w:val="009830AB"/>
    <w:rsid w:val="009837C1"/>
    <w:rsid w:val="00983B37"/>
    <w:rsid w:val="00984BEB"/>
    <w:rsid w:val="0098538A"/>
    <w:rsid w:val="009853EE"/>
    <w:rsid w:val="009855F0"/>
    <w:rsid w:val="00986B23"/>
    <w:rsid w:val="00990A61"/>
    <w:rsid w:val="00990B4D"/>
    <w:rsid w:val="00991A38"/>
    <w:rsid w:val="00993AB0"/>
    <w:rsid w:val="00993E39"/>
    <w:rsid w:val="00994A65"/>
    <w:rsid w:val="00995A28"/>
    <w:rsid w:val="009966DD"/>
    <w:rsid w:val="009967C1"/>
    <w:rsid w:val="00997657"/>
    <w:rsid w:val="00997874"/>
    <w:rsid w:val="009A1189"/>
    <w:rsid w:val="009A4813"/>
    <w:rsid w:val="009A4AE1"/>
    <w:rsid w:val="009A5F3B"/>
    <w:rsid w:val="009B319D"/>
    <w:rsid w:val="009B31C8"/>
    <w:rsid w:val="009B3992"/>
    <w:rsid w:val="009B4196"/>
    <w:rsid w:val="009B5434"/>
    <w:rsid w:val="009B6C64"/>
    <w:rsid w:val="009C0BEB"/>
    <w:rsid w:val="009C1310"/>
    <w:rsid w:val="009C2F01"/>
    <w:rsid w:val="009C33C3"/>
    <w:rsid w:val="009C5BCE"/>
    <w:rsid w:val="009C6441"/>
    <w:rsid w:val="009C6FF4"/>
    <w:rsid w:val="009C76FE"/>
    <w:rsid w:val="009D0686"/>
    <w:rsid w:val="009D0BF2"/>
    <w:rsid w:val="009D0F05"/>
    <w:rsid w:val="009D2A25"/>
    <w:rsid w:val="009D336E"/>
    <w:rsid w:val="009D3ED4"/>
    <w:rsid w:val="009D4412"/>
    <w:rsid w:val="009D60F6"/>
    <w:rsid w:val="009D6117"/>
    <w:rsid w:val="009D6149"/>
    <w:rsid w:val="009D6434"/>
    <w:rsid w:val="009D66BF"/>
    <w:rsid w:val="009E06AB"/>
    <w:rsid w:val="009E07A7"/>
    <w:rsid w:val="009E10C1"/>
    <w:rsid w:val="009E14E2"/>
    <w:rsid w:val="009E1FA1"/>
    <w:rsid w:val="009E7EF2"/>
    <w:rsid w:val="009F2901"/>
    <w:rsid w:val="009F38D0"/>
    <w:rsid w:val="009F4F97"/>
    <w:rsid w:val="009F5273"/>
    <w:rsid w:val="009F5F51"/>
    <w:rsid w:val="009F69AE"/>
    <w:rsid w:val="009F6ADA"/>
    <w:rsid w:val="009F773F"/>
    <w:rsid w:val="00A000D0"/>
    <w:rsid w:val="00A000DD"/>
    <w:rsid w:val="00A00342"/>
    <w:rsid w:val="00A003A7"/>
    <w:rsid w:val="00A0115C"/>
    <w:rsid w:val="00A01FA5"/>
    <w:rsid w:val="00A0377A"/>
    <w:rsid w:val="00A03C0D"/>
    <w:rsid w:val="00A046F0"/>
    <w:rsid w:val="00A06B7E"/>
    <w:rsid w:val="00A06FF9"/>
    <w:rsid w:val="00A11748"/>
    <w:rsid w:val="00A13C1B"/>
    <w:rsid w:val="00A144E4"/>
    <w:rsid w:val="00A15A9B"/>
    <w:rsid w:val="00A15B66"/>
    <w:rsid w:val="00A173B8"/>
    <w:rsid w:val="00A2036A"/>
    <w:rsid w:val="00A20599"/>
    <w:rsid w:val="00A22332"/>
    <w:rsid w:val="00A22721"/>
    <w:rsid w:val="00A22B49"/>
    <w:rsid w:val="00A23976"/>
    <w:rsid w:val="00A25272"/>
    <w:rsid w:val="00A2537F"/>
    <w:rsid w:val="00A26B7C"/>
    <w:rsid w:val="00A27265"/>
    <w:rsid w:val="00A27DBE"/>
    <w:rsid w:val="00A31EAA"/>
    <w:rsid w:val="00A32447"/>
    <w:rsid w:val="00A32F08"/>
    <w:rsid w:val="00A336B8"/>
    <w:rsid w:val="00A33B5D"/>
    <w:rsid w:val="00A34E3D"/>
    <w:rsid w:val="00A35B76"/>
    <w:rsid w:val="00A401AB"/>
    <w:rsid w:val="00A4261F"/>
    <w:rsid w:val="00A42AE2"/>
    <w:rsid w:val="00A44404"/>
    <w:rsid w:val="00A45C3C"/>
    <w:rsid w:val="00A45EA8"/>
    <w:rsid w:val="00A46B33"/>
    <w:rsid w:val="00A478CA"/>
    <w:rsid w:val="00A502C0"/>
    <w:rsid w:val="00A52A00"/>
    <w:rsid w:val="00A530D9"/>
    <w:rsid w:val="00A53B3E"/>
    <w:rsid w:val="00A55B6A"/>
    <w:rsid w:val="00A621AA"/>
    <w:rsid w:val="00A6663D"/>
    <w:rsid w:val="00A673E7"/>
    <w:rsid w:val="00A706C6"/>
    <w:rsid w:val="00A717AE"/>
    <w:rsid w:val="00A72112"/>
    <w:rsid w:val="00A723A3"/>
    <w:rsid w:val="00A73174"/>
    <w:rsid w:val="00A7480B"/>
    <w:rsid w:val="00A74C0C"/>
    <w:rsid w:val="00A77264"/>
    <w:rsid w:val="00A8259C"/>
    <w:rsid w:val="00A8559C"/>
    <w:rsid w:val="00A85763"/>
    <w:rsid w:val="00A86CA8"/>
    <w:rsid w:val="00A87563"/>
    <w:rsid w:val="00A87C83"/>
    <w:rsid w:val="00A935C8"/>
    <w:rsid w:val="00A93739"/>
    <w:rsid w:val="00A93E4A"/>
    <w:rsid w:val="00A93E86"/>
    <w:rsid w:val="00A94141"/>
    <w:rsid w:val="00A95466"/>
    <w:rsid w:val="00A95733"/>
    <w:rsid w:val="00A95BBB"/>
    <w:rsid w:val="00AA2CDC"/>
    <w:rsid w:val="00AA3E8C"/>
    <w:rsid w:val="00AA3EBF"/>
    <w:rsid w:val="00AA4CB7"/>
    <w:rsid w:val="00AA69CE"/>
    <w:rsid w:val="00AB5641"/>
    <w:rsid w:val="00AB6A34"/>
    <w:rsid w:val="00AB79C8"/>
    <w:rsid w:val="00AC0BE1"/>
    <w:rsid w:val="00AC155D"/>
    <w:rsid w:val="00AC1CD6"/>
    <w:rsid w:val="00AC3CF4"/>
    <w:rsid w:val="00AC3FA7"/>
    <w:rsid w:val="00AC56AF"/>
    <w:rsid w:val="00AC7B9F"/>
    <w:rsid w:val="00AD01F3"/>
    <w:rsid w:val="00AD1337"/>
    <w:rsid w:val="00AD1C6E"/>
    <w:rsid w:val="00AD2779"/>
    <w:rsid w:val="00AD2D98"/>
    <w:rsid w:val="00AD2E79"/>
    <w:rsid w:val="00AD3531"/>
    <w:rsid w:val="00AD3745"/>
    <w:rsid w:val="00AD4C04"/>
    <w:rsid w:val="00AE13B6"/>
    <w:rsid w:val="00AE1976"/>
    <w:rsid w:val="00AE29FC"/>
    <w:rsid w:val="00AE2FF3"/>
    <w:rsid w:val="00AE41CC"/>
    <w:rsid w:val="00AE4ABC"/>
    <w:rsid w:val="00AE5EEF"/>
    <w:rsid w:val="00AE64D9"/>
    <w:rsid w:val="00AE668A"/>
    <w:rsid w:val="00AF0842"/>
    <w:rsid w:val="00AF0ECF"/>
    <w:rsid w:val="00AF1583"/>
    <w:rsid w:val="00AF1C9A"/>
    <w:rsid w:val="00AF2D3D"/>
    <w:rsid w:val="00AF3AAE"/>
    <w:rsid w:val="00AF525C"/>
    <w:rsid w:val="00AF6A62"/>
    <w:rsid w:val="00AF7A2D"/>
    <w:rsid w:val="00B00B8B"/>
    <w:rsid w:val="00B00F2F"/>
    <w:rsid w:val="00B036CD"/>
    <w:rsid w:val="00B05602"/>
    <w:rsid w:val="00B06BEC"/>
    <w:rsid w:val="00B06F99"/>
    <w:rsid w:val="00B11C0E"/>
    <w:rsid w:val="00B12002"/>
    <w:rsid w:val="00B1793F"/>
    <w:rsid w:val="00B17C07"/>
    <w:rsid w:val="00B20B54"/>
    <w:rsid w:val="00B20CF2"/>
    <w:rsid w:val="00B20ED0"/>
    <w:rsid w:val="00B2119A"/>
    <w:rsid w:val="00B22B8F"/>
    <w:rsid w:val="00B26E52"/>
    <w:rsid w:val="00B27D14"/>
    <w:rsid w:val="00B30236"/>
    <w:rsid w:val="00B3024A"/>
    <w:rsid w:val="00B32416"/>
    <w:rsid w:val="00B3383B"/>
    <w:rsid w:val="00B33AAC"/>
    <w:rsid w:val="00B34BA4"/>
    <w:rsid w:val="00B35205"/>
    <w:rsid w:val="00B35B62"/>
    <w:rsid w:val="00B37D8A"/>
    <w:rsid w:val="00B404E2"/>
    <w:rsid w:val="00B40A01"/>
    <w:rsid w:val="00B40C7A"/>
    <w:rsid w:val="00B430B3"/>
    <w:rsid w:val="00B455E2"/>
    <w:rsid w:val="00B456A0"/>
    <w:rsid w:val="00B47A2A"/>
    <w:rsid w:val="00B50572"/>
    <w:rsid w:val="00B50761"/>
    <w:rsid w:val="00B5087E"/>
    <w:rsid w:val="00B50AF8"/>
    <w:rsid w:val="00B516A7"/>
    <w:rsid w:val="00B530F1"/>
    <w:rsid w:val="00B5523A"/>
    <w:rsid w:val="00B55ABC"/>
    <w:rsid w:val="00B55AC6"/>
    <w:rsid w:val="00B60269"/>
    <w:rsid w:val="00B60EC5"/>
    <w:rsid w:val="00B618D8"/>
    <w:rsid w:val="00B61DDA"/>
    <w:rsid w:val="00B61FDA"/>
    <w:rsid w:val="00B6372C"/>
    <w:rsid w:val="00B64F05"/>
    <w:rsid w:val="00B65077"/>
    <w:rsid w:val="00B65192"/>
    <w:rsid w:val="00B6595B"/>
    <w:rsid w:val="00B66250"/>
    <w:rsid w:val="00B66604"/>
    <w:rsid w:val="00B66CE5"/>
    <w:rsid w:val="00B670C4"/>
    <w:rsid w:val="00B6773B"/>
    <w:rsid w:val="00B70BFD"/>
    <w:rsid w:val="00B724BB"/>
    <w:rsid w:val="00B74093"/>
    <w:rsid w:val="00B742B6"/>
    <w:rsid w:val="00B74D7A"/>
    <w:rsid w:val="00B74F7C"/>
    <w:rsid w:val="00B7555D"/>
    <w:rsid w:val="00B774B1"/>
    <w:rsid w:val="00B777B2"/>
    <w:rsid w:val="00B805E6"/>
    <w:rsid w:val="00B806FC"/>
    <w:rsid w:val="00B80F0D"/>
    <w:rsid w:val="00B80F21"/>
    <w:rsid w:val="00B81119"/>
    <w:rsid w:val="00B86B4D"/>
    <w:rsid w:val="00B90F4E"/>
    <w:rsid w:val="00B916C4"/>
    <w:rsid w:val="00B923E6"/>
    <w:rsid w:val="00B93841"/>
    <w:rsid w:val="00B96D20"/>
    <w:rsid w:val="00B971D5"/>
    <w:rsid w:val="00B97721"/>
    <w:rsid w:val="00B97F31"/>
    <w:rsid w:val="00BA238A"/>
    <w:rsid w:val="00BA2D59"/>
    <w:rsid w:val="00BA33B4"/>
    <w:rsid w:val="00BA40DD"/>
    <w:rsid w:val="00BA459E"/>
    <w:rsid w:val="00BA6798"/>
    <w:rsid w:val="00BA730B"/>
    <w:rsid w:val="00BA7321"/>
    <w:rsid w:val="00BA75CF"/>
    <w:rsid w:val="00BB04BF"/>
    <w:rsid w:val="00BB05DE"/>
    <w:rsid w:val="00BB12F4"/>
    <w:rsid w:val="00BB3968"/>
    <w:rsid w:val="00BB5711"/>
    <w:rsid w:val="00BB5F87"/>
    <w:rsid w:val="00BB76C7"/>
    <w:rsid w:val="00BC4494"/>
    <w:rsid w:val="00BC480A"/>
    <w:rsid w:val="00BC5B2A"/>
    <w:rsid w:val="00BC638F"/>
    <w:rsid w:val="00BD25C4"/>
    <w:rsid w:val="00BD266C"/>
    <w:rsid w:val="00BD39FB"/>
    <w:rsid w:val="00BD4C1E"/>
    <w:rsid w:val="00BD5A73"/>
    <w:rsid w:val="00BD5CE6"/>
    <w:rsid w:val="00BD6957"/>
    <w:rsid w:val="00BD697C"/>
    <w:rsid w:val="00BD7190"/>
    <w:rsid w:val="00BD7F0C"/>
    <w:rsid w:val="00BE054D"/>
    <w:rsid w:val="00BE1088"/>
    <w:rsid w:val="00BE4EAF"/>
    <w:rsid w:val="00BE5262"/>
    <w:rsid w:val="00BE68D6"/>
    <w:rsid w:val="00BF0F98"/>
    <w:rsid w:val="00BF29C6"/>
    <w:rsid w:val="00BF338C"/>
    <w:rsid w:val="00BF3831"/>
    <w:rsid w:val="00BF5CC5"/>
    <w:rsid w:val="00BF6D20"/>
    <w:rsid w:val="00BF763C"/>
    <w:rsid w:val="00BF766A"/>
    <w:rsid w:val="00BF7691"/>
    <w:rsid w:val="00BF79FF"/>
    <w:rsid w:val="00C06AF2"/>
    <w:rsid w:val="00C079F7"/>
    <w:rsid w:val="00C07A04"/>
    <w:rsid w:val="00C07F71"/>
    <w:rsid w:val="00C11AA5"/>
    <w:rsid w:val="00C11CA8"/>
    <w:rsid w:val="00C14598"/>
    <w:rsid w:val="00C17383"/>
    <w:rsid w:val="00C21A80"/>
    <w:rsid w:val="00C22747"/>
    <w:rsid w:val="00C2358E"/>
    <w:rsid w:val="00C23DDB"/>
    <w:rsid w:val="00C25184"/>
    <w:rsid w:val="00C25381"/>
    <w:rsid w:val="00C2675C"/>
    <w:rsid w:val="00C26916"/>
    <w:rsid w:val="00C27E57"/>
    <w:rsid w:val="00C31806"/>
    <w:rsid w:val="00C31F15"/>
    <w:rsid w:val="00C34AC7"/>
    <w:rsid w:val="00C41D38"/>
    <w:rsid w:val="00C448FD"/>
    <w:rsid w:val="00C470D6"/>
    <w:rsid w:val="00C50B96"/>
    <w:rsid w:val="00C51752"/>
    <w:rsid w:val="00C5179B"/>
    <w:rsid w:val="00C529AC"/>
    <w:rsid w:val="00C54330"/>
    <w:rsid w:val="00C60859"/>
    <w:rsid w:val="00C61E5C"/>
    <w:rsid w:val="00C6243C"/>
    <w:rsid w:val="00C62CE7"/>
    <w:rsid w:val="00C663A9"/>
    <w:rsid w:val="00C6702C"/>
    <w:rsid w:val="00C672FF"/>
    <w:rsid w:val="00C67782"/>
    <w:rsid w:val="00C73093"/>
    <w:rsid w:val="00C73C08"/>
    <w:rsid w:val="00C753D5"/>
    <w:rsid w:val="00C76168"/>
    <w:rsid w:val="00C76E8B"/>
    <w:rsid w:val="00C77683"/>
    <w:rsid w:val="00C8030F"/>
    <w:rsid w:val="00C80569"/>
    <w:rsid w:val="00C81803"/>
    <w:rsid w:val="00C822CC"/>
    <w:rsid w:val="00C83E78"/>
    <w:rsid w:val="00C8493F"/>
    <w:rsid w:val="00C84C35"/>
    <w:rsid w:val="00C92210"/>
    <w:rsid w:val="00C937CA"/>
    <w:rsid w:val="00C951E1"/>
    <w:rsid w:val="00C97CD7"/>
    <w:rsid w:val="00CA00BD"/>
    <w:rsid w:val="00CA0C4F"/>
    <w:rsid w:val="00CA1E44"/>
    <w:rsid w:val="00CA321F"/>
    <w:rsid w:val="00CA3C8F"/>
    <w:rsid w:val="00CA3E67"/>
    <w:rsid w:val="00CA3EA6"/>
    <w:rsid w:val="00CA42C4"/>
    <w:rsid w:val="00CA7114"/>
    <w:rsid w:val="00CA7F82"/>
    <w:rsid w:val="00CB04C0"/>
    <w:rsid w:val="00CB3C4B"/>
    <w:rsid w:val="00CB400B"/>
    <w:rsid w:val="00CB6C6D"/>
    <w:rsid w:val="00CB7357"/>
    <w:rsid w:val="00CB798A"/>
    <w:rsid w:val="00CC102B"/>
    <w:rsid w:val="00CC4361"/>
    <w:rsid w:val="00CC538A"/>
    <w:rsid w:val="00CC5572"/>
    <w:rsid w:val="00CD1684"/>
    <w:rsid w:val="00CD1E89"/>
    <w:rsid w:val="00CD251F"/>
    <w:rsid w:val="00CD25E4"/>
    <w:rsid w:val="00CD303F"/>
    <w:rsid w:val="00CD3667"/>
    <w:rsid w:val="00CD3A24"/>
    <w:rsid w:val="00CD4E9C"/>
    <w:rsid w:val="00CD7939"/>
    <w:rsid w:val="00CD7B14"/>
    <w:rsid w:val="00CD7B23"/>
    <w:rsid w:val="00CD7B40"/>
    <w:rsid w:val="00CD7F91"/>
    <w:rsid w:val="00CE0346"/>
    <w:rsid w:val="00CE0C7B"/>
    <w:rsid w:val="00CF0D22"/>
    <w:rsid w:val="00CF1D65"/>
    <w:rsid w:val="00CF2A1E"/>
    <w:rsid w:val="00CF2C57"/>
    <w:rsid w:val="00CF45A7"/>
    <w:rsid w:val="00CF4B2D"/>
    <w:rsid w:val="00CF4D60"/>
    <w:rsid w:val="00CF6BC2"/>
    <w:rsid w:val="00CF72A9"/>
    <w:rsid w:val="00CF7B81"/>
    <w:rsid w:val="00D02505"/>
    <w:rsid w:val="00D034BE"/>
    <w:rsid w:val="00D043CE"/>
    <w:rsid w:val="00D04860"/>
    <w:rsid w:val="00D054C3"/>
    <w:rsid w:val="00D06467"/>
    <w:rsid w:val="00D07B4D"/>
    <w:rsid w:val="00D10547"/>
    <w:rsid w:val="00D14745"/>
    <w:rsid w:val="00D15DDC"/>
    <w:rsid w:val="00D16D45"/>
    <w:rsid w:val="00D2167B"/>
    <w:rsid w:val="00D218EE"/>
    <w:rsid w:val="00D21E21"/>
    <w:rsid w:val="00D21EFB"/>
    <w:rsid w:val="00D23F8B"/>
    <w:rsid w:val="00D24C51"/>
    <w:rsid w:val="00D26710"/>
    <w:rsid w:val="00D269D7"/>
    <w:rsid w:val="00D26E8C"/>
    <w:rsid w:val="00D30524"/>
    <w:rsid w:val="00D3140A"/>
    <w:rsid w:val="00D314CC"/>
    <w:rsid w:val="00D32B8C"/>
    <w:rsid w:val="00D33D75"/>
    <w:rsid w:val="00D3519B"/>
    <w:rsid w:val="00D36681"/>
    <w:rsid w:val="00D379F0"/>
    <w:rsid w:val="00D414DC"/>
    <w:rsid w:val="00D41CFF"/>
    <w:rsid w:val="00D428A0"/>
    <w:rsid w:val="00D43B09"/>
    <w:rsid w:val="00D44D87"/>
    <w:rsid w:val="00D45D56"/>
    <w:rsid w:val="00D45D75"/>
    <w:rsid w:val="00D469B5"/>
    <w:rsid w:val="00D53277"/>
    <w:rsid w:val="00D53E4F"/>
    <w:rsid w:val="00D5605A"/>
    <w:rsid w:val="00D564B6"/>
    <w:rsid w:val="00D56BC9"/>
    <w:rsid w:val="00D60C47"/>
    <w:rsid w:val="00D62B13"/>
    <w:rsid w:val="00D6404C"/>
    <w:rsid w:val="00D658BE"/>
    <w:rsid w:val="00D66E6C"/>
    <w:rsid w:val="00D670BD"/>
    <w:rsid w:val="00D671A4"/>
    <w:rsid w:val="00D70E76"/>
    <w:rsid w:val="00D71254"/>
    <w:rsid w:val="00D73144"/>
    <w:rsid w:val="00D7351C"/>
    <w:rsid w:val="00D765CC"/>
    <w:rsid w:val="00D76A7C"/>
    <w:rsid w:val="00D81202"/>
    <w:rsid w:val="00D8294F"/>
    <w:rsid w:val="00D83AF4"/>
    <w:rsid w:val="00D85CBD"/>
    <w:rsid w:val="00D85E4B"/>
    <w:rsid w:val="00D90E27"/>
    <w:rsid w:val="00D91FB3"/>
    <w:rsid w:val="00D952D5"/>
    <w:rsid w:val="00D9537F"/>
    <w:rsid w:val="00D95E31"/>
    <w:rsid w:val="00D96B3F"/>
    <w:rsid w:val="00D97642"/>
    <w:rsid w:val="00DA07A6"/>
    <w:rsid w:val="00DA0F10"/>
    <w:rsid w:val="00DA1127"/>
    <w:rsid w:val="00DA1B6D"/>
    <w:rsid w:val="00DA1CCF"/>
    <w:rsid w:val="00DA2217"/>
    <w:rsid w:val="00DA3B92"/>
    <w:rsid w:val="00DA4DE9"/>
    <w:rsid w:val="00DA57F9"/>
    <w:rsid w:val="00DA5CD9"/>
    <w:rsid w:val="00DA5FF3"/>
    <w:rsid w:val="00DA6811"/>
    <w:rsid w:val="00DA7A6E"/>
    <w:rsid w:val="00DB0C9F"/>
    <w:rsid w:val="00DB109E"/>
    <w:rsid w:val="00DB190B"/>
    <w:rsid w:val="00DB1E35"/>
    <w:rsid w:val="00DB211A"/>
    <w:rsid w:val="00DB27BA"/>
    <w:rsid w:val="00DB2862"/>
    <w:rsid w:val="00DB2CBE"/>
    <w:rsid w:val="00DB2E8E"/>
    <w:rsid w:val="00DB6731"/>
    <w:rsid w:val="00DB6B93"/>
    <w:rsid w:val="00DB79C1"/>
    <w:rsid w:val="00DB7FE0"/>
    <w:rsid w:val="00DC16E2"/>
    <w:rsid w:val="00DC306B"/>
    <w:rsid w:val="00DC7594"/>
    <w:rsid w:val="00DD2E41"/>
    <w:rsid w:val="00DD3671"/>
    <w:rsid w:val="00DE1921"/>
    <w:rsid w:val="00DE2DB4"/>
    <w:rsid w:val="00DE2F70"/>
    <w:rsid w:val="00DE4A16"/>
    <w:rsid w:val="00DE5B98"/>
    <w:rsid w:val="00DE697C"/>
    <w:rsid w:val="00DE70E6"/>
    <w:rsid w:val="00DF065D"/>
    <w:rsid w:val="00DF08F6"/>
    <w:rsid w:val="00DF1968"/>
    <w:rsid w:val="00DF2244"/>
    <w:rsid w:val="00DF27D2"/>
    <w:rsid w:val="00E01142"/>
    <w:rsid w:val="00E01356"/>
    <w:rsid w:val="00E0435B"/>
    <w:rsid w:val="00E1072B"/>
    <w:rsid w:val="00E1282B"/>
    <w:rsid w:val="00E12FB1"/>
    <w:rsid w:val="00E13C25"/>
    <w:rsid w:val="00E17F35"/>
    <w:rsid w:val="00E219CA"/>
    <w:rsid w:val="00E229D8"/>
    <w:rsid w:val="00E23262"/>
    <w:rsid w:val="00E23A28"/>
    <w:rsid w:val="00E246A0"/>
    <w:rsid w:val="00E24A23"/>
    <w:rsid w:val="00E24E5F"/>
    <w:rsid w:val="00E25E91"/>
    <w:rsid w:val="00E26008"/>
    <w:rsid w:val="00E264E7"/>
    <w:rsid w:val="00E267FE"/>
    <w:rsid w:val="00E274B3"/>
    <w:rsid w:val="00E276FA"/>
    <w:rsid w:val="00E27F00"/>
    <w:rsid w:val="00E31178"/>
    <w:rsid w:val="00E3179C"/>
    <w:rsid w:val="00E3424F"/>
    <w:rsid w:val="00E3498C"/>
    <w:rsid w:val="00E35186"/>
    <w:rsid w:val="00E351A3"/>
    <w:rsid w:val="00E35B91"/>
    <w:rsid w:val="00E37000"/>
    <w:rsid w:val="00E379F6"/>
    <w:rsid w:val="00E40F29"/>
    <w:rsid w:val="00E4104E"/>
    <w:rsid w:val="00E41B75"/>
    <w:rsid w:val="00E42D02"/>
    <w:rsid w:val="00E4441E"/>
    <w:rsid w:val="00E446C0"/>
    <w:rsid w:val="00E46562"/>
    <w:rsid w:val="00E47A45"/>
    <w:rsid w:val="00E47D8B"/>
    <w:rsid w:val="00E50DD6"/>
    <w:rsid w:val="00E513A3"/>
    <w:rsid w:val="00E51CD4"/>
    <w:rsid w:val="00E5362D"/>
    <w:rsid w:val="00E53E2F"/>
    <w:rsid w:val="00E5413F"/>
    <w:rsid w:val="00E55021"/>
    <w:rsid w:val="00E55F59"/>
    <w:rsid w:val="00E56060"/>
    <w:rsid w:val="00E6285E"/>
    <w:rsid w:val="00E62D45"/>
    <w:rsid w:val="00E64825"/>
    <w:rsid w:val="00E65371"/>
    <w:rsid w:val="00E65476"/>
    <w:rsid w:val="00E672FF"/>
    <w:rsid w:val="00E7019D"/>
    <w:rsid w:val="00E71E13"/>
    <w:rsid w:val="00E7242E"/>
    <w:rsid w:val="00E72B6A"/>
    <w:rsid w:val="00E72C55"/>
    <w:rsid w:val="00E72EBC"/>
    <w:rsid w:val="00E74665"/>
    <w:rsid w:val="00E758FA"/>
    <w:rsid w:val="00E80B2B"/>
    <w:rsid w:val="00E80F2A"/>
    <w:rsid w:val="00E816B8"/>
    <w:rsid w:val="00E82D7D"/>
    <w:rsid w:val="00E83A71"/>
    <w:rsid w:val="00E8589B"/>
    <w:rsid w:val="00E869DA"/>
    <w:rsid w:val="00E876AC"/>
    <w:rsid w:val="00E87A4E"/>
    <w:rsid w:val="00E90B2A"/>
    <w:rsid w:val="00E90EED"/>
    <w:rsid w:val="00E91174"/>
    <w:rsid w:val="00E91A32"/>
    <w:rsid w:val="00E9341E"/>
    <w:rsid w:val="00E9421C"/>
    <w:rsid w:val="00E943A8"/>
    <w:rsid w:val="00E944DE"/>
    <w:rsid w:val="00E950AA"/>
    <w:rsid w:val="00E9704D"/>
    <w:rsid w:val="00EA07A0"/>
    <w:rsid w:val="00EA0A8C"/>
    <w:rsid w:val="00EA0B09"/>
    <w:rsid w:val="00EA1049"/>
    <w:rsid w:val="00EA2656"/>
    <w:rsid w:val="00EA356C"/>
    <w:rsid w:val="00EA4097"/>
    <w:rsid w:val="00EB0B28"/>
    <w:rsid w:val="00EB2336"/>
    <w:rsid w:val="00EB2695"/>
    <w:rsid w:val="00EB32FF"/>
    <w:rsid w:val="00EB336C"/>
    <w:rsid w:val="00EB3961"/>
    <w:rsid w:val="00EB531B"/>
    <w:rsid w:val="00EB5462"/>
    <w:rsid w:val="00EB73A8"/>
    <w:rsid w:val="00EB7AEB"/>
    <w:rsid w:val="00EC2068"/>
    <w:rsid w:val="00EC2DE1"/>
    <w:rsid w:val="00EC2F0A"/>
    <w:rsid w:val="00EC32C2"/>
    <w:rsid w:val="00EC3381"/>
    <w:rsid w:val="00EC353E"/>
    <w:rsid w:val="00EC3F69"/>
    <w:rsid w:val="00EC47D2"/>
    <w:rsid w:val="00EC4BD4"/>
    <w:rsid w:val="00EC567E"/>
    <w:rsid w:val="00EC6127"/>
    <w:rsid w:val="00EC70CC"/>
    <w:rsid w:val="00EC7758"/>
    <w:rsid w:val="00ED10F7"/>
    <w:rsid w:val="00ED3D2D"/>
    <w:rsid w:val="00ED5FFF"/>
    <w:rsid w:val="00EE0DC3"/>
    <w:rsid w:val="00EE1A6C"/>
    <w:rsid w:val="00EE1ECE"/>
    <w:rsid w:val="00EE26E5"/>
    <w:rsid w:val="00EE5D95"/>
    <w:rsid w:val="00EE6311"/>
    <w:rsid w:val="00EE6A7A"/>
    <w:rsid w:val="00EE7580"/>
    <w:rsid w:val="00EE7EAC"/>
    <w:rsid w:val="00EF0BE7"/>
    <w:rsid w:val="00EF43E2"/>
    <w:rsid w:val="00EF4A18"/>
    <w:rsid w:val="00EF6183"/>
    <w:rsid w:val="00EF667C"/>
    <w:rsid w:val="00EF7285"/>
    <w:rsid w:val="00EF7D7C"/>
    <w:rsid w:val="00F01D2D"/>
    <w:rsid w:val="00F03604"/>
    <w:rsid w:val="00F036BD"/>
    <w:rsid w:val="00F06941"/>
    <w:rsid w:val="00F06DCA"/>
    <w:rsid w:val="00F1022F"/>
    <w:rsid w:val="00F11CFA"/>
    <w:rsid w:val="00F11EB5"/>
    <w:rsid w:val="00F13F77"/>
    <w:rsid w:val="00F20600"/>
    <w:rsid w:val="00F20DF6"/>
    <w:rsid w:val="00F211A2"/>
    <w:rsid w:val="00F21906"/>
    <w:rsid w:val="00F231C8"/>
    <w:rsid w:val="00F26517"/>
    <w:rsid w:val="00F3160A"/>
    <w:rsid w:val="00F31BD9"/>
    <w:rsid w:val="00F328D9"/>
    <w:rsid w:val="00F330E5"/>
    <w:rsid w:val="00F374ED"/>
    <w:rsid w:val="00F403A8"/>
    <w:rsid w:val="00F40C80"/>
    <w:rsid w:val="00F41AA6"/>
    <w:rsid w:val="00F431F9"/>
    <w:rsid w:val="00F43979"/>
    <w:rsid w:val="00F44510"/>
    <w:rsid w:val="00F46028"/>
    <w:rsid w:val="00F47DB0"/>
    <w:rsid w:val="00F50962"/>
    <w:rsid w:val="00F509A8"/>
    <w:rsid w:val="00F50B6E"/>
    <w:rsid w:val="00F50F49"/>
    <w:rsid w:val="00F5214A"/>
    <w:rsid w:val="00F52AF8"/>
    <w:rsid w:val="00F54A22"/>
    <w:rsid w:val="00F552F3"/>
    <w:rsid w:val="00F55F44"/>
    <w:rsid w:val="00F6034C"/>
    <w:rsid w:val="00F6087B"/>
    <w:rsid w:val="00F608F3"/>
    <w:rsid w:val="00F61148"/>
    <w:rsid w:val="00F6185F"/>
    <w:rsid w:val="00F61F1F"/>
    <w:rsid w:val="00F6383D"/>
    <w:rsid w:val="00F6463A"/>
    <w:rsid w:val="00F64DD6"/>
    <w:rsid w:val="00F66B76"/>
    <w:rsid w:val="00F676D7"/>
    <w:rsid w:val="00F70E82"/>
    <w:rsid w:val="00F715CA"/>
    <w:rsid w:val="00F7225D"/>
    <w:rsid w:val="00F7229A"/>
    <w:rsid w:val="00F72A90"/>
    <w:rsid w:val="00F730AF"/>
    <w:rsid w:val="00F736C8"/>
    <w:rsid w:val="00F75703"/>
    <w:rsid w:val="00F763B4"/>
    <w:rsid w:val="00F81D6B"/>
    <w:rsid w:val="00F82A06"/>
    <w:rsid w:val="00F8389A"/>
    <w:rsid w:val="00F8412C"/>
    <w:rsid w:val="00F84C6D"/>
    <w:rsid w:val="00F855DD"/>
    <w:rsid w:val="00F864BB"/>
    <w:rsid w:val="00F86858"/>
    <w:rsid w:val="00F87647"/>
    <w:rsid w:val="00F914E4"/>
    <w:rsid w:val="00F92925"/>
    <w:rsid w:val="00F930D3"/>
    <w:rsid w:val="00F933D2"/>
    <w:rsid w:val="00F937BA"/>
    <w:rsid w:val="00F9387E"/>
    <w:rsid w:val="00FA472B"/>
    <w:rsid w:val="00FA4F91"/>
    <w:rsid w:val="00FB00FA"/>
    <w:rsid w:val="00FB0BE4"/>
    <w:rsid w:val="00FB1D0C"/>
    <w:rsid w:val="00FB1D49"/>
    <w:rsid w:val="00FB1FFA"/>
    <w:rsid w:val="00FB3825"/>
    <w:rsid w:val="00FB4A0A"/>
    <w:rsid w:val="00FB5194"/>
    <w:rsid w:val="00FB54E4"/>
    <w:rsid w:val="00FB5B94"/>
    <w:rsid w:val="00FB685D"/>
    <w:rsid w:val="00FB6C06"/>
    <w:rsid w:val="00FB72AC"/>
    <w:rsid w:val="00FB7EE9"/>
    <w:rsid w:val="00FC1FE9"/>
    <w:rsid w:val="00FC20EA"/>
    <w:rsid w:val="00FC22C1"/>
    <w:rsid w:val="00FC2CFE"/>
    <w:rsid w:val="00FC3C46"/>
    <w:rsid w:val="00FC6697"/>
    <w:rsid w:val="00FC7A61"/>
    <w:rsid w:val="00FD0ED2"/>
    <w:rsid w:val="00FD12F3"/>
    <w:rsid w:val="00FD1473"/>
    <w:rsid w:val="00FD32D7"/>
    <w:rsid w:val="00FD3F4D"/>
    <w:rsid w:val="00FD47E4"/>
    <w:rsid w:val="00FD4C92"/>
    <w:rsid w:val="00FD5626"/>
    <w:rsid w:val="00FD6C8F"/>
    <w:rsid w:val="00FD705D"/>
    <w:rsid w:val="00FE165A"/>
    <w:rsid w:val="00FE2B3E"/>
    <w:rsid w:val="00FE3CEE"/>
    <w:rsid w:val="00FE46F1"/>
    <w:rsid w:val="00FE4DB1"/>
    <w:rsid w:val="00FE4E3E"/>
    <w:rsid w:val="00FE5264"/>
    <w:rsid w:val="00FF0E2F"/>
    <w:rsid w:val="00FF22C2"/>
    <w:rsid w:val="00FF3687"/>
    <w:rsid w:val="00FF4525"/>
    <w:rsid w:val="00FF4979"/>
    <w:rsid w:val="00FF51AB"/>
    <w:rsid w:val="00FF5DCF"/>
    <w:rsid w:val="00FF62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C677C0"/>
  <w15:docId w15:val="{A68C8ED3-0CEE-4824-B3D0-8A0E709C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s-MX" w:eastAsia="en-US"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5E91"/>
    <w:rPr>
      <w:rFonts w:ascii="Arial" w:eastAsia="Times New Roman" w:hAnsi="Arial" w:cs="Arial"/>
      <w:sz w:val="24"/>
      <w:szCs w:val="24"/>
      <w:lang w:val="es-CO" w:eastAsia="es-CO"/>
    </w:rPr>
  </w:style>
  <w:style w:type="paragraph" w:styleId="Heading1">
    <w:name w:val="heading 1"/>
    <w:basedOn w:val="Normal"/>
    <w:next w:val="Normal"/>
    <w:link w:val="Heading1Char"/>
    <w:uiPriority w:val="9"/>
    <w:qFormat/>
    <w:rsid w:val="00AF1C9A"/>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1C9A"/>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1C9A"/>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127A"/>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E2B24"/>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E2B24"/>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E2B2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E2B24"/>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E2B2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74BE5"/>
    <w:pPr>
      <w:ind w:left="720"/>
      <w:contextualSpacing/>
    </w:pPr>
  </w:style>
  <w:style w:type="character" w:customStyle="1" w:styleId="Heading1Char">
    <w:name w:val="Heading 1 Char"/>
    <w:basedOn w:val="DefaultParagraphFont"/>
    <w:link w:val="Heading1"/>
    <w:uiPriority w:val="9"/>
    <w:rsid w:val="00AF1C9A"/>
    <w:rPr>
      <w:rFonts w:asciiTheme="majorHAnsi" w:eastAsiaTheme="majorEastAsia" w:hAnsiTheme="majorHAnsi" w:cstheme="majorBidi"/>
      <w:b/>
      <w:bCs/>
      <w:color w:val="365F91" w:themeColor="accent1" w:themeShade="BF"/>
      <w:sz w:val="28"/>
      <w:szCs w:val="28"/>
      <w:lang w:val="es-CO" w:eastAsia="es-CO"/>
    </w:rPr>
  </w:style>
  <w:style w:type="character" w:customStyle="1" w:styleId="Heading2Char">
    <w:name w:val="Heading 2 Char"/>
    <w:basedOn w:val="DefaultParagraphFont"/>
    <w:link w:val="Heading2"/>
    <w:uiPriority w:val="9"/>
    <w:rsid w:val="00AF1C9A"/>
    <w:rPr>
      <w:rFonts w:asciiTheme="majorHAnsi" w:eastAsiaTheme="majorEastAsia" w:hAnsiTheme="majorHAnsi" w:cstheme="majorBidi"/>
      <w:b/>
      <w:bCs/>
      <w:color w:val="4F81BD" w:themeColor="accent1"/>
      <w:sz w:val="26"/>
      <w:szCs w:val="26"/>
      <w:lang w:val="es-CO" w:eastAsia="es-CO"/>
    </w:rPr>
  </w:style>
  <w:style w:type="character" w:customStyle="1" w:styleId="Heading3Char">
    <w:name w:val="Heading 3 Char"/>
    <w:basedOn w:val="DefaultParagraphFont"/>
    <w:link w:val="Heading3"/>
    <w:uiPriority w:val="9"/>
    <w:rsid w:val="00AF1C9A"/>
    <w:rPr>
      <w:rFonts w:asciiTheme="majorHAnsi" w:eastAsiaTheme="majorEastAsia" w:hAnsiTheme="majorHAnsi" w:cstheme="majorBidi"/>
      <w:b/>
      <w:bCs/>
      <w:color w:val="4F81BD" w:themeColor="accent1"/>
      <w:sz w:val="24"/>
      <w:szCs w:val="24"/>
      <w:lang w:val="es-CO" w:eastAsia="es-CO"/>
    </w:rPr>
  </w:style>
  <w:style w:type="character" w:customStyle="1" w:styleId="Heading4Char">
    <w:name w:val="Heading 4 Char"/>
    <w:basedOn w:val="DefaultParagraphFont"/>
    <w:link w:val="Heading4"/>
    <w:uiPriority w:val="9"/>
    <w:rsid w:val="007F127A"/>
    <w:rPr>
      <w:rFonts w:asciiTheme="majorHAnsi" w:eastAsiaTheme="majorEastAsia" w:hAnsiTheme="majorHAnsi" w:cstheme="majorBidi"/>
      <w:b/>
      <w:bCs/>
      <w:i/>
      <w:iCs/>
      <w:color w:val="4F81BD" w:themeColor="accent1"/>
      <w:sz w:val="24"/>
      <w:szCs w:val="24"/>
      <w:lang w:val="es-CO" w:eastAsia="es-CO"/>
    </w:rPr>
  </w:style>
  <w:style w:type="paragraph" w:styleId="BalloonText">
    <w:name w:val="Balloon Text"/>
    <w:basedOn w:val="Normal"/>
    <w:link w:val="BalloonTextChar"/>
    <w:uiPriority w:val="99"/>
    <w:semiHidden/>
    <w:unhideWhenUsed/>
    <w:rsid w:val="000D4679"/>
    <w:rPr>
      <w:rFonts w:ascii="Tahoma" w:hAnsi="Tahoma" w:cs="Tahoma"/>
      <w:sz w:val="16"/>
      <w:szCs w:val="16"/>
    </w:rPr>
  </w:style>
  <w:style w:type="character" w:customStyle="1" w:styleId="BalloonTextChar">
    <w:name w:val="Balloon Text Char"/>
    <w:basedOn w:val="DefaultParagraphFont"/>
    <w:link w:val="BalloonText"/>
    <w:uiPriority w:val="99"/>
    <w:semiHidden/>
    <w:rsid w:val="000D4679"/>
    <w:rPr>
      <w:rFonts w:ascii="Tahoma" w:hAnsi="Tahoma" w:cs="Tahoma"/>
      <w:sz w:val="16"/>
      <w:szCs w:val="16"/>
    </w:rPr>
  </w:style>
  <w:style w:type="paragraph" w:styleId="Caption">
    <w:name w:val="caption"/>
    <w:basedOn w:val="Normal"/>
    <w:next w:val="Normal"/>
    <w:link w:val="CaptionChar"/>
    <w:uiPriority w:val="35"/>
    <w:unhideWhenUsed/>
    <w:qFormat/>
    <w:rsid w:val="000D4679"/>
    <w:pPr>
      <w:spacing w:after="200"/>
    </w:pPr>
    <w:rPr>
      <w:b/>
      <w:bCs/>
      <w:color w:val="4F81BD" w:themeColor="accent1"/>
      <w:sz w:val="18"/>
      <w:szCs w:val="18"/>
    </w:rPr>
  </w:style>
  <w:style w:type="character" w:customStyle="1" w:styleId="apple-converted-space">
    <w:name w:val="apple-converted-space"/>
    <w:basedOn w:val="DefaultParagraphFont"/>
    <w:rsid w:val="00781344"/>
  </w:style>
  <w:style w:type="paragraph" w:styleId="TOCHeading">
    <w:name w:val="TOC Heading"/>
    <w:basedOn w:val="Heading1"/>
    <w:next w:val="Normal"/>
    <w:uiPriority w:val="39"/>
    <w:unhideWhenUsed/>
    <w:qFormat/>
    <w:rsid w:val="00A401AB"/>
    <w:pPr>
      <w:outlineLvl w:val="9"/>
    </w:pPr>
  </w:style>
  <w:style w:type="paragraph" w:styleId="TOC1">
    <w:name w:val="toc 1"/>
    <w:basedOn w:val="Normal"/>
    <w:next w:val="Normal"/>
    <w:autoRedefine/>
    <w:uiPriority w:val="39"/>
    <w:unhideWhenUsed/>
    <w:rsid w:val="00A401AB"/>
    <w:pPr>
      <w:spacing w:after="100"/>
    </w:pPr>
  </w:style>
  <w:style w:type="paragraph" w:styleId="TOC2">
    <w:name w:val="toc 2"/>
    <w:basedOn w:val="Normal"/>
    <w:next w:val="Normal"/>
    <w:autoRedefine/>
    <w:uiPriority w:val="39"/>
    <w:unhideWhenUsed/>
    <w:rsid w:val="00A401AB"/>
    <w:pPr>
      <w:spacing w:after="100"/>
      <w:ind w:left="220"/>
    </w:pPr>
  </w:style>
  <w:style w:type="paragraph" w:styleId="TOC3">
    <w:name w:val="toc 3"/>
    <w:basedOn w:val="Normal"/>
    <w:next w:val="Normal"/>
    <w:autoRedefine/>
    <w:uiPriority w:val="39"/>
    <w:unhideWhenUsed/>
    <w:rsid w:val="00A401AB"/>
    <w:pPr>
      <w:spacing w:after="100"/>
      <w:ind w:left="440"/>
    </w:pPr>
  </w:style>
  <w:style w:type="character" w:styleId="Hyperlink">
    <w:name w:val="Hyperlink"/>
    <w:basedOn w:val="DefaultParagraphFont"/>
    <w:uiPriority w:val="99"/>
    <w:unhideWhenUsed/>
    <w:rsid w:val="00A401AB"/>
    <w:rPr>
      <w:color w:val="0000FF" w:themeColor="hyperlink"/>
      <w:u w:val="single"/>
    </w:rPr>
  </w:style>
  <w:style w:type="paragraph" w:styleId="Header">
    <w:name w:val="header"/>
    <w:basedOn w:val="Normal"/>
    <w:link w:val="HeaderChar"/>
    <w:uiPriority w:val="99"/>
    <w:unhideWhenUsed/>
    <w:rsid w:val="008E769B"/>
    <w:pPr>
      <w:tabs>
        <w:tab w:val="center" w:pos="4419"/>
        <w:tab w:val="right" w:pos="8838"/>
      </w:tabs>
    </w:pPr>
  </w:style>
  <w:style w:type="character" w:customStyle="1" w:styleId="HeaderChar">
    <w:name w:val="Header Char"/>
    <w:basedOn w:val="DefaultParagraphFont"/>
    <w:link w:val="Header"/>
    <w:uiPriority w:val="99"/>
    <w:rsid w:val="008E769B"/>
  </w:style>
  <w:style w:type="paragraph" w:styleId="Footer">
    <w:name w:val="footer"/>
    <w:basedOn w:val="Normal"/>
    <w:link w:val="FooterChar"/>
    <w:uiPriority w:val="99"/>
    <w:unhideWhenUsed/>
    <w:rsid w:val="008E769B"/>
    <w:pPr>
      <w:tabs>
        <w:tab w:val="center" w:pos="4419"/>
        <w:tab w:val="right" w:pos="8838"/>
      </w:tabs>
    </w:pPr>
  </w:style>
  <w:style w:type="character" w:customStyle="1" w:styleId="FooterChar">
    <w:name w:val="Footer Char"/>
    <w:basedOn w:val="DefaultParagraphFont"/>
    <w:link w:val="Footer"/>
    <w:uiPriority w:val="99"/>
    <w:rsid w:val="008E769B"/>
  </w:style>
  <w:style w:type="paragraph" w:styleId="NoSpacing">
    <w:name w:val="No Spacing"/>
    <w:link w:val="NoSpacingChar"/>
    <w:uiPriority w:val="1"/>
    <w:qFormat/>
    <w:rsid w:val="003474D8"/>
    <w:pPr>
      <w:spacing w:line="240" w:lineRule="auto"/>
      <w:jc w:val="left"/>
    </w:pPr>
    <w:rPr>
      <w:rFonts w:eastAsiaTheme="minorEastAsia"/>
      <w:lang w:val="es-CO" w:eastAsia="es-CO"/>
    </w:rPr>
  </w:style>
  <w:style w:type="character" w:customStyle="1" w:styleId="NoSpacingChar">
    <w:name w:val="No Spacing Char"/>
    <w:basedOn w:val="DefaultParagraphFont"/>
    <w:link w:val="NoSpacing"/>
    <w:uiPriority w:val="1"/>
    <w:rsid w:val="003474D8"/>
    <w:rPr>
      <w:rFonts w:eastAsiaTheme="minorEastAsia"/>
      <w:lang w:val="es-CO" w:eastAsia="es-CO"/>
    </w:rPr>
  </w:style>
  <w:style w:type="character" w:customStyle="1" w:styleId="ListParagraphChar">
    <w:name w:val="List Paragraph Char"/>
    <w:link w:val="ListParagraph"/>
    <w:uiPriority w:val="34"/>
    <w:rsid w:val="00975522"/>
  </w:style>
  <w:style w:type="paragraph" w:styleId="FootnoteText">
    <w:name w:val="footnote text"/>
    <w:aliases w:val="ft, Car,Car,footnote,fn,Texto de rodapé,nota_rodapé,nota de rodapé Car Car,nota de rodapé Car Car Car Car Car Car Car Car Car Car Car,Texto nota pie IIRSA,single space,FOOTNOTES,footnote text,Footnote Text Char Char,Footnote,foottextfra,F"/>
    <w:basedOn w:val="Normal"/>
    <w:link w:val="FootnoteTextChar"/>
    <w:uiPriority w:val="99"/>
    <w:unhideWhenUsed/>
    <w:rsid w:val="00975522"/>
    <w:rPr>
      <w:sz w:val="20"/>
      <w:szCs w:val="20"/>
      <w:lang w:val="es-ES" w:eastAsia="es-ES"/>
    </w:rPr>
  </w:style>
  <w:style w:type="character" w:customStyle="1" w:styleId="FootnoteTextChar">
    <w:name w:val="Footnote Text Char"/>
    <w:aliases w:val="ft Char, Car Char,Car Char,footnote Char,fn Char,Texto de rodapé Char,nota_rodapé Char,nota de rodapé Car Car Char,nota de rodapé Car Car Car Car Car Car Car Car Car Car Car Char,Texto nota pie IIRSA Char,single space Char,F Char"/>
    <w:basedOn w:val="DefaultParagraphFont"/>
    <w:link w:val="FootnoteText"/>
    <w:uiPriority w:val="99"/>
    <w:rsid w:val="00975522"/>
    <w:rPr>
      <w:rFonts w:eastAsia="Times New Roman" w:cs="Times New Roman"/>
      <w:sz w:val="20"/>
      <w:szCs w:val="20"/>
      <w:lang w:val="es-ES" w:eastAsia="es-ES"/>
    </w:rPr>
  </w:style>
  <w:style w:type="character" w:styleId="FootnoteReference">
    <w:name w:val="footnote reference"/>
    <w:aliases w:val="FC,ftref,referencia nota al pie,titulo 2,Style 24,pie pddes,Footnote Reference.SES,16 Point,Superscript 6 Point,Referência de rodapé,Ref. de nota al pie.,Footnote Reference Number,Footnote Reference_LVL6,Footnote Reference_LVL61,Ref"/>
    <w:basedOn w:val="DefaultParagraphFont"/>
    <w:uiPriority w:val="99"/>
    <w:unhideWhenUsed/>
    <w:rsid w:val="00975522"/>
    <w:rPr>
      <w:vertAlign w:val="superscript"/>
    </w:rPr>
  </w:style>
  <w:style w:type="paragraph" w:customStyle="1" w:styleId="Prrafodelista1">
    <w:name w:val="Párrafo de lista1"/>
    <w:basedOn w:val="Normal"/>
    <w:uiPriority w:val="34"/>
    <w:qFormat/>
    <w:rsid w:val="00975522"/>
    <w:pPr>
      <w:spacing w:after="200"/>
      <w:ind w:left="720"/>
      <w:contextualSpacing/>
    </w:pPr>
    <w:rPr>
      <w:rFonts w:ascii="Calibri" w:hAnsi="Calibri"/>
      <w:lang w:val="es-ES"/>
    </w:rPr>
  </w:style>
  <w:style w:type="character" w:customStyle="1" w:styleId="Heading5Char">
    <w:name w:val="Heading 5 Char"/>
    <w:basedOn w:val="DefaultParagraphFont"/>
    <w:link w:val="Heading5"/>
    <w:uiPriority w:val="9"/>
    <w:rsid w:val="000E2B24"/>
    <w:rPr>
      <w:rFonts w:asciiTheme="majorHAnsi" w:eastAsiaTheme="majorEastAsia" w:hAnsiTheme="majorHAnsi" w:cstheme="majorBidi"/>
      <w:color w:val="243F60" w:themeColor="accent1" w:themeShade="7F"/>
      <w:sz w:val="24"/>
      <w:szCs w:val="24"/>
      <w:lang w:val="es-CO" w:eastAsia="es-CO"/>
    </w:rPr>
  </w:style>
  <w:style w:type="character" w:customStyle="1" w:styleId="Heading6Char">
    <w:name w:val="Heading 6 Char"/>
    <w:basedOn w:val="DefaultParagraphFont"/>
    <w:link w:val="Heading6"/>
    <w:uiPriority w:val="9"/>
    <w:rsid w:val="000E2B24"/>
    <w:rPr>
      <w:rFonts w:asciiTheme="majorHAnsi" w:eastAsiaTheme="majorEastAsia" w:hAnsiTheme="majorHAnsi" w:cstheme="majorBidi"/>
      <w:i/>
      <w:iCs/>
      <w:color w:val="243F60" w:themeColor="accent1" w:themeShade="7F"/>
      <w:sz w:val="24"/>
      <w:szCs w:val="24"/>
      <w:lang w:val="es-CO" w:eastAsia="es-CO"/>
    </w:rPr>
  </w:style>
  <w:style w:type="character" w:customStyle="1" w:styleId="Heading7Char">
    <w:name w:val="Heading 7 Char"/>
    <w:basedOn w:val="DefaultParagraphFont"/>
    <w:link w:val="Heading7"/>
    <w:uiPriority w:val="9"/>
    <w:rsid w:val="000E2B24"/>
    <w:rPr>
      <w:rFonts w:asciiTheme="majorHAnsi" w:eastAsiaTheme="majorEastAsia" w:hAnsiTheme="majorHAnsi" w:cstheme="majorBidi"/>
      <w:i/>
      <w:iCs/>
      <w:color w:val="404040" w:themeColor="text1" w:themeTint="BF"/>
      <w:sz w:val="24"/>
      <w:szCs w:val="24"/>
      <w:lang w:val="es-CO" w:eastAsia="es-CO"/>
    </w:rPr>
  </w:style>
  <w:style w:type="character" w:customStyle="1" w:styleId="Heading8Char">
    <w:name w:val="Heading 8 Char"/>
    <w:basedOn w:val="DefaultParagraphFont"/>
    <w:link w:val="Heading8"/>
    <w:uiPriority w:val="9"/>
    <w:semiHidden/>
    <w:rsid w:val="000E2B24"/>
    <w:rPr>
      <w:rFonts w:asciiTheme="majorHAnsi" w:eastAsiaTheme="majorEastAsia" w:hAnsiTheme="majorHAnsi" w:cstheme="majorBidi"/>
      <w:color w:val="404040" w:themeColor="text1" w:themeTint="BF"/>
      <w:sz w:val="20"/>
      <w:szCs w:val="20"/>
      <w:lang w:val="es-CO" w:eastAsia="es-CO"/>
    </w:rPr>
  </w:style>
  <w:style w:type="character" w:customStyle="1" w:styleId="Heading9Char">
    <w:name w:val="Heading 9 Char"/>
    <w:basedOn w:val="DefaultParagraphFont"/>
    <w:link w:val="Heading9"/>
    <w:uiPriority w:val="9"/>
    <w:semiHidden/>
    <w:rsid w:val="000E2B24"/>
    <w:rPr>
      <w:rFonts w:asciiTheme="majorHAnsi" w:eastAsiaTheme="majorEastAsia" w:hAnsiTheme="majorHAnsi" w:cstheme="majorBidi"/>
      <w:i/>
      <w:iCs/>
      <w:color w:val="404040" w:themeColor="text1" w:themeTint="BF"/>
      <w:sz w:val="20"/>
      <w:szCs w:val="20"/>
      <w:lang w:val="es-CO" w:eastAsia="es-CO"/>
    </w:rPr>
  </w:style>
  <w:style w:type="paragraph" w:styleId="Title">
    <w:name w:val="Title"/>
    <w:basedOn w:val="Normal"/>
    <w:next w:val="Normal"/>
    <w:link w:val="TitleChar"/>
    <w:uiPriority w:val="10"/>
    <w:qFormat/>
    <w:rsid w:val="00D269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69D7"/>
    <w:rPr>
      <w:rFonts w:asciiTheme="majorHAnsi" w:eastAsiaTheme="majorEastAsia" w:hAnsiTheme="majorHAnsi" w:cstheme="majorBidi"/>
      <w:color w:val="17365D" w:themeColor="text2" w:themeShade="BF"/>
      <w:spacing w:val="5"/>
      <w:kern w:val="28"/>
      <w:sz w:val="52"/>
      <w:szCs w:val="52"/>
      <w:lang w:val="es-CO" w:eastAsia="es-CO"/>
    </w:rPr>
  </w:style>
  <w:style w:type="paragraph" w:styleId="Subtitle">
    <w:name w:val="Subtitle"/>
    <w:basedOn w:val="Normal"/>
    <w:next w:val="Normal"/>
    <w:link w:val="SubtitleChar"/>
    <w:uiPriority w:val="11"/>
    <w:qFormat/>
    <w:rsid w:val="00D269D7"/>
    <w:pPr>
      <w:numPr>
        <w:ilvl w:val="1"/>
      </w:numPr>
      <w:spacing w:after="200"/>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269D7"/>
    <w:rPr>
      <w:rFonts w:asciiTheme="majorHAnsi" w:eastAsiaTheme="majorEastAsia" w:hAnsiTheme="majorHAnsi" w:cstheme="majorBidi"/>
      <w:i/>
      <w:iCs/>
      <w:color w:val="4F81BD" w:themeColor="accent1"/>
      <w:spacing w:val="15"/>
      <w:sz w:val="24"/>
      <w:szCs w:val="24"/>
      <w:lang w:val="es-CO" w:eastAsia="es-CO"/>
    </w:rPr>
  </w:style>
  <w:style w:type="character" w:styleId="CommentReference">
    <w:name w:val="annotation reference"/>
    <w:basedOn w:val="DefaultParagraphFont"/>
    <w:unhideWhenUsed/>
    <w:rsid w:val="00614590"/>
    <w:rPr>
      <w:sz w:val="16"/>
      <w:szCs w:val="16"/>
    </w:rPr>
  </w:style>
  <w:style w:type="paragraph" w:styleId="CommentText">
    <w:name w:val="annotation text"/>
    <w:basedOn w:val="Normal"/>
    <w:link w:val="CommentTextChar"/>
    <w:unhideWhenUsed/>
    <w:rsid w:val="00614590"/>
    <w:rPr>
      <w:sz w:val="20"/>
      <w:szCs w:val="20"/>
    </w:rPr>
  </w:style>
  <w:style w:type="character" w:customStyle="1" w:styleId="CommentTextChar">
    <w:name w:val="Comment Text Char"/>
    <w:basedOn w:val="DefaultParagraphFont"/>
    <w:link w:val="CommentText"/>
    <w:rsid w:val="00614590"/>
    <w:rPr>
      <w:rFonts w:ascii="Times New Roman" w:eastAsia="Times New Roman" w:hAnsi="Times New Roman" w:cs="Times New Roman"/>
      <w:sz w:val="20"/>
      <w:szCs w:val="20"/>
      <w:lang w:val="es-CO" w:eastAsia="es-CO"/>
    </w:rPr>
  </w:style>
  <w:style w:type="paragraph" w:styleId="CommentSubject">
    <w:name w:val="annotation subject"/>
    <w:basedOn w:val="CommentText"/>
    <w:next w:val="CommentText"/>
    <w:link w:val="CommentSubjectChar"/>
    <w:uiPriority w:val="99"/>
    <w:semiHidden/>
    <w:unhideWhenUsed/>
    <w:rsid w:val="00614590"/>
    <w:rPr>
      <w:b/>
      <w:bCs/>
    </w:rPr>
  </w:style>
  <w:style w:type="character" w:customStyle="1" w:styleId="CommentSubjectChar">
    <w:name w:val="Comment Subject Char"/>
    <w:basedOn w:val="CommentTextChar"/>
    <w:link w:val="CommentSubject"/>
    <w:uiPriority w:val="99"/>
    <w:semiHidden/>
    <w:rsid w:val="00614590"/>
    <w:rPr>
      <w:rFonts w:ascii="Times New Roman" w:eastAsia="Times New Roman" w:hAnsi="Times New Roman" w:cs="Times New Roman"/>
      <w:b/>
      <w:bCs/>
      <w:sz w:val="20"/>
      <w:szCs w:val="20"/>
      <w:lang w:val="es-CO" w:eastAsia="es-CO"/>
    </w:rPr>
  </w:style>
  <w:style w:type="character" w:styleId="FollowedHyperlink">
    <w:name w:val="FollowedHyperlink"/>
    <w:basedOn w:val="DefaultParagraphFont"/>
    <w:uiPriority w:val="99"/>
    <w:semiHidden/>
    <w:unhideWhenUsed/>
    <w:rsid w:val="008B49E2"/>
    <w:rPr>
      <w:color w:val="800080" w:themeColor="followedHyperlink"/>
      <w:u w:val="single"/>
    </w:rPr>
  </w:style>
  <w:style w:type="table" w:styleId="LightList-Accent1">
    <w:name w:val="Light List Accent 1"/>
    <w:basedOn w:val="TableNormal"/>
    <w:uiPriority w:val="61"/>
    <w:rsid w:val="00E3424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rsid w:val="00C23D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1B364A"/>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2">
    <w:name w:val="Light List Accent 2"/>
    <w:basedOn w:val="TableNormal"/>
    <w:uiPriority w:val="61"/>
    <w:rsid w:val="00594ECC"/>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594ECC"/>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1">
    <w:name w:val="Light Grid Accent 1"/>
    <w:basedOn w:val="TableNormal"/>
    <w:uiPriority w:val="62"/>
    <w:rsid w:val="00594ECC"/>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1-Accent1">
    <w:name w:val="Medium Grid 1 Accent 1"/>
    <w:basedOn w:val="TableNormal"/>
    <w:uiPriority w:val="67"/>
    <w:rsid w:val="006134C4"/>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2-Accent1">
    <w:name w:val="Medium Grid 2 Accent 1"/>
    <w:basedOn w:val="TableNormal"/>
    <w:uiPriority w:val="68"/>
    <w:rsid w:val="006134C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6134C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DarkList-Accent1">
    <w:name w:val="Dark List Accent 1"/>
    <w:basedOn w:val="TableNormal"/>
    <w:uiPriority w:val="70"/>
    <w:rsid w:val="008006CC"/>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paragraph" w:customStyle="1" w:styleId="Texto2">
    <w:name w:val="Texto 2"/>
    <w:basedOn w:val="Normal"/>
    <w:qFormat/>
    <w:rsid w:val="008006CC"/>
    <w:pPr>
      <w:spacing w:before="120" w:after="120"/>
      <w:ind w:left="1418"/>
    </w:pPr>
    <w:rPr>
      <w:rFonts w:ascii="Verdana" w:hAnsi="Verdana"/>
      <w:color w:val="1F497D"/>
      <w:sz w:val="18"/>
      <w:szCs w:val="20"/>
      <w:lang w:val="es-ES" w:eastAsia="en-US"/>
    </w:rPr>
  </w:style>
  <w:style w:type="paragraph" w:styleId="EndnoteText">
    <w:name w:val="endnote text"/>
    <w:basedOn w:val="Normal"/>
    <w:link w:val="EndnoteTextChar"/>
    <w:uiPriority w:val="99"/>
    <w:semiHidden/>
    <w:unhideWhenUsed/>
    <w:rsid w:val="00185B53"/>
    <w:rPr>
      <w:sz w:val="20"/>
      <w:szCs w:val="20"/>
    </w:rPr>
  </w:style>
  <w:style w:type="character" w:customStyle="1" w:styleId="EndnoteTextChar">
    <w:name w:val="Endnote Text Char"/>
    <w:basedOn w:val="DefaultParagraphFont"/>
    <w:link w:val="EndnoteText"/>
    <w:uiPriority w:val="99"/>
    <w:semiHidden/>
    <w:rsid w:val="00185B53"/>
    <w:rPr>
      <w:rFonts w:ascii="Times New Roman" w:eastAsia="Times New Roman" w:hAnsi="Times New Roman" w:cs="Times New Roman"/>
      <w:sz w:val="20"/>
      <w:szCs w:val="20"/>
      <w:lang w:val="es-CO" w:eastAsia="es-CO"/>
    </w:rPr>
  </w:style>
  <w:style w:type="character" w:styleId="EndnoteReference">
    <w:name w:val="endnote reference"/>
    <w:basedOn w:val="DefaultParagraphFont"/>
    <w:uiPriority w:val="99"/>
    <w:semiHidden/>
    <w:unhideWhenUsed/>
    <w:rsid w:val="00185B53"/>
    <w:rPr>
      <w:vertAlign w:val="superscript"/>
    </w:rPr>
  </w:style>
  <w:style w:type="table" w:styleId="MediumShading2-Accent1">
    <w:name w:val="Medium Shading 2 Accent 1"/>
    <w:basedOn w:val="TableNormal"/>
    <w:uiPriority w:val="64"/>
    <w:rsid w:val="00453C9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TitulosdeTablas">
    <w:name w:val="Titulos de Tablas"/>
    <w:basedOn w:val="Normal"/>
    <w:link w:val="TitulosdeTablasCar"/>
    <w:rsid w:val="009D60F6"/>
    <w:pPr>
      <w:spacing w:line="288" w:lineRule="auto"/>
      <w:jc w:val="center"/>
    </w:pPr>
    <w:rPr>
      <w:b/>
      <w:bCs/>
      <w:sz w:val="18"/>
      <w:szCs w:val="20"/>
      <w:lang w:val="es-BO" w:eastAsia="es-ES"/>
    </w:rPr>
  </w:style>
  <w:style w:type="character" w:customStyle="1" w:styleId="TitulosdeTablasCar">
    <w:name w:val="Titulos de Tablas Car"/>
    <w:basedOn w:val="DefaultParagraphFont"/>
    <w:link w:val="TitulosdeTablas"/>
    <w:rsid w:val="009D60F6"/>
    <w:rPr>
      <w:rFonts w:ascii="Arial" w:eastAsia="Times New Roman" w:hAnsi="Arial" w:cs="Times New Roman"/>
      <w:b/>
      <w:bCs/>
      <w:sz w:val="18"/>
      <w:szCs w:val="20"/>
      <w:lang w:val="es-BO" w:eastAsia="es-ES"/>
    </w:rPr>
  </w:style>
  <w:style w:type="paragraph" w:customStyle="1" w:styleId="DatosdeTablas">
    <w:name w:val="Datos de Tablas"/>
    <w:basedOn w:val="Normal"/>
    <w:rsid w:val="00117225"/>
    <w:pPr>
      <w:spacing w:line="288" w:lineRule="auto"/>
      <w:jc w:val="center"/>
    </w:pPr>
    <w:rPr>
      <w:sz w:val="18"/>
      <w:szCs w:val="20"/>
      <w:lang w:val="es-BO" w:eastAsia="es-ES"/>
    </w:rPr>
  </w:style>
  <w:style w:type="character" w:customStyle="1" w:styleId="CaptionChar">
    <w:name w:val="Caption Char"/>
    <w:basedOn w:val="DefaultParagraphFont"/>
    <w:link w:val="Caption"/>
    <w:uiPriority w:val="35"/>
    <w:locked/>
    <w:rsid w:val="00354085"/>
    <w:rPr>
      <w:rFonts w:ascii="Times New Roman" w:eastAsia="Times New Roman" w:hAnsi="Times New Roman" w:cs="Times New Roman"/>
      <w:b/>
      <w:bCs/>
      <w:color w:val="4F81BD" w:themeColor="accent1"/>
      <w:sz w:val="18"/>
      <w:szCs w:val="18"/>
      <w:lang w:val="es-CO" w:eastAsia="es-CO"/>
    </w:rPr>
  </w:style>
  <w:style w:type="table" w:styleId="MediumShading2-Accent5">
    <w:name w:val="Medium Shading 2 Accent 5"/>
    <w:basedOn w:val="TableNormal"/>
    <w:uiPriority w:val="64"/>
    <w:rsid w:val="00990A61"/>
    <w:pPr>
      <w:spacing w:line="240" w:lineRule="auto"/>
      <w:jc w:val="left"/>
    </w:pPr>
    <w:rPr>
      <w:rFonts w:eastAsiaTheme="minorHAnsi"/>
      <w:lang w:val="es-B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Chapter">
    <w:name w:val="Chapter"/>
    <w:basedOn w:val="Normal"/>
    <w:next w:val="Normal"/>
    <w:rsid w:val="0065725A"/>
    <w:pPr>
      <w:keepNext/>
      <w:numPr>
        <w:numId w:val="6"/>
      </w:numPr>
      <w:tabs>
        <w:tab w:val="clear" w:pos="2250"/>
        <w:tab w:val="num" w:pos="648"/>
        <w:tab w:val="left" w:pos="1440"/>
      </w:tabs>
      <w:spacing w:before="240" w:after="240"/>
      <w:ind w:left="0"/>
      <w:jc w:val="center"/>
    </w:pPr>
    <w:rPr>
      <w:b/>
      <w:smallCaps/>
      <w:szCs w:val="20"/>
      <w:lang w:val="es-ES" w:eastAsia="en-US"/>
    </w:rPr>
  </w:style>
  <w:style w:type="paragraph" w:customStyle="1" w:styleId="Paragraph">
    <w:name w:val="Paragraph"/>
    <w:aliases w:val="paragraph,p,PARAGRAPH,PG,pa,at"/>
    <w:basedOn w:val="BodyTextIndent"/>
    <w:link w:val="ParagraphChar"/>
    <w:uiPriority w:val="99"/>
    <w:qFormat/>
    <w:rsid w:val="0065725A"/>
    <w:pPr>
      <w:numPr>
        <w:ilvl w:val="1"/>
        <w:numId w:val="6"/>
      </w:numPr>
      <w:spacing w:before="120"/>
      <w:ind w:left="720" w:hanging="720"/>
      <w:outlineLvl w:val="1"/>
    </w:pPr>
    <w:rPr>
      <w:szCs w:val="20"/>
      <w:lang w:val="es-ES" w:eastAsia="en-US"/>
    </w:rPr>
  </w:style>
  <w:style w:type="paragraph" w:customStyle="1" w:styleId="subpar">
    <w:name w:val="subpar"/>
    <w:basedOn w:val="BodyTextIndent3"/>
    <w:uiPriority w:val="99"/>
    <w:rsid w:val="0065725A"/>
    <w:pPr>
      <w:numPr>
        <w:ilvl w:val="2"/>
        <w:numId w:val="6"/>
      </w:numPr>
      <w:tabs>
        <w:tab w:val="clear" w:pos="2304"/>
        <w:tab w:val="num" w:pos="1152"/>
      </w:tabs>
      <w:spacing w:before="120"/>
      <w:ind w:left="1152" w:hanging="720"/>
      <w:outlineLvl w:val="2"/>
    </w:pPr>
    <w:rPr>
      <w:sz w:val="24"/>
      <w:szCs w:val="20"/>
      <w:lang w:val="es-ES_tradnl" w:eastAsia="en-US"/>
    </w:rPr>
  </w:style>
  <w:style w:type="paragraph" w:customStyle="1" w:styleId="SubSubPar">
    <w:name w:val="SubSubPar"/>
    <w:basedOn w:val="subpar"/>
    <w:uiPriority w:val="99"/>
    <w:rsid w:val="0065725A"/>
    <w:pPr>
      <w:numPr>
        <w:ilvl w:val="3"/>
      </w:numPr>
      <w:tabs>
        <w:tab w:val="clear" w:pos="2736"/>
        <w:tab w:val="left" w:pos="0"/>
        <w:tab w:val="num" w:pos="1296"/>
      </w:tabs>
      <w:ind w:left="1296" w:hanging="864"/>
    </w:pPr>
  </w:style>
  <w:style w:type="character" w:customStyle="1" w:styleId="ParagraphChar">
    <w:name w:val="Paragraph Char"/>
    <w:link w:val="Paragraph"/>
    <w:uiPriority w:val="99"/>
    <w:rsid w:val="0065725A"/>
    <w:rPr>
      <w:rFonts w:ascii="Arial" w:eastAsia="Times New Roman" w:hAnsi="Arial" w:cs="Arial"/>
      <w:sz w:val="24"/>
      <w:szCs w:val="20"/>
      <w:lang w:val="es-ES"/>
    </w:rPr>
  </w:style>
  <w:style w:type="paragraph" w:styleId="BodyTextIndent">
    <w:name w:val="Body Text Indent"/>
    <w:basedOn w:val="Normal"/>
    <w:link w:val="BodyTextIndentChar"/>
    <w:uiPriority w:val="99"/>
    <w:semiHidden/>
    <w:unhideWhenUsed/>
    <w:rsid w:val="0065725A"/>
    <w:pPr>
      <w:spacing w:after="120"/>
      <w:ind w:left="283"/>
    </w:pPr>
  </w:style>
  <w:style w:type="character" w:customStyle="1" w:styleId="BodyTextIndentChar">
    <w:name w:val="Body Text Indent Char"/>
    <w:basedOn w:val="DefaultParagraphFont"/>
    <w:link w:val="BodyTextIndent"/>
    <w:uiPriority w:val="99"/>
    <w:semiHidden/>
    <w:rsid w:val="0065725A"/>
    <w:rPr>
      <w:rFonts w:ascii="Times New Roman" w:eastAsia="Times New Roman" w:hAnsi="Times New Roman" w:cs="Times New Roman"/>
      <w:sz w:val="24"/>
      <w:szCs w:val="24"/>
      <w:lang w:val="es-CO" w:eastAsia="es-CO"/>
    </w:rPr>
  </w:style>
  <w:style w:type="paragraph" w:styleId="BodyTextIndent3">
    <w:name w:val="Body Text Indent 3"/>
    <w:basedOn w:val="Normal"/>
    <w:link w:val="BodyTextIndent3Char"/>
    <w:uiPriority w:val="99"/>
    <w:semiHidden/>
    <w:unhideWhenUsed/>
    <w:rsid w:val="0065725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5725A"/>
    <w:rPr>
      <w:rFonts w:ascii="Times New Roman" w:eastAsia="Times New Roman" w:hAnsi="Times New Roman" w:cs="Times New Roman"/>
      <w:sz w:val="16"/>
      <w:szCs w:val="16"/>
      <w:lang w:val="es-CO" w:eastAsia="es-CO"/>
    </w:rPr>
  </w:style>
  <w:style w:type="paragraph" w:customStyle="1" w:styleId="Annex">
    <w:name w:val="Annex"/>
    <w:basedOn w:val="Normal"/>
    <w:rsid w:val="00462E48"/>
    <w:rPr>
      <w:caps/>
      <w:szCs w:val="20"/>
      <w:lang w:val="es-ES_tradnl" w:eastAsia="en-US"/>
    </w:rPr>
  </w:style>
  <w:style w:type="paragraph" w:customStyle="1" w:styleId="fuente">
    <w:name w:val="fuente"/>
    <w:basedOn w:val="Normal"/>
    <w:link w:val="fuenteCar"/>
    <w:qFormat/>
    <w:rsid w:val="007224A8"/>
    <w:pPr>
      <w:spacing w:before="120"/>
    </w:pPr>
    <w:rPr>
      <w:rFonts w:eastAsia="Calibri"/>
      <w:sz w:val="16"/>
      <w:szCs w:val="16"/>
      <w:lang w:val="x-none" w:eastAsia="en-US"/>
    </w:rPr>
  </w:style>
  <w:style w:type="character" w:customStyle="1" w:styleId="fuenteCar">
    <w:name w:val="fuente Car"/>
    <w:link w:val="fuente"/>
    <w:rsid w:val="007224A8"/>
    <w:rPr>
      <w:rFonts w:ascii="Arial" w:eastAsia="Calibri" w:hAnsi="Arial" w:cs="Times New Roman"/>
      <w:sz w:val="16"/>
      <w:szCs w:val="16"/>
      <w:lang w:val="x-none"/>
    </w:rPr>
  </w:style>
  <w:style w:type="paragraph" w:styleId="TableofFigures">
    <w:name w:val="table of figures"/>
    <w:basedOn w:val="Normal"/>
    <w:next w:val="Normal"/>
    <w:uiPriority w:val="99"/>
    <w:unhideWhenUsed/>
    <w:rsid w:val="00E31178"/>
  </w:style>
  <w:style w:type="paragraph" w:customStyle="1" w:styleId="Default">
    <w:name w:val="Default"/>
    <w:rsid w:val="00553F46"/>
    <w:pPr>
      <w:autoSpaceDE w:val="0"/>
      <w:autoSpaceDN w:val="0"/>
      <w:adjustRightInd w:val="0"/>
      <w:spacing w:line="240" w:lineRule="auto"/>
      <w:jc w:val="left"/>
    </w:pPr>
    <w:rPr>
      <w:rFonts w:ascii="Arial" w:hAnsi="Arial" w:cs="Arial"/>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5613">
      <w:bodyDiv w:val="1"/>
      <w:marLeft w:val="0"/>
      <w:marRight w:val="0"/>
      <w:marTop w:val="0"/>
      <w:marBottom w:val="0"/>
      <w:divBdr>
        <w:top w:val="none" w:sz="0" w:space="0" w:color="auto"/>
        <w:left w:val="none" w:sz="0" w:space="0" w:color="auto"/>
        <w:bottom w:val="none" w:sz="0" w:space="0" w:color="auto"/>
        <w:right w:val="none" w:sz="0" w:space="0" w:color="auto"/>
      </w:divBdr>
    </w:div>
    <w:div w:id="19556001">
      <w:bodyDiv w:val="1"/>
      <w:marLeft w:val="0"/>
      <w:marRight w:val="0"/>
      <w:marTop w:val="0"/>
      <w:marBottom w:val="0"/>
      <w:divBdr>
        <w:top w:val="none" w:sz="0" w:space="0" w:color="auto"/>
        <w:left w:val="none" w:sz="0" w:space="0" w:color="auto"/>
        <w:bottom w:val="none" w:sz="0" w:space="0" w:color="auto"/>
        <w:right w:val="none" w:sz="0" w:space="0" w:color="auto"/>
      </w:divBdr>
    </w:div>
    <w:div w:id="22706880">
      <w:bodyDiv w:val="1"/>
      <w:marLeft w:val="0"/>
      <w:marRight w:val="0"/>
      <w:marTop w:val="0"/>
      <w:marBottom w:val="0"/>
      <w:divBdr>
        <w:top w:val="none" w:sz="0" w:space="0" w:color="auto"/>
        <w:left w:val="none" w:sz="0" w:space="0" w:color="auto"/>
        <w:bottom w:val="none" w:sz="0" w:space="0" w:color="auto"/>
        <w:right w:val="none" w:sz="0" w:space="0" w:color="auto"/>
      </w:divBdr>
    </w:div>
    <w:div w:id="47535410">
      <w:bodyDiv w:val="1"/>
      <w:marLeft w:val="0"/>
      <w:marRight w:val="0"/>
      <w:marTop w:val="0"/>
      <w:marBottom w:val="0"/>
      <w:divBdr>
        <w:top w:val="none" w:sz="0" w:space="0" w:color="auto"/>
        <w:left w:val="none" w:sz="0" w:space="0" w:color="auto"/>
        <w:bottom w:val="none" w:sz="0" w:space="0" w:color="auto"/>
        <w:right w:val="none" w:sz="0" w:space="0" w:color="auto"/>
      </w:divBdr>
    </w:div>
    <w:div w:id="47800573">
      <w:bodyDiv w:val="1"/>
      <w:marLeft w:val="0"/>
      <w:marRight w:val="0"/>
      <w:marTop w:val="0"/>
      <w:marBottom w:val="0"/>
      <w:divBdr>
        <w:top w:val="none" w:sz="0" w:space="0" w:color="auto"/>
        <w:left w:val="none" w:sz="0" w:space="0" w:color="auto"/>
        <w:bottom w:val="none" w:sz="0" w:space="0" w:color="auto"/>
        <w:right w:val="none" w:sz="0" w:space="0" w:color="auto"/>
      </w:divBdr>
    </w:div>
    <w:div w:id="61801909">
      <w:bodyDiv w:val="1"/>
      <w:marLeft w:val="0"/>
      <w:marRight w:val="0"/>
      <w:marTop w:val="0"/>
      <w:marBottom w:val="0"/>
      <w:divBdr>
        <w:top w:val="none" w:sz="0" w:space="0" w:color="auto"/>
        <w:left w:val="none" w:sz="0" w:space="0" w:color="auto"/>
        <w:bottom w:val="none" w:sz="0" w:space="0" w:color="auto"/>
        <w:right w:val="none" w:sz="0" w:space="0" w:color="auto"/>
      </w:divBdr>
    </w:div>
    <w:div w:id="68429618">
      <w:bodyDiv w:val="1"/>
      <w:marLeft w:val="0"/>
      <w:marRight w:val="0"/>
      <w:marTop w:val="0"/>
      <w:marBottom w:val="0"/>
      <w:divBdr>
        <w:top w:val="none" w:sz="0" w:space="0" w:color="auto"/>
        <w:left w:val="none" w:sz="0" w:space="0" w:color="auto"/>
        <w:bottom w:val="none" w:sz="0" w:space="0" w:color="auto"/>
        <w:right w:val="none" w:sz="0" w:space="0" w:color="auto"/>
      </w:divBdr>
    </w:div>
    <w:div w:id="68692626">
      <w:bodyDiv w:val="1"/>
      <w:marLeft w:val="0"/>
      <w:marRight w:val="0"/>
      <w:marTop w:val="0"/>
      <w:marBottom w:val="0"/>
      <w:divBdr>
        <w:top w:val="none" w:sz="0" w:space="0" w:color="auto"/>
        <w:left w:val="none" w:sz="0" w:space="0" w:color="auto"/>
        <w:bottom w:val="none" w:sz="0" w:space="0" w:color="auto"/>
        <w:right w:val="none" w:sz="0" w:space="0" w:color="auto"/>
      </w:divBdr>
    </w:div>
    <w:div w:id="106313761">
      <w:bodyDiv w:val="1"/>
      <w:marLeft w:val="0"/>
      <w:marRight w:val="0"/>
      <w:marTop w:val="0"/>
      <w:marBottom w:val="0"/>
      <w:divBdr>
        <w:top w:val="none" w:sz="0" w:space="0" w:color="auto"/>
        <w:left w:val="none" w:sz="0" w:space="0" w:color="auto"/>
        <w:bottom w:val="none" w:sz="0" w:space="0" w:color="auto"/>
        <w:right w:val="none" w:sz="0" w:space="0" w:color="auto"/>
      </w:divBdr>
    </w:div>
    <w:div w:id="215242210">
      <w:bodyDiv w:val="1"/>
      <w:marLeft w:val="0"/>
      <w:marRight w:val="0"/>
      <w:marTop w:val="0"/>
      <w:marBottom w:val="0"/>
      <w:divBdr>
        <w:top w:val="none" w:sz="0" w:space="0" w:color="auto"/>
        <w:left w:val="none" w:sz="0" w:space="0" w:color="auto"/>
        <w:bottom w:val="none" w:sz="0" w:space="0" w:color="auto"/>
        <w:right w:val="none" w:sz="0" w:space="0" w:color="auto"/>
      </w:divBdr>
    </w:div>
    <w:div w:id="232467492">
      <w:bodyDiv w:val="1"/>
      <w:marLeft w:val="0"/>
      <w:marRight w:val="0"/>
      <w:marTop w:val="0"/>
      <w:marBottom w:val="0"/>
      <w:divBdr>
        <w:top w:val="none" w:sz="0" w:space="0" w:color="auto"/>
        <w:left w:val="none" w:sz="0" w:space="0" w:color="auto"/>
        <w:bottom w:val="none" w:sz="0" w:space="0" w:color="auto"/>
        <w:right w:val="none" w:sz="0" w:space="0" w:color="auto"/>
      </w:divBdr>
    </w:div>
    <w:div w:id="236742789">
      <w:bodyDiv w:val="1"/>
      <w:marLeft w:val="0"/>
      <w:marRight w:val="0"/>
      <w:marTop w:val="0"/>
      <w:marBottom w:val="0"/>
      <w:divBdr>
        <w:top w:val="none" w:sz="0" w:space="0" w:color="auto"/>
        <w:left w:val="none" w:sz="0" w:space="0" w:color="auto"/>
        <w:bottom w:val="none" w:sz="0" w:space="0" w:color="auto"/>
        <w:right w:val="none" w:sz="0" w:space="0" w:color="auto"/>
      </w:divBdr>
    </w:div>
    <w:div w:id="238833709">
      <w:bodyDiv w:val="1"/>
      <w:marLeft w:val="0"/>
      <w:marRight w:val="0"/>
      <w:marTop w:val="0"/>
      <w:marBottom w:val="0"/>
      <w:divBdr>
        <w:top w:val="none" w:sz="0" w:space="0" w:color="auto"/>
        <w:left w:val="none" w:sz="0" w:space="0" w:color="auto"/>
        <w:bottom w:val="none" w:sz="0" w:space="0" w:color="auto"/>
        <w:right w:val="none" w:sz="0" w:space="0" w:color="auto"/>
      </w:divBdr>
    </w:div>
    <w:div w:id="240919828">
      <w:bodyDiv w:val="1"/>
      <w:marLeft w:val="0"/>
      <w:marRight w:val="0"/>
      <w:marTop w:val="0"/>
      <w:marBottom w:val="0"/>
      <w:divBdr>
        <w:top w:val="none" w:sz="0" w:space="0" w:color="auto"/>
        <w:left w:val="none" w:sz="0" w:space="0" w:color="auto"/>
        <w:bottom w:val="none" w:sz="0" w:space="0" w:color="auto"/>
        <w:right w:val="none" w:sz="0" w:space="0" w:color="auto"/>
      </w:divBdr>
    </w:div>
    <w:div w:id="296494870">
      <w:bodyDiv w:val="1"/>
      <w:marLeft w:val="0"/>
      <w:marRight w:val="0"/>
      <w:marTop w:val="0"/>
      <w:marBottom w:val="0"/>
      <w:divBdr>
        <w:top w:val="none" w:sz="0" w:space="0" w:color="auto"/>
        <w:left w:val="none" w:sz="0" w:space="0" w:color="auto"/>
        <w:bottom w:val="none" w:sz="0" w:space="0" w:color="auto"/>
        <w:right w:val="none" w:sz="0" w:space="0" w:color="auto"/>
      </w:divBdr>
    </w:div>
    <w:div w:id="316764606">
      <w:bodyDiv w:val="1"/>
      <w:marLeft w:val="0"/>
      <w:marRight w:val="0"/>
      <w:marTop w:val="0"/>
      <w:marBottom w:val="0"/>
      <w:divBdr>
        <w:top w:val="none" w:sz="0" w:space="0" w:color="auto"/>
        <w:left w:val="none" w:sz="0" w:space="0" w:color="auto"/>
        <w:bottom w:val="none" w:sz="0" w:space="0" w:color="auto"/>
        <w:right w:val="none" w:sz="0" w:space="0" w:color="auto"/>
      </w:divBdr>
    </w:div>
    <w:div w:id="320306660">
      <w:bodyDiv w:val="1"/>
      <w:marLeft w:val="0"/>
      <w:marRight w:val="0"/>
      <w:marTop w:val="0"/>
      <w:marBottom w:val="0"/>
      <w:divBdr>
        <w:top w:val="none" w:sz="0" w:space="0" w:color="auto"/>
        <w:left w:val="none" w:sz="0" w:space="0" w:color="auto"/>
        <w:bottom w:val="none" w:sz="0" w:space="0" w:color="auto"/>
        <w:right w:val="none" w:sz="0" w:space="0" w:color="auto"/>
      </w:divBdr>
    </w:div>
    <w:div w:id="336541250">
      <w:bodyDiv w:val="1"/>
      <w:marLeft w:val="0"/>
      <w:marRight w:val="0"/>
      <w:marTop w:val="0"/>
      <w:marBottom w:val="0"/>
      <w:divBdr>
        <w:top w:val="none" w:sz="0" w:space="0" w:color="auto"/>
        <w:left w:val="none" w:sz="0" w:space="0" w:color="auto"/>
        <w:bottom w:val="none" w:sz="0" w:space="0" w:color="auto"/>
        <w:right w:val="none" w:sz="0" w:space="0" w:color="auto"/>
      </w:divBdr>
    </w:div>
    <w:div w:id="343362885">
      <w:bodyDiv w:val="1"/>
      <w:marLeft w:val="0"/>
      <w:marRight w:val="0"/>
      <w:marTop w:val="0"/>
      <w:marBottom w:val="0"/>
      <w:divBdr>
        <w:top w:val="none" w:sz="0" w:space="0" w:color="auto"/>
        <w:left w:val="none" w:sz="0" w:space="0" w:color="auto"/>
        <w:bottom w:val="none" w:sz="0" w:space="0" w:color="auto"/>
        <w:right w:val="none" w:sz="0" w:space="0" w:color="auto"/>
      </w:divBdr>
    </w:div>
    <w:div w:id="390344748">
      <w:bodyDiv w:val="1"/>
      <w:marLeft w:val="0"/>
      <w:marRight w:val="0"/>
      <w:marTop w:val="0"/>
      <w:marBottom w:val="0"/>
      <w:divBdr>
        <w:top w:val="none" w:sz="0" w:space="0" w:color="auto"/>
        <w:left w:val="none" w:sz="0" w:space="0" w:color="auto"/>
        <w:bottom w:val="none" w:sz="0" w:space="0" w:color="auto"/>
        <w:right w:val="none" w:sz="0" w:space="0" w:color="auto"/>
      </w:divBdr>
    </w:div>
    <w:div w:id="406072679">
      <w:bodyDiv w:val="1"/>
      <w:marLeft w:val="0"/>
      <w:marRight w:val="0"/>
      <w:marTop w:val="0"/>
      <w:marBottom w:val="0"/>
      <w:divBdr>
        <w:top w:val="none" w:sz="0" w:space="0" w:color="auto"/>
        <w:left w:val="none" w:sz="0" w:space="0" w:color="auto"/>
        <w:bottom w:val="none" w:sz="0" w:space="0" w:color="auto"/>
        <w:right w:val="none" w:sz="0" w:space="0" w:color="auto"/>
      </w:divBdr>
    </w:div>
    <w:div w:id="479809694">
      <w:bodyDiv w:val="1"/>
      <w:marLeft w:val="0"/>
      <w:marRight w:val="0"/>
      <w:marTop w:val="0"/>
      <w:marBottom w:val="0"/>
      <w:divBdr>
        <w:top w:val="none" w:sz="0" w:space="0" w:color="auto"/>
        <w:left w:val="none" w:sz="0" w:space="0" w:color="auto"/>
        <w:bottom w:val="none" w:sz="0" w:space="0" w:color="auto"/>
        <w:right w:val="none" w:sz="0" w:space="0" w:color="auto"/>
      </w:divBdr>
    </w:div>
    <w:div w:id="487214515">
      <w:bodyDiv w:val="1"/>
      <w:marLeft w:val="0"/>
      <w:marRight w:val="0"/>
      <w:marTop w:val="0"/>
      <w:marBottom w:val="0"/>
      <w:divBdr>
        <w:top w:val="none" w:sz="0" w:space="0" w:color="auto"/>
        <w:left w:val="none" w:sz="0" w:space="0" w:color="auto"/>
        <w:bottom w:val="none" w:sz="0" w:space="0" w:color="auto"/>
        <w:right w:val="none" w:sz="0" w:space="0" w:color="auto"/>
      </w:divBdr>
    </w:div>
    <w:div w:id="520513539">
      <w:bodyDiv w:val="1"/>
      <w:marLeft w:val="0"/>
      <w:marRight w:val="0"/>
      <w:marTop w:val="0"/>
      <w:marBottom w:val="0"/>
      <w:divBdr>
        <w:top w:val="none" w:sz="0" w:space="0" w:color="auto"/>
        <w:left w:val="none" w:sz="0" w:space="0" w:color="auto"/>
        <w:bottom w:val="none" w:sz="0" w:space="0" w:color="auto"/>
        <w:right w:val="none" w:sz="0" w:space="0" w:color="auto"/>
      </w:divBdr>
    </w:div>
    <w:div w:id="529996289">
      <w:bodyDiv w:val="1"/>
      <w:marLeft w:val="0"/>
      <w:marRight w:val="0"/>
      <w:marTop w:val="0"/>
      <w:marBottom w:val="0"/>
      <w:divBdr>
        <w:top w:val="none" w:sz="0" w:space="0" w:color="auto"/>
        <w:left w:val="none" w:sz="0" w:space="0" w:color="auto"/>
        <w:bottom w:val="none" w:sz="0" w:space="0" w:color="auto"/>
        <w:right w:val="none" w:sz="0" w:space="0" w:color="auto"/>
      </w:divBdr>
    </w:div>
    <w:div w:id="536352196">
      <w:bodyDiv w:val="1"/>
      <w:marLeft w:val="0"/>
      <w:marRight w:val="0"/>
      <w:marTop w:val="0"/>
      <w:marBottom w:val="0"/>
      <w:divBdr>
        <w:top w:val="none" w:sz="0" w:space="0" w:color="auto"/>
        <w:left w:val="none" w:sz="0" w:space="0" w:color="auto"/>
        <w:bottom w:val="none" w:sz="0" w:space="0" w:color="auto"/>
        <w:right w:val="none" w:sz="0" w:space="0" w:color="auto"/>
      </w:divBdr>
    </w:div>
    <w:div w:id="571815054">
      <w:bodyDiv w:val="1"/>
      <w:marLeft w:val="0"/>
      <w:marRight w:val="0"/>
      <w:marTop w:val="0"/>
      <w:marBottom w:val="0"/>
      <w:divBdr>
        <w:top w:val="none" w:sz="0" w:space="0" w:color="auto"/>
        <w:left w:val="none" w:sz="0" w:space="0" w:color="auto"/>
        <w:bottom w:val="none" w:sz="0" w:space="0" w:color="auto"/>
        <w:right w:val="none" w:sz="0" w:space="0" w:color="auto"/>
      </w:divBdr>
    </w:div>
    <w:div w:id="596983847">
      <w:bodyDiv w:val="1"/>
      <w:marLeft w:val="0"/>
      <w:marRight w:val="0"/>
      <w:marTop w:val="0"/>
      <w:marBottom w:val="0"/>
      <w:divBdr>
        <w:top w:val="none" w:sz="0" w:space="0" w:color="auto"/>
        <w:left w:val="none" w:sz="0" w:space="0" w:color="auto"/>
        <w:bottom w:val="none" w:sz="0" w:space="0" w:color="auto"/>
        <w:right w:val="none" w:sz="0" w:space="0" w:color="auto"/>
      </w:divBdr>
    </w:div>
    <w:div w:id="608006898">
      <w:bodyDiv w:val="1"/>
      <w:marLeft w:val="0"/>
      <w:marRight w:val="0"/>
      <w:marTop w:val="0"/>
      <w:marBottom w:val="0"/>
      <w:divBdr>
        <w:top w:val="none" w:sz="0" w:space="0" w:color="auto"/>
        <w:left w:val="none" w:sz="0" w:space="0" w:color="auto"/>
        <w:bottom w:val="none" w:sz="0" w:space="0" w:color="auto"/>
        <w:right w:val="none" w:sz="0" w:space="0" w:color="auto"/>
      </w:divBdr>
    </w:div>
    <w:div w:id="608974392">
      <w:bodyDiv w:val="1"/>
      <w:marLeft w:val="0"/>
      <w:marRight w:val="0"/>
      <w:marTop w:val="0"/>
      <w:marBottom w:val="0"/>
      <w:divBdr>
        <w:top w:val="none" w:sz="0" w:space="0" w:color="auto"/>
        <w:left w:val="none" w:sz="0" w:space="0" w:color="auto"/>
        <w:bottom w:val="none" w:sz="0" w:space="0" w:color="auto"/>
        <w:right w:val="none" w:sz="0" w:space="0" w:color="auto"/>
      </w:divBdr>
    </w:div>
    <w:div w:id="636574022">
      <w:bodyDiv w:val="1"/>
      <w:marLeft w:val="0"/>
      <w:marRight w:val="0"/>
      <w:marTop w:val="0"/>
      <w:marBottom w:val="0"/>
      <w:divBdr>
        <w:top w:val="none" w:sz="0" w:space="0" w:color="auto"/>
        <w:left w:val="none" w:sz="0" w:space="0" w:color="auto"/>
        <w:bottom w:val="none" w:sz="0" w:space="0" w:color="auto"/>
        <w:right w:val="none" w:sz="0" w:space="0" w:color="auto"/>
      </w:divBdr>
    </w:div>
    <w:div w:id="643580850">
      <w:bodyDiv w:val="1"/>
      <w:marLeft w:val="0"/>
      <w:marRight w:val="0"/>
      <w:marTop w:val="0"/>
      <w:marBottom w:val="0"/>
      <w:divBdr>
        <w:top w:val="none" w:sz="0" w:space="0" w:color="auto"/>
        <w:left w:val="none" w:sz="0" w:space="0" w:color="auto"/>
        <w:bottom w:val="none" w:sz="0" w:space="0" w:color="auto"/>
        <w:right w:val="none" w:sz="0" w:space="0" w:color="auto"/>
      </w:divBdr>
    </w:div>
    <w:div w:id="647830707">
      <w:bodyDiv w:val="1"/>
      <w:marLeft w:val="0"/>
      <w:marRight w:val="0"/>
      <w:marTop w:val="0"/>
      <w:marBottom w:val="0"/>
      <w:divBdr>
        <w:top w:val="none" w:sz="0" w:space="0" w:color="auto"/>
        <w:left w:val="none" w:sz="0" w:space="0" w:color="auto"/>
        <w:bottom w:val="none" w:sz="0" w:space="0" w:color="auto"/>
        <w:right w:val="none" w:sz="0" w:space="0" w:color="auto"/>
      </w:divBdr>
    </w:div>
    <w:div w:id="709034399">
      <w:bodyDiv w:val="1"/>
      <w:marLeft w:val="0"/>
      <w:marRight w:val="0"/>
      <w:marTop w:val="0"/>
      <w:marBottom w:val="0"/>
      <w:divBdr>
        <w:top w:val="none" w:sz="0" w:space="0" w:color="auto"/>
        <w:left w:val="none" w:sz="0" w:space="0" w:color="auto"/>
        <w:bottom w:val="none" w:sz="0" w:space="0" w:color="auto"/>
        <w:right w:val="none" w:sz="0" w:space="0" w:color="auto"/>
      </w:divBdr>
    </w:div>
    <w:div w:id="720373181">
      <w:bodyDiv w:val="1"/>
      <w:marLeft w:val="0"/>
      <w:marRight w:val="0"/>
      <w:marTop w:val="0"/>
      <w:marBottom w:val="0"/>
      <w:divBdr>
        <w:top w:val="none" w:sz="0" w:space="0" w:color="auto"/>
        <w:left w:val="none" w:sz="0" w:space="0" w:color="auto"/>
        <w:bottom w:val="none" w:sz="0" w:space="0" w:color="auto"/>
        <w:right w:val="none" w:sz="0" w:space="0" w:color="auto"/>
      </w:divBdr>
    </w:div>
    <w:div w:id="736247458">
      <w:bodyDiv w:val="1"/>
      <w:marLeft w:val="0"/>
      <w:marRight w:val="0"/>
      <w:marTop w:val="0"/>
      <w:marBottom w:val="0"/>
      <w:divBdr>
        <w:top w:val="none" w:sz="0" w:space="0" w:color="auto"/>
        <w:left w:val="none" w:sz="0" w:space="0" w:color="auto"/>
        <w:bottom w:val="none" w:sz="0" w:space="0" w:color="auto"/>
        <w:right w:val="none" w:sz="0" w:space="0" w:color="auto"/>
      </w:divBdr>
    </w:div>
    <w:div w:id="752118783">
      <w:bodyDiv w:val="1"/>
      <w:marLeft w:val="0"/>
      <w:marRight w:val="0"/>
      <w:marTop w:val="0"/>
      <w:marBottom w:val="0"/>
      <w:divBdr>
        <w:top w:val="none" w:sz="0" w:space="0" w:color="auto"/>
        <w:left w:val="none" w:sz="0" w:space="0" w:color="auto"/>
        <w:bottom w:val="none" w:sz="0" w:space="0" w:color="auto"/>
        <w:right w:val="none" w:sz="0" w:space="0" w:color="auto"/>
      </w:divBdr>
    </w:div>
    <w:div w:id="752238630">
      <w:bodyDiv w:val="1"/>
      <w:marLeft w:val="0"/>
      <w:marRight w:val="0"/>
      <w:marTop w:val="0"/>
      <w:marBottom w:val="0"/>
      <w:divBdr>
        <w:top w:val="none" w:sz="0" w:space="0" w:color="auto"/>
        <w:left w:val="none" w:sz="0" w:space="0" w:color="auto"/>
        <w:bottom w:val="none" w:sz="0" w:space="0" w:color="auto"/>
        <w:right w:val="none" w:sz="0" w:space="0" w:color="auto"/>
      </w:divBdr>
    </w:div>
    <w:div w:id="765268745">
      <w:bodyDiv w:val="1"/>
      <w:marLeft w:val="0"/>
      <w:marRight w:val="0"/>
      <w:marTop w:val="0"/>
      <w:marBottom w:val="0"/>
      <w:divBdr>
        <w:top w:val="none" w:sz="0" w:space="0" w:color="auto"/>
        <w:left w:val="none" w:sz="0" w:space="0" w:color="auto"/>
        <w:bottom w:val="none" w:sz="0" w:space="0" w:color="auto"/>
        <w:right w:val="none" w:sz="0" w:space="0" w:color="auto"/>
      </w:divBdr>
    </w:div>
    <w:div w:id="776019618">
      <w:bodyDiv w:val="1"/>
      <w:marLeft w:val="0"/>
      <w:marRight w:val="0"/>
      <w:marTop w:val="0"/>
      <w:marBottom w:val="0"/>
      <w:divBdr>
        <w:top w:val="none" w:sz="0" w:space="0" w:color="auto"/>
        <w:left w:val="none" w:sz="0" w:space="0" w:color="auto"/>
        <w:bottom w:val="none" w:sz="0" w:space="0" w:color="auto"/>
        <w:right w:val="none" w:sz="0" w:space="0" w:color="auto"/>
      </w:divBdr>
    </w:div>
    <w:div w:id="779879721">
      <w:bodyDiv w:val="1"/>
      <w:marLeft w:val="0"/>
      <w:marRight w:val="0"/>
      <w:marTop w:val="0"/>
      <w:marBottom w:val="0"/>
      <w:divBdr>
        <w:top w:val="none" w:sz="0" w:space="0" w:color="auto"/>
        <w:left w:val="none" w:sz="0" w:space="0" w:color="auto"/>
        <w:bottom w:val="none" w:sz="0" w:space="0" w:color="auto"/>
        <w:right w:val="none" w:sz="0" w:space="0" w:color="auto"/>
      </w:divBdr>
    </w:div>
    <w:div w:id="786580841">
      <w:bodyDiv w:val="1"/>
      <w:marLeft w:val="0"/>
      <w:marRight w:val="0"/>
      <w:marTop w:val="0"/>
      <w:marBottom w:val="0"/>
      <w:divBdr>
        <w:top w:val="none" w:sz="0" w:space="0" w:color="auto"/>
        <w:left w:val="none" w:sz="0" w:space="0" w:color="auto"/>
        <w:bottom w:val="none" w:sz="0" w:space="0" w:color="auto"/>
        <w:right w:val="none" w:sz="0" w:space="0" w:color="auto"/>
      </w:divBdr>
    </w:div>
    <w:div w:id="800146284">
      <w:bodyDiv w:val="1"/>
      <w:marLeft w:val="0"/>
      <w:marRight w:val="0"/>
      <w:marTop w:val="0"/>
      <w:marBottom w:val="0"/>
      <w:divBdr>
        <w:top w:val="none" w:sz="0" w:space="0" w:color="auto"/>
        <w:left w:val="none" w:sz="0" w:space="0" w:color="auto"/>
        <w:bottom w:val="none" w:sz="0" w:space="0" w:color="auto"/>
        <w:right w:val="none" w:sz="0" w:space="0" w:color="auto"/>
      </w:divBdr>
    </w:div>
    <w:div w:id="807554893">
      <w:bodyDiv w:val="1"/>
      <w:marLeft w:val="0"/>
      <w:marRight w:val="0"/>
      <w:marTop w:val="0"/>
      <w:marBottom w:val="0"/>
      <w:divBdr>
        <w:top w:val="none" w:sz="0" w:space="0" w:color="auto"/>
        <w:left w:val="none" w:sz="0" w:space="0" w:color="auto"/>
        <w:bottom w:val="none" w:sz="0" w:space="0" w:color="auto"/>
        <w:right w:val="none" w:sz="0" w:space="0" w:color="auto"/>
      </w:divBdr>
    </w:div>
    <w:div w:id="832376468">
      <w:bodyDiv w:val="1"/>
      <w:marLeft w:val="0"/>
      <w:marRight w:val="0"/>
      <w:marTop w:val="0"/>
      <w:marBottom w:val="0"/>
      <w:divBdr>
        <w:top w:val="none" w:sz="0" w:space="0" w:color="auto"/>
        <w:left w:val="none" w:sz="0" w:space="0" w:color="auto"/>
        <w:bottom w:val="none" w:sz="0" w:space="0" w:color="auto"/>
        <w:right w:val="none" w:sz="0" w:space="0" w:color="auto"/>
      </w:divBdr>
    </w:div>
    <w:div w:id="858935956">
      <w:bodyDiv w:val="1"/>
      <w:marLeft w:val="0"/>
      <w:marRight w:val="0"/>
      <w:marTop w:val="0"/>
      <w:marBottom w:val="0"/>
      <w:divBdr>
        <w:top w:val="none" w:sz="0" w:space="0" w:color="auto"/>
        <w:left w:val="none" w:sz="0" w:space="0" w:color="auto"/>
        <w:bottom w:val="none" w:sz="0" w:space="0" w:color="auto"/>
        <w:right w:val="none" w:sz="0" w:space="0" w:color="auto"/>
      </w:divBdr>
    </w:div>
    <w:div w:id="879781066">
      <w:bodyDiv w:val="1"/>
      <w:marLeft w:val="0"/>
      <w:marRight w:val="0"/>
      <w:marTop w:val="0"/>
      <w:marBottom w:val="0"/>
      <w:divBdr>
        <w:top w:val="none" w:sz="0" w:space="0" w:color="auto"/>
        <w:left w:val="none" w:sz="0" w:space="0" w:color="auto"/>
        <w:bottom w:val="none" w:sz="0" w:space="0" w:color="auto"/>
        <w:right w:val="none" w:sz="0" w:space="0" w:color="auto"/>
      </w:divBdr>
    </w:div>
    <w:div w:id="884292450">
      <w:bodyDiv w:val="1"/>
      <w:marLeft w:val="0"/>
      <w:marRight w:val="0"/>
      <w:marTop w:val="0"/>
      <w:marBottom w:val="0"/>
      <w:divBdr>
        <w:top w:val="none" w:sz="0" w:space="0" w:color="auto"/>
        <w:left w:val="none" w:sz="0" w:space="0" w:color="auto"/>
        <w:bottom w:val="none" w:sz="0" w:space="0" w:color="auto"/>
        <w:right w:val="none" w:sz="0" w:space="0" w:color="auto"/>
      </w:divBdr>
    </w:div>
    <w:div w:id="887688724">
      <w:bodyDiv w:val="1"/>
      <w:marLeft w:val="0"/>
      <w:marRight w:val="0"/>
      <w:marTop w:val="0"/>
      <w:marBottom w:val="0"/>
      <w:divBdr>
        <w:top w:val="none" w:sz="0" w:space="0" w:color="auto"/>
        <w:left w:val="none" w:sz="0" w:space="0" w:color="auto"/>
        <w:bottom w:val="none" w:sz="0" w:space="0" w:color="auto"/>
        <w:right w:val="none" w:sz="0" w:space="0" w:color="auto"/>
      </w:divBdr>
    </w:div>
    <w:div w:id="894318183">
      <w:bodyDiv w:val="1"/>
      <w:marLeft w:val="0"/>
      <w:marRight w:val="0"/>
      <w:marTop w:val="0"/>
      <w:marBottom w:val="0"/>
      <w:divBdr>
        <w:top w:val="none" w:sz="0" w:space="0" w:color="auto"/>
        <w:left w:val="none" w:sz="0" w:space="0" w:color="auto"/>
        <w:bottom w:val="none" w:sz="0" w:space="0" w:color="auto"/>
        <w:right w:val="none" w:sz="0" w:space="0" w:color="auto"/>
      </w:divBdr>
    </w:div>
    <w:div w:id="906066083">
      <w:bodyDiv w:val="1"/>
      <w:marLeft w:val="0"/>
      <w:marRight w:val="0"/>
      <w:marTop w:val="0"/>
      <w:marBottom w:val="0"/>
      <w:divBdr>
        <w:top w:val="none" w:sz="0" w:space="0" w:color="auto"/>
        <w:left w:val="none" w:sz="0" w:space="0" w:color="auto"/>
        <w:bottom w:val="none" w:sz="0" w:space="0" w:color="auto"/>
        <w:right w:val="none" w:sz="0" w:space="0" w:color="auto"/>
      </w:divBdr>
    </w:div>
    <w:div w:id="916672364">
      <w:bodyDiv w:val="1"/>
      <w:marLeft w:val="0"/>
      <w:marRight w:val="0"/>
      <w:marTop w:val="0"/>
      <w:marBottom w:val="0"/>
      <w:divBdr>
        <w:top w:val="none" w:sz="0" w:space="0" w:color="auto"/>
        <w:left w:val="none" w:sz="0" w:space="0" w:color="auto"/>
        <w:bottom w:val="none" w:sz="0" w:space="0" w:color="auto"/>
        <w:right w:val="none" w:sz="0" w:space="0" w:color="auto"/>
      </w:divBdr>
    </w:div>
    <w:div w:id="925069411">
      <w:bodyDiv w:val="1"/>
      <w:marLeft w:val="0"/>
      <w:marRight w:val="0"/>
      <w:marTop w:val="0"/>
      <w:marBottom w:val="0"/>
      <w:divBdr>
        <w:top w:val="none" w:sz="0" w:space="0" w:color="auto"/>
        <w:left w:val="none" w:sz="0" w:space="0" w:color="auto"/>
        <w:bottom w:val="none" w:sz="0" w:space="0" w:color="auto"/>
        <w:right w:val="none" w:sz="0" w:space="0" w:color="auto"/>
      </w:divBdr>
    </w:div>
    <w:div w:id="936407645">
      <w:bodyDiv w:val="1"/>
      <w:marLeft w:val="0"/>
      <w:marRight w:val="0"/>
      <w:marTop w:val="0"/>
      <w:marBottom w:val="0"/>
      <w:divBdr>
        <w:top w:val="none" w:sz="0" w:space="0" w:color="auto"/>
        <w:left w:val="none" w:sz="0" w:space="0" w:color="auto"/>
        <w:bottom w:val="none" w:sz="0" w:space="0" w:color="auto"/>
        <w:right w:val="none" w:sz="0" w:space="0" w:color="auto"/>
      </w:divBdr>
    </w:div>
    <w:div w:id="940836931">
      <w:bodyDiv w:val="1"/>
      <w:marLeft w:val="0"/>
      <w:marRight w:val="0"/>
      <w:marTop w:val="0"/>
      <w:marBottom w:val="0"/>
      <w:divBdr>
        <w:top w:val="none" w:sz="0" w:space="0" w:color="auto"/>
        <w:left w:val="none" w:sz="0" w:space="0" w:color="auto"/>
        <w:bottom w:val="none" w:sz="0" w:space="0" w:color="auto"/>
        <w:right w:val="none" w:sz="0" w:space="0" w:color="auto"/>
      </w:divBdr>
    </w:div>
    <w:div w:id="955451003">
      <w:bodyDiv w:val="1"/>
      <w:marLeft w:val="0"/>
      <w:marRight w:val="0"/>
      <w:marTop w:val="0"/>
      <w:marBottom w:val="0"/>
      <w:divBdr>
        <w:top w:val="none" w:sz="0" w:space="0" w:color="auto"/>
        <w:left w:val="none" w:sz="0" w:space="0" w:color="auto"/>
        <w:bottom w:val="none" w:sz="0" w:space="0" w:color="auto"/>
        <w:right w:val="none" w:sz="0" w:space="0" w:color="auto"/>
      </w:divBdr>
    </w:div>
    <w:div w:id="956522364">
      <w:bodyDiv w:val="1"/>
      <w:marLeft w:val="0"/>
      <w:marRight w:val="0"/>
      <w:marTop w:val="0"/>
      <w:marBottom w:val="0"/>
      <w:divBdr>
        <w:top w:val="none" w:sz="0" w:space="0" w:color="auto"/>
        <w:left w:val="none" w:sz="0" w:space="0" w:color="auto"/>
        <w:bottom w:val="none" w:sz="0" w:space="0" w:color="auto"/>
        <w:right w:val="none" w:sz="0" w:space="0" w:color="auto"/>
      </w:divBdr>
    </w:div>
    <w:div w:id="961035057">
      <w:bodyDiv w:val="1"/>
      <w:marLeft w:val="0"/>
      <w:marRight w:val="0"/>
      <w:marTop w:val="0"/>
      <w:marBottom w:val="0"/>
      <w:divBdr>
        <w:top w:val="none" w:sz="0" w:space="0" w:color="auto"/>
        <w:left w:val="none" w:sz="0" w:space="0" w:color="auto"/>
        <w:bottom w:val="none" w:sz="0" w:space="0" w:color="auto"/>
        <w:right w:val="none" w:sz="0" w:space="0" w:color="auto"/>
      </w:divBdr>
    </w:div>
    <w:div w:id="968825429">
      <w:bodyDiv w:val="1"/>
      <w:marLeft w:val="0"/>
      <w:marRight w:val="0"/>
      <w:marTop w:val="0"/>
      <w:marBottom w:val="0"/>
      <w:divBdr>
        <w:top w:val="none" w:sz="0" w:space="0" w:color="auto"/>
        <w:left w:val="none" w:sz="0" w:space="0" w:color="auto"/>
        <w:bottom w:val="none" w:sz="0" w:space="0" w:color="auto"/>
        <w:right w:val="none" w:sz="0" w:space="0" w:color="auto"/>
      </w:divBdr>
    </w:div>
    <w:div w:id="980382825">
      <w:bodyDiv w:val="1"/>
      <w:marLeft w:val="0"/>
      <w:marRight w:val="0"/>
      <w:marTop w:val="0"/>
      <w:marBottom w:val="0"/>
      <w:divBdr>
        <w:top w:val="none" w:sz="0" w:space="0" w:color="auto"/>
        <w:left w:val="none" w:sz="0" w:space="0" w:color="auto"/>
        <w:bottom w:val="none" w:sz="0" w:space="0" w:color="auto"/>
        <w:right w:val="none" w:sz="0" w:space="0" w:color="auto"/>
      </w:divBdr>
    </w:div>
    <w:div w:id="992678011">
      <w:bodyDiv w:val="1"/>
      <w:marLeft w:val="0"/>
      <w:marRight w:val="0"/>
      <w:marTop w:val="0"/>
      <w:marBottom w:val="0"/>
      <w:divBdr>
        <w:top w:val="none" w:sz="0" w:space="0" w:color="auto"/>
        <w:left w:val="none" w:sz="0" w:space="0" w:color="auto"/>
        <w:bottom w:val="none" w:sz="0" w:space="0" w:color="auto"/>
        <w:right w:val="none" w:sz="0" w:space="0" w:color="auto"/>
      </w:divBdr>
    </w:div>
    <w:div w:id="1010374077">
      <w:bodyDiv w:val="1"/>
      <w:marLeft w:val="0"/>
      <w:marRight w:val="0"/>
      <w:marTop w:val="0"/>
      <w:marBottom w:val="0"/>
      <w:divBdr>
        <w:top w:val="none" w:sz="0" w:space="0" w:color="auto"/>
        <w:left w:val="none" w:sz="0" w:space="0" w:color="auto"/>
        <w:bottom w:val="none" w:sz="0" w:space="0" w:color="auto"/>
        <w:right w:val="none" w:sz="0" w:space="0" w:color="auto"/>
      </w:divBdr>
    </w:div>
    <w:div w:id="1012411803">
      <w:bodyDiv w:val="1"/>
      <w:marLeft w:val="0"/>
      <w:marRight w:val="0"/>
      <w:marTop w:val="0"/>
      <w:marBottom w:val="0"/>
      <w:divBdr>
        <w:top w:val="none" w:sz="0" w:space="0" w:color="auto"/>
        <w:left w:val="none" w:sz="0" w:space="0" w:color="auto"/>
        <w:bottom w:val="none" w:sz="0" w:space="0" w:color="auto"/>
        <w:right w:val="none" w:sz="0" w:space="0" w:color="auto"/>
      </w:divBdr>
    </w:div>
    <w:div w:id="1038895238">
      <w:bodyDiv w:val="1"/>
      <w:marLeft w:val="0"/>
      <w:marRight w:val="0"/>
      <w:marTop w:val="0"/>
      <w:marBottom w:val="0"/>
      <w:divBdr>
        <w:top w:val="none" w:sz="0" w:space="0" w:color="auto"/>
        <w:left w:val="none" w:sz="0" w:space="0" w:color="auto"/>
        <w:bottom w:val="none" w:sz="0" w:space="0" w:color="auto"/>
        <w:right w:val="none" w:sz="0" w:space="0" w:color="auto"/>
      </w:divBdr>
    </w:div>
    <w:div w:id="1040939244">
      <w:bodyDiv w:val="1"/>
      <w:marLeft w:val="0"/>
      <w:marRight w:val="0"/>
      <w:marTop w:val="0"/>
      <w:marBottom w:val="0"/>
      <w:divBdr>
        <w:top w:val="none" w:sz="0" w:space="0" w:color="auto"/>
        <w:left w:val="none" w:sz="0" w:space="0" w:color="auto"/>
        <w:bottom w:val="none" w:sz="0" w:space="0" w:color="auto"/>
        <w:right w:val="none" w:sz="0" w:space="0" w:color="auto"/>
      </w:divBdr>
    </w:div>
    <w:div w:id="1051031839">
      <w:bodyDiv w:val="1"/>
      <w:marLeft w:val="0"/>
      <w:marRight w:val="0"/>
      <w:marTop w:val="0"/>
      <w:marBottom w:val="0"/>
      <w:divBdr>
        <w:top w:val="none" w:sz="0" w:space="0" w:color="auto"/>
        <w:left w:val="none" w:sz="0" w:space="0" w:color="auto"/>
        <w:bottom w:val="none" w:sz="0" w:space="0" w:color="auto"/>
        <w:right w:val="none" w:sz="0" w:space="0" w:color="auto"/>
      </w:divBdr>
    </w:div>
    <w:div w:id="1080905713">
      <w:bodyDiv w:val="1"/>
      <w:marLeft w:val="0"/>
      <w:marRight w:val="0"/>
      <w:marTop w:val="0"/>
      <w:marBottom w:val="0"/>
      <w:divBdr>
        <w:top w:val="none" w:sz="0" w:space="0" w:color="auto"/>
        <w:left w:val="none" w:sz="0" w:space="0" w:color="auto"/>
        <w:bottom w:val="none" w:sz="0" w:space="0" w:color="auto"/>
        <w:right w:val="none" w:sz="0" w:space="0" w:color="auto"/>
      </w:divBdr>
    </w:div>
    <w:div w:id="1104884751">
      <w:bodyDiv w:val="1"/>
      <w:marLeft w:val="0"/>
      <w:marRight w:val="0"/>
      <w:marTop w:val="0"/>
      <w:marBottom w:val="0"/>
      <w:divBdr>
        <w:top w:val="none" w:sz="0" w:space="0" w:color="auto"/>
        <w:left w:val="none" w:sz="0" w:space="0" w:color="auto"/>
        <w:bottom w:val="none" w:sz="0" w:space="0" w:color="auto"/>
        <w:right w:val="none" w:sz="0" w:space="0" w:color="auto"/>
      </w:divBdr>
    </w:div>
    <w:div w:id="1112162438">
      <w:bodyDiv w:val="1"/>
      <w:marLeft w:val="0"/>
      <w:marRight w:val="0"/>
      <w:marTop w:val="0"/>
      <w:marBottom w:val="0"/>
      <w:divBdr>
        <w:top w:val="none" w:sz="0" w:space="0" w:color="auto"/>
        <w:left w:val="none" w:sz="0" w:space="0" w:color="auto"/>
        <w:bottom w:val="none" w:sz="0" w:space="0" w:color="auto"/>
        <w:right w:val="none" w:sz="0" w:space="0" w:color="auto"/>
      </w:divBdr>
    </w:div>
    <w:div w:id="1141078585">
      <w:bodyDiv w:val="1"/>
      <w:marLeft w:val="0"/>
      <w:marRight w:val="0"/>
      <w:marTop w:val="0"/>
      <w:marBottom w:val="0"/>
      <w:divBdr>
        <w:top w:val="none" w:sz="0" w:space="0" w:color="auto"/>
        <w:left w:val="none" w:sz="0" w:space="0" w:color="auto"/>
        <w:bottom w:val="none" w:sz="0" w:space="0" w:color="auto"/>
        <w:right w:val="none" w:sz="0" w:space="0" w:color="auto"/>
      </w:divBdr>
    </w:div>
    <w:div w:id="1146821367">
      <w:bodyDiv w:val="1"/>
      <w:marLeft w:val="0"/>
      <w:marRight w:val="0"/>
      <w:marTop w:val="0"/>
      <w:marBottom w:val="0"/>
      <w:divBdr>
        <w:top w:val="none" w:sz="0" w:space="0" w:color="auto"/>
        <w:left w:val="none" w:sz="0" w:space="0" w:color="auto"/>
        <w:bottom w:val="none" w:sz="0" w:space="0" w:color="auto"/>
        <w:right w:val="none" w:sz="0" w:space="0" w:color="auto"/>
      </w:divBdr>
    </w:div>
    <w:div w:id="1153451230">
      <w:bodyDiv w:val="1"/>
      <w:marLeft w:val="0"/>
      <w:marRight w:val="0"/>
      <w:marTop w:val="0"/>
      <w:marBottom w:val="0"/>
      <w:divBdr>
        <w:top w:val="none" w:sz="0" w:space="0" w:color="auto"/>
        <w:left w:val="none" w:sz="0" w:space="0" w:color="auto"/>
        <w:bottom w:val="none" w:sz="0" w:space="0" w:color="auto"/>
        <w:right w:val="none" w:sz="0" w:space="0" w:color="auto"/>
      </w:divBdr>
    </w:div>
    <w:div w:id="1207907885">
      <w:bodyDiv w:val="1"/>
      <w:marLeft w:val="0"/>
      <w:marRight w:val="0"/>
      <w:marTop w:val="0"/>
      <w:marBottom w:val="0"/>
      <w:divBdr>
        <w:top w:val="none" w:sz="0" w:space="0" w:color="auto"/>
        <w:left w:val="none" w:sz="0" w:space="0" w:color="auto"/>
        <w:bottom w:val="none" w:sz="0" w:space="0" w:color="auto"/>
        <w:right w:val="none" w:sz="0" w:space="0" w:color="auto"/>
      </w:divBdr>
    </w:div>
    <w:div w:id="1211847346">
      <w:bodyDiv w:val="1"/>
      <w:marLeft w:val="0"/>
      <w:marRight w:val="0"/>
      <w:marTop w:val="0"/>
      <w:marBottom w:val="0"/>
      <w:divBdr>
        <w:top w:val="none" w:sz="0" w:space="0" w:color="auto"/>
        <w:left w:val="none" w:sz="0" w:space="0" w:color="auto"/>
        <w:bottom w:val="none" w:sz="0" w:space="0" w:color="auto"/>
        <w:right w:val="none" w:sz="0" w:space="0" w:color="auto"/>
      </w:divBdr>
    </w:div>
    <w:div w:id="1240212536">
      <w:bodyDiv w:val="1"/>
      <w:marLeft w:val="0"/>
      <w:marRight w:val="0"/>
      <w:marTop w:val="0"/>
      <w:marBottom w:val="0"/>
      <w:divBdr>
        <w:top w:val="none" w:sz="0" w:space="0" w:color="auto"/>
        <w:left w:val="none" w:sz="0" w:space="0" w:color="auto"/>
        <w:bottom w:val="none" w:sz="0" w:space="0" w:color="auto"/>
        <w:right w:val="none" w:sz="0" w:space="0" w:color="auto"/>
      </w:divBdr>
    </w:div>
    <w:div w:id="1245842799">
      <w:bodyDiv w:val="1"/>
      <w:marLeft w:val="0"/>
      <w:marRight w:val="0"/>
      <w:marTop w:val="0"/>
      <w:marBottom w:val="0"/>
      <w:divBdr>
        <w:top w:val="none" w:sz="0" w:space="0" w:color="auto"/>
        <w:left w:val="none" w:sz="0" w:space="0" w:color="auto"/>
        <w:bottom w:val="none" w:sz="0" w:space="0" w:color="auto"/>
        <w:right w:val="none" w:sz="0" w:space="0" w:color="auto"/>
      </w:divBdr>
    </w:div>
    <w:div w:id="1247307864">
      <w:bodyDiv w:val="1"/>
      <w:marLeft w:val="0"/>
      <w:marRight w:val="0"/>
      <w:marTop w:val="0"/>
      <w:marBottom w:val="0"/>
      <w:divBdr>
        <w:top w:val="none" w:sz="0" w:space="0" w:color="auto"/>
        <w:left w:val="none" w:sz="0" w:space="0" w:color="auto"/>
        <w:bottom w:val="none" w:sz="0" w:space="0" w:color="auto"/>
        <w:right w:val="none" w:sz="0" w:space="0" w:color="auto"/>
      </w:divBdr>
    </w:div>
    <w:div w:id="1271429516">
      <w:bodyDiv w:val="1"/>
      <w:marLeft w:val="0"/>
      <w:marRight w:val="0"/>
      <w:marTop w:val="0"/>
      <w:marBottom w:val="0"/>
      <w:divBdr>
        <w:top w:val="none" w:sz="0" w:space="0" w:color="auto"/>
        <w:left w:val="none" w:sz="0" w:space="0" w:color="auto"/>
        <w:bottom w:val="none" w:sz="0" w:space="0" w:color="auto"/>
        <w:right w:val="none" w:sz="0" w:space="0" w:color="auto"/>
      </w:divBdr>
    </w:div>
    <w:div w:id="1272206597">
      <w:bodyDiv w:val="1"/>
      <w:marLeft w:val="0"/>
      <w:marRight w:val="0"/>
      <w:marTop w:val="0"/>
      <w:marBottom w:val="0"/>
      <w:divBdr>
        <w:top w:val="none" w:sz="0" w:space="0" w:color="auto"/>
        <w:left w:val="none" w:sz="0" w:space="0" w:color="auto"/>
        <w:bottom w:val="none" w:sz="0" w:space="0" w:color="auto"/>
        <w:right w:val="none" w:sz="0" w:space="0" w:color="auto"/>
      </w:divBdr>
    </w:div>
    <w:div w:id="1285893109">
      <w:bodyDiv w:val="1"/>
      <w:marLeft w:val="0"/>
      <w:marRight w:val="0"/>
      <w:marTop w:val="0"/>
      <w:marBottom w:val="0"/>
      <w:divBdr>
        <w:top w:val="none" w:sz="0" w:space="0" w:color="auto"/>
        <w:left w:val="none" w:sz="0" w:space="0" w:color="auto"/>
        <w:bottom w:val="none" w:sz="0" w:space="0" w:color="auto"/>
        <w:right w:val="none" w:sz="0" w:space="0" w:color="auto"/>
      </w:divBdr>
    </w:div>
    <w:div w:id="1297252249">
      <w:bodyDiv w:val="1"/>
      <w:marLeft w:val="0"/>
      <w:marRight w:val="0"/>
      <w:marTop w:val="0"/>
      <w:marBottom w:val="0"/>
      <w:divBdr>
        <w:top w:val="none" w:sz="0" w:space="0" w:color="auto"/>
        <w:left w:val="none" w:sz="0" w:space="0" w:color="auto"/>
        <w:bottom w:val="none" w:sz="0" w:space="0" w:color="auto"/>
        <w:right w:val="none" w:sz="0" w:space="0" w:color="auto"/>
      </w:divBdr>
    </w:div>
    <w:div w:id="1302729726">
      <w:bodyDiv w:val="1"/>
      <w:marLeft w:val="0"/>
      <w:marRight w:val="0"/>
      <w:marTop w:val="0"/>
      <w:marBottom w:val="0"/>
      <w:divBdr>
        <w:top w:val="none" w:sz="0" w:space="0" w:color="auto"/>
        <w:left w:val="none" w:sz="0" w:space="0" w:color="auto"/>
        <w:bottom w:val="none" w:sz="0" w:space="0" w:color="auto"/>
        <w:right w:val="none" w:sz="0" w:space="0" w:color="auto"/>
      </w:divBdr>
    </w:div>
    <w:div w:id="1307854935">
      <w:bodyDiv w:val="1"/>
      <w:marLeft w:val="0"/>
      <w:marRight w:val="0"/>
      <w:marTop w:val="0"/>
      <w:marBottom w:val="0"/>
      <w:divBdr>
        <w:top w:val="none" w:sz="0" w:space="0" w:color="auto"/>
        <w:left w:val="none" w:sz="0" w:space="0" w:color="auto"/>
        <w:bottom w:val="none" w:sz="0" w:space="0" w:color="auto"/>
        <w:right w:val="none" w:sz="0" w:space="0" w:color="auto"/>
      </w:divBdr>
    </w:div>
    <w:div w:id="1328826465">
      <w:bodyDiv w:val="1"/>
      <w:marLeft w:val="0"/>
      <w:marRight w:val="0"/>
      <w:marTop w:val="0"/>
      <w:marBottom w:val="0"/>
      <w:divBdr>
        <w:top w:val="none" w:sz="0" w:space="0" w:color="auto"/>
        <w:left w:val="none" w:sz="0" w:space="0" w:color="auto"/>
        <w:bottom w:val="none" w:sz="0" w:space="0" w:color="auto"/>
        <w:right w:val="none" w:sz="0" w:space="0" w:color="auto"/>
      </w:divBdr>
    </w:div>
    <w:div w:id="1351176889">
      <w:bodyDiv w:val="1"/>
      <w:marLeft w:val="0"/>
      <w:marRight w:val="0"/>
      <w:marTop w:val="0"/>
      <w:marBottom w:val="0"/>
      <w:divBdr>
        <w:top w:val="none" w:sz="0" w:space="0" w:color="auto"/>
        <w:left w:val="none" w:sz="0" w:space="0" w:color="auto"/>
        <w:bottom w:val="none" w:sz="0" w:space="0" w:color="auto"/>
        <w:right w:val="none" w:sz="0" w:space="0" w:color="auto"/>
      </w:divBdr>
    </w:div>
    <w:div w:id="1386415363">
      <w:bodyDiv w:val="1"/>
      <w:marLeft w:val="0"/>
      <w:marRight w:val="0"/>
      <w:marTop w:val="0"/>
      <w:marBottom w:val="0"/>
      <w:divBdr>
        <w:top w:val="none" w:sz="0" w:space="0" w:color="auto"/>
        <w:left w:val="none" w:sz="0" w:space="0" w:color="auto"/>
        <w:bottom w:val="none" w:sz="0" w:space="0" w:color="auto"/>
        <w:right w:val="none" w:sz="0" w:space="0" w:color="auto"/>
      </w:divBdr>
    </w:div>
    <w:div w:id="1387031166">
      <w:bodyDiv w:val="1"/>
      <w:marLeft w:val="0"/>
      <w:marRight w:val="0"/>
      <w:marTop w:val="0"/>
      <w:marBottom w:val="0"/>
      <w:divBdr>
        <w:top w:val="none" w:sz="0" w:space="0" w:color="auto"/>
        <w:left w:val="none" w:sz="0" w:space="0" w:color="auto"/>
        <w:bottom w:val="none" w:sz="0" w:space="0" w:color="auto"/>
        <w:right w:val="none" w:sz="0" w:space="0" w:color="auto"/>
      </w:divBdr>
    </w:div>
    <w:div w:id="1392926709">
      <w:bodyDiv w:val="1"/>
      <w:marLeft w:val="0"/>
      <w:marRight w:val="0"/>
      <w:marTop w:val="0"/>
      <w:marBottom w:val="0"/>
      <w:divBdr>
        <w:top w:val="none" w:sz="0" w:space="0" w:color="auto"/>
        <w:left w:val="none" w:sz="0" w:space="0" w:color="auto"/>
        <w:bottom w:val="none" w:sz="0" w:space="0" w:color="auto"/>
        <w:right w:val="none" w:sz="0" w:space="0" w:color="auto"/>
      </w:divBdr>
    </w:div>
    <w:div w:id="1401517261">
      <w:bodyDiv w:val="1"/>
      <w:marLeft w:val="0"/>
      <w:marRight w:val="0"/>
      <w:marTop w:val="0"/>
      <w:marBottom w:val="0"/>
      <w:divBdr>
        <w:top w:val="none" w:sz="0" w:space="0" w:color="auto"/>
        <w:left w:val="none" w:sz="0" w:space="0" w:color="auto"/>
        <w:bottom w:val="none" w:sz="0" w:space="0" w:color="auto"/>
        <w:right w:val="none" w:sz="0" w:space="0" w:color="auto"/>
      </w:divBdr>
    </w:div>
    <w:div w:id="1408110966">
      <w:bodyDiv w:val="1"/>
      <w:marLeft w:val="0"/>
      <w:marRight w:val="0"/>
      <w:marTop w:val="0"/>
      <w:marBottom w:val="0"/>
      <w:divBdr>
        <w:top w:val="none" w:sz="0" w:space="0" w:color="auto"/>
        <w:left w:val="none" w:sz="0" w:space="0" w:color="auto"/>
        <w:bottom w:val="none" w:sz="0" w:space="0" w:color="auto"/>
        <w:right w:val="none" w:sz="0" w:space="0" w:color="auto"/>
      </w:divBdr>
    </w:div>
    <w:div w:id="1412044824">
      <w:bodyDiv w:val="1"/>
      <w:marLeft w:val="0"/>
      <w:marRight w:val="0"/>
      <w:marTop w:val="0"/>
      <w:marBottom w:val="0"/>
      <w:divBdr>
        <w:top w:val="none" w:sz="0" w:space="0" w:color="auto"/>
        <w:left w:val="none" w:sz="0" w:space="0" w:color="auto"/>
        <w:bottom w:val="none" w:sz="0" w:space="0" w:color="auto"/>
        <w:right w:val="none" w:sz="0" w:space="0" w:color="auto"/>
      </w:divBdr>
    </w:div>
    <w:div w:id="1421028780">
      <w:bodyDiv w:val="1"/>
      <w:marLeft w:val="0"/>
      <w:marRight w:val="0"/>
      <w:marTop w:val="0"/>
      <w:marBottom w:val="0"/>
      <w:divBdr>
        <w:top w:val="none" w:sz="0" w:space="0" w:color="auto"/>
        <w:left w:val="none" w:sz="0" w:space="0" w:color="auto"/>
        <w:bottom w:val="none" w:sz="0" w:space="0" w:color="auto"/>
        <w:right w:val="none" w:sz="0" w:space="0" w:color="auto"/>
      </w:divBdr>
    </w:div>
    <w:div w:id="1456174690">
      <w:bodyDiv w:val="1"/>
      <w:marLeft w:val="0"/>
      <w:marRight w:val="0"/>
      <w:marTop w:val="0"/>
      <w:marBottom w:val="0"/>
      <w:divBdr>
        <w:top w:val="none" w:sz="0" w:space="0" w:color="auto"/>
        <w:left w:val="none" w:sz="0" w:space="0" w:color="auto"/>
        <w:bottom w:val="none" w:sz="0" w:space="0" w:color="auto"/>
        <w:right w:val="none" w:sz="0" w:space="0" w:color="auto"/>
      </w:divBdr>
    </w:div>
    <w:div w:id="1478954128">
      <w:bodyDiv w:val="1"/>
      <w:marLeft w:val="0"/>
      <w:marRight w:val="0"/>
      <w:marTop w:val="0"/>
      <w:marBottom w:val="0"/>
      <w:divBdr>
        <w:top w:val="none" w:sz="0" w:space="0" w:color="auto"/>
        <w:left w:val="none" w:sz="0" w:space="0" w:color="auto"/>
        <w:bottom w:val="none" w:sz="0" w:space="0" w:color="auto"/>
        <w:right w:val="none" w:sz="0" w:space="0" w:color="auto"/>
      </w:divBdr>
      <w:divsChild>
        <w:div w:id="1949122235">
          <w:marLeft w:val="0"/>
          <w:marRight w:val="0"/>
          <w:marTop w:val="0"/>
          <w:marBottom w:val="0"/>
          <w:divBdr>
            <w:top w:val="none" w:sz="0" w:space="0" w:color="auto"/>
            <w:left w:val="none" w:sz="0" w:space="0" w:color="auto"/>
            <w:bottom w:val="none" w:sz="0" w:space="0" w:color="auto"/>
            <w:right w:val="none" w:sz="0" w:space="0" w:color="auto"/>
          </w:divBdr>
        </w:div>
        <w:div w:id="726496470">
          <w:marLeft w:val="0"/>
          <w:marRight w:val="0"/>
          <w:marTop w:val="0"/>
          <w:marBottom w:val="0"/>
          <w:divBdr>
            <w:top w:val="none" w:sz="0" w:space="0" w:color="auto"/>
            <w:left w:val="none" w:sz="0" w:space="0" w:color="auto"/>
            <w:bottom w:val="none" w:sz="0" w:space="0" w:color="auto"/>
            <w:right w:val="none" w:sz="0" w:space="0" w:color="auto"/>
          </w:divBdr>
        </w:div>
      </w:divsChild>
    </w:div>
    <w:div w:id="1481456739">
      <w:bodyDiv w:val="1"/>
      <w:marLeft w:val="0"/>
      <w:marRight w:val="0"/>
      <w:marTop w:val="0"/>
      <w:marBottom w:val="0"/>
      <w:divBdr>
        <w:top w:val="none" w:sz="0" w:space="0" w:color="auto"/>
        <w:left w:val="none" w:sz="0" w:space="0" w:color="auto"/>
        <w:bottom w:val="none" w:sz="0" w:space="0" w:color="auto"/>
        <w:right w:val="none" w:sz="0" w:space="0" w:color="auto"/>
      </w:divBdr>
    </w:div>
    <w:div w:id="1491749711">
      <w:bodyDiv w:val="1"/>
      <w:marLeft w:val="0"/>
      <w:marRight w:val="0"/>
      <w:marTop w:val="0"/>
      <w:marBottom w:val="0"/>
      <w:divBdr>
        <w:top w:val="none" w:sz="0" w:space="0" w:color="auto"/>
        <w:left w:val="none" w:sz="0" w:space="0" w:color="auto"/>
        <w:bottom w:val="none" w:sz="0" w:space="0" w:color="auto"/>
        <w:right w:val="none" w:sz="0" w:space="0" w:color="auto"/>
      </w:divBdr>
    </w:div>
    <w:div w:id="1498964192">
      <w:bodyDiv w:val="1"/>
      <w:marLeft w:val="0"/>
      <w:marRight w:val="0"/>
      <w:marTop w:val="0"/>
      <w:marBottom w:val="0"/>
      <w:divBdr>
        <w:top w:val="none" w:sz="0" w:space="0" w:color="auto"/>
        <w:left w:val="none" w:sz="0" w:space="0" w:color="auto"/>
        <w:bottom w:val="none" w:sz="0" w:space="0" w:color="auto"/>
        <w:right w:val="none" w:sz="0" w:space="0" w:color="auto"/>
      </w:divBdr>
    </w:div>
    <w:div w:id="1499880161">
      <w:bodyDiv w:val="1"/>
      <w:marLeft w:val="0"/>
      <w:marRight w:val="0"/>
      <w:marTop w:val="0"/>
      <w:marBottom w:val="0"/>
      <w:divBdr>
        <w:top w:val="none" w:sz="0" w:space="0" w:color="auto"/>
        <w:left w:val="none" w:sz="0" w:space="0" w:color="auto"/>
        <w:bottom w:val="none" w:sz="0" w:space="0" w:color="auto"/>
        <w:right w:val="none" w:sz="0" w:space="0" w:color="auto"/>
      </w:divBdr>
    </w:div>
    <w:div w:id="1509249103">
      <w:bodyDiv w:val="1"/>
      <w:marLeft w:val="0"/>
      <w:marRight w:val="0"/>
      <w:marTop w:val="0"/>
      <w:marBottom w:val="0"/>
      <w:divBdr>
        <w:top w:val="none" w:sz="0" w:space="0" w:color="auto"/>
        <w:left w:val="none" w:sz="0" w:space="0" w:color="auto"/>
        <w:bottom w:val="none" w:sz="0" w:space="0" w:color="auto"/>
        <w:right w:val="none" w:sz="0" w:space="0" w:color="auto"/>
      </w:divBdr>
    </w:div>
    <w:div w:id="1526670420">
      <w:bodyDiv w:val="1"/>
      <w:marLeft w:val="0"/>
      <w:marRight w:val="0"/>
      <w:marTop w:val="0"/>
      <w:marBottom w:val="0"/>
      <w:divBdr>
        <w:top w:val="none" w:sz="0" w:space="0" w:color="auto"/>
        <w:left w:val="none" w:sz="0" w:space="0" w:color="auto"/>
        <w:bottom w:val="none" w:sz="0" w:space="0" w:color="auto"/>
        <w:right w:val="none" w:sz="0" w:space="0" w:color="auto"/>
      </w:divBdr>
    </w:div>
    <w:div w:id="1579098567">
      <w:bodyDiv w:val="1"/>
      <w:marLeft w:val="0"/>
      <w:marRight w:val="0"/>
      <w:marTop w:val="0"/>
      <w:marBottom w:val="0"/>
      <w:divBdr>
        <w:top w:val="none" w:sz="0" w:space="0" w:color="auto"/>
        <w:left w:val="none" w:sz="0" w:space="0" w:color="auto"/>
        <w:bottom w:val="none" w:sz="0" w:space="0" w:color="auto"/>
        <w:right w:val="none" w:sz="0" w:space="0" w:color="auto"/>
      </w:divBdr>
    </w:div>
    <w:div w:id="1583686387">
      <w:bodyDiv w:val="1"/>
      <w:marLeft w:val="0"/>
      <w:marRight w:val="0"/>
      <w:marTop w:val="0"/>
      <w:marBottom w:val="0"/>
      <w:divBdr>
        <w:top w:val="none" w:sz="0" w:space="0" w:color="auto"/>
        <w:left w:val="none" w:sz="0" w:space="0" w:color="auto"/>
        <w:bottom w:val="none" w:sz="0" w:space="0" w:color="auto"/>
        <w:right w:val="none" w:sz="0" w:space="0" w:color="auto"/>
      </w:divBdr>
    </w:div>
    <w:div w:id="1642727104">
      <w:bodyDiv w:val="1"/>
      <w:marLeft w:val="0"/>
      <w:marRight w:val="0"/>
      <w:marTop w:val="0"/>
      <w:marBottom w:val="0"/>
      <w:divBdr>
        <w:top w:val="none" w:sz="0" w:space="0" w:color="auto"/>
        <w:left w:val="none" w:sz="0" w:space="0" w:color="auto"/>
        <w:bottom w:val="none" w:sz="0" w:space="0" w:color="auto"/>
        <w:right w:val="none" w:sz="0" w:space="0" w:color="auto"/>
      </w:divBdr>
    </w:div>
    <w:div w:id="1644119772">
      <w:bodyDiv w:val="1"/>
      <w:marLeft w:val="0"/>
      <w:marRight w:val="0"/>
      <w:marTop w:val="0"/>
      <w:marBottom w:val="0"/>
      <w:divBdr>
        <w:top w:val="none" w:sz="0" w:space="0" w:color="auto"/>
        <w:left w:val="none" w:sz="0" w:space="0" w:color="auto"/>
        <w:bottom w:val="none" w:sz="0" w:space="0" w:color="auto"/>
        <w:right w:val="none" w:sz="0" w:space="0" w:color="auto"/>
      </w:divBdr>
    </w:div>
    <w:div w:id="1653950851">
      <w:bodyDiv w:val="1"/>
      <w:marLeft w:val="0"/>
      <w:marRight w:val="0"/>
      <w:marTop w:val="0"/>
      <w:marBottom w:val="0"/>
      <w:divBdr>
        <w:top w:val="none" w:sz="0" w:space="0" w:color="auto"/>
        <w:left w:val="none" w:sz="0" w:space="0" w:color="auto"/>
        <w:bottom w:val="none" w:sz="0" w:space="0" w:color="auto"/>
        <w:right w:val="none" w:sz="0" w:space="0" w:color="auto"/>
      </w:divBdr>
    </w:div>
    <w:div w:id="1655521191">
      <w:bodyDiv w:val="1"/>
      <w:marLeft w:val="0"/>
      <w:marRight w:val="0"/>
      <w:marTop w:val="0"/>
      <w:marBottom w:val="0"/>
      <w:divBdr>
        <w:top w:val="none" w:sz="0" w:space="0" w:color="auto"/>
        <w:left w:val="none" w:sz="0" w:space="0" w:color="auto"/>
        <w:bottom w:val="none" w:sz="0" w:space="0" w:color="auto"/>
        <w:right w:val="none" w:sz="0" w:space="0" w:color="auto"/>
      </w:divBdr>
    </w:div>
    <w:div w:id="1682052676">
      <w:bodyDiv w:val="1"/>
      <w:marLeft w:val="0"/>
      <w:marRight w:val="0"/>
      <w:marTop w:val="0"/>
      <w:marBottom w:val="0"/>
      <w:divBdr>
        <w:top w:val="none" w:sz="0" w:space="0" w:color="auto"/>
        <w:left w:val="none" w:sz="0" w:space="0" w:color="auto"/>
        <w:bottom w:val="none" w:sz="0" w:space="0" w:color="auto"/>
        <w:right w:val="none" w:sz="0" w:space="0" w:color="auto"/>
      </w:divBdr>
    </w:div>
    <w:div w:id="1699308967">
      <w:bodyDiv w:val="1"/>
      <w:marLeft w:val="0"/>
      <w:marRight w:val="0"/>
      <w:marTop w:val="0"/>
      <w:marBottom w:val="0"/>
      <w:divBdr>
        <w:top w:val="none" w:sz="0" w:space="0" w:color="auto"/>
        <w:left w:val="none" w:sz="0" w:space="0" w:color="auto"/>
        <w:bottom w:val="none" w:sz="0" w:space="0" w:color="auto"/>
        <w:right w:val="none" w:sz="0" w:space="0" w:color="auto"/>
      </w:divBdr>
    </w:div>
    <w:div w:id="1702051020">
      <w:bodyDiv w:val="1"/>
      <w:marLeft w:val="0"/>
      <w:marRight w:val="0"/>
      <w:marTop w:val="0"/>
      <w:marBottom w:val="0"/>
      <w:divBdr>
        <w:top w:val="none" w:sz="0" w:space="0" w:color="auto"/>
        <w:left w:val="none" w:sz="0" w:space="0" w:color="auto"/>
        <w:bottom w:val="none" w:sz="0" w:space="0" w:color="auto"/>
        <w:right w:val="none" w:sz="0" w:space="0" w:color="auto"/>
      </w:divBdr>
    </w:div>
    <w:div w:id="1768648767">
      <w:bodyDiv w:val="1"/>
      <w:marLeft w:val="0"/>
      <w:marRight w:val="0"/>
      <w:marTop w:val="0"/>
      <w:marBottom w:val="0"/>
      <w:divBdr>
        <w:top w:val="none" w:sz="0" w:space="0" w:color="auto"/>
        <w:left w:val="none" w:sz="0" w:space="0" w:color="auto"/>
        <w:bottom w:val="none" w:sz="0" w:space="0" w:color="auto"/>
        <w:right w:val="none" w:sz="0" w:space="0" w:color="auto"/>
      </w:divBdr>
    </w:div>
    <w:div w:id="1776516944">
      <w:bodyDiv w:val="1"/>
      <w:marLeft w:val="0"/>
      <w:marRight w:val="0"/>
      <w:marTop w:val="0"/>
      <w:marBottom w:val="0"/>
      <w:divBdr>
        <w:top w:val="none" w:sz="0" w:space="0" w:color="auto"/>
        <w:left w:val="none" w:sz="0" w:space="0" w:color="auto"/>
        <w:bottom w:val="none" w:sz="0" w:space="0" w:color="auto"/>
        <w:right w:val="none" w:sz="0" w:space="0" w:color="auto"/>
      </w:divBdr>
    </w:div>
    <w:div w:id="1785922882">
      <w:bodyDiv w:val="1"/>
      <w:marLeft w:val="0"/>
      <w:marRight w:val="0"/>
      <w:marTop w:val="0"/>
      <w:marBottom w:val="0"/>
      <w:divBdr>
        <w:top w:val="none" w:sz="0" w:space="0" w:color="auto"/>
        <w:left w:val="none" w:sz="0" w:space="0" w:color="auto"/>
        <w:bottom w:val="none" w:sz="0" w:space="0" w:color="auto"/>
        <w:right w:val="none" w:sz="0" w:space="0" w:color="auto"/>
      </w:divBdr>
    </w:div>
    <w:div w:id="1816602042">
      <w:bodyDiv w:val="1"/>
      <w:marLeft w:val="0"/>
      <w:marRight w:val="0"/>
      <w:marTop w:val="0"/>
      <w:marBottom w:val="0"/>
      <w:divBdr>
        <w:top w:val="none" w:sz="0" w:space="0" w:color="auto"/>
        <w:left w:val="none" w:sz="0" w:space="0" w:color="auto"/>
        <w:bottom w:val="none" w:sz="0" w:space="0" w:color="auto"/>
        <w:right w:val="none" w:sz="0" w:space="0" w:color="auto"/>
      </w:divBdr>
    </w:div>
    <w:div w:id="1817381934">
      <w:bodyDiv w:val="1"/>
      <w:marLeft w:val="0"/>
      <w:marRight w:val="0"/>
      <w:marTop w:val="0"/>
      <w:marBottom w:val="0"/>
      <w:divBdr>
        <w:top w:val="none" w:sz="0" w:space="0" w:color="auto"/>
        <w:left w:val="none" w:sz="0" w:space="0" w:color="auto"/>
        <w:bottom w:val="none" w:sz="0" w:space="0" w:color="auto"/>
        <w:right w:val="none" w:sz="0" w:space="0" w:color="auto"/>
      </w:divBdr>
    </w:div>
    <w:div w:id="1830906548">
      <w:bodyDiv w:val="1"/>
      <w:marLeft w:val="0"/>
      <w:marRight w:val="0"/>
      <w:marTop w:val="0"/>
      <w:marBottom w:val="0"/>
      <w:divBdr>
        <w:top w:val="none" w:sz="0" w:space="0" w:color="auto"/>
        <w:left w:val="none" w:sz="0" w:space="0" w:color="auto"/>
        <w:bottom w:val="none" w:sz="0" w:space="0" w:color="auto"/>
        <w:right w:val="none" w:sz="0" w:space="0" w:color="auto"/>
      </w:divBdr>
    </w:div>
    <w:div w:id="1854609942">
      <w:bodyDiv w:val="1"/>
      <w:marLeft w:val="0"/>
      <w:marRight w:val="0"/>
      <w:marTop w:val="0"/>
      <w:marBottom w:val="0"/>
      <w:divBdr>
        <w:top w:val="none" w:sz="0" w:space="0" w:color="auto"/>
        <w:left w:val="none" w:sz="0" w:space="0" w:color="auto"/>
        <w:bottom w:val="none" w:sz="0" w:space="0" w:color="auto"/>
        <w:right w:val="none" w:sz="0" w:space="0" w:color="auto"/>
      </w:divBdr>
    </w:div>
    <w:div w:id="1888293133">
      <w:bodyDiv w:val="1"/>
      <w:marLeft w:val="0"/>
      <w:marRight w:val="0"/>
      <w:marTop w:val="0"/>
      <w:marBottom w:val="0"/>
      <w:divBdr>
        <w:top w:val="none" w:sz="0" w:space="0" w:color="auto"/>
        <w:left w:val="none" w:sz="0" w:space="0" w:color="auto"/>
        <w:bottom w:val="none" w:sz="0" w:space="0" w:color="auto"/>
        <w:right w:val="none" w:sz="0" w:space="0" w:color="auto"/>
      </w:divBdr>
    </w:div>
    <w:div w:id="1989436987">
      <w:bodyDiv w:val="1"/>
      <w:marLeft w:val="0"/>
      <w:marRight w:val="0"/>
      <w:marTop w:val="0"/>
      <w:marBottom w:val="0"/>
      <w:divBdr>
        <w:top w:val="none" w:sz="0" w:space="0" w:color="auto"/>
        <w:left w:val="none" w:sz="0" w:space="0" w:color="auto"/>
        <w:bottom w:val="none" w:sz="0" w:space="0" w:color="auto"/>
        <w:right w:val="none" w:sz="0" w:space="0" w:color="auto"/>
      </w:divBdr>
    </w:div>
    <w:div w:id="2002542422">
      <w:bodyDiv w:val="1"/>
      <w:marLeft w:val="0"/>
      <w:marRight w:val="0"/>
      <w:marTop w:val="0"/>
      <w:marBottom w:val="0"/>
      <w:divBdr>
        <w:top w:val="none" w:sz="0" w:space="0" w:color="auto"/>
        <w:left w:val="none" w:sz="0" w:space="0" w:color="auto"/>
        <w:bottom w:val="none" w:sz="0" w:space="0" w:color="auto"/>
        <w:right w:val="none" w:sz="0" w:space="0" w:color="auto"/>
      </w:divBdr>
    </w:div>
    <w:div w:id="2003002980">
      <w:bodyDiv w:val="1"/>
      <w:marLeft w:val="0"/>
      <w:marRight w:val="0"/>
      <w:marTop w:val="0"/>
      <w:marBottom w:val="0"/>
      <w:divBdr>
        <w:top w:val="none" w:sz="0" w:space="0" w:color="auto"/>
        <w:left w:val="none" w:sz="0" w:space="0" w:color="auto"/>
        <w:bottom w:val="none" w:sz="0" w:space="0" w:color="auto"/>
        <w:right w:val="none" w:sz="0" w:space="0" w:color="auto"/>
      </w:divBdr>
    </w:div>
    <w:div w:id="2006127386">
      <w:bodyDiv w:val="1"/>
      <w:marLeft w:val="0"/>
      <w:marRight w:val="0"/>
      <w:marTop w:val="0"/>
      <w:marBottom w:val="0"/>
      <w:divBdr>
        <w:top w:val="none" w:sz="0" w:space="0" w:color="auto"/>
        <w:left w:val="none" w:sz="0" w:space="0" w:color="auto"/>
        <w:bottom w:val="none" w:sz="0" w:space="0" w:color="auto"/>
        <w:right w:val="none" w:sz="0" w:space="0" w:color="auto"/>
      </w:divBdr>
    </w:div>
    <w:div w:id="2013142803">
      <w:bodyDiv w:val="1"/>
      <w:marLeft w:val="0"/>
      <w:marRight w:val="0"/>
      <w:marTop w:val="0"/>
      <w:marBottom w:val="0"/>
      <w:divBdr>
        <w:top w:val="none" w:sz="0" w:space="0" w:color="auto"/>
        <w:left w:val="none" w:sz="0" w:space="0" w:color="auto"/>
        <w:bottom w:val="none" w:sz="0" w:space="0" w:color="auto"/>
        <w:right w:val="none" w:sz="0" w:space="0" w:color="auto"/>
      </w:divBdr>
    </w:div>
    <w:div w:id="206428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emf"/><Relationship Id="rId26" Type="http://schemas.openxmlformats.org/officeDocument/2006/relationships/image" Target="media/image11.emf"/><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5" Type="http://schemas.openxmlformats.org/officeDocument/2006/relationships/image" Target="media/image10.emf"/><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5.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9.emf"/><Relationship Id="rId28" Type="http://schemas.openxmlformats.org/officeDocument/2006/relationships/footer" Target="footer2.xml"/><Relationship Id="rId15" Type="http://schemas.openxmlformats.org/officeDocument/2006/relationships/image" Target="media/image1.emf"/><Relationship Id="rId23" Type="http://schemas.openxmlformats.org/officeDocument/2006/relationships/image" Target="media/image8.emf"/><Relationship Id="rId10" Type="http://schemas.openxmlformats.org/officeDocument/2006/relationships/styles" Target="styles.xml"/><Relationship Id="rId19" Type="http://schemas.openxmlformats.org/officeDocument/2006/relationships/hyperlink" Target="https://siin.abc.gob.bo/"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7.emf"/><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Octubre de 2014</PublishDate>
  <Abstract>Mayo 2015</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Record_x0020_Number xmlns="cdc7663a-08f0-4737-9e8c-148ce897a09c">R0000321902</Record_x0020_Number>
    <Key_x0020_Document xmlns="cdc7663a-08f0-4737-9e8c-148ce897a09c">false</Key_x0020_Document>
    <Division_x0020_or_x0020_Unit xmlns="cdc7663a-08f0-4737-9e8c-148ce897a09c">INE/TSP</Division_x0020_or_x0020_Unit>
    <Other_x0020_Author xmlns="cdc7663a-08f0-4737-9e8c-148ce897a09c">Leonrado Vazques</Other_x0020_Author>
    <IDBDocs_x0020_Number xmlns="cdc7663a-08f0-4737-9e8c-148ce897a09c" xsi:nil="true"/>
    <Document_x0020_Author xmlns="cdc7663a-08f0-4737-9e8c-148ce897a09c">Cocha, Agustina</Document_x0020_Author>
    <_dlc_DocId xmlns="cdc7663a-08f0-4737-9e8c-148ce897a09c">EZSHARE-2073159898-53</_dlc_DocId>
    <Operation_x0020_Type xmlns="cdc7663a-08f0-4737-9e8c-148ce897a09c">Loan Operation</Operation_x0020_Type>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Bolivia</TermName>
          <TermId xmlns="http://schemas.microsoft.com/office/infopath/2007/PartnerControls">6445a937-aea4-4907-9f24-bff96a7c61c8</TermId>
        </TermInfo>
      </Terms>
    </ic46d7e087fd4a108fb86518ca413cc6>
    <TaxCatchAll xmlns="cdc7663a-08f0-4737-9e8c-148ce897a09c">
      <Value>26</Value>
      <Value>45</Value>
      <Value>2</Value>
      <Value>29</Value>
      <Value>43</Value>
    </TaxCatchAll>
    <Fiscal_x0020_Year_x0020_IDB xmlns="cdc7663a-08f0-4737-9e8c-148ce897a09c">2017</Fiscal_x0020_Year_x0020_IDB>
    <b26cdb1da78c4bb4b1c1bac2f6ac5911 xmlns="cdc7663a-08f0-4737-9e8c-148ce897a09c">
      <Terms xmlns="http://schemas.microsoft.com/office/infopath/2007/PartnerControls"/>
    </b26cdb1da78c4bb4b1c1bac2f6ac5911>
    <Project_x0020_Number xmlns="cdc7663a-08f0-4737-9e8c-148ce897a09c">BO-L1186</Project_x0020_Number>
    <Package_x0020_Code xmlns="cdc7663a-08f0-4737-9e8c-148ce897a09c" xsi:nil="true"/>
    <Migration_x0020_Info xmlns="cdc7663a-08f0-4737-9e8c-148ce897a09c" xsi:nil="true"/>
    <Approval_x0020_Number xmlns="cdc7663a-08f0-4737-9e8c-148ce897a09c" xsi:nil="true"/>
    <Business_x0020_Area xmlns="cdc7663a-08f0-4737-9e8c-148ce897a09c">Life Cycle</Business_x0020_Area>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Monitoring and Reporting</TermName>
          <TermId xmlns="http://schemas.microsoft.com/office/infopath/2007/PartnerControls">df3c2aa1-d63e-41aa-b1f5-bb15dee691ca</TermId>
        </TermInfo>
      </Terms>
    </e46fe2894295491da65140ffd2369f49>
    <Access_x0020_to_x0020_Information_x00a0_Policy xmlns="cdc7663a-08f0-4737-9e8c-148ce897a09c">Public - Simultaneous Disclosure</Access_x0020_to_x0020_Information_x00a0_Policy>
    <SISCOR_x0020_Number xmlns="cdc7663a-08f0-4737-9e8c-148ce897a09c" xsi:nil="true"/>
    <Identifier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BLD</TermName>
          <TermId xmlns="http://schemas.microsoft.com/office/infopath/2007/PartnerControls">60acb4c1-0ef3-40ba-9d70-f741cd9e6c23</TermId>
        </TermInfo>
      </Terms>
    </g511464f9e53401d84b16fa9b379a574>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TRANSPORT</TermName>
          <TermId xmlns="http://schemas.microsoft.com/office/infopath/2007/PartnerControls">5a25d1a8-4baf-41a8-9e3b-e167accda6ea</TermId>
        </TermInfo>
      </Terms>
    </nddeef1749674d76abdbe4b239a70bc6>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MAJOR HIGHWAYS</TermName>
          <TermId xmlns="http://schemas.microsoft.com/office/infopath/2007/PartnerControls">59b49cf2-c4cd-4316-ac14-b3a0ffc7d51d</TermId>
        </TermInfo>
      </Terms>
    </b2ec7cfb18674cb8803df6b262e8b107>
    <Document_x0020_Language_x0020_IDB xmlns="cdc7663a-08f0-4737-9e8c-148ce897a09c">Spanish</Document_x0020_Language_x0020_IDB>
    <_dlc_DocIdUrl xmlns="cdc7663a-08f0-4737-9e8c-148ce897a09c">
      <Url>https://idbg.sharepoint.com/teams/EZ-BO-LON/BO-L1186/_layouts/15/DocIdRedir.aspx?ID=EZSHARE-2073159898-53</Url>
      <Description>EZSHARE-2073159898-53</Description>
    </_dlc_DocIdUrl>
    <Phase xmlns="cdc7663a-08f0-4737-9e8c-148ce897a09c">ACTIVE</Phase>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5.xml><?xml version="1.0" encoding="utf-8"?>
<?mso-contentType ?>
<SharedContentType xmlns="Microsoft.SharePoint.Taxonomy.ContentTypeSync" SourceId="ae61f9b1-e23d-4f49-b3d7-56b991556c4b" ContentTypeId="0x010100ACF722E9F6B0B149B0CD8BE2560A6672" PreviousValue="false"/>
</file>

<file path=customXml/item6.xml><?xml version="1.0" encoding="utf-8"?>
<?mso-contentType ?>
<SharedContentType xmlns="Microsoft.SharePoint.Taxonomy.ContentTypeSync" SourceId="ae61f9b1-e23d-4f49-b3d7-56b991556c4b" ContentTypeId="0x0101001A458A224826124E8B45B1D613300CFC" PreviousValue="false"/>
</file>

<file path=customXml/item7.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246E5CCB79E5034CB1A48E8F5418F709" ma:contentTypeVersion="27" ma:contentTypeDescription="A content type to manage public (operations) IDB documents" ma:contentTypeScope="" ma:versionID="c824e817f7b4a2ba803b6779d53bd6d6">
  <xsd:schema xmlns:xsd="http://www.w3.org/2001/XMLSchema" xmlns:xs="http://www.w3.org/2001/XMLSchema" xmlns:p="http://schemas.microsoft.com/office/2006/metadata/properties" xmlns:ns2="cdc7663a-08f0-4737-9e8c-148ce897a09c" targetNamespace="http://schemas.microsoft.com/office/2006/metadata/properties" ma:root="true" ma:fieldsID="7148bbd2547d5f1784cb61ea1835f70f"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7D276E-0986-42E8-94F3-9E47A5D81C99}">
  <ds:schemaRefs>
    <ds:schemaRef ds:uri="http://schemas.microsoft.com/sharepoint/v3/contenttype/forms"/>
  </ds:schemaRefs>
</ds:datastoreItem>
</file>

<file path=customXml/itemProps3.xml><?xml version="1.0" encoding="utf-8"?>
<ds:datastoreItem xmlns:ds="http://schemas.openxmlformats.org/officeDocument/2006/customXml" ds:itemID="{95E70F43-0148-460D-9071-B67491CE1EBB}">
  <ds:schemaRefs>
    <ds:schemaRef ds:uri="http://schemas.microsoft.com/sharepoint/events"/>
  </ds:schemaRefs>
</ds:datastoreItem>
</file>

<file path=customXml/itemProps4.xml><?xml version="1.0" encoding="utf-8"?>
<ds:datastoreItem xmlns:ds="http://schemas.openxmlformats.org/officeDocument/2006/customXml" ds:itemID="{9DE3B32D-E40E-493C-94E3-2B68838058C7}">
  <ds:schemaRef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cdc7663a-08f0-4737-9e8c-148ce897a09c"/>
    <ds:schemaRef ds:uri="http://purl.org/dc/terms/"/>
    <ds:schemaRef ds:uri="http://purl.org/dc/elements/1.1/"/>
    <ds:schemaRef ds:uri="http://www.w3.org/XML/1998/namespace"/>
    <ds:schemaRef ds:uri="http://schemas.microsoft.com/office/infopath/2007/PartnerControls"/>
  </ds:schemaRefs>
</ds:datastoreItem>
</file>

<file path=customXml/itemProps5.xml><?xml version="1.0" encoding="utf-8"?>
<ds:datastoreItem xmlns:ds="http://schemas.openxmlformats.org/officeDocument/2006/customXml" ds:itemID="{6BAC5892-0EC7-4DC8-82C1-F6BC8107D326}">
  <ds:schemaRefs>
    <ds:schemaRef ds:uri="Microsoft.SharePoint.Taxonomy.ContentTypeSync"/>
  </ds:schemaRefs>
</ds:datastoreItem>
</file>

<file path=customXml/itemProps6.xml><?xml version="1.0" encoding="utf-8"?>
<ds:datastoreItem xmlns:ds="http://schemas.openxmlformats.org/officeDocument/2006/customXml" ds:itemID="{6C094E54-0309-4A6E-A191-B42D19E0874D}"/>
</file>

<file path=customXml/itemProps7.xml><?xml version="1.0" encoding="utf-8"?>
<ds:datastoreItem xmlns:ds="http://schemas.openxmlformats.org/officeDocument/2006/customXml" ds:itemID="{09546312-B0BB-4687-9560-469FEB1927AC}"/>
</file>

<file path=customXml/itemProps8.xml><?xml version="1.0" encoding="utf-8"?>
<ds:datastoreItem xmlns:ds="http://schemas.openxmlformats.org/officeDocument/2006/customXml" ds:itemID="{407325E1-4DD8-46E9-B9DE-05A3AFCF2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38</Pages>
  <Words>9242</Words>
  <Characters>52682</Characters>
  <Application>Microsoft Office Word</Application>
  <DocSecurity>0</DocSecurity>
  <Lines>439</Lines>
  <Paragraphs>123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proyecto víal santiago – hito iv EVALUACIÓN SOCIOECONÓMICA</vt:lpstr>
      <vt:lpstr>proyecto víal santiago – hito iv EVALUACIÓN SOCIOECONÓMICA</vt:lpstr>
    </vt:vector>
  </TitlesOfParts>
  <Company>Inter-American Development Bank</Company>
  <LinksUpToDate>false</LinksUpToDate>
  <CharactersWithSpaces>61801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víal santiago – hito iv EVALUACIÓN SOCIOECONÓMICA</dc:title>
  <dc:creator>ING. LEONARDO VASQUEZ SAMACA</dc:creator>
  <cp:keywords/>
  <cp:lastModifiedBy>Cocha, Agustina</cp:lastModifiedBy>
  <cp:revision>66</cp:revision>
  <cp:lastPrinted>2017-06-07T17:55:00Z</cp:lastPrinted>
  <dcterms:created xsi:type="dcterms:W3CDTF">2017-06-07T13:59:00Z</dcterms:created>
  <dcterms:modified xsi:type="dcterms:W3CDTF">2017-10-30T15:50:00Z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45;#MAJOR HIGHWAYS|59b49cf2-c4cd-4316-ac14-b3a0ffc7d51d</vt:lpwstr>
  </property>
  <property fmtid="{D5CDD505-2E9C-101B-9397-08002B2CF9AE}" pid="7" name="Country">
    <vt:lpwstr>26;#Bolivia|6445a937-aea4-4907-9f24-bff96a7c61c8</vt:lpwstr>
  </property>
  <property fmtid="{D5CDD505-2E9C-101B-9397-08002B2CF9AE}" pid="8" name="Fund IDB">
    <vt:lpwstr>29;#BLD|60acb4c1-0ef3-40ba-9d70-f741cd9e6c23</vt:lpwstr>
  </property>
  <property fmtid="{D5CDD505-2E9C-101B-9397-08002B2CF9AE}" pid="9" name="_dlc_DocIdItemGuid">
    <vt:lpwstr>8dd7a7a3-82bb-47c2-a147-ac27e717b1bd</vt:lpwstr>
  </property>
  <property fmtid="{D5CDD505-2E9C-101B-9397-08002B2CF9AE}" pid="10" name="Sector IDB">
    <vt:lpwstr>43;#TRANSPORT|5a25d1a8-4baf-41a8-9e3b-e167accda6ea</vt:lpwstr>
  </property>
  <property fmtid="{D5CDD505-2E9C-101B-9397-08002B2CF9AE}" pid="11" name="Function Operations IDB">
    <vt:lpwstr>2;#Monitoring and Reporting|df3c2aa1-d63e-41aa-b1f5-bb15dee691ca</vt:lpwstr>
  </property>
  <property fmtid="{D5CDD505-2E9C-101B-9397-08002B2CF9AE}" pid="12" name="RecordPoint_ActiveItemMoved">
    <vt:lpwstr>/teams/EZ-BO-LON/BO-L1186/15 LifeCycle Milestones/Draft Area/POD/EEO_7_EstudioCostosAdicionales.docx</vt:lpwstr>
  </property>
  <property fmtid="{D5CDD505-2E9C-101B-9397-08002B2CF9AE}" pid="13" name="RecordStorageActiveId">
    <vt:lpwstr>4bce7806-26d2-4601-9372-16a8bd94f364</vt:lpwstr>
  </property>
  <property fmtid="{D5CDD505-2E9C-101B-9397-08002B2CF9AE}" pid="14" name="Disclosure Activity">
    <vt:lpwstr>Loan Proposal</vt:lpwstr>
  </property>
  <property fmtid="{D5CDD505-2E9C-101B-9397-08002B2CF9AE}" pid="15" name="ContentTypeId">
    <vt:lpwstr>0x0101001A458A224826124E8B45B1D613300CFC00246E5CCB79E5034CB1A48E8F5418F709</vt:lpwstr>
  </property>
</Properties>
</file>