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0DE01" w14:textId="1634383F" w:rsidR="00552540" w:rsidRDefault="00552540" w:rsidP="00552540">
      <w:pPr>
        <w:pStyle w:val="IntenseQuote"/>
        <w:spacing w:before="0" w:after="0" w:line="0" w:lineRule="atLeast"/>
        <w:ind w:right="0" w:hanging="936"/>
        <w:jc w:val="right"/>
        <w:rPr>
          <w:rFonts w:ascii="Times New Roman" w:hAnsi="Times New Roman" w:cs="Times New Roman"/>
          <w:i w:val="0"/>
          <w:color w:val="002060"/>
          <w:sz w:val="24"/>
          <w:szCs w:val="24"/>
          <w:lang w:val="es-ES"/>
        </w:rPr>
      </w:pPr>
      <w:bookmarkStart w:id="0" w:name="_Hlk497126400"/>
      <w:r w:rsidRPr="0069241B">
        <w:rPr>
          <w:rFonts w:ascii="Times New Roman" w:hAnsi="Times New Roman" w:cs="Times New Roman"/>
          <w:i w:val="0"/>
          <w:color w:val="002060"/>
          <w:sz w:val="24"/>
          <w:szCs w:val="24"/>
          <w:lang w:val="es-ES"/>
        </w:rPr>
        <w:t>P</w:t>
      </w:r>
      <w:r>
        <w:rPr>
          <w:rFonts w:ascii="Times New Roman" w:hAnsi="Times New Roman" w:cs="Times New Roman"/>
          <w:i w:val="0"/>
          <w:color w:val="002060"/>
          <w:sz w:val="24"/>
          <w:szCs w:val="24"/>
          <w:lang w:val="es-ES"/>
        </w:rPr>
        <w:t>ro</w:t>
      </w:r>
      <w:r w:rsidR="003F12A1">
        <w:rPr>
          <w:rFonts w:ascii="Times New Roman" w:hAnsi="Times New Roman" w:cs="Times New Roman"/>
          <w:i w:val="0"/>
          <w:color w:val="002060"/>
          <w:sz w:val="24"/>
          <w:szCs w:val="24"/>
          <w:lang w:val="es-ES"/>
        </w:rPr>
        <w:t>yecto de Reconstrucción del Tramo Mairana-Bermejo</w:t>
      </w:r>
      <w:bookmarkEnd w:id="0"/>
    </w:p>
    <w:p w14:paraId="7C318229" w14:textId="77777777" w:rsidR="00552540" w:rsidRPr="000143BF" w:rsidRDefault="00552540" w:rsidP="00552540">
      <w:pPr>
        <w:pStyle w:val="IntenseQuote"/>
        <w:spacing w:before="0" w:after="0" w:line="0" w:lineRule="atLeast"/>
        <w:ind w:right="0" w:hanging="936"/>
        <w:jc w:val="right"/>
        <w:rPr>
          <w:rFonts w:ascii="Times New Roman" w:hAnsi="Times New Roman" w:cs="Times New Roman"/>
          <w:b w:val="0"/>
          <w:color w:val="002060"/>
          <w:sz w:val="24"/>
          <w:szCs w:val="24"/>
          <w:lang w:val="es-ES"/>
        </w:rPr>
      </w:pPr>
      <w:r w:rsidRPr="000143BF">
        <w:rPr>
          <w:rFonts w:ascii="Times New Roman" w:hAnsi="Times New Roman" w:cs="Times New Roman"/>
          <w:b w:val="0"/>
          <w:color w:val="002060"/>
          <w:sz w:val="24"/>
          <w:szCs w:val="24"/>
          <w:lang w:val="es-ES"/>
        </w:rPr>
        <w:t xml:space="preserve">Anexo Técnico </w:t>
      </w:r>
      <w:r>
        <w:rPr>
          <w:rFonts w:ascii="Times New Roman" w:hAnsi="Times New Roman" w:cs="Times New Roman"/>
          <w:b w:val="0"/>
          <w:color w:val="002060"/>
          <w:sz w:val="24"/>
          <w:szCs w:val="24"/>
          <w:lang w:val="es-ES"/>
        </w:rPr>
        <w:t>BO-L1186</w:t>
      </w:r>
    </w:p>
    <w:p w14:paraId="125B48C6" w14:textId="77777777" w:rsidR="00552540" w:rsidRPr="000143BF" w:rsidRDefault="00552540" w:rsidP="00552540">
      <w:pPr>
        <w:pStyle w:val="IntenseQuote"/>
        <w:spacing w:before="0" w:after="0" w:line="0" w:lineRule="atLeast"/>
        <w:ind w:right="0" w:hanging="936"/>
        <w:jc w:val="right"/>
        <w:rPr>
          <w:rFonts w:ascii="Times New Roman" w:hAnsi="Times New Roman" w:cs="Times New Roman"/>
          <w:b w:val="0"/>
          <w:color w:val="002060"/>
          <w:sz w:val="24"/>
          <w:szCs w:val="24"/>
          <w:lang w:val="es-ES"/>
        </w:rPr>
      </w:pPr>
      <w:r w:rsidRPr="000143BF">
        <w:rPr>
          <w:rFonts w:ascii="Times New Roman" w:hAnsi="Times New Roman" w:cs="Times New Roman"/>
          <w:b w:val="0"/>
          <w:color w:val="002060"/>
          <w:sz w:val="24"/>
          <w:szCs w:val="24"/>
          <w:lang w:val="es-ES"/>
        </w:rPr>
        <w:t xml:space="preserve">Integración </w:t>
      </w:r>
      <w:r>
        <w:rPr>
          <w:rFonts w:ascii="Times New Roman" w:hAnsi="Times New Roman" w:cs="Times New Roman"/>
          <w:b w:val="0"/>
          <w:color w:val="002060"/>
          <w:sz w:val="24"/>
          <w:szCs w:val="24"/>
          <w:lang w:val="es-ES"/>
        </w:rPr>
        <w:t>Económica</w:t>
      </w:r>
    </w:p>
    <w:p w14:paraId="530385E8" w14:textId="77777777" w:rsidR="00552540" w:rsidRDefault="00552540" w:rsidP="00552540">
      <w:pPr>
        <w:pStyle w:val="ListParagraph"/>
        <w:keepNext/>
        <w:keepLines/>
        <w:spacing w:after="0" w:line="0" w:lineRule="atLeast"/>
        <w:ind w:left="270"/>
        <w:jc w:val="both"/>
        <w:outlineLvl w:val="1"/>
        <w:rPr>
          <w:rFonts w:ascii="Times New Roman" w:eastAsia="MS Gothic" w:hAnsi="Times New Roman" w:cs="Times New Roman"/>
          <w:b/>
          <w:bCs/>
          <w:smallCaps/>
          <w:color w:val="44546A" w:themeColor="text2"/>
          <w:sz w:val="24"/>
          <w:szCs w:val="24"/>
          <w:lang w:val="es-ES"/>
        </w:rPr>
      </w:pPr>
      <w:r>
        <w:rPr>
          <w:b/>
          <w:noProof/>
        </w:rPr>
        <mc:AlternateContent>
          <mc:Choice Requires="wps">
            <w:drawing>
              <wp:anchor distT="0" distB="0" distL="114300" distR="114300" simplePos="0" relativeHeight="251659264" behindDoc="0" locked="0" layoutInCell="1" allowOverlap="1" wp14:anchorId="3B95029C" wp14:editId="58E18F5A">
                <wp:simplePos x="0" y="0"/>
                <wp:positionH relativeFrom="margin">
                  <wp:align>left</wp:align>
                </wp:positionH>
                <wp:positionV relativeFrom="paragraph">
                  <wp:posOffset>173795</wp:posOffset>
                </wp:positionV>
                <wp:extent cx="5991225" cy="3487615"/>
                <wp:effectExtent l="0" t="0" r="28575" b="17780"/>
                <wp:wrapNone/>
                <wp:docPr id="1" name="Text Box 1"/>
                <wp:cNvGraphicFramePr/>
                <a:graphic xmlns:a="http://schemas.openxmlformats.org/drawingml/2006/main">
                  <a:graphicData uri="http://schemas.microsoft.com/office/word/2010/wordprocessingShape">
                    <wps:wsp>
                      <wps:cNvSpPr txBox="1"/>
                      <wps:spPr>
                        <a:xfrm>
                          <a:off x="0" y="0"/>
                          <a:ext cx="5991225" cy="3487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BC01E" w14:textId="77777777" w:rsidR="007E5266" w:rsidRPr="00022B77" w:rsidRDefault="007E5266" w:rsidP="00552540">
                            <w:pPr>
                              <w:pStyle w:val="ListParagraph"/>
                              <w:spacing w:after="0" w:line="0" w:lineRule="atLeast"/>
                              <w:ind w:left="0"/>
                              <w:jc w:val="both"/>
                              <w:rPr>
                                <w:rFonts w:ascii="Times New Roman" w:hAnsi="Times New Roman"/>
                                <w:b/>
                                <w:sz w:val="24"/>
                                <w:szCs w:val="24"/>
                                <w:lang w:val="es-ES_tradnl"/>
                              </w:rPr>
                            </w:pPr>
                            <w:r w:rsidRPr="00022B77">
                              <w:rPr>
                                <w:rFonts w:ascii="Times New Roman" w:hAnsi="Times New Roman"/>
                                <w:b/>
                                <w:sz w:val="24"/>
                                <w:szCs w:val="24"/>
                                <w:lang w:val="es-ES_tradnl"/>
                              </w:rPr>
                              <w:t>Resumen Ejecutivo</w:t>
                            </w:r>
                          </w:p>
                          <w:p w14:paraId="33F5EF61" w14:textId="77777777" w:rsidR="007E5266" w:rsidRPr="008D7838" w:rsidRDefault="007E5266" w:rsidP="00552540">
                            <w:pPr>
                              <w:keepNext/>
                              <w:keepLines/>
                              <w:spacing w:after="0"/>
                              <w:jc w:val="both"/>
                              <w:outlineLvl w:val="1"/>
                              <w:rPr>
                                <w:rFonts w:ascii="Times New Roman" w:hAnsi="Times New Roman"/>
                                <w:sz w:val="21"/>
                                <w:szCs w:val="21"/>
                                <w:lang w:val="es-ES_tradnl"/>
                              </w:rPr>
                            </w:pPr>
                          </w:p>
                          <w:p w14:paraId="7CED23B7" w14:textId="77777777" w:rsidR="007E5266" w:rsidRPr="0095048D" w:rsidRDefault="007E5266" w:rsidP="0095048D">
                            <w:pPr>
                              <w:tabs>
                                <w:tab w:val="left" w:pos="2085"/>
                              </w:tabs>
                              <w:spacing w:line="0" w:lineRule="atLeast"/>
                              <w:jc w:val="both"/>
                              <w:rPr>
                                <w:rFonts w:ascii="Times New Roman" w:hAnsi="Times New Roman" w:cs="Times New Roman"/>
                                <w:sz w:val="20"/>
                                <w:szCs w:val="20"/>
                                <w:lang w:val="es-ES"/>
                              </w:rPr>
                            </w:pPr>
                            <w:r w:rsidRPr="0095048D">
                              <w:rPr>
                                <w:rFonts w:ascii="Times New Roman" w:hAnsi="Times New Roman" w:cs="Times New Roman"/>
                                <w:sz w:val="20"/>
                                <w:szCs w:val="20"/>
                                <w:lang w:val="es-ES"/>
                              </w:rPr>
                              <w:t xml:space="preserve">El transporte terrestre es el principal modo utilizado para el movimiento de carga y pasajeros en Bolivia. Según estimaciones del BID y del Banco Mundial alrededor del 80% del tráfico del país se realiza por vía terrestre. A pesar de la importancia del transporte terrestre en la economía boliviana, el país enfrenta importantes deficiencias en cuanto a la cobertura, calidad, capacidad y conectividad de sus redes de transporte ante lo cual, la inadecuada infraestructura de transporte representa una barrera para la atracción de inversión extranjera y la inserción de los productos bolivianos en cadenas de valor global, debido a los costos de transporte y logística más altos. Adicionalmente las deficiencias existentes en la infraestructura de transporte representan un obstáculo para continuar avanzando en la agenda de integración económica de Bolivia a los mercados regionales y globales y al mismo tiempo </w:t>
                            </w:r>
                            <w:r>
                              <w:rPr>
                                <w:rFonts w:ascii="Times New Roman" w:hAnsi="Times New Roman" w:cs="Times New Roman"/>
                                <w:sz w:val="20"/>
                                <w:szCs w:val="20"/>
                                <w:lang w:val="es-ES"/>
                              </w:rPr>
                              <w:t>limita</w:t>
                            </w:r>
                            <w:r w:rsidRPr="0095048D">
                              <w:rPr>
                                <w:rFonts w:ascii="Times New Roman" w:hAnsi="Times New Roman" w:cs="Times New Roman"/>
                                <w:sz w:val="20"/>
                                <w:szCs w:val="20"/>
                                <w:lang w:val="es-ES"/>
                              </w:rPr>
                              <w:t xml:space="preserve"> la evolución de las principales iniciativas de integración regional a las cuales Bolivia pertenece. </w:t>
                            </w:r>
                          </w:p>
                          <w:p w14:paraId="0AE1AC01" w14:textId="439F4A36" w:rsidR="00CB0A3F" w:rsidRDefault="007E5266" w:rsidP="0095048D">
                            <w:pPr>
                              <w:tabs>
                                <w:tab w:val="left" w:pos="2085"/>
                              </w:tabs>
                              <w:spacing w:before="240" w:line="0" w:lineRule="atLeast"/>
                              <w:jc w:val="both"/>
                              <w:rPr>
                                <w:rFonts w:ascii="Times New Roman" w:hAnsi="Times New Roman" w:cs="Times New Roman"/>
                                <w:sz w:val="20"/>
                                <w:szCs w:val="20"/>
                                <w:lang w:val="es-ES"/>
                              </w:rPr>
                            </w:pPr>
                            <w:r w:rsidRPr="0095048D">
                              <w:rPr>
                                <w:rFonts w:ascii="Times New Roman" w:hAnsi="Times New Roman" w:cs="Times New Roman"/>
                                <w:sz w:val="20"/>
                                <w:szCs w:val="20"/>
                                <w:lang w:val="es-ES"/>
                              </w:rPr>
                              <w:t xml:space="preserve">El </w:t>
                            </w:r>
                            <w:r w:rsidR="003F12A1">
                              <w:rPr>
                                <w:rFonts w:ascii="Times New Roman" w:hAnsi="Times New Roman" w:cs="Times New Roman"/>
                                <w:sz w:val="20"/>
                                <w:szCs w:val="20"/>
                                <w:lang w:val="es-ES"/>
                              </w:rPr>
                              <w:t>Proyecto de Reconstrucción del Tramo Mairana-Bermejo</w:t>
                            </w:r>
                            <w:r w:rsidRPr="0095048D">
                              <w:rPr>
                                <w:rFonts w:ascii="Times New Roman" w:hAnsi="Times New Roman" w:cs="Times New Roman"/>
                                <w:sz w:val="20"/>
                                <w:szCs w:val="20"/>
                                <w:lang w:val="es-ES"/>
                              </w:rPr>
                              <w:t xml:space="preserve"> (BO-L1186) tiene como objetivo contribuir a la mejora de la productividad y la integración </w:t>
                            </w:r>
                            <w:r w:rsidR="009574D7">
                              <w:rPr>
                                <w:rFonts w:ascii="Times New Roman" w:hAnsi="Times New Roman" w:cs="Times New Roman"/>
                                <w:sz w:val="20"/>
                                <w:szCs w:val="20"/>
                                <w:lang w:val="es-ES"/>
                              </w:rPr>
                              <w:t xml:space="preserve">nacional y regional de Bolivia </w:t>
                            </w:r>
                            <w:r w:rsidRPr="0095048D">
                              <w:rPr>
                                <w:rFonts w:ascii="Times New Roman" w:hAnsi="Times New Roman" w:cs="Times New Roman"/>
                                <w:sz w:val="20"/>
                                <w:szCs w:val="20"/>
                                <w:lang w:val="es-ES"/>
                              </w:rPr>
                              <w:t>mediante inversiones en infraestructura que mejo</w:t>
                            </w:r>
                            <w:r w:rsidR="009574D7">
                              <w:rPr>
                                <w:rFonts w:ascii="Times New Roman" w:hAnsi="Times New Roman" w:cs="Times New Roman"/>
                                <w:sz w:val="20"/>
                                <w:szCs w:val="20"/>
                                <w:lang w:val="es-ES"/>
                              </w:rPr>
                              <w:t xml:space="preserve">ren la eficacia del transporte nacional. </w:t>
                            </w:r>
                            <w:r w:rsidR="00CB0A3F" w:rsidRPr="009574D7">
                              <w:rPr>
                                <w:rFonts w:ascii="Times New Roman" w:hAnsi="Times New Roman" w:cs="Times New Roman"/>
                                <w:sz w:val="20"/>
                                <w:szCs w:val="20"/>
                                <w:lang w:val="es-ES"/>
                              </w:rPr>
                              <w:t xml:space="preserve">Concretamente, de acuerdo a la Matriz de Resultados de la operación, las inversiones nacionales para mejorar </w:t>
                            </w:r>
                            <w:r w:rsidR="009B6B49" w:rsidRPr="009574D7">
                              <w:rPr>
                                <w:rFonts w:ascii="Times New Roman" w:hAnsi="Times New Roman" w:cs="Times New Roman"/>
                                <w:sz w:val="20"/>
                                <w:szCs w:val="20"/>
                                <w:lang w:val="es-ES"/>
                              </w:rPr>
                              <w:t>la infraestructura física de los tramos de la operación</w:t>
                            </w:r>
                            <w:r w:rsidR="00390460">
                              <w:rPr>
                                <w:rFonts w:ascii="Times New Roman" w:hAnsi="Times New Roman" w:cs="Times New Roman"/>
                                <w:sz w:val="20"/>
                                <w:szCs w:val="20"/>
                                <w:lang w:val="es-ES"/>
                              </w:rPr>
                              <w:t xml:space="preserve"> (tomando como muestra el tramo Mairana-Bermejo)</w:t>
                            </w:r>
                            <w:r w:rsidR="009B6B49" w:rsidRPr="009574D7">
                              <w:rPr>
                                <w:rFonts w:ascii="Times New Roman" w:hAnsi="Times New Roman" w:cs="Times New Roman"/>
                                <w:sz w:val="20"/>
                                <w:szCs w:val="20"/>
                                <w:lang w:val="es-ES"/>
                              </w:rPr>
                              <w:t xml:space="preserve">, </w:t>
                            </w:r>
                            <w:r w:rsidR="00CB0A3F" w:rsidRPr="009574D7">
                              <w:rPr>
                                <w:rFonts w:ascii="Times New Roman" w:hAnsi="Times New Roman" w:cs="Times New Roman"/>
                                <w:sz w:val="20"/>
                                <w:szCs w:val="20"/>
                                <w:lang w:val="es-ES"/>
                              </w:rPr>
                              <w:t>impactarán positivamente en la integración regional y global debido a que la reducción de los tiempos de viaje promedio</w:t>
                            </w:r>
                            <w:r w:rsidR="009574D7" w:rsidRPr="009574D7">
                              <w:rPr>
                                <w:rFonts w:ascii="Times New Roman" w:hAnsi="Times New Roman" w:cs="Times New Roman"/>
                                <w:sz w:val="20"/>
                                <w:szCs w:val="20"/>
                                <w:lang w:val="es-ES"/>
                              </w:rPr>
                              <w:t xml:space="preserve"> y</w:t>
                            </w:r>
                            <w:r w:rsidR="00CB0A3F" w:rsidRPr="009574D7">
                              <w:rPr>
                                <w:rFonts w:ascii="Times New Roman" w:hAnsi="Times New Roman" w:cs="Times New Roman"/>
                                <w:sz w:val="20"/>
                                <w:szCs w:val="20"/>
                                <w:lang w:val="es-ES"/>
                              </w:rPr>
                              <w:t xml:space="preserve"> la reducción de los costos de operación vehicular</w:t>
                            </w:r>
                            <w:r w:rsidR="00EC4903">
                              <w:rPr>
                                <w:rFonts w:ascii="Times New Roman" w:hAnsi="Times New Roman" w:cs="Times New Roman"/>
                                <w:sz w:val="20"/>
                                <w:szCs w:val="20"/>
                                <w:lang w:val="es-ES"/>
                              </w:rPr>
                              <w:t>;</w:t>
                            </w:r>
                            <w:r w:rsidR="00CB0A3F" w:rsidRPr="009574D7">
                              <w:rPr>
                                <w:rFonts w:ascii="Times New Roman" w:hAnsi="Times New Roman" w:cs="Times New Roman"/>
                                <w:sz w:val="20"/>
                                <w:szCs w:val="20"/>
                                <w:lang w:val="es-ES"/>
                              </w:rPr>
                              <w:t xml:space="preserve"> contribuirá a aumentar la competitividad sistémica de la economía beneficiando la comercialización a nivel regional y global de los principales productos de exportación de </w:t>
                            </w:r>
                            <w:r w:rsidR="009574D7" w:rsidRPr="009574D7">
                              <w:rPr>
                                <w:rFonts w:ascii="Times New Roman" w:hAnsi="Times New Roman" w:cs="Times New Roman"/>
                                <w:sz w:val="20"/>
                                <w:szCs w:val="20"/>
                                <w:lang w:val="es-ES"/>
                              </w:rPr>
                              <w:t>Bolivia</w:t>
                            </w:r>
                            <w:r w:rsidR="00CB0A3F" w:rsidRPr="009574D7">
                              <w:rPr>
                                <w:rFonts w:ascii="Times New Roman" w:hAnsi="Times New Roman" w:cs="Times New Roman"/>
                                <w:sz w:val="20"/>
                                <w:szCs w:val="20"/>
                                <w:lang w:val="es-ES"/>
                              </w:rPr>
                              <w:t xml:space="preserve"> y también reduciendo los costos de importación de bienes necesarios para </w:t>
                            </w:r>
                            <w:r w:rsidR="009574D7" w:rsidRPr="009574D7">
                              <w:rPr>
                                <w:rFonts w:ascii="Times New Roman" w:hAnsi="Times New Roman" w:cs="Times New Roman"/>
                                <w:sz w:val="20"/>
                                <w:szCs w:val="20"/>
                                <w:lang w:val="es-ES"/>
                              </w:rPr>
                              <w:t>la economía Boliviana.</w:t>
                            </w:r>
                          </w:p>
                          <w:p w14:paraId="40896F71" w14:textId="77777777" w:rsidR="007E5266" w:rsidRPr="0095048D" w:rsidRDefault="007E5266" w:rsidP="00552540">
                            <w:pPr>
                              <w:tabs>
                                <w:tab w:val="left" w:pos="2085"/>
                              </w:tabs>
                              <w:spacing w:line="0" w:lineRule="atLeast"/>
                              <w:jc w:val="both"/>
                              <w:rPr>
                                <w:rFonts w:ascii="Times New Roman" w:hAnsi="Times New Roman" w:cs="Times New Roman"/>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5029C" id="_x0000_t202" coordsize="21600,21600" o:spt="202" path="m,l,21600r21600,l21600,xe">
                <v:stroke joinstyle="miter"/>
                <v:path gradientshapeok="t" o:connecttype="rect"/>
              </v:shapetype>
              <v:shape id="Text Box 1" o:spid="_x0000_s1026" type="#_x0000_t202" style="position:absolute;left:0;text-align:left;margin-left:0;margin-top:13.7pt;width:471.75pt;height:27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" fillcolor="white [3201]" strokeweight=".5pt">
                <v:textbox>
                  <w:txbxContent>
                    <w:p w14:paraId="0CABC01E" w14:textId="77777777" w:rsidR="007E5266" w:rsidRPr="00022B77" w:rsidRDefault="007E5266" w:rsidP="00552540">
                      <w:pPr>
                        <w:pStyle w:val="ListParagraph"/>
                        <w:spacing w:after="0" w:line="0" w:lineRule="atLeast"/>
                        <w:ind w:left="0"/>
                        <w:jc w:val="both"/>
                        <w:rPr>
                          <w:rFonts w:ascii="Times New Roman" w:hAnsi="Times New Roman"/>
                          <w:b/>
                          <w:sz w:val="24"/>
                          <w:szCs w:val="24"/>
                          <w:lang w:val="es-ES_tradnl"/>
                        </w:rPr>
                      </w:pPr>
                      <w:r w:rsidRPr="00022B77">
                        <w:rPr>
                          <w:rFonts w:ascii="Times New Roman" w:hAnsi="Times New Roman"/>
                          <w:b/>
                          <w:sz w:val="24"/>
                          <w:szCs w:val="24"/>
                          <w:lang w:val="es-ES_tradnl"/>
                        </w:rPr>
                        <w:t>Resumen Ejecutivo</w:t>
                      </w:r>
                    </w:p>
                    <w:p w14:paraId="33F5EF61" w14:textId="77777777" w:rsidR="007E5266" w:rsidRPr="008D7838" w:rsidRDefault="007E5266" w:rsidP="00552540">
                      <w:pPr>
                        <w:keepNext/>
                        <w:keepLines/>
                        <w:spacing w:after="0"/>
                        <w:jc w:val="both"/>
                        <w:outlineLvl w:val="1"/>
                        <w:rPr>
                          <w:rFonts w:ascii="Times New Roman" w:hAnsi="Times New Roman"/>
                          <w:sz w:val="21"/>
                          <w:szCs w:val="21"/>
                          <w:lang w:val="es-ES_tradnl"/>
                        </w:rPr>
                      </w:pPr>
                    </w:p>
                    <w:p w14:paraId="7CED23B7" w14:textId="77777777" w:rsidR="007E5266" w:rsidRPr="0095048D" w:rsidRDefault="007E5266" w:rsidP="0095048D">
                      <w:pPr>
                        <w:tabs>
                          <w:tab w:val="left" w:pos="2085"/>
                        </w:tabs>
                        <w:spacing w:line="0" w:lineRule="atLeast"/>
                        <w:jc w:val="both"/>
                        <w:rPr>
                          <w:rFonts w:ascii="Times New Roman" w:hAnsi="Times New Roman" w:cs="Times New Roman"/>
                          <w:sz w:val="20"/>
                          <w:szCs w:val="20"/>
                          <w:lang w:val="es-ES"/>
                        </w:rPr>
                      </w:pPr>
                      <w:r w:rsidRPr="0095048D">
                        <w:rPr>
                          <w:rFonts w:ascii="Times New Roman" w:hAnsi="Times New Roman" w:cs="Times New Roman"/>
                          <w:sz w:val="20"/>
                          <w:szCs w:val="20"/>
                          <w:lang w:val="es-ES"/>
                        </w:rPr>
                        <w:t xml:space="preserve">El transporte terrestre es el principal modo utilizado para el movimiento de carga y pasajeros en Bolivia. Según estimaciones del BID y del Banco Mundial alrededor del 80% del tráfico del país se realiza por vía terrestre. A pesar de la importancia del transporte terrestre en la economía boliviana, el país enfrenta importantes deficiencias en cuanto a la cobertura, calidad, capacidad y conectividad de sus redes de transporte ante lo cual, la inadecuada infraestructura de transporte representa una barrera para la atracción de inversión extranjera y la inserción de los productos bolivianos en cadenas de valor global, debido a los costos de transporte y logística más altos. Adicionalmente las deficiencias existentes en la infraestructura de transporte representan un obstáculo para continuar avanzando en la agenda de integración económica de Bolivia a los mercados regionales y globales y al mismo tiempo </w:t>
                      </w:r>
                      <w:r>
                        <w:rPr>
                          <w:rFonts w:ascii="Times New Roman" w:hAnsi="Times New Roman" w:cs="Times New Roman"/>
                          <w:sz w:val="20"/>
                          <w:szCs w:val="20"/>
                          <w:lang w:val="es-ES"/>
                        </w:rPr>
                        <w:t>limita</w:t>
                      </w:r>
                      <w:r w:rsidRPr="0095048D">
                        <w:rPr>
                          <w:rFonts w:ascii="Times New Roman" w:hAnsi="Times New Roman" w:cs="Times New Roman"/>
                          <w:sz w:val="20"/>
                          <w:szCs w:val="20"/>
                          <w:lang w:val="es-ES"/>
                        </w:rPr>
                        <w:t xml:space="preserve"> la evolución de las principales iniciativas de integración regional a las cuales Bolivia pertenece. </w:t>
                      </w:r>
                    </w:p>
                    <w:p w14:paraId="0AE1AC01" w14:textId="439F4A36" w:rsidR="00CB0A3F" w:rsidRDefault="007E5266" w:rsidP="0095048D">
                      <w:pPr>
                        <w:tabs>
                          <w:tab w:val="left" w:pos="2085"/>
                        </w:tabs>
                        <w:spacing w:before="240" w:line="0" w:lineRule="atLeast"/>
                        <w:jc w:val="both"/>
                        <w:rPr>
                          <w:rFonts w:ascii="Times New Roman" w:hAnsi="Times New Roman" w:cs="Times New Roman"/>
                          <w:sz w:val="20"/>
                          <w:szCs w:val="20"/>
                          <w:lang w:val="es-ES"/>
                        </w:rPr>
                      </w:pPr>
                      <w:r w:rsidRPr="0095048D">
                        <w:rPr>
                          <w:rFonts w:ascii="Times New Roman" w:hAnsi="Times New Roman" w:cs="Times New Roman"/>
                          <w:sz w:val="20"/>
                          <w:szCs w:val="20"/>
                          <w:lang w:val="es-ES"/>
                        </w:rPr>
                        <w:t xml:space="preserve">El </w:t>
                      </w:r>
                      <w:r w:rsidR="003F12A1">
                        <w:rPr>
                          <w:rFonts w:ascii="Times New Roman" w:hAnsi="Times New Roman" w:cs="Times New Roman"/>
                          <w:sz w:val="20"/>
                          <w:szCs w:val="20"/>
                          <w:lang w:val="es-ES"/>
                        </w:rPr>
                        <w:t>Proyecto de Reconstrucción del Tramo Mairana-Bermejo</w:t>
                      </w:r>
                      <w:r w:rsidRPr="0095048D">
                        <w:rPr>
                          <w:rFonts w:ascii="Times New Roman" w:hAnsi="Times New Roman" w:cs="Times New Roman"/>
                          <w:sz w:val="20"/>
                          <w:szCs w:val="20"/>
                          <w:lang w:val="es-ES"/>
                        </w:rPr>
                        <w:t xml:space="preserve"> (BO-L1186) tiene como objetivo contribuir a la mejora de la productividad y la integración </w:t>
                      </w:r>
                      <w:r w:rsidR="009574D7">
                        <w:rPr>
                          <w:rFonts w:ascii="Times New Roman" w:hAnsi="Times New Roman" w:cs="Times New Roman"/>
                          <w:sz w:val="20"/>
                          <w:szCs w:val="20"/>
                          <w:lang w:val="es-ES"/>
                        </w:rPr>
                        <w:t xml:space="preserve">nacional y regional de Bolivia </w:t>
                      </w:r>
                      <w:r w:rsidRPr="0095048D">
                        <w:rPr>
                          <w:rFonts w:ascii="Times New Roman" w:hAnsi="Times New Roman" w:cs="Times New Roman"/>
                          <w:sz w:val="20"/>
                          <w:szCs w:val="20"/>
                          <w:lang w:val="es-ES"/>
                        </w:rPr>
                        <w:t>mediante inversiones en infraestructura que mejo</w:t>
                      </w:r>
                      <w:r w:rsidR="009574D7">
                        <w:rPr>
                          <w:rFonts w:ascii="Times New Roman" w:hAnsi="Times New Roman" w:cs="Times New Roman"/>
                          <w:sz w:val="20"/>
                          <w:szCs w:val="20"/>
                          <w:lang w:val="es-ES"/>
                        </w:rPr>
                        <w:t xml:space="preserve">ren la eficacia del transporte nacional. </w:t>
                      </w:r>
                      <w:r w:rsidR="00CB0A3F" w:rsidRPr="009574D7">
                        <w:rPr>
                          <w:rFonts w:ascii="Times New Roman" w:hAnsi="Times New Roman" w:cs="Times New Roman"/>
                          <w:sz w:val="20"/>
                          <w:szCs w:val="20"/>
                          <w:lang w:val="es-ES"/>
                        </w:rPr>
                        <w:t xml:space="preserve">Concretamente, de acuerdo a la Matriz de Resultados de la operación, las inversiones nacionales para mejorar </w:t>
                      </w:r>
                      <w:r w:rsidR="009B6B49" w:rsidRPr="009574D7">
                        <w:rPr>
                          <w:rFonts w:ascii="Times New Roman" w:hAnsi="Times New Roman" w:cs="Times New Roman"/>
                          <w:sz w:val="20"/>
                          <w:szCs w:val="20"/>
                          <w:lang w:val="es-ES"/>
                        </w:rPr>
                        <w:t>la infraestructura física de los tramos de la operación</w:t>
                      </w:r>
                      <w:r w:rsidR="00390460">
                        <w:rPr>
                          <w:rFonts w:ascii="Times New Roman" w:hAnsi="Times New Roman" w:cs="Times New Roman"/>
                          <w:sz w:val="20"/>
                          <w:szCs w:val="20"/>
                          <w:lang w:val="es-ES"/>
                        </w:rPr>
                        <w:t xml:space="preserve"> (tomando como muestra el tramo Mairana-Bermejo)</w:t>
                      </w:r>
                      <w:r w:rsidR="009B6B49" w:rsidRPr="009574D7">
                        <w:rPr>
                          <w:rFonts w:ascii="Times New Roman" w:hAnsi="Times New Roman" w:cs="Times New Roman"/>
                          <w:sz w:val="20"/>
                          <w:szCs w:val="20"/>
                          <w:lang w:val="es-ES"/>
                        </w:rPr>
                        <w:t xml:space="preserve">, </w:t>
                      </w:r>
                      <w:r w:rsidR="00CB0A3F" w:rsidRPr="009574D7">
                        <w:rPr>
                          <w:rFonts w:ascii="Times New Roman" w:hAnsi="Times New Roman" w:cs="Times New Roman"/>
                          <w:sz w:val="20"/>
                          <w:szCs w:val="20"/>
                          <w:lang w:val="es-ES"/>
                        </w:rPr>
                        <w:t>impactarán positivamente en la integración regional y global debido a que la reducción de los tiempos de viaje promedio</w:t>
                      </w:r>
                      <w:r w:rsidR="009574D7" w:rsidRPr="009574D7">
                        <w:rPr>
                          <w:rFonts w:ascii="Times New Roman" w:hAnsi="Times New Roman" w:cs="Times New Roman"/>
                          <w:sz w:val="20"/>
                          <w:szCs w:val="20"/>
                          <w:lang w:val="es-ES"/>
                        </w:rPr>
                        <w:t xml:space="preserve"> y</w:t>
                      </w:r>
                      <w:r w:rsidR="00CB0A3F" w:rsidRPr="009574D7">
                        <w:rPr>
                          <w:rFonts w:ascii="Times New Roman" w:hAnsi="Times New Roman" w:cs="Times New Roman"/>
                          <w:sz w:val="20"/>
                          <w:szCs w:val="20"/>
                          <w:lang w:val="es-ES"/>
                        </w:rPr>
                        <w:t xml:space="preserve"> la reducción de los costos de operación vehicular</w:t>
                      </w:r>
                      <w:r w:rsidR="00EC4903">
                        <w:rPr>
                          <w:rFonts w:ascii="Times New Roman" w:hAnsi="Times New Roman" w:cs="Times New Roman"/>
                          <w:sz w:val="20"/>
                          <w:szCs w:val="20"/>
                          <w:lang w:val="es-ES"/>
                        </w:rPr>
                        <w:t>;</w:t>
                      </w:r>
                      <w:r w:rsidR="00CB0A3F" w:rsidRPr="009574D7">
                        <w:rPr>
                          <w:rFonts w:ascii="Times New Roman" w:hAnsi="Times New Roman" w:cs="Times New Roman"/>
                          <w:sz w:val="20"/>
                          <w:szCs w:val="20"/>
                          <w:lang w:val="es-ES"/>
                        </w:rPr>
                        <w:t xml:space="preserve"> contribuirá a aumentar la competitividad sistémica de la economía beneficiando la comercialización a nivel regional y global de los principales productos de exportación de </w:t>
                      </w:r>
                      <w:r w:rsidR="009574D7" w:rsidRPr="009574D7">
                        <w:rPr>
                          <w:rFonts w:ascii="Times New Roman" w:hAnsi="Times New Roman" w:cs="Times New Roman"/>
                          <w:sz w:val="20"/>
                          <w:szCs w:val="20"/>
                          <w:lang w:val="es-ES"/>
                        </w:rPr>
                        <w:t>Bolivia</w:t>
                      </w:r>
                      <w:r w:rsidR="00CB0A3F" w:rsidRPr="009574D7">
                        <w:rPr>
                          <w:rFonts w:ascii="Times New Roman" w:hAnsi="Times New Roman" w:cs="Times New Roman"/>
                          <w:sz w:val="20"/>
                          <w:szCs w:val="20"/>
                          <w:lang w:val="es-ES"/>
                        </w:rPr>
                        <w:t xml:space="preserve"> y también reduciendo los costos de importación de bienes necesarios para </w:t>
                      </w:r>
                      <w:r w:rsidR="009574D7" w:rsidRPr="009574D7">
                        <w:rPr>
                          <w:rFonts w:ascii="Times New Roman" w:hAnsi="Times New Roman" w:cs="Times New Roman"/>
                          <w:sz w:val="20"/>
                          <w:szCs w:val="20"/>
                          <w:lang w:val="es-ES"/>
                        </w:rPr>
                        <w:t>la economía Boliviana.</w:t>
                      </w:r>
                    </w:p>
                    <w:p w14:paraId="40896F71" w14:textId="77777777" w:rsidR="007E5266" w:rsidRPr="0095048D" w:rsidRDefault="007E5266" w:rsidP="00552540">
                      <w:pPr>
                        <w:tabs>
                          <w:tab w:val="left" w:pos="2085"/>
                        </w:tabs>
                        <w:spacing w:line="0" w:lineRule="atLeast"/>
                        <w:jc w:val="both"/>
                        <w:rPr>
                          <w:rFonts w:ascii="Times New Roman" w:hAnsi="Times New Roman" w:cs="Times New Roman"/>
                          <w:sz w:val="20"/>
                          <w:szCs w:val="20"/>
                          <w:lang w:val="es-ES"/>
                        </w:rPr>
                      </w:pPr>
                    </w:p>
                  </w:txbxContent>
                </v:textbox>
                <w10:wrap anchorx="margin"/>
              </v:shape>
            </w:pict>
          </mc:Fallback>
        </mc:AlternateContent>
      </w:r>
    </w:p>
    <w:p w14:paraId="4934F50A" w14:textId="77777777" w:rsidR="00552540" w:rsidRDefault="00552540" w:rsidP="00552540">
      <w:pPr>
        <w:autoSpaceDE w:val="0"/>
        <w:autoSpaceDN w:val="0"/>
        <w:adjustRightInd w:val="0"/>
        <w:spacing w:after="0" w:line="240" w:lineRule="auto"/>
        <w:rPr>
          <w:rFonts w:ascii="Arial" w:hAnsi="Arial" w:cs="Arial"/>
          <w:sz w:val="20"/>
          <w:szCs w:val="20"/>
          <w:lang w:val="es-ES_tradnl"/>
        </w:rPr>
      </w:pPr>
    </w:p>
    <w:p w14:paraId="0FA95FB8" w14:textId="77777777" w:rsidR="00552540" w:rsidRDefault="00552540" w:rsidP="00552540">
      <w:pPr>
        <w:autoSpaceDE w:val="0"/>
        <w:autoSpaceDN w:val="0"/>
        <w:adjustRightInd w:val="0"/>
        <w:spacing w:after="0" w:line="240" w:lineRule="auto"/>
        <w:rPr>
          <w:rFonts w:ascii="Arial" w:hAnsi="Arial" w:cs="Arial"/>
          <w:sz w:val="20"/>
          <w:szCs w:val="20"/>
          <w:lang w:val="es-ES_tradnl"/>
        </w:rPr>
      </w:pPr>
    </w:p>
    <w:p w14:paraId="6FC9DC93" w14:textId="77777777" w:rsidR="00552540" w:rsidRDefault="00552540" w:rsidP="00552540">
      <w:pPr>
        <w:autoSpaceDE w:val="0"/>
        <w:autoSpaceDN w:val="0"/>
        <w:adjustRightInd w:val="0"/>
        <w:spacing w:after="0" w:line="240" w:lineRule="auto"/>
        <w:rPr>
          <w:rFonts w:ascii="Arial" w:hAnsi="Arial" w:cs="Arial"/>
          <w:sz w:val="20"/>
          <w:szCs w:val="20"/>
          <w:lang w:val="es-ES_tradnl"/>
        </w:rPr>
      </w:pPr>
    </w:p>
    <w:p w14:paraId="2E1FDF3A"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7C3763C"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409B9E2F"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2D10485E"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64B50913"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02A1052"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38C0DB47"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59A90331"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43EC44D2"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5A18F3D8"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0A4F9138"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2982CC77"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9EAB0C6"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5B8C509A"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30FD1863"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789D4BC7"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45710BE0"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CE17083"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0FA606CB"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6F5F4BDF"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35EE97B5"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1D3ED199" w14:textId="77777777" w:rsidR="00775548" w:rsidRDefault="00775548" w:rsidP="00552540">
      <w:pPr>
        <w:autoSpaceDE w:val="0"/>
        <w:autoSpaceDN w:val="0"/>
        <w:adjustRightInd w:val="0"/>
        <w:spacing w:after="0" w:line="240" w:lineRule="auto"/>
        <w:rPr>
          <w:rFonts w:ascii="Arial" w:hAnsi="Arial" w:cs="Arial"/>
          <w:sz w:val="20"/>
          <w:szCs w:val="20"/>
          <w:lang w:val="es-ES_tradnl"/>
        </w:rPr>
      </w:pPr>
    </w:p>
    <w:p w14:paraId="53D99A75" w14:textId="77777777" w:rsidR="00775548" w:rsidRDefault="00775548" w:rsidP="00775548">
      <w:pPr>
        <w:pStyle w:val="ListParagraph"/>
        <w:numPr>
          <w:ilvl w:val="0"/>
          <w:numId w:val="1"/>
        </w:numPr>
        <w:tabs>
          <w:tab w:val="left" w:pos="360"/>
          <w:tab w:val="left" w:pos="450"/>
        </w:tabs>
        <w:spacing w:line="240" w:lineRule="auto"/>
        <w:ind w:hanging="630"/>
        <w:jc w:val="both"/>
        <w:rPr>
          <w:rFonts w:ascii="Times New Roman" w:hAnsi="Times New Roman"/>
          <w:b/>
          <w:color w:val="1F497D"/>
          <w:sz w:val="24"/>
          <w:lang w:val="es-ES"/>
        </w:rPr>
      </w:pPr>
      <w:r w:rsidRPr="006B0EF4">
        <w:rPr>
          <w:rFonts w:ascii="Times New Roman" w:hAnsi="Times New Roman"/>
          <w:b/>
          <w:color w:val="1F497D"/>
          <w:sz w:val="24"/>
          <w:lang w:val="es-ES"/>
        </w:rPr>
        <w:t>Introducción</w:t>
      </w:r>
      <w:r>
        <w:rPr>
          <w:rFonts w:ascii="Times New Roman" w:hAnsi="Times New Roman"/>
          <w:b/>
          <w:color w:val="1F497D"/>
          <w:sz w:val="24"/>
          <w:lang w:val="es-ES"/>
        </w:rPr>
        <w:t>.</w:t>
      </w:r>
    </w:p>
    <w:p w14:paraId="5E076008" w14:textId="77777777" w:rsidR="00775548" w:rsidRDefault="00775548" w:rsidP="00775548">
      <w:pPr>
        <w:pStyle w:val="ListParagraph"/>
        <w:tabs>
          <w:tab w:val="left" w:pos="360"/>
          <w:tab w:val="left" w:pos="450"/>
        </w:tabs>
        <w:spacing w:line="240" w:lineRule="auto"/>
        <w:jc w:val="both"/>
        <w:rPr>
          <w:rFonts w:ascii="Times New Roman" w:hAnsi="Times New Roman"/>
          <w:b/>
          <w:color w:val="1F497D"/>
          <w:sz w:val="24"/>
          <w:lang w:val="es-ES"/>
        </w:rPr>
      </w:pPr>
    </w:p>
    <w:p w14:paraId="5BFBF177" w14:textId="77777777" w:rsidR="001D27B9" w:rsidRPr="00FC73FE" w:rsidRDefault="001D27B9" w:rsidP="001D27B9">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FC73FE">
        <w:rPr>
          <w:rFonts w:ascii="Times New Roman" w:hAnsi="Times New Roman" w:cs="Times New Roman"/>
          <w:sz w:val="24"/>
          <w:szCs w:val="24"/>
          <w:lang w:val="es-ES"/>
        </w:rPr>
        <w:t>Bolivia es un país con condiciones de mediterraneidad, diversa topografía y alta dispersión geográfica de su población</w:t>
      </w:r>
      <w:r w:rsidRPr="00FC73FE">
        <w:rPr>
          <w:rFonts w:ascii="Times New Roman" w:hAnsi="Times New Roman" w:cs="Times New Roman"/>
          <w:vertAlign w:val="superscript"/>
          <w:lang w:val="es-ES"/>
        </w:rPr>
        <w:footnoteReference w:id="1"/>
      </w:r>
      <w:r w:rsidRPr="00FC73FE">
        <w:rPr>
          <w:rFonts w:ascii="Times New Roman" w:hAnsi="Times New Roman" w:cs="Times New Roman"/>
          <w:sz w:val="24"/>
          <w:szCs w:val="24"/>
          <w:lang w:val="es-ES"/>
        </w:rPr>
        <w:t xml:space="preserve"> y de su base económica</w:t>
      </w:r>
      <w:r w:rsidRPr="00FC73FE">
        <w:rPr>
          <w:rFonts w:ascii="Times New Roman" w:hAnsi="Times New Roman" w:cs="Times New Roman"/>
          <w:vertAlign w:val="superscript"/>
          <w:lang w:val="es-ES"/>
        </w:rPr>
        <w:footnoteReference w:id="2"/>
      </w:r>
      <w:r w:rsidR="00701E2C">
        <w:rPr>
          <w:rFonts w:ascii="Times New Roman" w:hAnsi="Times New Roman" w:cs="Times New Roman"/>
          <w:sz w:val="24"/>
          <w:szCs w:val="24"/>
          <w:lang w:val="es-ES"/>
        </w:rPr>
        <w:t>.</w:t>
      </w:r>
      <w:r w:rsidRPr="00FC73FE">
        <w:rPr>
          <w:rFonts w:ascii="Times New Roman" w:hAnsi="Times New Roman" w:cs="Times New Roman"/>
          <w:sz w:val="24"/>
          <w:szCs w:val="24"/>
          <w:lang w:val="es-ES"/>
        </w:rPr>
        <w:t xml:space="preserve"> </w:t>
      </w:r>
      <w:r w:rsidR="00701E2C">
        <w:rPr>
          <w:rFonts w:ascii="Times New Roman" w:hAnsi="Times New Roman" w:cs="Times New Roman"/>
          <w:sz w:val="24"/>
          <w:szCs w:val="24"/>
          <w:lang w:val="es-ES"/>
        </w:rPr>
        <w:t>L</w:t>
      </w:r>
      <w:r w:rsidRPr="00FC73FE">
        <w:rPr>
          <w:rFonts w:ascii="Times New Roman" w:hAnsi="Times New Roman" w:cs="Times New Roman"/>
          <w:sz w:val="24"/>
          <w:szCs w:val="24"/>
          <w:lang w:val="es-ES"/>
        </w:rPr>
        <w:t xml:space="preserve">a infraestructura de transporte </w:t>
      </w:r>
      <w:r w:rsidR="004A4DB5" w:rsidRPr="00FC73FE">
        <w:rPr>
          <w:rFonts w:ascii="Times New Roman" w:hAnsi="Times New Roman" w:cs="Times New Roman"/>
          <w:sz w:val="24"/>
          <w:szCs w:val="24"/>
          <w:lang w:val="es-ES"/>
        </w:rPr>
        <w:t>tiene importancia</w:t>
      </w:r>
      <w:r w:rsidRPr="00FC73FE">
        <w:rPr>
          <w:rFonts w:ascii="Times New Roman" w:hAnsi="Times New Roman" w:cs="Times New Roman"/>
          <w:sz w:val="24"/>
          <w:szCs w:val="24"/>
          <w:lang w:val="es-ES"/>
        </w:rPr>
        <w:t xml:space="preserve"> estratégica a nivel nacional </w:t>
      </w:r>
      <w:r w:rsidR="00701E2C">
        <w:rPr>
          <w:rFonts w:ascii="Times New Roman" w:hAnsi="Times New Roman" w:cs="Times New Roman"/>
          <w:sz w:val="24"/>
          <w:szCs w:val="24"/>
          <w:lang w:val="es-ES"/>
        </w:rPr>
        <w:t>ya que permite</w:t>
      </w:r>
      <w:r w:rsidRPr="00FC73FE">
        <w:rPr>
          <w:rFonts w:ascii="Times New Roman" w:hAnsi="Times New Roman" w:cs="Times New Roman"/>
          <w:sz w:val="24"/>
          <w:szCs w:val="24"/>
          <w:lang w:val="es-ES"/>
        </w:rPr>
        <w:t xml:space="preserve"> </w:t>
      </w:r>
      <w:r w:rsidR="0031262A">
        <w:rPr>
          <w:rFonts w:ascii="Times New Roman" w:hAnsi="Times New Roman" w:cs="Times New Roman"/>
          <w:sz w:val="24"/>
          <w:szCs w:val="24"/>
          <w:lang w:val="es-ES"/>
        </w:rPr>
        <w:t xml:space="preserve">la </w:t>
      </w:r>
      <w:r w:rsidRPr="00FC73FE">
        <w:rPr>
          <w:rFonts w:ascii="Times New Roman" w:hAnsi="Times New Roman" w:cs="Times New Roman"/>
          <w:sz w:val="24"/>
          <w:szCs w:val="24"/>
          <w:lang w:val="es-ES"/>
        </w:rPr>
        <w:t>articulación socioeconómica d</w:t>
      </w:r>
      <w:r w:rsidR="00701E2C">
        <w:rPr>
          <w:rFonts w:ascii="Times New Roman" w:hAnsi="Times New Roman" w:cs="Times New Roman"/>
          <w:sz w:val="24"/>
          <w:szCs w:val="24"/>
          <w:lang w:val="es-ES"/>
        </w:rPr>
        <w:t>el país</w:t>
      </w:r>
      <w:r w:rsidRPr="00FC73FE">
        <w:rPr>
          <w:rFonts w:ascii="Times New Roman" w:hAnsi="Times New Roman" w:cs="Times New Roman"/>
          <w:sz w:val="24"/>
          <w:szCs w:val="24"/>
          <w:lang w:val="es-ES"/>
        </w:rPr>
        <w:t xml:space="preserve"> </w:t>
      </w:r>
      <w:r w:rsidR="0031262A">
        <w:rPr>
          <w:rFonts w:ascii="Times New Roman" w:hAnsi="Times New Roman" w:cs="Times New Roman"/>
          <w:sz w:val="24"/>
          <w:szCs w:val="24"/>
          <w:lang w:val="es-ES"/>
        </w:rPr>
        <w:t xml:space="preserve">a nivel interno </w:t>
      </w:r>
      <w:r w:rsidR="00AF79B0">
        <w:rPr>
          <w:rFonts w:ascii="Times New Roman" w:hAnsi="Times New Roman" w:cs="Times New Roman"/>
          <w:sz w:val="24"/>
          <w:szCs w:val="24"/>
          <w:lang w:val="es-ES"/>
        </w:rPr>
        <w:t>y</w:t>
      </w:r>
      <w:r w:rsidR="0031262A">
        <w:rPr>
          <w:rFonts w:ascii="Times New Roman" w:hAnsi="Times New Roman" w:cs="Times New Roman"/>
          <w:sz w:val="24"/>
          <w:szCs w:val="24"/>
          <w:lang w:val="es-ES"/>
        </w:rPr>
        <w:t xml:space="preserve"> a</w:t>
      </w:r>
      <w:r w:rsidRPr="00FC73FE">
        <w:rPr>
          <w:rFonts w:ascii="Times New Roman" w:hAnsi="Times New Roman" w:cs="Times New Roman"/>
          <w:sz w:val="24"/>
          <w:szCs w:val="24"/>
          <w:lang w:val="es-ES"/>
        </w:rPr>
        <w:t xml:space="preserve"> nivel regional. Dada la posición estratégica que ocupa Bolivia en el centro del continente sur, se constituye en paso obligado de las principales rutas de integración física con el resto de regiones suramericanas.</w:t>
      </w:r>
    </w:p>
    <w:p w14:paraId="6B6B44E9" w14:textId="77777777" w:rsidR="001D27B9" w:rsidRDefault="001D27B9" w:rsidP="001D27B9">
      <w:pPr>
        <w:pStyle w:val="ListParagraph"/>
        <w:tabs>
          <w:tab w:val="left" w:pos="270"/>
          <w:tab w:val="left" w:pos="2085"/>
        </w:tabs>
        <w:spacing w:after="0" w:line="0" w:lineRule="atLeast"/>
        <w:ind w:left="270"/>
        <w:jc w:val="both"/>
        <w:rPr>
          <w:rFonts w:ascii="Times New Roman" w:hAnsi="Times New Roman" w:cs="Times New Roman"/>
          <w:sz w:val="24"/>
          <w:szCs w:val="24"/>
          <w:lang w:val="es-ES"/>
        </w:rPr>
      </w:pPr>
    </w:p>
    <w:p w14:paraId="0D3F80F4" w14:textId="77777777" w:rsidR="00471BBB" w:rsidRDefault="001D27B9" w:rsidP="00471BBB">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6E4372">
        <w:rPr>
          <w:rFonts w:ascii="Times New Roman" w:hAnsi="Times New Roman" w:cs="Times New Roman"/>
          <w:sz w:val="24"/>
          <w:szCs w:val="24"/>
          <w:lang w:val="es-ES"/>
        </w:rPr>
        <w:t xml:space="preserve">En el Índice de Competitividad Global del Foro Económico Mundial, </w:t>
      </w:r>
      <w:r w:rsidR="00AD0331" w:rsidRPr="006E4372">
        <w:rPr>
          <w:rFonts w:ascii="Times New Roman" w:hAnsi="Times New Roman" w:cs="Times New Roman"/>
          <w:sz w:val="24"/>
          <w:szCs w:val="24"/>
          <w:lang w:val="es-ES"/>
        </w:rPr>
        <w:t>para el año 2016, Bolivia</w:t>
      </w:r>
      <w:r w:rsidRPr="006E4372">
        <w:rPr>
          <w:rFonts w:ascii="Times New Roman" w:hAnsi="Times New Roman" w:cs="Times New Roman"/>
          <w:sz w:val="24"/>
          <w:szCs w:val="24"/>
          <w:lang w:val="es-ES"/>
        </w:rPr>
        <w:t xml:space="preserve"> ocup</w:t>
      </w:r>
      <w:r w:rsidR="00AD0331" w:rsidRPr="006E4372">
        <w:rPr>
          <w:rFonts w:ascii="Times New Roman" w:hAnsi="Times New Roman" w:cs="Times New Roman"/>
          <w:sz w:val="24"/>
          <w:szCs w:val="24"/>
          <w:lang w:val="es-ES"/>
        </w:rPr>
        <w:t>ó</w:t>
      </w:r>
      <w:r w:rsidRPr="006E4372">
        <w:rPr>
          <w:rFonts w:ascii="Times New Roman" w:hAnsi="Times New Roman" w:cs="Times New Roman"/>
          <w:sz w:val="24"/>
          <w:szCs w:val="24"/>
          <w:lang w:val="es-ES"/>
        </w:rPr>
        <w:t xml:space="preserve"> el puesto</w:t>
      </w:r>
      <w:r w:rsidR="00AD0331" w:rsidRPr="006E4372">
        <w:rPr>
          <w:rFonts w:ascii="Times New Roman" w:hAnsi="Times New Roman" w:cs="Times New Roman"/>
          <w:sz w:val="24"/>
          <w:szCs w:val="24"/>
          <w:lang w:val="es-ES"/>
        </w:rPr>
        <w:t xml:space="preserve"> número </w:t>
      </w:r>
      <w:r w:rsidRPr="006E4372">
        <w:rPr>
          <w:rFonts w:ascii="Times New Roman" w:hAnsi="Times New Roman" w:cs="Times New Roman"/>
          <w:sz w:val="24"/>
          <w:szCs w:val="24"/>
          <w:lang w:val="es-ES"/>
        </w:rPr>
        <w:t>1</w:t>
      </w:r>
      <w:r w:rsidR="00AD0331" w:rsidRPr="006E4372">
        <w:rPr>
          <w:rFonts w:ascii="Times New Roman" w:hAnsi="Times New Roman" w:cs="Times New Roman"/>
          <w:sz w:val="24"/>
          <w:szCs w:val="24"/>
          <w:lang w:val="es-ES"/>
        </w:rPr>
        <w:t>17</w:t>
      </w:r>
      <w:r w:rsidR="00441538">
        <w:rPr>
          <w:rStyle w:val="FootnoteReference"/>
          <w:rFonts w:cs="Times New Roman"/>
          <w:szCs w:val="24"/>
          <w:lang w:val="es-ES"/>
        </w:rPr>
        <w:footnoteReference w:id="3"/>
      </w:r>
      <w:r w:rsidR="00AD0331" w:rsidRPr="006E4372">
        <w:rPr>
          <w:rFonts w:ascii="Times New Roman" w:hAnsi="Times New Roman" w:cs="Times New Roman"/>
          <w:sz w:val="24"/>
          <w:szCs w:val="24"/>
          <w:lang w:val="es-ES"/>
        </w:rPr>
        <w:t xml:space="preserve"> de un total de 140 economías</w:t>
      </w:r>
      <w:r w:rsidR="00441538" w:rsidRPr="006E4372">
        <w:rPr>
          <w:rFonts w:ascii="Times New Roman" w:hAnsi="Times New Roman" w:cs="Times New Roman"/>
          <w:sz w:val="24"/>
          <w:szCs w:val="24"/>
          <w:lang w:val="es-ES"/>
        </w:rPr>
        <w:t>.</w:t>
      </w:r>
      <w:r w:rsidR="00AD0331" w:rsidRPr="006E4372">
        <w:rPr>
          <w:rFonts w:ascii="Times New Roman" w:hAnsi="Times New Roman" w:cs="Times New Roman"/>
          <w:sz w:val="24"/>
          <w:szCs w:val="24"/>
          <w:lang w:val="es-ES"/>
        </w:rPr>
        <w:t xml:space="preserve"> </w:t>
      </w:r>
      <w:r w:rsidR="004D51EE" w:rsidRPr="006E4372">
        <w:rPr>
          <w:rFonts w:ascii="Times New Roman" w:hAnsi="Times New Roman" w:cs="Times New Roman"/>
          <w:sz w:val="24"/>
          <w:szCs w:val="24"/>
          <w:lang w:val="es-ES"/>
        </w:rPr>
        <w:t>Si bien el índice de Competitividad Global mide diversos aspectos de re</w:t>
      </w:r>
      <w:r w:rsidR="006E4372" w:rsidRPr="006E4372">
        <w:rPr>
          <w:rFonts w:ascii="Times New Roman" w:hAnsi="Times New Roman" w:cs="Times New Roman"/>
          <w:sz w:val="24"/>
          <w:szCs w:val="24"/>
          <w:lang w:val="es-ES"/>
        </w:rPr>
        <w:t>levancia económica</w:t>
      </w:r>
      <w:r w:rsidR="00AE05B1">
        <w:rPr>
          <w:rFonts w:ascii="Times New Roman" w:hAnsi="Times New Roman" w:cs="Times New Roman"/>
          <w:sz w:val="24"/>
          <w:szCs w:val="24"/>
          <w:lang w:val="es-ES"/>
        </w:rPr>
        <w:t>, política</w:t>
      </w:r>
      <w:r w:rsidR="006E4372" w:rsidRPr="006E4372">
        <w:rPr>
          <w:rFonts w:ascii="Times New Roman" w:hAnsi="Times New Roman" w:cs="Times New Roman"/>
          <w:sz w:val="24"/>
          <w:szCs w:val="24"/>
          <w:lang w:val="es-ES"/>
        </w:rPr>
        <w:t xml:space="preserve"> y social, </w:t>
      </w:r>
      <w:r w:rsidR="00AE05B1">
        <w:rPr>
          <w:rFonts w:ascii="Times New Roman" w:hAnsi="Times New Roman" w:cs="Times New Roman"/>
          <w:sz w:val="24"/>
          <w:szCs w:val="24"/>
          <w:lang w:val="es-ES"/>
        </w:rPr>
        <w:t xml:space="preserve">en </w:t>
      </w:r>
      <w:r w:rsidR="004D51EE" w:rsidRPr="006E4372">
        <w:rPr>
          <w:rFonts w:ascii="Times New Roman" w:hAnsi="Times New Roman" w:cs="Times New Roman"/>
          <w:sz w:val="24"/>
          <w:szCs w:val="24"/>
          <w:lang w:val="es-ES"/>
        </w:rPr>
        <w:t xml:space="preserve">el pilar que </w:t>
      </w:r>
      <w:r w:rsidR="00AE05B1">
        <w:rPr>
          <w:rFonts w:ascii="Times New Roman" w:hAnsi="Times New Roman" w:cs="Times New Roman"/>
          <w:sz w:val="24"/>
          <w:szCs w:val="24"/>
          <w:lang w:val="es-ES"/>
        </w:rPr>
        <w:t>se enfoca</w:t>
      </w:r>
      <w:r w:rsidR="004D51EE" w:rsidRPr="006E4372">
        <w:rPr>
          <w:rFonts w:ascii="Times New Roman" w:hAnsi="Times New Roman" w:cs="Times New Roman"/>
          <w:sz w:val="24"/>
          <w:szCs w:val="24"/>
          <w:lang w:val="es-ES"/>
        </w:rPr>
        <w:t xml:space="preserve"> exclusivamente </w:t>
      </w:r>
      <w:r w:rsidR="00AE05B1">
        <w:rPr>
          <w:rFonts w:ascii="Times New Roman" w:hAnsi="Times New Roman" w:cs="Times New Roman"/>
          <w:sz w:val="24"/>
          <w:szCs w:val="24"/>
          <w:lang w:val="es-ES"/>
        </w:rPr>
        <w:t xml:space="preserve">en </w:t>
      </w:r>
      <w:r w:rsidR="006E4372" w:rsidRPr="006E4372">
        <w:rPr>
          <w:rFonts w:ascii="Times New Roman" w:hAnsi="Times New Roman" w:cs="Times New Roman"/>
          <w:sz w:val="24"/>
          <w:szCs w:val="24"/>
          <w:lang w:val="es-ES"/>
        </w:rPr>
        <w:t>el estado y la calidad de la infraestructura económica</w:t>
      </w:r>
      <w:r w:rsidR="00441538" w:rsidRPr="006E4372">
        <w:rPr>
          <w:rFonts w:ascii="Times New Roman" w:hAnsi="Times New Roman" w:cs="Times New Roman"/>
          <w:sz w:val="24"/>
          <w:szCs w:val="24"/>
          <w:lang w:val="es-ES"/>
        </w:rPr>
        <w:t>;</w:t>
      </w:r>
      <w:r w:rsidR="004D51EE" w:rsidRPr="006E4372">
        <w:rPr>
          <w:rFonts w:ascii="Times New Roman" w:hAnsi="Times New Roman" w:cs="Times New Roman"/>
          <w:sz w:val="24"/>
          <w:szCs w:val="24"/>
          <w:lang w:val="es-ES"/>
        </w:rPr>
        <w:t xml:space="preserve"> Bolivia se encuentra en la posición número 107</w:t>
      </w:r>
      <w:r w:rsidR="00441538" w:rsidRPr="006E4372">
        <w:rPr>
          <w:rFonts w:ascii="Times New Roman" w:hAnsi="Times New Roman" w:cs="Times New Roman"/>
          <w:sz w:val="24"/>
          <w:szCs w:val="24"/>
          <w:lang w:val="es-ES"/>
        </w:rPr>
        <w:t xml:space="preserve">, </w:t>
      </w:r>
      <w:r w:rsidR="006E4372">
        <w:rPr>
          <w:rFonts w:ascii="Times New Roman" w:hAnsi="Times New Roman" w:cs="Times New Roman"/>
          <w:sz w:val="24"/>
          <w:szCs w:val="24"/>
          <w:lang w:val="es-ES"/>
        </w:rPr>
        <w:t>señalando</w:t>
      </w:r>
      <w:r w:rsidRPr="006E4372">
        <w:rPr>
          <w:rFonts w:ascii="Times New Roman" w:hAnsi="Times New Roman" w:cs="Times New Roman"/>
          <w:sz w:val="24"/>
          <w:szCs w:val="24"/>
          <w:lang w:val="es-ES"/>
        </w:rPr>
        <w:t xml:space="preserve"> las deficiencias en infraestructura vial como uno de los principales factores que afe</w:t>
      </w:r>
      <w:r w:rsidR="004A4DB5">
        <w:rPr>
          <w:rFonts w:ascii="Times New Roman" w:hAnsi="Times New Roman" w:cs="Times New Roman"/>
          <w:sz w:val="24"/>
          <w:szCs w:val="24"/>
          <w:lang w:val="es-ES"/>
        </w:rPr>
        <w:t>ctan la competitividad del país.</w:t>
      </w:r>
    </w:p>
    <w:p w14:paraId="16366FE2" w14:textId="77777777" w:rsidR="00471BBB" w:rsidRDefault="000C1139" w:rsidP="00471BBB">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471BBB">
        <w:rPr>
          <w:rFonts w:ascii="Times New Roman" w:hAnsi="Times New Roman" w:cs="Times New Roman"/>
          <w:sz w:val="24"/>
          <w:szCs w:val="24"/>
          <w:lang w:val="es-ES"/>
        </w:rPr>
        <w:lastRenderedPageBreak/>
        <w:t>L</w:t>
      </w:r>
      <w:r w:rsidR="00F7210B" w:rsidRPr="00471BBB">
        <w:rPr>
          <w:rFonts w:ascii="Times New Roman" w:hAnsi="Times New Roman" w:cs="Times New Roman"/>
          <w:sz w:val="24"/>
          <w:szCs w:val="24"/>
          <w:lang w:val="es-ES"/>
        </w:rPr>
        <w:t>a</w:t>
      </w:r>
      <w:r w:rsidRPr="00471BBB">
        <w:rPr>
          <w:rFonts w:ascii="Times New Roman" w:hAnsi="Times New Roman" w:cs="Times New Roman"/>
          <w:sz w:val="24"/>
          <w:szCs w:val="24"/>
          <w:lang w:val="es-ES"/>
        </w:rPr>
        <w:t xml:space="preserve"> inversión en</w:t>
      </w:r>
      <w:r w:rsidR="00F7210B" w:rsidRPr="00471BBB">
        <w:rPr>
          <w:rFonts w:ascii="Times New Roman" w:hAnsi="Times New Roman" w:cs="Times New Roman"/>
          <w:sz w:val="24"/>
          <w:szCs w:val="24"/>
          <w:lang w:val="es-ES"/>
        </w:rPr>
        <w:t xml:space="preserve"> infraestructura productiva favorece al crecimiento económico y al desarrollo</w:t>
      </w:r>
      <w:r w:rsidR="00AF79B0">
        <w:rPr>
          <w:rFonts w:ascii="Times New Roman" w:hAnsi="Times New Roman" w:cs="Times New Roman"/>
          <w:sz w:val="24"/>
          <w:szCs w:val="24"/>
          <w:lang w:val="es-ES"/>
        </w:rPr>
        <w:t xml:space="preserve">, así mismo, </w:t>
      </w:r>
      <w:r w:rsidR="00AA5D8F">
        <w:rPr>
          <w:rFonts w:ascii="Times New Roman" w:hAnsi="Times New Roman" w:cs="Times New Roman"/>
          <w:sz w:val="24"/>
          <w:szCs w:val="24"/>
          <w:lang w:val="es-ES"/>
        </w:rPr>
        <w:t>l</w:t>
      </w:r>
      <w:r w:rsidR="0053386C" w:rsidRPr="00471BBB">
        <w:rPr>
          <w:rFonts w:ascii="Times New Roman" w:hAnsi="Times New Roman" w:cs="Times New Roman"/>
          <w:sz w:val="24"/>
          <w:szCs w:val="24"/>
          <w:lang w:val="es-ES"/>
        </w:rPr>
        <w:t xml:space="preserve">a </w:t>
      </w:r>
      <w:r w:rsidR="00B52385" w:rsidRPr="00471BBB">
        <w:rPr>
          <w:rFonts w:ascii="Times New Roman" w:hAnsi="Times New Roman" w:cs="Times New Roman"/>
          <w:sz w:val="24"/>
          <w:szCs w:val="24"/>
          <w:lang w:val="es-ES"/>
        </w:rPr>
        <w:t>inversi</w:t>
      </w:r>
      <w:r w:rsidR="00B52385">
        <w:rPr>
          <w:rFonts w:ascii="Times New Roman" w:hAnsi="Times New Roman" w:cs="Times New Roman"/>
          <w:sz w:val="24"/>
          <w:szCs w:val="24"/>
          <w:lang w:val="es-ES"/>
        </w:rPr>
        <w:t>ón</w:t>
      </w:r>
      <w:r w:rsidR="0053386C" w:rsidRPr="00471BBB">
        <w:rPr>
          <w:rFonts w:ascii="Times New Roman" w:hAnsi="Times New Roman" w:cs="Times New Roman"/>
          <w:sz w:val="24"/>
          <w:szCs w:val="24"/>
          <w:lang w:val="es-ES"/>
        </w:rPr>
        <w:t xml:space="preserve"> en infraestructura de transporte, </w:t>
      </w:r>
      <w:r w:rsidR="00B52385">
        <w:rPr>
          <w:rFonts w:ascii="Times New Roman" w:hAnsi="Times New Roman" w:cs="Times New Roman"/>
          <w:sz w:val="24"/>
          <w:szCs w:val="24"/>
          <w:lang w:val="es-ES"/>
        </w:rPr>
        <w:t>es</w:t>
      </w:r>
      <w:r w:rsidR="0053386C" w:rsidRPr="00471BBB">
        <w:rPr>
          <w:rFonts w:ascii="Times New Roman" w:hAnsi="Times New Roman" w:cs="Times New Roman"/>
          <w:sz w:val="24"/>
          <w:szCs w:val="24"/>
          <w:lang w:val="es-ES"/>
        </w:rPr>
        <w:t xml:space="preserve"> clav</w:t>
      </w:r>
      <w:r w:rsidR="004A4DB5" w:rsidRPr="00471BBB">
        <w:rPr>
          <w:rFonts w:ascii="Times New Roman" w:hAnsi="Times New Roman" w:cs="Times New Roman"/>
          <w:sz w:val="24"/>
          <w:szCs w:val="24"/>
          <w:lang w:val="es-ES"/>
        </w:rPr>
        <w:t>e para aumentar la conectividad proporcionando efectos positivos en la movilidad de los</w:t>
      </w:r>
      <w:r w:rsidR="00721372">
        <w:rPr>
          <w:rFonts w:ascii="Times New Roman" w:hAnsi="Times New Roman" w:cs="Times New Roman"/>
          <w:sz w:val="24"/>
          <w:szCs w:val="24"/>
          <w:lang w:val="es-ES"/>
        </w:rPr>
        <w:t xml:space="preserve"> bienes,</w:t>
      </w:r>
      <w:r w:rsidR="0015792D">
        <w:rPr>
          <w:rFonts w:ascii="Times New Roman" w:hAnsi="Times New Roman" w:cs="Times New Roman"/>
          <w:sz w:val="24"/>
          <w:szCs w:val="24"/>
          <w:lang w:val="es-ES"/>
        </w:rPr>
        <w:t xml:space="preserve"> servicios y </w:t>
      </w:r>
      <w:r w:rsidR="004A4DB5" w:rsidRPr="00471BBB">
        <w:rPr>
          <w:rFonts w:ascii="Times New Roman" w:hAnsi="Times New Roman" w:cs="Times New Roman"/>
          <w:sz w:val="24"/>
          <w:szCs w:val="24"/>
          <w:lang w:val="es-ES"/>
        </w:rPr>
        <w:t>factores de producción</w:t>
      </w:r>
      <w:r w:rsidR="00471BBB" w:rsidRPr="00471BBB">
        <w:rPr>
          <w:rFonts w:ascii="Times New Roman" w:hAnsi="Times New Roman" w:cs="Times New Roman"/>
          <w:sz w:val="24"/>
          <w:szCs w:val="24"/>
          <w:lang w:val="es-ES"/>
        </w:rPr>
        <w:t xml:space="preserve">. </w:t>
      </w:r>
      <w:r w:rsidR="00E3644F">
        <w:rPr>
          <w:rFonts w:ascii="Times New Roman" w:hAnsi="Times New Roman" w:cs="Times New Roman"/>
          <w:sz w:val="24"/>
          <w:szCs w:val="24"/>
          <w:lang w:val="es-ES"/>
        </w:rPr>
        <w:t>En tal sentido, l</w:t>
      </w:r>
      <w:r w:rsidR="00471BBB" w:rsidRPr="00471BBB">
        <w:rPr>
          <w:rFonts w:ascii="Times New Roman" w:hAnsi="Times New Roman" w:cs="Times New Roman"/>
          <w:sz w:val="24"/>
          <w:szCs w:val="24"/>
          <w:lang w:val="es-ES"/>
        </w:rPr>
        <w:t>as intervenciones dirigidas a aumentar la cobertura, calidad, capacidad y conectividad de las redes y sistemas de transporte</w:t>
      </w:r>
      <w:r w:rsidR="00471BBB">
        <w:rPr>
          <w:rFonts w:ascii="Times New Roman" w:hAnsi="Times New Roman" w:cs="Times New Roman"/>
          <w:sz w:val="24"/>
          <w:szCs w:val="24"/>
          <w:lang w:val="es-ES"/>
        </w:rPr>
        <w:t>; propician</w:t>
      </w:r>
      <w:r w:rsidR="004A4DB5" w:rsidRPr="00471BBB">
        <w:rPr>
          <w:rFonts w:ascii="Times New Roman" w:hAnsi="Times New Roman" w:cs="Times New Roman"/>
          <w:sz w:val="24"/>
          <w:szCs w:val="24"/>
          <w:lang w:val="es-ES"/>
        </w:rPr>
        <w:t xml:space="preserve"> las condiciones para un mayor movimiento de personas, bienes, ideas y servicios, permitiendo un mejor y más confiable acceso a mercados y oportunidades que aumenten la calidad de vida de las personas. </w:t>
      </w:r>
    </w:p>
    <w:p w14:paraId="416EDCEF" w14:textId="77777777" w:rsidR="00471BBB" w:rsidRPr="00471BBB" w:rsidRDefault="00471BBB" w:rsidP="00471BBB">
      <w:pPr>
        <w:pStyle w:val="ListParagraph"/>
        <w:rPr>
          <w:rFonts w:ascii="Times New Roman" w:hAnsi="Times New Roman" w:cs="Times New Roman"/>
          <w:sz w:val="24"/>
          <w:szCs w:val="24"/>
          <w:lang w:val="es-ES"/>
        </w:rPr>
      </w:pPr>
    </w:p>
    <w:p w14:paraId="551EA0A1" w14:textId="72928C74" w:rsidR="00846CCC" w:rsidRDefault="00471BBB" w:rsidP="00846CCC">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471BBB">
        <w:rPr>
          <w:rFonts w:ascii="Times New Roman" w:hAnsi="Times New Roman" w:cs="Times New Roman"/>
          <w:sz w:val="24"/>
          <w:szCs w:val="24"/>
          <w:lang w:val="es-ES"/>
        </w:rPr>
        <w:t>A pesar</w:t>
      </w:r>
      <w:r>
        <w:rPr>
          <w:rFonts w:ascii="Times New Roman" w:hAnsi="Times New Roman" w:cs="Times New Roman"/>
          <w:sz w:val="24"/>
          <w:szCs w:val="24"/>
          <w:lang w:val="es-ES"/>
        </w:rPr>
        <w:t xml:space="preserve"> de su</w:t>
      </w:r>
      <w:r w:rsidRPr="00471BBB">
        <w:rPr>
          <w:rFonts w:ascii="Times New Roman" w:hAnsi="Times New Roman" w:cs="Times New Roman"/>
          <w:sz w:val="24"/>
          <w:szCs w:val="24"/>
          <w:lang w:val="es-ES"/>
        </w:rPr>
        <w:t xml:space="preserve"> relevancia</w:t>
      </w:r>
      <w:r>
        <w:rPr>
          <w:rFonts w:ascii="Times New Roman" w:hAnsi="Times New Roman" w:cs="Times New Roman"/>
          <w:sz w:val="24"/>
          <w:szCs w:val="24"/>
          <w:lang w:val="es-ES"/>
        </w:rPr>
        <w:t xml:space="preserve"> económica y</w:t>
      </w:r>
      <w:r w:rsidRPr="00471BBB">
        <w:rPr>
          <w:rFonts w:ascii="Times New Roman" w:hAnsi="Times New Roman" w:cs="Times New Roman"/>
          <w:sz w:val="24"/>
          <w:szCs w:val="24"/>
          <w:lang w:val="es-ES"/>
        </w:rPr>
        <w:t xml:space="preserve"> estratégica,</w:t>
      </w:r>
      <w:r w:rsidR="000C1139" w:rsidRPr="00471BBB">
        <w:rPr>
          <w:rFonts w:ascii="Times New Roman" w:hAnsi="Times New Roman" w:cs="Times New Roman"/>
          <w:sz w:val="24"/>
          <w:szCs w:val="24"/>
          <w:lang w:val="es-ES"/>
        </w:rPr>
        <w:t xml:space="preserve"> l</w:t>
      </w:r>
      <w:r w:rsidR="00FE32E0" w:rsidRPr="00471BBB">
        <w:rPr>
          <w:rFonts w:ascii="Times New Roman" w:hAnsi="Times New Roman" w:cs="Times New Roman"/>
          <w:sz w:val="24"/>
          <w:szCs w:val="24"/>
          <w:lang w:val="es-ES"/>
        </w:rPr>
        <w:t>as inversiones y el financiamiento al sector son</w:t>
      </w:r>
      <w:r w:rsidR="00F7210B" w:rsidRPr="00471BBB">
        <w:rPr>
          <w:rFonts w:ascii="Times New Roman" w:hAnsi="Times New Roman" w:cs="Times New Roman"/>
          <w:sz w:val="24"/>
          <w:szCs w:val="24"/>
          <w:lang w:val="es-ES"/>
        </w:rPr>
        <w:t xml:space="preserve"> bajo</w:t>
      </w:r>
      <w:r w:rsidR="00FE32E0" w:rsidRPr="00471BBB">
        <w:rPr>
          <w:rFonts w:ascii="Times New Roman" w:hAnsi="Times New Roman" w:cs="Times New Roman"/>
          <w:sz w:val="24"/>
          <w:szCs w:val="24"/>
          <w:lang w:val="es-ES"/>
        </w:rPr>
        <w:t>s</w:t>
      </w:r>
      <w:r w:rsidR="00F7210B" w:rsidRPr="00471BBB">
        <w:rPr>
          <w:rFonts w:ascii="Times New Roman" w:hAnsi="Times New Roman" w:cs="Times New Roman"/>
          <w:sz w:val="24"/>
          <w:szCs w:val="24"/>
          <w:lang w:val="es-ES"/>
        </w:rPr>
        <w:t xml:space="preserve"> en la mayoría de países de la región. </w:t>
      </w:r>
      <w:r w:rsidR="00A57D26" w:rsidRPr="00471BBB">
        <w:rPr>
          <w:rFonts w:ascii="Times New Roman" w:hAnsi="Times New Roman" w:cs="Times New Roman"/>
          <w:sz w:val="24"/>
          <w:szCs w:val="24"/>
          <w:lang w:val="es-ES"/>
        </w:rPr>
        <w:t>Una serie de estudios concluye</w:t>
      </w:r>
      <w:r w:rsidR="009D72DD" w:rsidRPr="00471BBB">
        <w:rPr>
          <w:rFonts w:ascii="Times New Roman" w:hAnsi="Times New Roman" w:cs="Times New Roman"/>
          <w:sz w:val="24"/>
          <w:szCs w:val="24"/>
          <w:lang w:val="es-ES"/>
        </w:rPr>
        <w:t>n</w:t>
      </w:r>
      <w:r w:rsidR="00A57D26" w:rsidRPr="00471BBB">
        <w:rPr>
          <w:rFonts w:ascii="Times New Roman" w:hAnsi="Times New Roman" w:cs="Times New Roman"/>
          <w:sz w:val="24"/>
          <w:szCs w:val="24"/>
          <w:lang w:val="es-ES"/>
        </w:rPr>
        <w:t xml:space="preserve"> que la región </w:t>
      </w:r>
      <w:r w:rsidR="009E5FBD" w:rsidRPr="00471BBB">
        <w:rPr>
          <w:rFonts w:ascii="Times New Roman" w:hAnsi="Times New Roman" w:cs="Times New Roman"/>
          <w:sz w:val="24"/>
          <w:szCs w:val="24"/>
          <w:lang w:val="es-ES"/>
        </w:rPr>
        <w:t xml:space="preserve">de América Latina y el Caribe (ALC) </w:t>
      </w:r>
      <w:r w:rsidR="00A57D26" w:rsidRPr="00471BBB">
        <w:rPr>
          <w:rFonts w:ascii="Times New Roman" w:hAnsi="Times New Roman" w:cs="Times New Roman"/>
          <w:sz w:val="24"/>
          <w:szCs w:val="24"/>
          <w:lang w:val="es-ES"/>
        </w:rPr>
        <w:t>necesita invertir al menos el 5</w:t>
      </w:r>
      <w:r w:rsidR="00A63274">
        <w:rPr>
          <w:rFonts w:ascii="Times New Roman" w:hAnsi="Times New Roman" w:cs="Times New Roman"/>
          <w:sz w:val="24"/>
          <w:szCs w:val="24"/>
          <w:lang w:val="es-ES"/>
        </w:rPr>
        <w:t>%</w:t>
      </w:r>
      <w:r w:rsidR="00A57D26" w:rsidRPr="00471BBB">
        <w:rPr>
          <w:rFonts w:ascii="Times New Roman" w:hAnsi="Times New Roman" w:cs="Times New Roman"/>
          <w:sz w:val="24"/>
          <w:szCs w:val="24"/>
          <w:lang w:val="es-ES"/>
        </w:rPr>
        <w:t xml:space="preserve"> del PIB en infraestructura durante un período de tiempo prolongado</w:t>
      </w:r>
      <w:r w:rsidR="00C57C89" w:rsidRPr="00471BBB">
        <w:rPr>
          <w:rFonts w:ascii="Times New Roman" w:hAnsi="Times New Roman" w:cs="Times New Roman"/>
          <w:sz w:val="24"/>
          <w:szCs w:val="24"/>
          <w:lang w:val="es-ES"/>
        </w:rPr>
        <w:t xml:space="preserve"> para aumentar las tasas de crecimiento económico</w:t>
      </w:r>
      <w:r w:rsidR="00FC73FE" w:rsidRPr="00471BBB">
        <w:rPr>
          <w:rFonts w:ascii="Times New Roman" w:hAnsi="Times New Roman" w:cs="Times New Roman"/>
          <w:sz w:val="24"/>
          <w:szCs w:val="24"/>
          <w:lang w:val="es-ES"/>
        </w:rPr>
        <w:t xml:space="preserve"> de manera sostenible</w:t>
      </w:r>
      <w:r w:rsidR="00C57C89" w:rsidRPr="00471BBB">
        <w:rPr>
          <w:rFonts w:ascii="Times New Roman" w:hAnsi="Times New Roman" w:cs="Times New Roman"/>
          <w:sz w:val="24"/>
          <w:szCs w:val="24"/>
          <w:lang w:val="es-ES"/>
        </w:rPr>
        <w:t xml:space="preserve">. </w:t>
      </w:r>
      <w:r w:rsidR="005F218F">
        <w:rPr>
          <w:rFonts w:ascii="Times New Roman" w:hAnsi="Times New Roman" w:cs="Times New Roman"/>
          <w:sz w:val="24"/>
          <w:szCs w:val="24"/>
          <w:lang w:val="es-ES"/>
        </w:rPr>
        <w:t>Para</w:t>
      </w:r>
      <w:r w:rsidR="00FC73FE" w:rsidRPr="00471BBB">
        <w:rPr>
          <w:rFonts w:ascii="Times New Roman" w:hAnsi="Times New Roman" w:cs="Times New Roman"/>
          <w:sz w:val="24"/>
          <w:szCs w:val="24"/>
          <w:lang w:val="es-ES"/>
        </w:rPr>
        <w:t xml:space="preserve"> el</w:t>
      </w:r>
      <w:r w:rsidR="00062566" w:rsidRPr="00471BBB">
        <w:rPr>
          <w:rFonts w:ascii="Times New Roman" w:hAnsi="Times New Roman" w:cs="Times New Roman"/>
          <w:sz w:val="24"/>
          <w:szCs w:val="24"/>
          <w:lang w:val="es-ES"/>
        </w:rPr>
        <w:t xml:space="preserve"> caso de Bolivia, la inversión </w:t>
      </w:r>
      <w:r w:rsidR="009D72DD" w:rsidRPr="00471BBB">
        <w:rPr>
          <w:rFonts w:ascii="Times New Roman" w:hAnsi="Times New Roman" w:cs="Times New Roman"/>
          <w:sz w:val="24"/>
          <w:szCs w:val="24"/>
          <w:lang w:val="es-ES"/>
        </w:rPr>
        <w:t xml:space="preserve">en infraestructura </w:t>
      </w:r>
      <w:r w:rsidR="00062566" w:rsidRPr="00471BBB">
        <w:rPr>
          <w:rFonts w:ascii="Times New Roman" w:hAnsi="Times New Roman" w:cs="Times New Roman"/>
          <w:sz w:val="24"/>
          <w:szCs w:val="24"/>
          <w:lang w:val="es-ES"/>
        </w:rPr>
        <w:t>promedio</w:t>
      </w:r>
      <w:r w:rsidR="00A3053B" w:rsidRPr="00471BBB">
        <w:rPr>
          <w:rFonts w:ascii="Times New Roman" w:hAnsi="Times New Roman" w:cs="Times New Roman"/>
          <w:sz w:val="24"/>
          <w:szCs w:val="24"/>
          <w:lang w:val="es-ES"/>
        </w:rPr>
        <w:t xml:space="preserve"> </w:t>
      </w:r>
      <w:r w:rsidR="00062566" w:rsidRPr="00471BBB">
        <w:rPr>
          <w:rFonts w:ascii="Times New Roman" w:hAnsi="Times New Roman" w:cs="Times New Roman"/>
          <w:sz w:val="24"/>
          <w:szCs w:val="24"/>
          <w:lang w:val="es-ES"/>
        </w:rPr>
        <w:t>como porcentaje del PIB</w:t>
      </w:r>
      <w:r w:rsidR="00886ECB">
        <w:rPr>
          <w:rFonts w:ascii="Times New Roman" w:hAnsi="Times New Roman" w:cs="Times New Roman"/>
          <w:sz w:val="24"/>
          <w:szCs w:val="24"/>
          <w:lang w:val="es-ES"/>
        </w:rPr>
        <w:t xml:space="preserve"> para los años 2008-2015</w:t>
      </w:r>
      <w:r w:rsidR="00062566" w:rsidRPr="00471BBB">
        <w:rPr>
          <w:rFonts w:ascii="Times New Roman" w:hAnsi="Times New Roman" w:cs="Times New Roman"/>
          <w:sz w:val="24"/>
          <w:szCs w:val="24"/>
          <w:lang w:val="es-ES"/>
        </w:rPr>
        <w:t xml:space="preserve"> </w:t>
      </w:r>
      <w:r w:rsidR="009D72DD" w:rsidRPr="00471BBB">
        <w:rPr>
          <w:rFonts w:ascii="Times New Roman" w:hAnsi="Times New Roman" w:cs="Times New Roman"/>
          <w:sz w:val="24"/>
          <w:szCs w:val="24"/>
          <w:lang w:val="es-ES"/>
        </w:rPr>
        <w:t>fue de</w:t>
      </w:r>
      <w:r w:rsidR="00054F51">
        <w:rPr>
          <w:rFonts w:ascii="Times New Roman" w:hAnsi="Times New Roman" w:cs="Times New Roman"/>
          <w:sz w:val="24"/>
          <w:szCs w:val="24"/>
          <w:lang w:val="es-ES"/>
        </w:rPr>
        <w:t xml:space="preserve"> 4.</w:t>
      </w:r>
      <w:r w:rsidR="00A63274">
        <w:rPr>
          <w:rFonts w:ascii="Times New Roman" w:hAnsi="Times New Roman" w:cs="Times New Roman"/>
          <w:sz w:val="24"/>
          <w:szCs w:val="24"/>
          <w:lang w:val="es-ES"/>
        </w:rPr>
        <w:t>6%</w:t>
      </w:r>
      <w:r w:rsidR="00A3053B">
        <w:rPr>
          <w:rStyle w:val="FootnoteReference"/>
          <w:rFonts w:cs="Times New Roman"/>
          <w:szCs w:val="24"/>
          <w:lang w:val="es-ES"/>
        </w:rPr>
        <w:footnoteReference w:id="4"/>
      </w:r>
      <w:r w:rsidR="00456E73" w:rsidRPr="00471BBB">
        <w:rPr>
          <w:rFonts w:ascii="Times New Roman" w:hAnsi="Times New Roman" w:cs="Times New Roman"/>
          <w:sz w:val="24"/>
          <w:szCs w:val="24"/>
          <w:lang w:val="es-ES"/>
        </w:rPr>
        <w:t>.</w:t>
      </w:r>
      <w:r w:rsidR="009E5FBD" w:rsidRPr="00471BBB">
        <w:rPr>
          <w:rFonts w:ascii="Times New Roman" w:hAnsi="Times New Roman" w:cs="Times New Roman"/>
          <w:sz w:val="24"/>
          <w:szCs w:val="24"/>
          <w:lang w:val="es-ES"/>
        </w:rPr>
        <w:t xml:space="preserve"> </w:t>
      </w:r>
      <w:r w:rsidR="00456E73" w:rsidRPr="00471BBB">
        <w:rPr>
          <w:rFonts w:ascii="Times New Roman" w:hAnsi="Times New Roman" w:cs="Times New Roman"/>
          <w:sz w:val="24"/>
          <w:szCs w:val="24"/>
          <w:lang w:val="es-ES"/>
        </w:rPr>
        <w:t>L</w:t>
      </w:r>
      <w:r w:rsidR="009E5FBD" w:rsidRPr="00471BBB">
        <w:rPr>
          <w:rFonts w:ascii="Times New Roman" w:hAnsi="Times New Roman" w:cs="Times New Roman"/>
          <w:sz w:val="24"/>
          <w:szCs w:val="24"/>
          <w:lang w:val="es-ES"/>
        </w:rPr>
        <w:t>o anterior</w:t>
      </w:r>
      <w:r w:rsidR="00FC73FE" w:rsidRPr="00471BBB">
        <w:rPr>
          <w:rFonts w:ascii="Times New Roman" w:hAnsi="Times New Roman" w:cs="Times New Roman"/>
          <w:sz w:val="24"/>
          <w:szCs w:val="24"/>
          <w:lang w:val="es-ES"/>
        </w:rPr>
        <w:t xml:space="preserve"> </w:t>
      </w:r>
      <w:r w:rsidR="00A3053B" w:rsidRPr="00471BBB">
        <w:rPr>
          <w:rFonts w:ascii="Times New Roman" w:hAnsi="Times New Roman" w:cs="Times New Roman"/>
          <w:sz w:val="24"/>
          <w:szCs w:val="24"/>
          <w:lang w:val="es-ES"/>
        </w:rPr>
        <w:t>denota un nivel de inversión</w:t>
      </w:r>
      <w:r w:rsidR="009E5FBD" w:rsidRPr="00471BBB">
        <w:rPr>
          <w:rFonts w:ascii="Times New Roman" w:hAnsi="Times New Roman" w:cs="Times New Roman"/>
          <w:sz w:val="24"/>
          <w:szCs w:val="24"/>
          <w:lang w:val="es-ES"/>
        </w:rPr>
        <w:t xml:space="preserve"> en infraestructura</w:t>
      </w:r>
      <w:r w:rsidR="00A3053B" w:rsidRPr="00471BBB">
        <w:rPr>
          <w:rFonts w:ascii="Times New Roman" w:hAnsi="Times New Roman" w:cs="Times New Roman"/>
          <w:sz w:val="24"/>
          <w:szCs w:val="24"/>
          <w:lang w:val="es-ES"/>
        </w:rPr>
        <w:t xml:space="preserve"> que </w:t>
      </w:r>
      <w:r>
        <w:rPr>
          <w:rFonts w:ascii="Times New Roman" w:hAnsi="Times New Roman" w:cs="Times New Roman"/>
          <w:sz w:val="24"/>
          <w:szCs w:val="24"/>
          <w:lang w:val="es-ES"/>
        </w:rPr>
        <w:t>es inferior al</w:t>
      </w:r>
      <w:r w:rsidR="00A3053B" w:rsidRPr="00471BBB">
        <w:rPr>
          <w:rFonts w:ascii="Times New Roman" w:hAnsi="Times New Roman" w:cs="Times New Roman"/>
          <w:sz w:val="24"/>
          <w:szCs w:val="24"/>
          <w:lang w:val="es-ES"/>
        </w:rPr>
        <w:t xml:space="preserve"> mínimo requerido para la </w:t>
      </w:r>
      <w:r w:rsidR="00FC73FE" w:rsidRPr="00471BBB">
        <w:rPr>
          <w:rFonts w:ascii="Times New Roman" w:hAnsi="Times New Roman" w:cs="Times New Roman"/>
          <w:sz w:val="24"/>
          <w:szCs w:val="24"/>
          <w:lang w:val="es-ES"/>
        </w:rPr>
        <w:t xml:space="preserve">región, pero </w:t>
      </w:r>
      <w:r w:rsidR="00F7210B" w:rsidRPr="00471BBB">
        <w:rPr>
          <w:rFonts w:ascii="Times New Roman" w:hAnsi="Times New Roman" w:cs="Times New Roman"/>
          <w:sz w:val="24"/>
          <w:szCs w:val="24"/>
          <w:lang w:val="es-ES"/>
        </w:rPr>
        <w:t xml:space="preserve">que está </w:t>
      </w:r>
      <w:r w:rsidR="00FC73FE" w:rsidRPr="00471BBB">
        <w:rPr>
          <w:rFonts w:ascii="Times New Roman" w:hAnsi="Times New Roman" w:cs="Times New Roman"/>
          <w:sz w:val="24"/>
          <w:szCs w:val="24"/>
          <w:lang w:val="es-ES"/>
        </w:rPr>
        <w:t xml:space="preserve">por </w:t>
      </w:r>
      <w:r w:rsidR="00A04DFA" w:rsidRPr="00471BBB">
        <w:rPr>
          <w:rFonts w:ascii="Times New Roman" w:hAnsi="Times New Roman" w:cs="Times New Roman"/>
          <w:sz w:val="24"/>
          <w:szCs w:val="24"/>
          <w:lang w:val="es-ES"/>
        </w:rPr>
        <w:t>encima</w:t>
      </w:r>
      <w:r w:rsidR="00FC73FE" w:rsidRPr="00471BBB">
        <w:rPr>
          <w:rFonts w:ascii="Times New Roman" w:hAnsi="Times New Roman" w:cs="Times New Roman"/>
          <w:sz w:val="24"/>
          <w:szCs w:val="24"/>
          <w:lang w:val="es-ES"/>
        </w:rPr>
        <w:t xml:space="preserve"> del promedio </w:t>
      </w:r>
      <w:r w:rsidR="00A04DFA" w:rsidRPr="00471BBB">
        <w:rPr>
          <w:rFonts w:ascii="Times New Roman" w:hAnsi="Times New Roman" w:cs="Times New Roman"/>
          <w:sz w:val="24"/>
          <w:szCs w:val="24"/>
          <w:lang w:val="es-ES"/>
        </w:rPr>
        <w:t>regional de 2.</w:t>
      </w:r>
      <w:r w:rsidR="00054F51">
        <w:rPr>
          <w:rFonts w:ascii="Times New Roman" w:hAnsi="Times New Roman" w:cs="Times New Roman"/>
          <w:sz w:val="24"/>
          <w:szCs w:val="24"/>
          <w:lang w:val="es-ES"/>
        </w:rPr>
        <w:t>6</w:t>
      </w:r>
      <w:r w:rsidR="00A63274">
        <w:rPr>
          <w:rFonts w:ascii="Times New Roman" w:hAnsi="Times New Roman" w:cs="Times New Roman"/>
          <w:sz w:val="24"/>
          <w:szCs w:val="24"/>
          <w:lang w:val="es-ES"/>
        </w:rPr>
        <w:t>%</w:t>
      </w:r>
      <w:r w:rsidR="00A04DFA" w:rsidRPr="00471BBB">
        <w:rPr>
          <w:rFonts w:ascii="Times New Roman" w:hAnsi="Times New Roman" w:cs="Times New Roman"/>
          <w:sz w:val="24"/>
          <w:szCs w:val="24"/>
          <w:lang w:val="es-ES"/>
        </w:rPr>
        <w:t xml:space="preserve"> observado</w:t>
      </w:r>
      <w:r w:rsidR="00FC73FE" w:rsidRPr="00471BBB">
        <w:rPr>
          <w:rFonts w:ascii="Times New Roman" w:hAnsi="Times New Roman" w:cs="Times New Roman"/>
          <w:sz w:val="24"/>
          <w:szCs w:val="24"/>
          <w:lang w:val="es-ES"/>
        </w:rPr>
        <w:t xml:space="preserve"> para América Latina </w:t>
      </w:r>
      <w:r w:rsidR="00054F51">
        <w:rPr>
          <w:rFonts w:ascii="Times New Roman" w:hAnsi="Times New Roman" w:cs="Times New Roman"/>
          <w:sz w:val="24"/>
          <w:szCs w:val="24"/>
          <w:lang w:val="es-ES"/>
        </w:rPr>
        <w:t xml:space="preserve">y el Caribe </w:t>
      </w:r>
      <w:r w:rsidR="00FC73FE" w:rsidRPr="00471BBB">
        <w:rPr>
          <w:rFonts w:ascii="Times New Roman" w:hAnsi="Times New Roman" w:cs="Times New Roman"/>
          <w:sz w:val="24"/>
          <w:szCs w:val="24"/>
          <w:lang w:val="es-ES"/>
        </w:rPr>
        <w:t>en el mismo período</w:t>
      </w:r>
      <w:r w:rsidR="00054F51">
        <w:rPr>
          <w:rFonts w:ascii="Times New Roman" w:hAnsi="Times New Roman" w:cs="Times New Roman"/>
          <w:sz w:val="24"/>
          <w:szCs w:val="24"/>
          <w:lang w:val="es-ES"/>
        </w:rPr>
        <w:t xml:space="preserve"> de análisis</w:t>
      </w:r>
      <w:r w:rsidR="00A63274">
        <w:rPr>
          <w:rFonts w:ascii="Times New Roman" w:hAnsi="Times New Roman" w:cs="Times New Roman"/>
          <w:sz w:val="24"/>
          <w:szCs w:val="24"/>
          <w:lang w:val="es-ES"/>
        </w:rPr>
        <w:t>.</w:t>
      </w:r>
      <w:r w:rsidR="000C1139" w:rsidRPr="00471BBB">
        <w:rPr>
          <w:rFonts w:ascii="Times New Roman" w:hAnsi="Times New Roman" w:cs="Times New Roman"/>
          <w:sz w:val="24"/>
          <w:szCs w:val="24"/>
          <w:lang w:val="es-ES"/>
        </w:rPr>
        <w:t xml:space="preserve"> </w:t>
      </w:r>
    </w:p>
    <w:p w14:paraId="1305183B" w14:textId="77777777" w:rsidR="00846CCC" w:rsidRPr="00846CCC" w:rsidRDefault="00846CCC" w:rsidP="00846CCC">
      <w:pPr>
        <w:pStyle w:val="ListParagraph"/>
        <w:rPr>
          <w:rFonts w:ascii="Times New Roman" w:hAnsi="Times New Roman" w:cs="Times New Roman"/>
          <w:sz w:val="24"/>
          <w:szCs w:val="24"/>
          <w:lang w:val="es-ES"/>
        </w:rPr>
      </w:pPr>
    </w:p>
    <w:p w14:paraId="457F5DCF" w14:textId="508E378C" w:rsidR="00F22176" w:rsidRDefault="00F22176" w:rsidP="003F12A1">
      <w:pPr>
        <w:pStyle w:val="ListParagraph"/>
        <w:numPr>
          <w:ilvl w:val="1"/>
          <w:numId w:val="2"/>
        </w:numPr>
        <w:tabs>
          <w:tab w:val="left" w:pos="270"/>
          <w:tab w:val="left" w:pos="2085"/>
        </w:tabs>
        <w:spacing w:after="0" w:line="0" w:lineRule="atLeast"/>
        <w:ind w:left="270" w:hanging="450"/>
        <w:jc w:val="both"/>
        <w:rPr>
          <w:rFonts w:ascii="Times New Roman" w:hAnsi="Times New Roman" w:cs="Times New Roman"/>
          <w:sz w:val="24"/>
          <w:szCs w:val="24"/>
          <w:lang w:val="es-ES"/>
        </w:rPr>
      </w:pPr>
      <w:r w:rsidRPr="00A87806">
        <w:rPr>
          <w:rFonts w:ascii="Times New Roman" w:hAnsi="Times New Roman" w:cs="Times New Roman"/>
          <w:sz w:val="24"/>
          <w:szCs w:val="24"/>
          <w:lang w:val="es-ES"/>
        </w:rPr>
        <w:t xml:space="preserve">En el presente documento </w:t>
      </w:r>
      <w:r w:rsidR="007014A8" w:rsidRPr="00A87806">
        <w:rPr>
          <w:rFonts w:ascii="Times New Roman" w:hAnsi="Times New Roman" w:cs="Times New Roman"/>
          <w:sz w:val="24"/>
          <w:szCs w:val="24"/>
          <w:lang w:val="es-ES"/>
        </w:rPr>
        <w:t xml:space="preserve">se analiza el </w:t>
      </w:r>
      <w:r w:rsidR="003F12A1" w:rsidRPr="003F12A1">
        <w:rPr>
          <w:rFonts w:ascii="Times New Roman" w:hAnsi="Times New Roman" w:cs="Times New Roman"/>
          <w:sz w:val="24"/>
          <w:szCs w:val="24"/>
          <w:lang w:val="es-ES"/>
        </w:rPr>
        <w:t>Proyecto de Reconstrucción del Tramo Mairana-Bermejo</w:t>
      </w:r>
      <w:r w:rsidR="00846CCC" w:rsidRPr="00A87806">
        <w:rPr>
          <w:rFonts w:ascii="Times New Roman" w:hAnsi="Times New Roman" w:cs="Times New Roman"/>
          <w:sz w:val="24"/>
          <w:szCs w:val="24"/>
          <w:lang w:val="es-ES"/>
        </w:rPr>
        <w:t xml:space="preserve"> (BO-L1186)</w:t>
      </w:r>
      <w:r w:rsidR="007014A8" w:rsidRPr="00A87806">
        <w:rPr>
          <w:rFonts w:ascii="Times New Roman" w:hAnsi="Times New Roman" w:cs="Times New Roman"/>
          <w:sz w:val="24"/>
          <w:szCs w:val="24"/>
          <w:lang w:val="es-ES"/>
        </w:rPr>
        <w:t xml:space="preserve">, exponiendo los argumentos que explican </w:t>
      </w:r>
      <w:r w:rsidR="00D86946">
        <w:rPr>
          <w:rFonts w:ascii="Times New Roman" w:hAnsi="Times New Roman" w:cs="Times New Roman"/>
          <w:sz w:val="24"/>
          <w:szCs w:val="24"/>
          <w:lang w:val="es-ES"/>
        </w:rPr>
        <w:t>cómo</w:t>
      </w:r>
      <w:r w:rsidR="007014A8" w:rsidRPr="00A87806">
        <w:rPr>
          <w:rFonts w:ascii="Times New Roman" w:hAnsi="Times New Roman" w:cs="Times New Roman"/>
          <w:sz w:val="24"/>
          <w:szCs w:val="24"/>
          <w:lang w:val="es-ES"/>
        </w:rPr>
        <w:t xml:space="preserve"> dicho proyecto </w:t>
      </w:r>
      <w:r w:rsidR="00D86946">
        <w:rPr>
          <w:rFonts w:ascii="Times New Roman" w:hAnsi="Times New Roman" w:cs="Times New Roman"/>
          <w:sz w:val="24"/>
          <w:szCs w:val="24"/>
          <w:lang w:val="es-ES"/>
        </w:rPr>
        <w:t xml:space="preserve">contribuye </w:t>
      </w:r>
      <w:r w:rsidR="007014A8" w:rsidRPr="00A87806">
        <w:rPr>
          <w:rFonts w:ascii="Times New Roman" w:hAnsi="Times New Roman" w:cs="Times New Roman"/>
          <w:sz w:val="24"/>
          <w:szCs w:val="24"/>
          <w:lang w:val="es-ES"/>
        </w:rPr>
        <w:t xml:space="preserve">a la </w:t>
      </w:r>
      <w:r w:rsidR="00D86946">
        <w:rPr>
          <w:rFonts w:ascii="Times New Roman" w:hAnsi="Times New Roman" w:cs="Times New Roman"/>
          <w:sz w:val="24"/>
          <w:szCs w:val="24"/>
          <w:lang w:val="es-ES"/>
        </w:rPr>
        <w:t>integración de Bolivia a nivel regional y global</w:t>
      </w:r>
      <w:r w:rsidR="007014A8" w:rsidRPr="00A87806">
        <w:rPr>
          <w:rFonts w:ascii="Times New Roman" w:hAnsi="Times New Roman" w:cs="Times New Roman"/>
          <w:sz w:val="24"/>
          <w:szCs w:val="24"/>
          <w:lang w:val="es-ES"/>
        </w:rPr>
        <w:t>, validando por tanto su alineación con el desafío regional de Integración Económica planteado en la Estrategia Institucional del Banco (EIB) 2010-2020 (GN-2788-5). El documento está organizado de la siguiente manera.</w:t>
      </w:r>
      <w:r w:rsidR="00A87806">
        <w:rPr>
          <w:rFonts w:ascii="Times New Roman" w:hAnsi="Times New Roman" w:cs="Times New Roman"/>
          <w:sz w:val="24"/>
          <w:szCs w:val="24"/>
          <w:lang w:val="es-ES"/>
        </w:rPr>
        <w:t xml:space="preserve"> En la sección número II, </w:t>
      </w:r>
      <w:r w:rsidR="007014A8" w:rsidRPr="00A87806">
        <w:rPr>
          <w:rFonts w:ascii="Times New Roman" w:hAnsi="Times New Roman" w:cs="Times New Roman"/>
          <w:sz w:val="24"/>
          <w:szCs w:val="24"/>
          <w:lang w:val="es-ES"/>
        </w:rPr>
        <w:t xml:space="preserve">se describe </w:t>
      </w:r>
      <w:r w:rsidR="00A87806" w:rsidRPr="00A87806">
        <w:rPr>
          <w:rFonts w:ascii="Times New Roman" w:hAnsi="Times New Roman" w:cs="Times New Roman"/>
          <w:sz w:val="24"/>
          <w:szCs w:val="24"/>
          <w:lang w:val="es-ES"/>
        </w:rPr>
        <w:t>la coyuntura global a fin de entender el contexto y la importancia de la integración regional tanto para los países de la región como para Bolivia, seguidamente se describe el contexto regional y el estado</w:t>
      </w:r>
      <w:r w:rsidR="007014A8" w:rsidRPr="00A87806">
        <w:rPr>
          <w:rFonts w:ascii="Times New Roman" w:hAnsi="Times New Roman" w:cs="Times New Roman"/>
          <w:sz w:val="24"/>
          <w:szCs w:val="24"/>
          <w:lang w:val="es-ES"/>
        </w:rPr>
        <w:t xml:space="preserve"> de</w:t>
      </w:r>
      <w:r w:rsidR="00A87806" w:rsidRPr="00A87806">
        <w:rPr>
          <w:rFonts w:ascii="Times New Roman" w:hAnsi="Times New Roman" w:cs="Times New Roman"/>
          <w:sz w:val="24"/>
          <w:szCs w:val="24"/>
          <w:lang w:val="es-ES"/>
        </w:rPr>
        <w:t xml:space="preserve"> la</w:t>
      </w:r>
      <w:r w:rsidR="007014A8" w:rsidRPr="00A87806">
        <w:rPr>
          <w:rFonts w:ascii="Times New Roman" w:hAnsi="Times New Roman" w:cs="Times New Roman"/>
          <w:sz w:val="24"/>
          <w:szCs w:val="24"/>
          <w:lang w:val="es-ES"/>
        </w:rPr>
        <w:t xml:space="preserve"> integración física en el marco del proce</w:t>
      </w:r>
      <w:r w:rsidR="00A87806" w:rsidRPr="00A87806">
        <w:rPr>
          <w:rFonts w:ascii="Times New Roman" w:hAnsi="Times New Roman" w:cs="Times New Roman"/>
          <w:sz w:val="24"/>
          <w:szCs w:val="24"/>
          <w:lang w:val="es-ES"/>
        </w:rPr>
        <w:t xml:space="preserve">so de integración suramericano haciendo énfasis en el caso particular de Bolivia. En la sección número III </w:t>
      </w:r>
      <w:r w:rsidR="007014A8" w:rsidRPr="00A87806">
        <w:rPr>
          <w:rFonts w:ascii="Times New Roman" w:hAnsi="Times New Roman" w:cs="Times New Roman"/>
          <w:sz w:val="24"/>
          <w:szCs w:val="24"/>
          <w:lang w:val="es-ES"/>
        </w:rPr>
        <w:t xml:space="preserve">se presentan los argumentos cualitativos y cuantitativos que demuestran que la operación contribuye a mejorar la integración física y económica del país. </w:t>
      </w:r>
      <w:r w:rsidR="00A87806" w:rsidRPr="00A87806">
        <w:rPr>
          <w:rFonts w:ascii="Times New Roman" w:hAnsi="Times New Roman" w:cs="Times New Roman"/>
          <w:sz w:val="24"/>
          <w:szCs w:val="24"/>
          <w:lang w:val="es-ES"/>
        </w:rPr>
        <w:t>Finalmente, en la sección número IV se</w:t>
      </w:r>
      <w:r w:rsidR="007014A8" w:rsidRPr="00A87806">
        <w:rPr>
          <w:rFonts w:ascii="Times New Roman" w:hAnsi="Times New Roman" w:cs="Times New Roman"/>
          <w:sz w:val="24"/>
          <w:szCs w:val="24"/>
          <w:lang w:val="es-ES"/>
        </w:rPr>
        <w:t xml:space="preserve"> valida la alineación de la operación con el Desafío de Integración Económica de acuerdo con la EIB y con la Estrategia Sectorial del Banco de Apoyo a la Integración Competitiva, Regional y Global (GN-2564-4).</w:t>
      </w:r>
    </w:p>
    <w:p w14:paraId="423EA7E3" w14:textId="77777777" w:rsidR="007C14DB" w:rsidRDefault="007C14DB" w:rsidP="007C14DB">
      <w:pPr>
        <w:tabs>
          <w:tab w:val="left" w:pos="270"/>
          <w:tab w:val="left" w:pos="2085"/>
        </w:tabs>
        <w:spacing w:after="0" w:line="0" w:lineRule="atLeast"/>
        <w:jc w:val="both"/>
        <w:rPr>
          <w:rFonts w:ascii="Times New Roman" w:hAnsi="Times New Roman" w:cs="Times New Roman"/>
          <w:sz w:val="24"/>
          <w:szCs w:val="24"/>
          <w:lang w:val="es-ES"/>
        </w:rPr>
      </w:pPr>
    </w:p>
    <w:p w14:paraId="2E615A07" w14:textId="77777777" w:rsidR="00153695" w:rsidRDefault="00B6736B" w:rsidP="00153695">
      <w:pPr>
        <w:pStyle w:val="ListParagraph"/>
        <w:numPr>
          <w:ilvl w:val="0"/>
          <w:numId w:val="1"/>
        </w:numPr>
        <w:tabs>
          <w:tab w:val="left" w:pos="360"/>
          <w:tab w:val="left" w:pos="450"/>
        </w:tabs>
        <w:spacing w:after="0" w:line="240" w:lineRule="auto"/>
        <w:ind w:hanging="630"/>
        <w:jc w:val="both"/>
        <w:rPr>
          <w:rFonts w:ascii="Times New Roman" w:hAnsi="Times New Roman"/>
          <w:b/>
          <w:color w:val="1F497D"/>
          <w:sz w:val="24"/>
          <w:szCs w:val="24"/>
          <w:lang w:val="es-ES"/>
        </w:rPr>
      </w:pPr>
      <w:r w:rsidRPr="00FA63CA">
        <w:rPr>
          <w:rFonts w:ascii="Times New Roman" w:hAnsi="Times New Roman"/>
          <w:b/>
          <w:color w:val="1F497D"/>
          <w:sz w:val="24"/>
          <w:szCs w:val="24"/>
          <w:lang w:val="es-ES"/>
        </w:rPr>
        <w:t>Infraestructura e Integración Económica</w:t>
      </w:r>
    </w:p>
    <w:p w14:paraId="67C778C3" w14:textId="77777777" w:rsidR="00153695" w:rsidRDefault="00153695" w:rsidP="00153695">
      <w:pPr>
        <w:pStyle w:val="ListParagraph"/>
        <w:tabs>
          <w:tab w:val="left" w:pos="360"/>
          <w:tab w:val="left" w:pos="450"/>
        </w:tabs>
        <w:spacing w:after="0" w:line="240" w:lineRule="auto"/>
        <w:jc w:val="both"/>
        <w:rPr>
          <w:rFonts w:ascii="Times New Roman" w:hAnsi="Times New Roman"/>
          <w:b/>
          <w:color w:val="1F497D"/>
          <w:sz w:val="24"/>
          <w:szCs w:val="24"/>
          <w:lang w:val="es-ES"/>
        </w:rPr>
      </w:pPr>
    </w:p>
    <w:p w14:paraId="6A70AFD9" w14:textId="77777777" w:rsidR="00F52EA4" w:rsidRPr="00153695" w:rsidRDefault="004A7318" w:rsidP="00153695">
      <w:pPr>
        <w:tabs>
          <w:tab w:val="left" w:pos="360"/>
          <w:tab w:val="left" w:pos="450"/>
        </w:tabs>
        <w:spacing w:after="0" w:line="240" w:lineRule="auto"/>
        <w:jc w:val="both"/>
        <w:rPr>
          <w:rFonts w:ascii="Times New Roman" w:hAnsi="Times New Roman"/>
          <w:b/>
          <w:color w:val="1F497D"/>
          <w:sz w:val="24"/>
          <w:szCs w:val="24"/>
          <w:lang w:val="es-ES"/>
        </w:rPr>
      </w:pPr>
      <w:r w:rsidRPr="00153695">
        <w:rPr>
          <w:rFonts w:ascii="Times New Roman" w:hAnsi="Times New Roman"/>
          <w:b/>
          <w:sz w:val="24"/>
          <w:szCs w:val="24"/>
          <w:u w:val="single"/>
          <w:lang w:val="es-ES"/>
        </w:rPr>
        <w:t xml:space="preserve">Contexto Global </w:t>
      </w:r>
    </w:p>
    <w:p w14:paraId="0016FDF7" w14:textId="77777777" w:rsidR="00F52EA4" w:rsidRPr="00F52EA4" w:rsidRDefault="00F52EA4" w:rsidP="00F52EA4">
      <w:pPr>
        <w:pStyle w:val="ListParagraph"/>
        <w:tabs>
          <w:tab w:val="left" w:pos="360"/>
          <w:tab w:val="left" w:pos="450"/>
        </w:tabs>
        <w:spacing w:after="0" w:line="240" w:lineRule="auto"/>
        <w:ind w:left="765"/>
        <w:jc w:val="both"/>
        <w:rPr>
          <w:rFonts w:ascii="Times New Roman" w:hAnsi="Times New Roman"/>
          <w:b/>
          <w:color w:val="1F497D"/>
          <w:sz w:val="24"/>
          <w:szCs w:val="24"/>
          <w:lang w:val="es-ES"/>
        </w:rPr>
      </w:pPr>
    </w:p>
    <w:p w14:paraId="0D198FF3" w14:textId="77777777" w:rsidR="00153695" w:rsidRPr="00153695" w:rsidRDefault="00153695" w:rsidP="00153695">
      <w:pPr>
        <w:pStyle w:val="ListParagraph"/>
        <w:numPr>
          <w:ilvl w:val="0"/>
          <w:numId w:val="2"/>
        </w:numPr>
        <w:tabs>
          <w:tab w:val="left" w:pos="270"/>
          <w:tab w:val="left" w:pos="2085"/>
        </w:tabs>
        <w:spacing w:after="0" w:line="0" w:lineRule="atLeast"/>
        <w:jc w:val="both"/>
        <w:rPr>
          <w:rFonts w:ascii="Times New Roman" w:hAnsi="Times New Roman" w:cs="Times New Roman"/>
          <w:vanish/>
          <w:sz w:val="24"/>
          <w:szCs w:val="24"/>
          <w:lang w:val="es-ES"/>
        </w:rPr>
      </w:pPr>
    </w:p>
    <w:p w14:paraId="28B41EFE" w14:textId="44FD5339" w:rsidR="00153695" w:rsidRDefault="0034645A" w:rsidP="007E5266">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Pr>
          <w:rFonts w:ascii="Times New Roman" w:hAnsi="Times New Roman"/>
          <w:sz w:val="24"/>
          <w:szCs w:val="24"/>
          <w:lang w:val="es-ES_tradnl"/>
        </w:rPr>
        <w:t>En un entorno globalizado como el actual,</w:t>
      </w:r>
      <w:r w:rsidR="000F0A57" w:rsidRPr="00153695">
        <w:rPr>
          <w:rFonts w:ascii="Times New Roman" w:hAnsi="Times New Roman"/>
          <w:sz w:val="24"/>
          <w:szCs w:val="24"/>
          <w:lang w:val="es-ES_tradnl"/>
        </w:rPr>
        <w:t xml:space="preserve"> </w:t>
      </w:r>
      <w:r>
        <w:rPr>
          <w:rFonts w:ascii="Times New Roman" w:hAnsi="Times New Roman"/>
          <w:sz w:val="24"/>
          <w:szCs w:val="24"/>
          <w:lang w:val="es-ES_tradnl"/>
        </w:rPr>
        <w:t>los</w:t>
      </w:r>
      <w:r w:rsidR="000F0A57" w:rsidRPr="00153695">
        <w:rPr>
          <w:rFonts w:ascii="Times New Roman" w:hAnsi="Times New Roman"/>
          <w:sz w:val="24"/>
          <w:szCs w:val="24"/>
          <w:lang w:val="es-ES_tradnl"/>
        </w:rPr>
        <w:t xml:space="preserve"> choques</w:t>
      </w:r>
      <w:r w:rsidR="004C0613" w:rsidRPr="00153695">
        <w:rPr>
          <w:rFonts w:ascii="Times New Roman" w:hAnsi="Times New Roman"/>
          <w:sz w:val="24"/>
          <w:szCs w:val="24"/>
          <w:lang w:val="es-ES_tradnl"/>
        </w:rPr>
        <w:t xml:space="preserve"> económicos</w:t>
      </w:r>
      <w:r w:rsidR="000F0A57" w:rsidRPr="00153695">
        <w:rPr>
          <w:rFonts w:ascii="Times New Roman" w:hAnsi="Times New Roman"/>
          <w:sz w:val="24"/>
          <w:szCs w:val="24"/>
          <w:lang w:val="es-ES_tradnl"/>
        </w:rPr>
        <w:t xml:space="preserve"> provenientes de los países con los cuales </w:t>
      </w:r>
      <w:r>
        <w:rPr>
          <w:rFonts w:ascii="Times New Roman" w:hAnsi="Times New Roman"/>
          <w:sz w:val="24"/>
          <w:szCs w:val="24"/>
          <w:lang w:val="es-ES_tradnl"/>
        </w:rPr>
        <w:t>América Latina y el Caribe</w:t>
      </w:r>
      <w:r w:rsidR="000F0A57" w:rsidRPr="00153695">
        <w:rPr>
          <w:rFonts w:ascii="Times New Roman" w:hAnsi="Times New Roman"/>
          <w:sz w:val="24"/>
          <w:szCs w:val="24"/>
          <w:lang w:val="es-ES_tradnl"/>
        </w:rPr>
        <w:t xml:space="preserve"> mantiene importantes vínculos económicos impactan en </w:t>
      </w:r>
      <w:r w:rsidR="004C0613" w:rsidRPr="00153695">
        <w:rPr>
          <w:rFonts w:ascii="Times New Roman" w:hAnsi="Times New Roman"/>
          <w:sz w:val="24"/>
          <w:szCs w:val="24"/>
          <w:lang w:val="es-ES_tradnl"/>
        </w:rPr>
        <w:t>las economías de los</w:t>
      </w:r>
      <w:r w:rsidR="000F0A57" w:rsidRPr="00153695">
        <w:rPr>
          <w:rFonts w:ascii="Times New Roman" w:hAnsi="Times New Roman"/>
          <w:sz w:val="24"/>
          <w:szCs w:val="24"/>
          <w:lang w:val="es-ES_tradnl"/>
        </w:rPr>
        <w:t xml:space="preserve"> países y en el contexto regional en general. </w:t>
      </w:r>
      <w:r w:rsidR="000E48F0" w:rsidRPr="00153695">
        <w:rPr>
          <w:rFonts w:ascii="Times New Roman" w:hAnsi="Times New Roman"/>
          <w:sz w:val="24"/>
          <w:szCs w:val="24"/>
          <w:lang w:val="es-ES"/>
        </w:rPr>
        <w:t>El</w:t>
      </w:r>
      <w:r w:rsidR="00CD1F3F" w:rsidRPr="00153695">
        <w:rPr>
          <w:rFonts w:ascii="Times New Roman" w:hAnsi="Times New Roman"/>
          <w:sz w:val="24"/>
          <w:szCs w:val="24"/>
          <w:lang w:val="es-ES"/>
        </w:rPr>
        <w:t xml:space="preserve"> año 2016 fue un año de caída del</w:t>
      </w:r>
      <w:r w:rsidR="000E48F0" w:rsidRPr="00153695">
        <w:rPr>
          <w:rFonts w:ascii="Times New Roman" w:hAnsi="Times New Roman"/>
          <w:sz w:val="24"/>
          <w:szCs w:val="24"/>
          <w:lang w:val="es-ES"/>
        </w:rPr>
        <w:t xml:space="preserve"> crecimiento</w:t>
      </w:r>
      <w:r w:rsidR="00CD1F3F" w:rsidRPr="00153695">
        <w:rPr>
          <w:rFonts w:ascii="Times New Roman" w:hAnsi="Times New Roman"/>
          <w:sz w:val="24"/>
          <w:szCs w:val="24"/>
          <w:lang w:val="es-ES"/>
        </w:rPr>
        <w:t xml:space="preserve"> económico</w:t>
      </w:r>
      <w:r w:rsidR="000E48F0" w:rsidRPr="00153695">
        <w:rPr>
          <w:rFonts w:ascii="Times New Roman" w:hAnsi="Times New Roman"/>
          <w:sz w:val="24"/>
          <w:szCs w:val="24"/>
          <w:lang w:val="es-ES"/>
        </w:rPr>
        <w:t xml:space="preserve"> global</w:t>
      </w:r>
      <w:r w:rsidR="00CD1F3F" w:rsidRPr="00153695">
        <w:rPr>
          <w:rFonts w:ascii="Times New Roman" w:hAnsi="Times New Roman"/>
          <w:sz w:val="24"/>
          <w:szCs w:val="24"/>
          <w:lang w:val="es-ES"/>
        </w:rPr>
        <w:t xml:space="preserve"> sobre todo para las economías avanzadas. De acuerdo a estimaciones del Fondo Monetario Internacional</w:t>
      </w:r>
      <w:r w:rsidR="00CE2ED1">
        <w:rPr>
          <w:rFonts w:ascii="Times New Roman" w:hAnsi="Times New Roman"/>
          <w:sz w:val="24"/>
          <w:szCs w:val="24"/>
          <w:lang w:val="es-ES"/>
        </w:rPr>
        <w:t xml:space="preserve"> (FMI)</w:t>
      </w:r>
      <w:r w:rsidR="00CD1F3F" w:rsidRPr="00153695">
        <w:rPr>
          <w:rFonts w:ascii="Times New Roman" w:hAnsi="Times New Roman"/>
          <w:sz w:val="24"/>
          <w:szCs w:val="24"/>
          <w:lang w:val="es-ES"/>
        </w:rPr>
        <w:t xml:space="preserve">, </w:t>
      </w:r>
      <w:r w:rsidR="004C0613" w:rsidRPr="00153695">
        <w:rPr>
          <w:rFonts w:ascii="Times New Roman" w:hAnsi="Times New Roman"/>
          <w:sz w:val="24"/>
          <w:szCs w:val="24"/>
          <w:lang w:val="es-ES"/>
        </w:rPr>
        <w:t>l</w:t>
      </w:r>
      <w:r w:rsidR="0098095A" w:rsidRPr="00153695">
        <w:rPr>
          <w:rFonts w:ascii="Times New Roman" w:hAnsi="Times New Roman"/>
          <w:sz w:val="24"/>
          <w:szCs w:val="24"/>
          <w:lang w:val="es-ES"/>
        </w:rPr>
        <w:t xml:space="preserve">as perspectivas para el año 2017 son </w:t>
      </w:r>
      <w:r w:rsidR="00827A53" w:rsidRPr="00153695">
        <w:rPr>
          <w:rFonts w:ascii="Times New Roman" w:hAnsi="Times New Roman"/>
          <w:sz w:val="24"/>
          <w:szCs w:val="24"/>
          <w:lang w:val="es-ES"/>
        </w:rPr>
        <w:t>de</w:t>
      </w:r>
      <w:r w:rsidR="00CD1F3F" w:rsidRPr="00153695">
        <w:rPr>
          <w:rFonts w:ascii="Times New Roman" w:hAnsi="Times New Roman"/>
          <w:sz w:val="24"/>
          <w:szCs w:val="24"/>
          <w:lang w:val="es-ES"/>
        </w:rPr>
        <w:t xml:space="preserve"> </w:t>
      </w:r>
      <w:r w:rsidR="00827A53" w:rsidRPr="00153695">
        <w:rPr>
          <w:rFonts w:ascii="Times New Roman" w:hAnsi="Times New Roman"/>
          <w:sz w:val="24"/>
          <w:szCs w:val="24"/>
          <w:lang w:val="es-ES"/>
        </w:rPr>
        <w:t xml:space="preserve">leve </w:t>
      </w:r>
      <w:r w:rsidR="00CD1F3F" w:rsidRPr="00153695">
        <w:rPr>
          <w:rFonts w:ascii="Times New Roman" w:hAnsi="Times New Roman"/>
          <w:sz w:val="24"/>
          <w:szCs w:val="24"/>
          <w:lang w:val="es-ES"/>
        </w:rPr>
        <w:t xml:space="preserve">recuperación económica </w:t>
      </w:r>
      <w:r w:rsidR="00827A53" w:rsidRPr="00153695">
        <w:rPr>
          <w:rFonts w:ascii="Times New Roman" w:hAnsi="Times New Roman"/>
          <w:sz w:val="24"/>
          <w:szCs w:val="24"/>
          <w:lang w:val="es-ES"/>
        </w:rPr>
        <w:t xml:space="preserve">denotando que la actividad económica </w:t>
      </w:r>
      <w:r w:rsidR="00CB0390" w:rsidRPr="00153695">
        <w:rPr>
          <w:rFonts w:ascii="Times New Roman" w:hAnsi="Times New Roman"/>
          <w:sz w:val="24"/>
          <w:szCs w:val="24"/>
          <w:lang w:val="es-ES"/>
        </w:rPr>
        <w:t>global sigue siendo baja</w:t>
      </w:r>
      <w:r w:rsidR="00827A53" w:rsidRPr="00153695">
        <w:rPr>
          <w:rFonts w:ascii="Times New Roman" w:hAnsi="Times New Roman"/>
          <w:sz w:val="24"/>
          <w:szCs w:val="24"/>
          <w:lang w:val="es-ES"/>
        </w:rPr>
        <w:t xml:space="preserve">. </w:t>
      </w:r>
    </w:p>
    <w:p w14:paraId="2115C2DF" w14:textId="77777777" w:rsidR="00153695" w:rsidRPr="00153695" w:rsidRDefault="00153695" w:rsidP="00153695">
      <w:pPr>
        <w:pStyle w:val="ListParagraph"/>
        <w:rPr>
          <w:rFonts w:ascii="Times New Roman" w:hAnsi="Times New Roman"/>
          <w:sz w:val="24"/>
          <w:szCs w:val="24"/>
          <w:lang w:val="es-ES"/>
        </w:rPr>
      </w:pPr>
    </w:p>
    <w:p w14:paraId="5AE1A90C" w14:textId="301A7753" w:rsidR="00153695" w:rsidRDefault="008256FC" w:rsidP="004A7318">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153695">
        <w:rPr>
          <w:rFonts w:ascii="Times New Roman" w:hAnsi="Times New Roman"/>
          <w:sz w:val="24"/>
          <w:szCs w:val="24"/>
          <w:lang w:val="es-ES"/>
        </w:rPr>
        <w:lastRenderedPageBreak/>
        <w:t xml:space="preserve">Con respecto a la situación del comercio global, </w:t>
      </w:r>
      <w:r w:rsidR="00053CA0" w:rsidRPr="00153695">
        <w:rPr>
          <w:rFonts w:ascii="Times New Roman" w:hAnsi="Times New Roman"/>
          <w:sz w:val="24"/>
          <w:szCs w:val="24"/>
          <w:lang w:val="es-ES"/>
        </w:rPr>
        <w:t xml:space="preserve">de acuerdo a </w:t>
      </w:r>
      <w:r w:rsidRPr="00153695">
        <w:rPr>
          <w:rFonts w:ascii="Times New Roman" w:hAnsi="Times New Roman"/>
          <w:sz w:val="24"/>
          <w:szCs w:val="24"/>
          <w:lang w:val="es-ES"/>
        </w:rPr>
        <w:t>la última publicación del Banco Interamericano de Desarrollo</w:t>
      </w:r>
      <w:r w:rsidR="00A27896">
        <w:rPr>
          <w:rFonts w:ascii="Times New Roman" w:hAnsi="Times New Roman"/>
          <w:sz w:val="24"/>
          <w:szCs w:val="24"/>
          <w:lang w:val="es-ES"/>
        </w:rPr>
        <w:t xml:space="preserve"> (BID)</w:t>
      </w:r>
      <w:r w:rsidR="00053CA0" w:rsidRPr="00153695">
        <w:rPr>
          <w:rFonts w:ascii="Times New Roman" w:hAnsi="Times New Roman"/>
          <w:sz w:val="24"/>
          <w:szCs w:val="24"/>
          <w:lang w:val="es-ES"/>
        </w:rPr>
        <w:t>;</w:t>
      </w:r>
      <w:r w:rsidRPr="00153695">
        <w:rPr>
          <w:rFonts w:ascii="Times New Roman" w:hAnsi="Times New Roman"/>
          <w:sz w:val="24"/>
          <w:szCs w:val="24"/>
          <w:lang w:val="es-ES"/>
        </w:rPr>
        <w:t xml:space="preserve"> </w:t>
      </w:r>
      <w:r w:rsidR="00FA6C56">
        <w:rPr>
          <w:rFonts w:ascii="Times New Roman" w:hAnsi="Times New Roman"/>
          <w:sz w:val="24"/>
          <w:szCs w:val="24"/>
          <w:lang w:val="es-ES"/>
        </w:rPr>
        <w:t>los valores del</w:t>
      </w:r>
      <w:r w:rsidRPr="00153695">
        <w:rPr>
          <w:rFonts w:ascii="Times New Roman" w:hAnsi="Times New Roman"/>
          <w:sz w:val="24"/>
          <w:szCs w:val="24"/>
          <w:lang w:val="es-ES"/>
        </w:rPr>
        <w:t xml:space="preserve"> comercio mundial </w:t>
      </w:r>
      <w:r w:rsidR="009C195B">
        <w:rPr>
          <w:rFonts w:ascii="Times New Roman" w:hAnsi="Times New Roman"/>
          <w:sz w:val="24"/>
          <w:szCs w:val="24"/>
          <w:lang w:val="es-ES"/>
        </w:rPr>
        <w:t>disminuyeron</w:t>
      </w:r>
      <w:r w:rsidR="009C195B" w:rsidRPr="00153695">
        <w:rPr>
          <w:rFonts w:ascii="Times New Roman" w:hAnsi="Times New Roman"/>
          <w:sz w:val="24"/>
          <w:szCs w:val="24"/>
          <w:lang w:val="es-ES"/>
        </w:rPr>
        <w:t xml:space="preserve"> </w:t>
      </w:r>
      <w:r w:rsidRPr="00153695">
        <w:rPr>
          <w:rFonts w:ascii="Times New Roman" w:hAnsi="Times New Roman"/>
          <w:sz w:val="24"/>
          <w:szCs w:val="24"/>
          <w:lang w:val="es-ES"/>
        </w:rPr>
        <w:t>en aproximadamente un 20% entre 2014 y 2016, y solo ha</w:t>
      </w:r>
      <w:r w:rsidR="009C195B">
        <w:rPr>
          <w:rFonts w:ascii="Times New Roman" w:hAnsi="Times New Roman"/>
          <w:sz w:val="24"/>
          <w:szCs w:val="24"/>
          <w:lang w:val="es-ES"/>
        </w:rPr>
        <w:t>n</w:t>
      </w:r>
      <w:r w:rsidRPr="00153695">
        <w:rPr>
          <w:rFonts w:ascii="Times New Roman" w:hAnsi="Times New Roman"/>
          <w:sz w:val="24"/>
          <w:szCs w:val="24"/>
          <w:lang w:val="es-ES"/>
        </w:rPr>
        <w:t xml:space="preserve"> aumentado marginalmente a partir de su punto más bajo en enero de ese año.</w:t>
      </w:r>
      <w:r w:rsidR="00053CA0" w:rsidRPr="00153695">
        <w:rPr>
          <w:rFonts w:ascii="Times New Roman" w:hAnsi="Times New Roman"/>
          <w:sz w:val="24"/>
          <w:szCs w:val="24"/>
          <w:lang w:val="es-ES"/>
        </w:rPr>
        <w:t xml:space="preserve"> Lo</w:t>
      </w:r>
      <w:r w:rsidR="006F1B82" w:rsidRPr="00153695">
        <w:rPr>
          <w:rFonts w:ascii="Times New Roman" w:hAnsi="Times New Roman"/>
          <w:sz w:val="24"/>
          <w:szCs w:val="24"/>
          <w:lang w:val="es-ES"/>
        </w:rPr>
        <w:t xml:space="preserve"> anterior se puede constatar en</w:t>
      </w:r>
      <w:r w:rsidR="00053CA0" w:rsidRPr="00153695">
        <w:rPr>
          <w:rFonts w:ascii="Times New Roman" w:hAnsi="Times New Roman"/>
          <w:sz w:val="24"/>
          <w:szCs w:val="24"/>
          <w:lang w:val="es-ES"/>
        </w:rPr>
        <w:t xml:space="preserve"> los datos del FMI, en los cuales se observa que las tasas de crecimiento tendencial </w:t>
      </w:r>
      <w:r w:rsidR="006F1B82" w:rsidRPr="00153695">
        <w:rPr>
          <w:rFonts w:ascii="Times New Roman" w:hAnsi="Times New Roman"/>
          <w:sz w:val="24"/>
          <w:szCs w:val="24"/>
          <w:lang w:val="es-ES"/>
        </w:rPr>
        <w:t xml:space="preserve">de los volúmenes de comercio global </w:t>
      </w:r>
      <w:r w:rsidR="00053CA0" w:rsidRPr="00153695">
        <w:rPr>
          <w:rFonts w:ascii="Times New Roman" w:hAnsi="Times New Roman"/>
          <w:sz w:val="24"/>
          <w:szCs w:val="24"/>
          <w:lang w:val="es-ES"/>
        </w:rPr>
        <w:t xml:space="preserve">hasta finales del 2016 son claramente negativas. </w:t>
      </w:r>
      <w:r w:rsidR="006F1B82" w:rsidRPr="00153695">
        <w:rPr>
          <w:rFonts w:ascii="Times New Roman" w:hAnsi="Times New Roman"/>
          <w:sz w:val="24"/>
          <w:szCs w:val="24"/>
          <w:lang w:val="es-ES"/>
        </w:rPr>
        <w:t>P</w:t>
      </w:r>
      <w:r w:rsidR="00053CA0" w:rsidRPr="00153695">
        <w:rPr>
          <w:rFonts w:ascii="Times New Roman" w:hAnsi="Times New Roman"/>
          <w:sz w:val="24"/>
          <w:szCs w:val="24"/>
          <w:lang w:val="es-ES"/>
        </w:rPr>
        <w:t>ara el año 2017 y 2018, el FMI pronostica un aumento del volumen del comercio global de bienes y servicios, sin embargo,</w:t>
      </w:r>
      <w:r w:rsidRPr="00153695">
        <w:rPr>
          <w:rFonts w:ascii="Times New Roman" w:hAnsi="Times New Roman"/>
          <w:sz w:val="24"/>
          <w:szCs w:val="24"/>
          <w:lang w:val="es-ES"/>
        </w:rPr>
        <w:t xml:space="preserve"> </w:t>
      </w:r>
      <w:r w:rsidR="00053CA0" w:rsidRPr="00153695">
        <w:rPr>
          <w:rFonts w:ascii="Times New Roman" w:hAnsi="Times New Roman"/>
          <w:sz w:val="24"/>
          <w:szCs w:val="24"/>
          <w:lang w:val="es-ES"/>
        </w:rPr>
        <w:t>dicho crecimiento es bajo</w:t>
      </w:r>
      <w:r w:rsidR="00771D8F">
        <w:rPr>
          <w:rFonts w:ascii="Times New Roman" w:hAnsi="Times New Roman"/>
          <w:sz w:val="24"/>
          <w:szCs w:val="24"/>
          <w:lang w:val="es-ES"/>
        </w:rPr>
        <w:t xml:space="preserve"> </w:t>
      </w:r>
      <w:r w:rsidR="00771D8F" w:rsidRPr="00153695">
        <w:rPr>
          <w:rFonts w:ascii="Times New Roman" w:hAnsi="Times New Roman"/>
          <w:sz w:val="24"/>
          <w:szCs w:val="24"/>
          <w:lang w:val="es-ES"/>
        </w:rPr>
        <w:t>(3.8</w:t>
      </w:r>
      <w:r w:rsidR="003177C4">
        <w:rPr>
          <w:rFonts w:ascii="Times New Roman" w:hAnsi="Times New Roman"/>
          <w:sz w:val="24"/>
          <w:szCs w:val="24"/>
          <w:lang w:val="es-ES"/>
        </w:rPr>
        <w:t>%</w:t>
      </w:r>
      <w:r w:rsidR="00771D8F" w:rsidRPr="00153695">
        <w:rPr>
          <w:rFonts w:ascii="Times New Roman" w:hAnsi="Times New Roman"/>
          <w:sz w:val="24"/>
          <w:szCs w:val="24"/>
          <w:lang w:val="es-ES"/>
        </w:rPr>
        <w:t xml:space="preserve"> para 2017) </w:t>
      </w:r>
      <w:r w:rsidR="00771D8F">
        <w:rPr>
          <w:rFonts w:ascii="Times New Roman" w:hAnsi="Times New Roman"/>
          <w:sz w:val="24"/>
          <w:szCs w:val="24"/>
          <w:lang w:val="es-ES"/>
        </w:rPr>
        <w:t>en comparación con el crecimiento promedio anual de 7.1</w:t>
      </w:r>
      <w:r w:rsidR="003177C4">
        <w:rPr>
          <w:rFonts w:ascii="Times New Roman" w:hAnsi="Times New Roman"/>
          <w:sz w:val="24"/>
          <w:szCs w:val="24"/>
          <w:lang w:val="es-ES"/>
        </w:rPr>
        <w:t>%</w:t>
      </w:r>
      <w:r w:rsidR="00771D8F">
        <w:rPr>
          <w:rFonts w:ascii="Times New Roman" w:hAnsi="Times New Roman"/>
          <w:sz w:val="24"/>
          <w:szCs w:val="24"/>
          <w:lang w:val="es-ES"/>
        </w:rPr>
        <w:t xml:space="preserve"> observado </w:t>
      </w:r>
      <w:r w:rsidR="003177C4">
        <w:rPr>
          <w:rFonts w:ascii="Times New Roman" w:hAnsi="Times New Roman"/>
          <w:sz w:val="24"/>
          <w:szCs w:val="24"/>
          <w:lang w:val="es-ES"/>
        </w:rPr>
        <w:t>para</w:t>
      </w:r>
      <w:r w:rsidR="00771D8F">
        <w:rPr>
          <w:rFonts w:ascii="Times New Roman" w:hAnsi="Times New Roman"/>
          <w:sz w:val="24"/>
          <w:szCs w:val="24"/>
          <w:lang w:val="es-ES"/>
        </w:rPr>
        <w:t xml:space="preserve"> los años 1999-2006 anteriores a la crisis</w:t>
      </w:r>
      <w:r w:rsidR="00D405E9">
        <w:rPr>
          <w:rFonts w:ascii="Times New Roman" w:hAnsi="Times New Roman"/>
          <w:sz w:val="24"/>
          <w:szCs w:val="24"/>
          <w:lang w:val="es-ES"/>
        </w:rPr>
        <w:t>,</w:t>
      </w:r>
      <w:r w:rsidR="00053CA0" w:rsidRPr="00153695">
        <w:rPr>
          <w:rFonts w:ascii="Times New Roman" w:hAnsi="Times New Roman"/>
          <w:sz w:val="24"/>
          <w:szCs w:val="24"/>
          <w:lang w:val="es-ES"/>
        </w:rPr>
        <w:t xml:space="preserve"> y sujeto a importantes incertidumbres relacionadas al posible aumento de las restricciones de la política comercial y global </w:t>
      </w:r>
      <w:r w:rsidR="006F1B82" w:rsidRPr="00153695">
        <w:rPr>
          <w:rFonts w:ascii="Times New Roman" w:hAnsi="Times New Roman"/>
          <w:sz w:val="24"/>
          <w:szCs w:val="24"/>
          <w:lang w:val="es-ES"/>
        </w:rPr>
        <w:t xml:space="preserve">establecidas por </w:t>
      </w:r>
      <w:r w:rsidR="008E5414" w:rsidRPr="00153695">
        <w:rPr>
          <w:rFonts w:ascii="Times New Roman" w:hAnsi="Times New Roman"/>
          <w:sz w:val="24"/>
          <w:szCs w:val="24"/>
          <w:lang w:val="es-ES"/>
        </w:rPr>
        <w:t xml:space="preserve">parte de </w:t>
      </w:r>
      <w:r w:rsidR="006F1B82" w:rsidRPr="00153695">
        <w:rPr>
          <w:rFonts w:ascii="Times New Roman" w:hAnsi="Times New Roman"/>
          <w:sz w:val="24"/>
          <w:szCs w:val="24"/>
          <w:lang w:val="es-ES"/>
        </w:rPr>
        <w:t>las</w:t>
      </w:r>
      <w:r w:rsidR="00053CA0" w:rsidRPr="00153695">
        <w:rPr>
          <w:rFonts w:ascii="Times New Roman" w:hAnsi="Times New Roman"/>
          <w:sz w:val="24"/>
          <w:szCs w:val="24"/>
          <w:lang w:val="es-ES"/>
        </w:rPr>
        <w:t xml:space="preserve"> economías avanzadas</w:t>
      </w:r>
      <w:r w:rsidR="001A1001" w:rsidRPr="00153695">
        <w:rPr>
          <w:rFonts w:ascii="Times New Roman" w:hAnsi="Times New Roman"/>
          <w:sz w:val="24"/>
          <w:szCs w:val="24"/>
          <w:lang w:val="es-ES"/>
        </w:rPr>
        <w:t>,</w:t>
      </w:r>
      <w:r w:rsidR="00053CA0" w:rsidRPr="00153695">
        <w:rPr>
          <w:rFonts w:ascii="Times New Roman" w:hAnsi="Times New Roman"/>
          <w:sz w:val="24"/>
          <w:szCs w:val="24"/>
          <w:lang w:val="es-ES"/>
        </w:rPr>
        <w:t xml:space="preserve"> </w:t>
      </w:r>
      <w:r w:rsidR="00BA3914" w:rsidRPr="00153695">
        <w:rPr>
          <w:rFonts w:ascii="Times New Roman" w:hAnsi="Times New Roman"/>
          <w:sz w:val="24"/>
          <w:szCs w:val="24"/>
          <w:lang w:val="es-ES"/>
        </w:rPr>
        <w:t>lo que podría afectar</w:t>
      </w:r>
      <w:r w:rsidR="00053CA0" w:rsidRPr="00153695">
        <w:rPr>
          <w:rFonts w:ascii="Times New Roman" w:hAnsi="Times New Roman"/>
          <w:sz w:val="24"/>
          <w:szCs w:val="24"/>
          <w:lang w:val="es-ES"/>
        </w:rPr>
        <w:t xml:space="preserve"> principalmente al comercio y a los flujos migratorios mundiales. </w:t>
      </w:r>
    </w:p>
    <w:p w14:paraId="1E1F0881" w14:textId="77777777" w:rsidR="00153695" w:rsidRPr="00153695" w:rsidRDefault="00153695" w:rsidP="00153695">
      <w:pPr>
        <w:pStyle w:val="ListParagraph"/>
        <w:rPr>
          <w:rFonts w:ascii="Times New Roman" w:hAnsi="Times New Roman"/>
          <w:b/>
          <w:sz w:val="24"/>
          <w:szCs w:val="24"/>
          <w:u w:val="single"/>
          <w:lang w:val="es-ES"/>
        </w:rPr>
      </w:pPr>
    </w:p>
    <w:p w14:paraId="2795F9DB" w14:textId="77777777" w:rsidR="00153695" w:rsidRPr="00153695" w:rsidRDefault="00775548" w:rsidP="00153695">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153695">
        <w:rPr>
          <w:rFonts w:ascii="Times New Roman" w:hAnsi="Times New Roman"/>
          <w:b/>
          <w:sz w:val="24"/>
          <w:szCs w:val="24"/>
          <w:u w:val="single"/>
          <w:lang w:val="es-ES"/>
        </w:rPr>
        <w:t>Contexto Regional</w:t>
      </w:r>
      <w:r w:rsidR="001569CC" w:rsidRPr="00153695">
        <w:rPr>
          <w:rFonts w:ascii="Times New Roman" w:hAnsi="Times New Roman"/>
          <w:b/>
          <w:sz w:val="24"/>
          <w:szCs w:val="24"/>
          <w:u w:val="single"/>
          <w:lang w:val="es-ES"/>
        </w:rPr>
        <w:t>,</w:t>
      </w:r>
    </w:p>
    <w:p w14:paraId="3F9F1ADA" w14:textId="77777777" w:rsidR="00153695" w:rsidRPr="00153695" w:rsidRDefault="00153695" w:rsidP="00153695">
      <w:pPr>
        <w:pStyle w:val="ListParagraph"/>
        <w:rPr>
          <w:rFonts w:ascii="Times New Roman" w:hAnsi="Times New Roman"/>
          <w:sz w:val="24"/>
          <w:szCs w:val="24"/>
          <w:lang w:val="es-ES"/>
        </w:rPr>
      </w:pPr>
    </w:p>
    <w:p w14:paraId="0BCB55A6" w14:textId="77777777" w:rsidR="00836AAC" w:rsidRPr="0044376A" w:rsidRDefault="00836AAC" w:rsidP="00836AAC">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44376A">
        <w:rPr>
          <w:rFonts w:ascii="Times New Roman" w:hAnsi="Times New Roman"/>
          <w:sz w:val="24"/>
          <w:szCs w:val="24"/>
          <w:lang w:val="es-ES"/>
        </w:rPr>
        <w:t xml:space="preserve">En el contexto internacional actual de bajo crecimiento económico global, el estado de la integración económica regional de los países de América Latina y el Caribe cobra vital importancia. En el </w:t>
      </w:r>
      <w:r w:rsidRPr="0044376A">
        <w:rPr>
          <w:rFonts w:ascii="Times New Roman" w:hAnsi="Times New Roman"/>
          <w:i/>
          <w:sz w:val="24"/>
          <w:szCs w:val="24"/>
          <w:lang w:val="es-ES"/>
        </w:rPr>
        <w:t xml:space="preserve">Informe macroeconómico de América Latina y el Caribe 2017; Caminos para crecer en un nuevo mundo comercial, </w:t>
      </w:r>
      <w:r w:rsidRPr="0044376A">
        <w:rPr>
          <w:rFonts w:ascii="Times New Roman" w:hAnsi="Times New Roman"/>
          <w:sz w:val="24"/>
          <w:szCs w:val="24"/>
          <w:lang w:val="es-ES"/>
        </w:rPr>
        <w:t>el Banco Interamericano de Desarrollo, basándose en el análisis de los shocks externos</w:t>
      </w:r>
      <w:r>
        <w:rPr>
          <w:rFonts w:ascii="Times New Roman" w:hAnsi="Times New Roman"/>
          <w:sz w:val="24"/>
          <w:szCs w:val="24"/>
          <w:lang w:val="es-ES"/>
        </w:rPr>
        <w:t xml:space="preserve"> relacionados a los fenómenos que afectan el flujo de recursos de las economías (como los precios internacionales de las materias primas, la demanda mundial de bienes y servicios y la tasa de interés de EEUU)</w:t>
      </w:r>
      <w:r w:rsidRPr="0044376A">
        <w:rPr>
          <w:rFonts w:ascii="Times New Roman" w:hAnsi="Times New Roman"/>
          <w:sz w:val="24"/>
          <w:szCs w:val="24"/>
          <w:lang w:val="es-ES"/>
        </w:rPr>
        <w:t>, la situación interna de los países de América Latina y el avance en el desarrollo de los mercados regionales, establece que</w:t>
      </w:r>
      <w:r>
        <w:rPr>
          <w:rFonts w:ascii="Times New Roman" w:hAnsi="Times New Roman"/>
          <w:sz w:val="24"/>
          <w:szCs w:val="24"/>
          <w:lang w:val="es-ES"/>
        </w:rPr>
        <w:t>;</w:t>
      </w:r>
      <w:r w:rsidRPr="0044376A">
        <w:rPr>
          <w:rFonts w:ascii="Times New Roman" w:hAnsi="Times New Roman"/>
          <w:sz w:val="24"/>
          <w:szCs w:val="24"/>
          <w:lang w:val="es-ES"/>
        </w:rPr>
        <w:t xml:space="preserve"> independientemente del escenario comercial predominante, la región sólo puede ganar con un mercado interno más fuerte, más eficiente y plenamente integrado. La incertidumbre relacionada al posible aumento de las restricci</w:t>
      </w:r>
      <w:r>
        <w:rPr>
          <w:rFonts w:ascii="Times New Roman" w:hAnsi="Times New Roman"/>
          <w:sz w:val="24"/>
          <w:szCs w:val="24"/>
          <w:lang w:val="es-ES"/>
        </w:rPr>
        <w:t xml:space="preserve">ones de la política comercial </w:t>
      </w:r>
      <w:r w:rsidRPr="0044376A">
        <w:rPr>
          <w:rFonts w:ascii="Times New Roman" w:hAnsi="Times New Roman"/>
          <w:sz w:val="24"/>
          <w:szCs w:val="24"/>
          <w:lang w:val="es-ES"/>
        </w:rPr>
        <w:t xml:space="preserve">global establecidas por parte de las economías avanzadas y el probable entorno negativo para </w:t>
      </w:r>
      <w:r>
        <w:rPr>
          <w:rFonts w:ascii="Times New Roman" w:hAnsi="Times New Roman"/>
          <w:sz w:val="24"/>
          <w:szCs w:val="24"/>
          <w:lang w:val="es-ES"/>
        </w:rPr>
        <w:t>los nuevos</w:t>
      </w:r>
      <w:r w:rsidRPr="0044376A">
        <w:rPr>
          <w:rFonts w:ascii="Times New Roman" w:hAnsi="Times New Roman"/>
          <w:sz w:val="24"/>
          <w:szCs w:val="24"/>
          <w:lang w:val="es-ES"/>
        </w:rPr>
        <w:t xml:space="preserve"> tratados comerciales globales se suma a los motivos por los que los países deben pasar a la acción en la agenda de integración regional. </w:t>
      </w:r>
    </w:p>
    <w:p w14:paraId="0E6FAF0E" w14:textId="77777777" w:rsidR="00A13709" w:rsidRDefault="00A13709" w:rsidP="00A13709">
      <w:pPr>
        <w:tabs>
          <w:tab w:val="left" w:pos="270"/>
          <w:tab w:val="left" w:pos="360"/>
          <w:tab w:val="left" w:pos="450"/>
          <w:tab w:val="left" w:pos="2085"/>
        </w:tabs>
        <w:spacing w:after="0" w:line="240" w:lineRule="auto"/>
        <w:jc w:val="both"/>
        <w:rPr>
          <w:rFonts w:ascii="Times New Roman" w:hAnsi="Times New Roman"/>
          <w:sz w:val="24"/>
          <w:szCs w:val="24"/>
          <w:lang w:val="es-ES"/>
        </w:rPr>
      </w:pPr>
    </w:p>
    <w:p w14:paraId="1D3C846F" w14:textId="3E7C2A47" w:rsidR="00F52EA4" w:rsidRDefault="00432BA1" w:rsidP="007E5266">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FC141B">
        <w:rPr>
          <w:rFonts w:ascii="Times New Roman" w:hAnsi="Times New Roman"/>
          <w:sz w:val="24"/>
          <w:szCs w:val="24"/>
          <w:lang w:val="es-ES"/>
        </w:rPr>
        <w:t xml:space="preserve">Bolivia ha tenido una participación activa en los procesos de integración suramericana, existiendo una clara </w:t>
      </w:r>
      <w:r w:rsidR="00E002D2" w:rsidRPr="00FC141B">
        <w:rPr>
          <w:rFonts w:ascii="Times New Roman" w:hAnsi="Times New Roman"/>
          <w:sz w:val="24"/>
          <w:szCs w:val="24"/>
          <w:lang w:val="es-ES"/>
        </w:rPr>
        <w:t>decisión</w:t>
      </w:r>
      <w:r w:rsidRPr="00FC141B">
        <w:rPr>
          <w:rFonts w:ascii="Times New Roman" w:hAnsi="Times New Roman"/>
          <w:sz w:val="24"/>
          <w:szCs w:val="24"/>
          <w:lang w:val="es-ES"/>
        </w:rPr>
        <w:t xml:space="preserve"> del </w:t>
      </w:r>
      <w:r w:rsidR="00A51673" w:rsidRPr="00FC141B">
        <w:rPr>
          <w:rFonts w:ascii="Times New Roman" w:hAnsi="Times New Roman"/>
          <w:sz w:val="24"/>
          <w:szCs w:val="24"/>
          <w:lang w:val="es-ES"/>
        </w:rPr>
        <w:t>Gobierno de Bolivia (</w:t>
      </w:r>
      <w:r w:rsidRPr="00FC141B">
        <w:rPr>
          <w:rFonts w:ascii="Times New Roman" w:hAnsi="Times New Roman"/>
          <w:sz w:val="24"/>
          <w:szCs w:val="24"/>
          <w:lang w:val="es-ES"/>
        </w:rPr>
        <w:t>GdB</w:t>
      </w:r>
      <w:r w:rsidR="00A51673" w:rsidRPr="00FC141B">
        <w:rPr>
          <w:rFonts w:ascii="Times New Roman" w:hAnsi="Times New Roman"/>
          <w:sz w:val="24"/>
          <w:szCs w:val="24"/>
          <w:lang w:val="es-ES"/>
        </w:rPr>
        <w:t>)</w:t>
      </w:r>
      <w:r w:rsidRPr="00FC141B">
        <w:rPr>
          <w:rFonts w:ascii="Times New Roman" w:hAnsi="Times New Roman"/>
          <w:sz w:val="24"/>
          <w:szCs w:val="24"/>
          <w:lang w:val="es-ES"/>
        </w:rPr>
        <w:t xml:space="preserve"> de promover la integración económica del país en diversas iniciativas regionales. En el Plan de Desarrollo Económico y Social 2016-2020 se establece como prioridad de </w:t>
      </w:r>
      <w:r w:rsidR="00B47F90" w:rsidRPr="00FC141B">
        <w:rPr>
          <w:rFonts w:ascii="Times New Roman" w:hAnsi="Times New Roman"/>
          <w:sz w:val="24"/>
          <w:szCs w:val="24"/>
          <w:lang w:val="es-ES"/>
        </w:rPr>
        <w:t>la política gubernamental</w:t>
      </w:r>
      <w:r w:rsidRPr="00FC141B">
        <w:rPr>
          <w:rFonts w:ascii="Times New Roman" w:hAnsi="Times New Roman"/>
          <w:sz w:val="24"/>
          <w:szCs w:val="24"/>
          <w:lang w:val="es-ES"/>
        </w:rPr>
        <w:t>; el fortalecimiento de la integración regional</w:t>
      </w:r>
      <w:r w:rsidR="00DF5431" w:rsidRPr="00FC141B">
        <w:rPr>
          <w:rFonts w:ascii="Times New Roman" w:hAnsi="Times New Roman"/>
          <w:sz w:val="24"/>
          <w:szCs w:val="24"/>
          <w:lang w:val="es-ES"/>
        </w:rPr>
        <w:t>,</w:t>
      </w:r>
      <w:r w:rsidRPr="00FC141B">
        <w:rPr>
          <w:rFonts w:ascii="Times New Roman" w:hAnsi="Times New Roman"/>
          <w:sz w:val="24"/>
          <w:szCs w:val="24"/>
          <w:lang w:val="es-ES"/>
        </w:rPr>
        <w:t xml:space="preserve"> estableciendo una serie de metas enfocadas al desarrollo de la integración física a través de inversiones para la construcción, mejoramiento y mantenimiento de la infraestructura en los diferentes modos de transporte</w:t>
      </w:r>
      <w:r w:rsidR="00C0696E" w:rsidRPr="00FC141B">
        <w:rPr>
          <w:rFonts w:ascii="Times New Roman" w:hAnsi="Times New Roman"/>
          <w:sz w:val="24"/>
          <w:szCs w:val="24"/>
          <w:lang w:val="es-ES"/>
        </w:rPr>
        <w:t xml:space="preserve"> relevantes para la economía boliviana</w:t>
      </w:r>
      <w:r w:rsidRPr="00FC141B">
        <w:rPr>
          <w:rFonts w:ascii="Times New Roman" w:hAnsi="Times New Roman"/>
          <w:sz w:val="24"/>
          <w:szCs w:val="24"/>
          <w:lang w:val="es-ES"/>
        </w:rPr>
        <w:t xml:space="preserve">. </w:t>
      </w:r>
    </w:p>
    <w:p w14:paraId="0B94960A" w14:textId="77777777" w:rsidR="00985197" w:rsidRPr="00985197" w:rsidRDefault="00985197" w:rsidP="00985197">
      <w:pPr>
        <w:pStyle w:val="ListParagraph"/>
        <w:rPr>
          <w:rFonts w:ascii="Times New Roman" w:hAnsi="Times New Roman"/>
          <w:sz w:val="24"/>
          <w:szCs w:val="24"/>
          <w:lang w:val="es-ES"/>
        </w:rPr>
      </w:pPr>
    </w:p>
    <w:p w14:paraId="71BE9D39" w14:textId="1857CD17" w:rsidR="00FC141B" w:rsidRPr="00FC141B" w:rsidRDefault="000F6C9B" w:rsidP="003B7B47">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
        </w:rPr>
      </w:pPr>
      <w:r w:rsidRPr="00FC141B">
        <w:rPr>
          <w:rFonts w:ascii="Times New Roman" w:hAnsi="Times New Roman"/>
          <w:sz w:val="24"/>
          <w:szCs w:val="24"/>
          <w:lang w:val="es-ES"/>
        </w:rPr>
        <w:t>En relación</w:t>
      </w:r>
      <w:r w:rsidR="00432BA1" w:rsidRPr="00FC141B">
        <w:rPr>
          <w:rFonts w:ascii="Times New Roman" w:hAnsi="Times New Roman"/>
          <w:sz w:val="24"/>
          <w:szCs w:val="24"/>
          <w:lang w:val="es-ES"/>
        </w:rPr>
        <w:t xml:space="preserve"> a la participación en los procesos de integración </w:t>
      </w:r>
      <w:r w:rsidR="00CF3BA8" w:rsidRPr="00FC141B">
        <w:rPr>
          <w:rFonts w:ascii="Times New Roman" w:hAnsi="Times New Roman"/>
          <w:sz w:val="24"/>
          <w:szCs w:val="24"/>
          <w:lang w:val="es-ES"/>
        </w:rPr>
        <w:t>de</w:t>
      </w:r>
      <w:r w:rsidR="00432BA1" w:rsidRPr="00FC141B">
        <w:rPr>
          <w:rFonts w:ascii="Times New Roman" w:hAnsi="Times New Roman"/>
          <w:sz w:val="24"/>
          <w:szCs w:val="24"/>
          <w:lang w:val="es-ES"/>
        </w:rPr>
        <w:t xml:space="preserve"> Suramérica, </w:t>
      </w:r>
      <w:r w:rsidR="003449E6" w:rsidRPr="00FC141B">
        <w:rPr>
          <w:rFonts w:ascii="Times New Roman" w:hAnsi="Times New Roman"/>
          <w:sz w:val="24"/>
          <w:szCs w:val="24"/>
          <w:lang w:val="es-ES"/>
        </w:rPr>
        <w:t xml:space="preserve">Bolivia es </w:t>
      </w:r>
      <w:r w:rsidR="0041386F" w:rsidRPr="00FC141B">
        <w:rPr>
          <w:rFonts w:ascii="Times New Roman" w:hAnsi="Times New Roman"/>
          <w:sz w:val="24"/>
          <w:szCs w:val="24"/>
          <w:lang w:val="es-ES"/>
        </w:rPr>
        <w:t>miembro de la Unión de Naciones Suramericanas (UNASUR)</w:t>
      </w:r>
      <w:r w:rsidR="00D90EC5" w:rsidRPr="00FC141B">
        <w:rPr>
          <w:rFonts w:ascii="Times New Roman" w:hAnsi="Times New Roman"/>
          <w:sz w:val="24"/>
          <w:szCs w:val="24"/>
          <w:lang w:val="es-ES"/>
        </w:rPr>
        <w:t>. Dentro de esta iniciativa</w:t>
      </w:r>
      <w:r w:rsidR="009F784A">
        <w:rPr>
          <w:rFonts w:ascii="Times New Roman" w:hAnsi="Times New Roman"/>
          <w:sz w:val="24"/>
          <w:szCs w:val="24"/>
          <w:lang w:val="es-ES"/>
        </w:rPr>
        <w:t xml:space="preserve"> y en particular de su Consejo de Infraestructura y Planificación (COSIPLAN)</w:t>
      </w:r>
      <w:r w:rsidR="00D405E9">
        <w:rPr>
          <w:rFonts w:ascii="Times New Roman" w:hAnsi="Times New Roman"/>
          <w:sz w:val="24"/>
          <w:szCs w:val="24"/>
          <w:lang w:val="es-ES"/>
        </w:rPr>
        <w:t>,</w:t>
      </w:r>
      <w:r w:rsidR="00D90EC5" w:rsidRPr="00FC141B">
        <w:rPr>
          <w:rFonts w:ascii="Times New Roman" w:hAnsi="Times New Roman"/>
          <w:sz w:val="24"/>
          <w:szCs w:val="24"/>
          <w:lang w:val="es-ES"/>
        </w:rPr>
        <w:t xml:space="preserve"> Bolivia es parte </w:t>
      </w:r>
      <w:r w:rsidR="005A1115" w:rsidRPr="00FC141B">
        <w:rPr>
          <w:rFonts w:ascii="Times New Roman" w:hAnsi="Times New Roman"/>
          <w:sz w:val="24"/>
          <w:szCs w:val="24"/>
          <w:lang w:val="es-ES"/>
        </w:rPr>
        <w:t xml:space="preserve">del Foro técnico para la planificación </w:t>
      </w:r>
      <w:r w:rsidR="00571743" w:rsidRPr="00FC141B">
        <w:rPr>
          <w:rFonts w:ascii="Times New Roman" w:hAnsi="Times New Roman"/>
          <w:sz w:val="24"/>
          <w:szCs w:val="24"/>
          <w:lang w:val="es-ES"/>
        </w:rPr>
        <w:t xml:space="preserve">y desarrollo de </w:t>
      </w:r>
      <w:r w:rsidR="005A1115" w:rsidRPr="00FC141B">
        <w:rPr>
          <w:rFonts w:ascii="Times New Roman" w:hAnsi="Times New Roman"/>
          <w:sz w:val="24"/>
          <w:szCs w:val="24"/>
          <w:lang w:val="es-ES"/>
        </w:rPr>
        <w:t xml:space="preserve">la infraestructura del territorio suramericano </w:t>
      </w:r>
      <w:r w:rsidR="00571743" w:rsidRPr="00FC141B">
        <w:rPr>
          <w:rFonts w:ascii="Times New Roman" w:hAnsi="Times New Roman"/>
          <w:sz w:val="24"/>
          <w:szCs w:val="24"/>
          <w:lang w:val="es-ES"/>
        </w:rPr>
        <w:t>a través de la</w:t>
      </w:r>
      <w:r w:rsidR="005A1115" w:rsidRPr="00FC141B">
        <w:rPr>
          <w:rFonts w:ascii="Times New Roman" w:hAnsi="Times New Roman"/>
          <w:sz w:val="24"/>
          <w:szCs w:val="24"/>
          <w:lang w:val="es-ES"/>
        </w:rPr>
        <w:t xml:space="preserve"> </w:t>
      </w:r>
      <w:r w:rsidR="00432BA1" w:rsidRPr="00FC141B">
        <w:rPr>
          <w:rFonts w:ascii="Times New Roman" w:hAnsi="Times New Roman"/>
          <w:sz w:val="24"/>
          <w:szCs w:val="24"/>
          <w:lang w:val="es-ES"/>
        </w:rPr>
        <w:t>Iniciativa para la Integración de la Infraestructura Regional Suramericana (IIRSA)</w:t>
      </w:r>
      <w:r w:rsidR="007F60E3">
        <w:rPr>
          <w:rStyle w:val="FootnoteReference"/>
          <w:szCs w:val="24"/>
          <w:lang w:val="es-ES"/>
        </w:rPr>
        <w:footnoteReference w:id="5"/>
      </w:r>
      <w:r w:rsidR="005A1115" w:rsidRPr="00FC141B">
        <w:rPr>
          <w:rFonts w:ascii="Times New Roman" w:hAnsi="Times New Roman"/>
          <w:sz w:val="24"/>
          <w:szCs w:val="24"/>
          <w:lang w:val="es-ES"/>
        </w:rPr>
        <w:t xml:space="preserve">. </w:t>
      </w:r>
      <w:r w:rsidR="009F784A">
        <w:rPr>
          <w:rFonts w:ascii="Times New Roman" w:hAnsi="Times New Roman"/>
          <w:sz w:val="24"/>
          <w:szCs w:val="24"/>
          <w:lang w:val="es-ES"/>
        </w:rPr>
        <w:t xml:space="preserve">Por el </w:t>
      </w:r>
      <w:r w:rsidR="009F784A">
        <w:rPr>
          <w:rFonts w:ascii="Times New Roman" w:hAnsi="Times New Roman"/>
          <w:sz w:val="24"/>
          <w:szCs w:val="24"/>
          <w:lang w:val="es-ES"/>
        </w:rPr>
        <w:lastRenderedPageBreak/>
        <w:t>territorio Boliviano discurren</w:t>
      </w:r>
      <w:r w:rsidR="00432BA1" w:rsidRPr="00FC141B">
        <w:rPr>
          <w:rFonts w:ascii="Times New Roman" w:hAnsi="Times New Roman"/>
          <w:sz w:val="24"/>
          <w:szCs w:val="24"/>
          <w:lang w:val="es-ES"/>
        </w:rPr>
        <w:t xml:space="preserve"> 5 (de los 9) Ejes de Integración y Desarrollo</w:t>
      </w:r>
      <w:r w:rsidR="004253E8">
        <w:rPr>
          <w:rStyle w:val="FootnoteReference"/>
          <w:szCs w:val="24"/>
          <w:lang w:val="es-ES"/>
        </w:rPr>
        <w:footnoteReference w:id="6"/>
      </w:r>
      <w:r w:rsidR="00432BA1" w:rsidRPr="00FC141B">
        <w:rPr>
          <w:rFonts w:ascii="Times New Roman" w:hAnsi="Times New Roman"/>
          <w:sz w:val="24"/>
          <w:szCs w:val="24"/>
          <w:lang w:val="es-ES"/>
        </w:rPr>
        <w:t xml:space="preserve">, demostrando así una alta importancia relativa del país en el </w:t>
      </w:r>
      <w:r w:rsidRPr="00FC141B">
        <w:rPr>
          <w:rFonts w:ascii="Times New Roman" w:hAnsi="Times New Roman"/>
          <w:sz w:val="24"/>
          <w:szCs w:val="24"/>
          <w:lang w:val="es-ES"/>
        </w:rPr>
        <w:t>progreso</w:t>
      </w:r>
      <w:r w:rsidR="00432BA1" w:rsidRPr="00FC141B">
        <w:rPr>
          <w:rFonts w:ascii="Times New Roman" w:hAnsi="Times New Roman"/>
          <w:sz w:val="24"/>
          <w:szCs w:val="24"/>
          <w:lang w:val="es-ES"/>
        </w:rPr>
        <w:t xml:space="preserve"> de la Iniciativa</w:t>
      </w:r>
      <w:r w:rsidR="00B47319">
        <w:rPr>
          <w:rStyle w:val="FootnoteReference"/>
          <w:szCs w:val="24"/>
          <w:lang w:val="es-ES"/>
        </w:rPr>
        <w:footnoteReference w:id="7"/>
      </w:r>
      <w:r w:rsidR="00432BA1" w:rsidRPr="00FC141B">
        <w:rPr>
          <w:rFonts w:ascii="Times New Roman" w:hAnsi="Times New Roman"/>
          <w:sz w:val="24"/>
          <w:szCs w:val="24"/>
          <w:lang w:val="es-ES"/>
        </w:rPr>
        <w:t xml:space="preserve">. </w:t>
      </w:r>
      <w:r w:rsidR="000C7AF8" w:rsidRPr="00FC141B">
        <w:rPr>
          <w:rFonts w:ascii="Times New Roman" w:hAnsi="Times New Roman"/>
          <w:sz w:val="24"/>
          <w:szCs w:val="24"/>
          <w:lang w:val="es-ES"/>
        </w:rPr>
        <w:t xml:space="preserve">Adicionalmente, </w:t>
      </w:r>
      <w:r w:rsidR="00A20A16" w:rsidRPr="00FC141B">
        <w:rPr>
          <w:rFonts w:ascii="Times New Roman" w:hAnsi="Times New Roman"/>
          <w:sz w:val="24"/>
          <w:szCs w:val="24"/>
          <w:lang w:val="es-ES_tradnl"/>
        </w:rPr>
        <w:t>Bolivia es miembro de la Comunidad Andina (CAN)</w:t>
      </w:r>
      <w:r w:rsidR="002736A6">
        <w:rPr>
          <w:rStyle w:val="FootnoteReference"/>
          <w:szCs w:val="24"/>
          <w:lang w:val="es-ES_tradnl"/>
        </w:rPr>
        <w:footnoteReference w:id="8"/>
      </w:r>
      <w:r w:rsidR="00A20A16" w:rsidRPr="00FC141B">
        <w:rPr>
          <w:rFonts w:ascii="Times New Roman" w:hAnsi="Times New Roman"/>
          <w:sz w:val="24"/>
          <w:szCs w:val="24"/>
          <w:lang w:val="es-ES_tradnl"/>
        </w:rPr>
        <w:t xml:space="preserve"> y</w:t>
      </w:r>
      <w:r w:rsidR="00B47319" w:rsidRPr="00FC141B">
        <w:rPr>
          <w:rFonts w:ascii="Times New Roman" w:hAnsi="Times New Roman"/>
          <w:sz w:val="24"/>
          <w:szCs w:val="24"/>
          <w:lang w:val="es-ES_tradnl"/>
        </w:rPr>
        <w:t xml:space="preserve"> se encuentra en proceso de adhesión al Me</w:t>
      </w:r>
      <w:r w:rsidR="00A20A16" w:rsidRPr="00FC141B">
        <w:rPr>
          <w:rFonts w:ascii="Times New Roman" w:hAnsi="Times New Roman"/>
          <w:sz w:val="24"/>
          <w:szCs w:val="24"/>
          <w:lang w:val="es-ES_tradnl"/>
        </w:rPr>
        <w:t>rcado Común del Sur (MERCOSUR</w:t>
      </w:r>
      <w:r w:rsidR="0021676B" w:rsidRPr="00FC141B">
        <w:rPr>
          <w:rFonts w:ascii="Times New Roman" w:hAnsi="Times New Roman"/>
          <w:sz w:val="24"/>
          <w:szCs w:val="24"/>
          <w:lang w:val="es-ES_tradnl"/>
        </w:rPr>
        <w:t>)</w:t>
      </w:r>
      <w:r w:rsidR="002736A6">
        <w:rPr>
          <w:rStyle w:val="FootnoteReference"/>
          <w:szCs w:val="24"/>
          <w:lang w:val="es-ES_tradnl"/>
        </w:rPr>
        <w:footnoteReference w:id="9"/>
      </w:r>
      <w:r w:rsidR="00A20A16" w:rsidRPr="00FC141B">
        <w:rPr>
          <w:rFonts w:ascii="Times New Roman" w:hAnsi="Times New Roman"/>
          <w:sz w:val="24"/>
          <w:szCs w:val="24"/>
          <w:lang w:val="es-ES_tradnl"/>
        </w:rPr>
        <w:t xml:space="preserve">. La </w:t>
      </w:r>
      <w:r w:rsidR="00210E3F" w:rsidRPr="00FC141B">
        <w:rPr>
          <w:rFonts w:ascii="Times New Roman" w:hAnsi="Times New Roman"/>
          <w:sz w:val="24"/>
          <w:szCs w:val="24"/>
          <w:lang w:val="es-ES_tradnl"/>
        </w:rPr>
        <w:t>participación</w:t>
      </w:r>
      <w:r w:rsidR="00A20A16" w:rsidRPr="00FC141B">
        <w:rPr>
          <w:rFonts w:ascii="Times New Roman" w:hAnsi="Times New Roman"/>
          <w:sz w:val="24"/>
          <w:szCs w:val="24"/>
          <w:lang w:val="es-ES_tradnl"/>
        </w:rPr>
        <w:t xml:space="preserve"> de Bolivia </w:t>
      </w:r>
      <w:r w:rsidR="00210E3F" w:rsidRPr="00FC141B">
        <w:rPr>
          <w:rFonts w:ascii="Times New Roman" w:hAnsi="Times New Roman"/>
          <w:sz w:val="24"/>
          <w:szCs w:val="24"/>
          <w:lang w:val="es-ES_tradnl"/>
        </w:rPr>
        <w:t>en</w:t>
      </w:r>
      <w:r w:rsidR="00A20A16" w:rsidRPr="00FC141B">
        <w:rPr>
          <w:rFonts w:ascii="Times New Roman" w:hAnsi="Times New Roman"/>
          <w:sz w:val="24"/>
          <w:szCs w:val="24"/>
          <w:lang w:val="es-ES_tradnl"/>
        </w:rPr>
        <w:t xml:space="preserve"> estas iniciativas, le otorgan un marco de oportunidades para </w:t>
      </w:r>
      <w:r w:rsidR="0057684D" w:rsidRPr="00FC141B">
        <w:rPr>
          <w:rFonts w:ascii="Times New Roman" w:hAnsi="Times New Roman"/>
          <w:sz w:val="24"/>
          <w:szCs w:val="24"/>
          <w:lang w:val="es-ES_tradnl"/>
        </w:rPr>
        <w:t>incrementar la competitividad de su economía, sin embargo, lo anterior se encuentra</w:t>
      </w:r>
      <w:r w:rsidR="00A20A16" w:rsidRPr="00FC141B">
        <w:rPr>
          <w:rFonts w:ascii="Times New Roman" w:hAnsi="Times New Roman"/>
          <w:sz w:val="24"/>
          <w:szCs w:val="24"/>
          <w:lang w:val="es-ES_tradnl"/>
        </w:rPr>
        <w:t xml:space="preserve"> sujeto a </w:t>
      </w:r>
      <w:r w:rsidR="0057684D" w:rsidRPr="00FC141B">
        <w:rPr>
          <w:rFonts w:ascii="Times New Roman" w:hAnsi="Times New Roman"/>
          <w:sz w:val="24"/>
          <w:szCs w:val="24"/>
          <w:lang w:val="es-ES_tradnl"/>
        </w:rPr>
        <w:t xml:space="preserve">importantes </w:t>
      </w:r>
      <w:r w:rsidR="00A20A16" w:rsidRPr="00FC141B">
        <w:rPr>
          <w:rFonts w:ascii="Times New Roman" w:hAnsi="Times New Roman"/>
          <w:sz w:val="24"/>
          <w:szCs w:val="24"/>
          <w:lang w:val="es-ES_tradnl"/>
        </w:rPr>
        <w:t xml:space="preserve">retos domésticos </w:t>
      </w:r>
      <w:r w:rsidR="000C7AF8" w:rsidRPr="00FC141B">
        <w:rPr>
          <w:rFonts w:ascii="Times New Roman" w:hAnsi="Times New Roman"/>
          <w:sz w:val="24"/>
          <w:szCs w:val="24"/>
          <w:lang w:val="es-ES_tradnl"/>
        </w:rPr>
        <w:t xml:space="preserve">relacionados al desarrollo de </w:t>
      </w:r>
      <w:r w:rsidR="00067B31" w:rsidRPr="00FC141B">
        <w:rPr>
          <w:rFonts w:ascii="Times New Roman" w:hAnsi="Times New Roman"/>
          <w:sz w:val="24"/>
          <w:szCs w:val="24"/>
          <w:lang w:val="es-ES_tradnl"/>
        </w:rPr>
        <w:t>la</w:t>
      </w:r>
      <w:r w:rsidR="000C7AF8" w:rsidRPr="00FC141B">
        <w:rPr>
          <w:rFonts w:ascii="Times New Roman" w:hAnsi="Times New Roman"/>
          <w:sz w:val="24"/>
          <w:szCs w:val="24"/>
          <w:lang w:val="es-ES_tradnl"/>
        </w:rPr>
        <w:t xml:space="preserve"> infraestructura productiva que le permita lograr una</w:t>
      </w:r>
      <w:r w:rsidR="00A20A16" w:rsidRPr="00FC141B">
        <w:rPr>
          <w:rFonts w:ascii="Times New Roman" w:hAnsi="Times New Roman"/>
          <w:sz w:val="24"/>
          <w:szCs w:val="24"/>
          <w:lang w:val="es-ES_tradnl"/>
        </w:rPr>
        <w:t xml:space="preserve"> efectiva inserción a los mercados regionales y globales</w:t>
      </w:r>
      <w:r w:rsidR="00660BC6">
        <w:rPr>
          <w:rStyle w:val="FootnoteReference"/>
          <w:szCs w:val="24"/>
          <w:lang w:val="es-ES_tradnl"/>
        </w:rPr>
        <w:footnoteReference w:id="10"/>
      </w:r>
      <w:r w:rsidR="00A20A16" w:rsidRPr="00FC141B">
        <w:rPr>
          <w:rFonts w:ascii="Times New Roman" w:hAnsi="Times New Roman"/>
          <w:sz w:val="24"/>
          <w:szCs w:val="24"/>
          <w:lang w:val="es-ES_tradnl"/>
        </w:rPr>
        <w:t>.</w:t>
      </w:r>
      <w:r w:rsidR="003211A5" w:rsidRPr="00FC141B">
        <w:rPr>
          <w:rFonts w:ascii="Times New Roman" w:hAnsi="Times New Roman"/>
          <w:sz w:val="24"/>
          <w:szCs w:val="24"/>
          <w:lang w:val="es-ES_tradnl"/>
        </w:rPr>
        <w:t xml:space="preserve"> </w:t>
      </w:r>
    </w:p>
    <w:p w14:paraId="38A281A1" w14:textId="77777777" w:rsidR="00FC141B" w:rsidRPr="00FC141B" w:rsidRDefault="00FC141B" w:rsidP="00FC141B">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
        </w:rPr>
      </w:pPr>
    </w:p>
    <w:p w14:paraId="4D53C2F2" w14:textId="7B63B1A3" w:rsidR="00BE5B41" w:rsidRDefault="003B7B47" w:rsidP="007E5266">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BE5B41">
        <w:rPr>
          <w:rFonts w:ascii="Times New Roman" w:hAnsi="Times New Roman"/>
          <w:sz w:val="24"/>
          <w:szCs w:val="24"/>
          <w:lang w:val="es-ES_tradnl"/>
        </w:rPr>
        <w:t>La participación del comercio de Bolivia en las principales iniciativas de integración del cono sur ha tenido una tendencia creciente. En 2015, las exportaciones de Bolivia a la zona económica del MERCOSUR representaron el 45% de</w:t>
      </w:r>
      <w:r w:rsidR="00005E7F">
        <w:rPr>
          <w:rFonts w:ascii="Times New Roman" w:hAnsi="Times New Roman"/>
          <w:sz w:val="24"/>
          <w:szCs w:val="24"/>
          <w:lang w:val="es-ES_tradnl"/>
        </w:rPr>
        <w:t xml:space="preserve">l </w:t>
      </w:r>
      <w:r w:rsidR="00300506">
        <w:rPr>
          <w:rFonts w:ascii="Times New Roman" w:hAnsi="Times New Roman"/>
          <w:sz w:val="24"/>
          <w:szCs w:val="24"/>
          <w:lang w:val="es-ES_tradnl"/>
        </w:rPr>
        <w:t>valor</w:t>
      </w:r>
      <w:r w:rsidR="00005E7F">
        <w:rPr>
          <w:rFonts w:ascii="Times New Roman" w:hAnsi="Times New Roman"/>
          <w:sz w:val="24"/>
          <w:szCs w:val="24"/>
          <w:lang w:val="es-ES_tradnl"/>
        </w:rPr>
        <w:t xml:space="preserve"> de</w:t>
      </w:r>
      <w:r w:rsidRPr="00BE5B41">
        <w:rPr>
          <w:rFonts w:ascii="Times New Roman" w:hAnsi="Times New Roman"/>
          <w:sz w:val="24"/>
          <w:szCs w:val="24"/>
          <w:lang w:val="es-ES_tradnl"/>
        </w:rPr>
        <w:t xml:space="preserve"> las exportaciones totales</w:t>
      </w:r>
      <w:r w:rsidR="00300506">
        <w:rPr>
          <w:rFonts w:ascii="Times New Roman" w:hAnsi="Times New Roman"/>
          <w:sz w:val="24"/>
          <w:szCs w:val="24"/>
          <w:lang w:val="es-ES_tradnl"/>
        </w:rPr>
        <w:t>, mientras que</w:t>
      </w:r>
      <w:r w:rsidRPr="00BE5B41">
        <w:rPr>
          <w:rFonts w:ascii="Times New Roman" w:hAnsi="Times New Roman"/>
          <w:sz w:val="24"/>
          <w:szCs w:val="24"/>
          <w:lang w:val="es-ES_tradnl"/>
        </w:rPr>
        <w:t xml:space="preserve"> las exportaciones hacia la CAN representaron el 11% de las mismas</w:t>
      </w:r>
      <w:r w:rsidR="008D20AB" w:rsidRPr="00BE5B41">
        <w:rPr>
          <w:rFonts w:ascii="Times New Roman" w:hAnsi="Times New Roman"/>
          <w:sz w:val="24"/>
          <w:szCs w:val="24"/>
          <w:lang w:val="es-ES_tradnl"/>
        </w:rPr>
        <w:t xml:space="preserve"> (Ver Figura No. 1)</w:t>
      </w:r>
      <w:r w:rsidRPr="00BE5B41">
        <w:rPr>
          <w:rFonts w:ascii="Times New Roman" w:hAnsi="Times New Roman"/>
          <w:sz w:val="24"/>
          <w:szCs w:val="24"/>
          <w:lang w:val="es-ES_tradnl"/>
        </w:rPr>
        <w:t xml:space="preserve">. Con respecto a las importaciones, el 29% tienen como origen el MERCOSUR y 9% tienen de origen la CAN. El peso relativo </w:t>
      </w:r>
      <w:r w:rsidR="00E3598F">
        <w:rPr>
          <w:rFonts w:ascii="Times New Roman" w:hAnsi="Times New Roman"/>
          <w:sz w:val="24"/>
          <w:szCs w:val="24"/>
          <w:lang w:val="es-ES_tradnl"/>
        </w:rPr>
        <w:t xml:space="preserve">en </w:t>
      </w:r>
      <w:r w:rsidR="00D41E22">
        <w:rPr>
          <w:rFonts w:ascii="Times New Roman" w:hAnsi="Times New Roman"/>
          <w:sz w:val="24"/>
          <w:szCs w:val="24"/>
          <w:lang w:val="es-ES_tradnl"/>
        </w:rPr>
        <w:t xml:space="preserve">el </w:t>
      </w:r>
      <w:r w:rsidR="00E3598F">
        <w:rPr>
          <w:rFonts w:ascii="Times New Roman" w:hAnsi="Times New Roman"/>
          <w:sz w:val="24"/>
          <w:szCs w:val="24"/>
          <w:lang w:val="es-ES_tradnl"/>
        </w:rPr>
        <w:t xml:space="preserve">valor </w:t>
      </w:r>
      <w:r w:rsidRPr="00BE5B41">
        <w:rPr>
          <w:rFonts w:ascii="Times New Roman" w:hAnsi="Times New Roman"/>
          <w:sz w:val="24"/>
          <w:szCs w:val="24"/>
          <w:lang w:val="es-ES_tradnl"/>
        </w:rPr>
        <w:t xml:space="preserve">del comercio regional de Bolivia a estas zonas económicas es significativo, ya que representa más de la mitad del destino de las exportaciones totales. Los principales productos de exportación de Bolivia </w:t>
      </w:r>
      <w:r w:rsidR="00005E7F">
        <w:rPr>
          <w:rFonts w:ascii="Times New Roman" w:hAnsi="Times New Roman"/>
          <w:sz w:val="24"/>
          <w:szCs w:val="24"/>
          <w:lang w:val="es-ES_tradnl"/>
        </w:rPr>
        <w:t xml:space="preserve">según su importancia en el valor total </w:t>
      </w:r>
      <w:r w:rsidRPr="00BE5B41">
        <w:rPr>
          <w:rFonts w:ascii="Times New Roman" w:hAnsi="Times New Roman"/>
          <w:sz w:val="24"/>
          <w:szCs w:val="24"/>
          <w:lang w:val="es-ES_tradnl"/>
        </w:rPr>
        <w:t>para el año 2015 hacia el MERCOSUR fueron</w:t>
      </w:r>
      <w:r w:rsidR="00005E7F">
        <w:rPr>
          <w:rFonts w:ascii="Times New Roman" w:hAnsi="Times New Roman"/>
          <w:sz w:val="24"/>
          <w:szCs w:val="24"/>
          <w:lang w:val="es-ES_tradnl"/>
        </w:rPr>
        <w:t>;</w:t>
      </w:r>
      <w:r w:rsidRPr="00BE5B41">
        <w:rPr>
          <w:rFonts w:ascii="Times New Roman" w:hAnsi="Times New Roman"/>
          <w:sz w:val="24"/>
          <w:szCs w:val="24"/>
          <w:lang w:val="es-ES_tradnl"/>
        </w:rPr>
        <w:t xml:space="preserve"> el gas natural (94.09%), bananas frescas (0.91%) aceites crudos de petróleo (0.68%) y leche y nata (0.47%). Para CAN, los principales productos exportados </w:t>
      </w:r>
      <w:r w:rsidR="00050378">
        <w:rPr>
          <w:rFonts w:ascii="Times New Roman" w:hAnsi="Times New Roman"/>
          <w:sz w:val="24"/>
          <w:szCs w:val="24"/>
          <w:lang w:val="es-ES_tradnl"/>
        </w:rPr>
        <w:t xml:space="preserve">por su importancia en el valor total </w:t>
      </w:r>
      <w:r w:rsidRPr="00BE5B41">
        <w:rPr>
          <w:rFonts w:ascii="Times New Roman" w:hAnsi="Times New Roman"/>
          <w:sz w:val="24"/>
          <w:szCs w:val="24"/>
          <w:lang w:val="es-ES_tradnl"/>
        </w:rPr>
        <w:t>fueron</w:t>
      </w:r>
      <w:r w:rsidR="00A63C23">
        <w:rPr>
          <w:rFonts w:ascii="Times New Roman" w:hAnsi="Times New Roman"/>
          <w:sz w:val="24"/>
          <w:szCs w:val="24"/>
          <w:lang w:val="es-ES_tradnl"/>
        </w:rPr>
        <w:t>;</w:t>
      </w:r>
      <w:r w:rsidRPr="00BE5B41">
        <w:rPr>
          <w:rFonts w:ascii="Times New Roman" w:hAnsi="Times New Roman"/>
          <w:sz w:val="24"/>
          <w:szCs w:val="24"/>
          <w:lang w:val="es-ES_tradnl"/>
        </w:rPr>
        <w:t xml:space="preserve"> derivados de la soya (72.81%) seguido en importancia por el alcohol etílico (3.23%), aceite crudo de girasol (2.75%) y leche (2,7%)</w:t>
      </w:r>
      <w:r w:rsidRPr="00B17899">
        <w:rPr>
          <w:vertAlign w:val="superscript"/>
        </w:rPr>
        <w:footnoteReference w:id="11"/>
      </w:r>
      <w:r w:rsidRPr="00BE5B41">
        <w:rPr>
          <w:rFonts w:ascii="Times New Roman" w:hAnsi="Times New Roman"/>
          <w:sz w:val="24"/>
          <w:szCs w:val="24"/>
          <w:lang w:val="es-ES_tradnl"/>
        </w:rPr>
        <w:t>.</w:t>
      </w:r>
      <w:r w:rsidR="00BE5B41" w:rsidRPr="00BE5B41">
        <w:rPr>
          <w:rFonts w:ascii="Times New Roman" w:hAnsi="Times New Roman"/>
          <w:sz w:val="24"/>
          <w:szCs w:val="24"/>
          <w:lang w:val="es-ES_tradnl"/>
        </w:rPr>
        <w:t xml:space="preserve"> </w:t>
      </w:r>
    </w:p>
    <w:p w14:paraId="216AA65E" w14:textId="77777777" w:rsidR="00BE5B41" w:rsidRPr="00BE5B41" w:rsidRDefault="00BE5B41" w:rsidP="00BE5B41">
      <w:pPr>
        <w:pStyle w:val="ListParagraph"/>
        <w:rPr>
          <w:rFonts w:ascii="Times New Roman" w:hAnsi="Times New Roman"/>
          <w:sz w:val="24"/>
          <w:szCs w:val="24"/>
          <w:lang w:val="es-ES_tradnl"/>
        </w:rPr>
      </w:pPr>
    </w:p>
    <w:p w14:paraId="137D1F92" w14:textId="0DE22297" w:rsidR="00BE5B41" w:rsidRDefault="008D20AB" w:rsidP="007E5266">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BE5B41">
        <w:rPr>
          <w:rFonts w:ascii="Times New Roman" w:hAnsi="Times New Roman"/>
          <w:sz w:val="24"/>
          <w:szCs w:val="24"/>
          <w:lang w:val="es-ES_tradnl"/>
        </w:rPr>
        <w:t xml:space="preserve">Con respecto al comercio bilateral, Brasil se ha constituido en el principal destino de las exportaciones de Bolivia, resaltando que las exportaciones realizadas a Brasil tienen lugar en el marco del MERCOSUR (Ver Figura No. 2). En el año 2015, las exportaciones hacia Brasil representaron el 38% </w:t>
      </w:r>
      <w:r w:rsidR="00AD59E6">
        <w:rPr>
          <w:rFonts w:ascii="Times New Roman" w:hAnsi="Times New Roman"/>
          <w:sz w:val="24"/>
          <w:szCs w:val="24"/>
          <w:lang w:val="es-ES_tradnl"/>
        </w:rPr>
        <w:t xml:space="preserve">del valor </w:t>
      </w:r>
      <w:r w:rsidRPr="00BE5B41">
        <w:rPr>
          <w:rFonts w:ascii="Times New Roman" w:hAnsi="Times New Roman"/>
          <w:sz w:val="24"/>
          <w:szCs w:val="24"/>
          <w:lang w:val="es-ES_tradnl"/>
        </w:rPr>
        <w:t>de las exportaciones totales, seguido en orden de importancia por Argentina con</w:t>
      </w:r>
      <w:r w:rsidR="00AD59E6">
        <w:rPr>
          <w:rFonts w:ascii="Times New Roman" w:hAnsi="Times New Roman"/>
          <w:sz w:val="24"/>
          <w:szCs w:val="24"/>
          <w:lang w:val="es-ES_tradnl"/>
        </w:rPr>
        <w:t xml:space="preserve"> el</w:t>
      </w:r>
      <w:r w:rsidRPr="00BE5B41">
        <w:rPr>
          <w:rFonts w:ascii="Times New Roman" w:hAnsi="Times New Roman"/>
          <w:sz w:val="24"/>
          <w:szCs w:val="24"/>
          <w:lang w:val="es-ES_tradnl"/>
        </w:rPr>
        <w:t xml:space="preserve"> 23% y Estados Unidos ocupa el tercer lugar en comercio bilateral con el 17% de</w:t>
      </w:r>
      <w:r w:rsidR="00AD59E6">
        <w:rPr>
          <w:rFonts w:ascii="Times New Roman" w:hAnsi="Times New Roman"/>
          <w:sz w:val="24"/>
          <w:szCs w:val="24"/>
          <w:lang w:val="es-ES_tradnl"/>
        </w:rPr>
        <w:t>l valor de</w:t>
      </w:r>
      <w:r w:rsidRPr="00BE5B41">
        <w:rPr>
          <w:rFonts w:ascii="Times New Roman" w:hAnsi="Times New Roman"/>
          <w:sz w:val="24"/>
          <w:szCs w:val="24"/>
          <w:lang w:val="es-ES_tradnl"/>
        </w:rPr>
        <w:t xml:space="preserve"> las exportaciones totales. En relación a la estructura de las importaciones, el principal país de origen de las importaciones de Bolivia para el año 2015 fue China con 28% de importancia, seguido de Brasil con el 26% y Argentina con el 19%.    </w:t>
      </w:r>
    </w:p>
    <w:p w14:paraId="0EB376BD" w14:textId="77777777" w:rsidR="00826C76" w:rsidRPr="00826C76" w:rsidRDefault="00826C76" w:rsidP="00826C76">
      <w:pPr>
        <w:pStyle w:val="ListParagraph"/>
        <w:rPr>
          <w:rFonts w:ascii="Times New Roman" w:hAnsi="Times New Roman"/>
          <w:sz w:val="24"/>
          <w:szCs w:val="24"/>
          <w:lang w:val="es-ES_tradnl"/>
        </w:rPr>
      </w:pPr>
    </w:p>
    <w:p w14:paraId="3755A604" w14:textId="77777777" w:rsidR="00826C76" w:rsidRPr="00826C76" w:rsidRDefault="00826C76" w:rsidP="00826C76">
      <w:pPr>
        <w:tabs>
          <w:tab w:val="left" w:pos="270"/>
          <w:tab w:val="left" w:pos="360"/>
          <w:tab w:val="left" w:pos="450"/>
          <w:tab w:val="left" w:pos="2085"/>
        </w:tabs>
        <w:spacing w:after="0" w:line="240" w:lineRule="auto"/>
        <w:jc w:val="both"/>
        <w:rPr>
          <w:rFonts w:ascii="Times New Roman" w:hAnsi="Times New Roman"/>
          <w:sz w:val="24"/>
          <w:szCs w:val="24"/>
          <w:lang w:val="es-ES_tradnl"/>
        </w:rPr>
      </w:pPr>
    </w:p>
    <w:p w14:paraId="70EFC31F" w14:textId="77777777" w:rsidR="00000ABE" w:rsidRPr="00BE5B41" w:rsidRDefault="00000ABE" w:rsidP="00B816CF">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7C429795" w14:textId="77777777" w:rsidR="00654503" w:rsidRDefault="00BE5B41" w:rsidP="00050378">
      <w:pPr>
        <w:spacing w:after="0" w:line="240" w:lineRule="auto"/>
        <w:jc w:val="center"/>
        <w:rPr>
          <w:rFonts w:ascii="Times New Roman" w:hAnsi="Times New Roman"/>
          <w:bCs/>
          <w:sz w:val="24"/>
          <w:szCs w:val="24"/>
          <w:lang w:val="es-ES_tradnl"/>
        </w:rPr>
      </w:pPr>
      <w:r w:rsidRPr="008D20AB">
        <w:rPr>
          <w:rFonts w:ascii="Times New Roman" w:hAnsi="Times New Roman"/>
          <w:bCs/>
          <w:sz w:val="24"/>
          <w:szCs w:val="24"/>
          <w:lang w:val="es-ES_tradnl"/>
        </w:rPr>
        <w:lastRenderedPageBreak/>
        <w:t xml:space="preserve">Figura No. 1. </w:t>
      </w:r>
      <w:r w:rsidR="00050378">
        <w:rPr>
          <w:rFonts w:ascii="Times New Roman" w:hAnsi="Times New Roman"/>
          <w:bCs/>
          <w:sz w:val="24"/>
          <w:szCs w:val="24"/>
          <w:lang w:val="es-ES_tradnl"/>
        </w:rPr>
        <w:t>E</w:t>
      </w:r>
      <w:r w:rsidRPr="008D20AB">
        <w:rPr>
          <w:rFonts w:ascii="Times New Roman" w:hAnsi="Times New Roman"/>
          <w:bCs/>
          <w:sz w:val="24"/>
          <w:szCs w:val="24"/>
          <w:lang w:val="es-ES_tradnl"/>
        </w:rPr>
        <w:t>xportaciones de Bol</w:t>
      </w:r>
      <w:r w:rsidR="00A637B9">
        <w:rPr>
          <w:rFonts w:ascii="Times New Roman" w:hAnsi="Times New Roman"/>
          <w:bCs/>
          <w:sz w:val="24"/>
          <w:szCs w:val="24"/>
          <w:lang w:val="es-ES_tradnl"/>
        </w:rPr>
        <w:t xml:space="preserve">ivia </w:t>
      </w:r>
      <w:r w:rsidR="00696B5C">
        <w:rPr>
          <w:rFonts w:ascii="Times New Roman" w:hAnsi="Times New Roman"/>
          <w:bCs/>
          <w:sz w:val="24"/>
          <w:szCs w:val="24"/>
          <w:lang w:val="es-ES_tradnl"/>
        </w:rPr>
        <w:t>hacia</w:t>
      </w:r>
      <w:r w:rsidRPr="008D20AB">
        <w:rPr>
          <w:rFonts w:ascii="Times New Roman" w:hAnsi="Times New Roman"/>
          <w:bCs/>
          <w:sz w:val="24"/>
          <w:szCs w:val="24"/>
          <w:lang w:val="es-ES_tradnl"/>
        </w:rPr>
        <w:t xml:space="preserve"> las iniciativas regionales de CAN y MERCOSUR</w:t>
      </w:r>
    </w:p>
    <w:p w14:paraId="17B9578E" w14:textId="2F56CFEF" w:rsidR="00050378" w:rsidRPr="009B21F7" w:rsidRDefault="00050378" w:rsidP="00050378">
      <w:pPr>
        <w:spacing w:after="0" w:line="240" w:lineRule="auto"/>
        <w:jc w:val="center"/>
        <w:rPr>
          <w:rFonts w:ascii="Times New Roman" w:hAnsi="Times New Roman"/>
          <w:szCs w:val="24"/>
          <w:lang w:val="es-ES_tradnl"/>
        </w:rPr>
      </w:pPr>
      <w:r w:rsidRPr="00B816CF">
        <w:rPr>
          <w:rFonts w:ascii="Times New Roman" w:hAnsi="Times New Roman"/>
          <w:bCs/>
          <w:sz w:val="20"/>
          <w:szCs w:val="24"/>
          <w:lang w:val="es-ES_tradnl"/>
        </w:rPr>
        <w:t>Porcentaje de participación en el valor de las exportaciones totales</w:t>
      </w:r>
      <w:r w:rsidR="001F1E45" w:rsidRPr="00B816CF">
        <w:rPr>
          <w:rFonts w:ascii="Times New Roman" w:hAnsi="Times New Roman"/>
          <w:bCs/>
          <w:sz w:val="20"/>
          <w:szCs w:val="24"/>
          <w:lang w:val="es-ES_tradnl"/>
        </w:rPr>
        <w:t xml:space="preserve"> 2006-2015</w:t>
      </w:r>
      <w:r w:rsidRPr="00B816CF">
        <w:rPr>
          <w:rFonts w:ascii="Times New Roman" w:hAnsi="Times New Roman"/>
          <w:bCs/>
          <w:sz w:val="20"/>
          <w:szCs w:val="24"/>
          <w:lang w:val="es-ES_tradnl"/>
        </w:rPr>
        <w:t>.</w:t>
      </w:r>
    </w:p>
    <w:p w14:paraId="670511E8" w14:textId="299F99F4" w:rsidR="00BE5B41" w:rsidRDefault="00BE5B41" w:rsidP="00BE5B41">
      <w:pPr>
        <w:spacing w:line="240" w:lineRule="auto"/>
        <w:jc w:val="both"/>
        <w:rPr>
          <w:rFonts w:ascii="Times New Roman" w:hAnsi="Times New Roman"/>
          <w:sz w:val="24"/>
          <w:szCs w:val="24"/>
          <w:lang w:val="es-ES_tradnl"/>
        </w:rPr>
      </w:pPr>
      <w:r>
        <w:rPr>
          <w:noProof/>
        </w:rPr>
        <w:drawing>
          <wp:anchor distT="0" distB="0" distL="114300" distR="114300" simplePos="0" relativeHeight="251662336" behindDoc="0" locked="0" layoutInCell="1" allowOverlap="1" wp14:anchorId="1F588308" wp14:editId="21A79AAE">
            <wp:simplePos x="0" y="0"/>
            <wp:positionH relativeFrom="column">
              <wp:posOffset>1108075</wp:posOffset>
            </wp:positionH>
            <wp:positionV relativeFrom="paragraph">
              <wp:posOffset>62230</wp:posOffset>
            </wp:positionV>
            <wp:extent cx="4060825" cy="2299335"/>
            <wp:effectExtent l="0" t="0" r="15875" b="5715"/>
            <wp:wrapSquare wrapText="bothSides"/>
            <wp:docPr id="3" name="Chart 3">
              <a:extLst xmlns:a="http://schemas.openxmlformats.org/drawingml/2006/main">
                <a:ext uri="{FF2B5EF4-FFF2-40B4-BE49-F238E27FC236}">
                  <a16:creationId xmlns:a16="http://schemas.microsoft.com/office/drawing/2014/main" id="{80A41E9A-EDBA-4339-85BB-B33A5B1A6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488CE738" w14:textId="77777777" w:rsidR="00BE5B41" w:rsidRDefault="00BE5B41" w:rsidP="00BE5B41">
      <w:pPr>
        <w:spacing w:line="240" w:lineRule="auto"/>
        <w:jc w:val="both"/>
        <w:rPr>
          <w:rFonts w:ascii="Times New Roman" w:hAnsi="Times New Roman"/>
          <w:sz w:val="24"/>
          <w:szCs w:val="24"/>
          <w:lang w:val="es-ES_tradnl"/>
        </w:rPr>
      </w:pPr>
    </w:p>
    <w:p w14:paraId="608F256F" w14:textId="77777777" w:rsidR="00BE5B41" w:rsidRDefault="00BE5B41" w:rsidP="00BE5B41">
      <w:pPr>
        <w:spacing w:line="240" w:lineRule="auto"/>
        <w:jc w:val="both"/>
        <w:rPr>
          <w:rFonts w:ascii="Times New Roman" w:hAnsi="Times New Roman"/>
          <w:sz w:val="24"/>
          <w:szCs w:val="24"/>
          <w:lang w:val="es-ES_tradnl"/>
        </w:rPr>
      </w:pPr>
    </w:p>
    <w:p w14:paraId="6E9C0836" w14:textId="77777777" w:rsidR="00BE5B41" w:rsidRDefault="00BE5B41" w:rsidP="00BE5B41">
      <w:pPr>
        <w:spacing w:line="240" w:lineRule="auto"/>
        <w:jc w:val="both"/>
        <w:rPr>
          <w:rFonts w:ascii="Times New Roman" w:hAnsi="Times New Roman"/>
          <w:sz w:val="24"/>
          <w:szCs w:val="24"/>
          <w:lang w:val="es-ES_tradnl"/>
        </w:rPr>
      </w:pPr>
    </w:p>
    <w:p w14:paraId="72F3E73E" w14:textId="77777777" w:rsidR="00BE5B41" w:rsidRDefault="00BE5B41" w:rsidP="00BE5B41">
      <w:pPr>
        <w:spacing w:line="240" w:lineRule="auto"/>
        <w:jc w:val="both"/>
        <w:rPr>
          <w:rFonts w:ascii="Times New Roman" w:hAnsi="Times New Roman"/>
          <w:sz w:val="24"/>
          <w:szCs w:val="24"/>
          <w:lang w:val="es-ES_tradnl"/>
        </w:rPr>
      </w:pPr>
    </w:p>
    <w:p w14:paraId="11FB1775" w14:textId="77777777" w:rsidR="00BE5B41" w:rsidRDefault="00BE5B41" w:rsidP="00BE5B41">
      <w:pPr>
        <w:spacing w:line="240" w:lineRule="auto"/>
        <w:jc w:val="both"/>
        <w:rPr>
          <w:rFonts w:ascii="Times New Roman" w:hAnsi="Times New Roman"/>
          <w:sz w:val="24"/>
          <w:szCs w:val="24"/>
          <w:lang w:val="es-ES_tradnl"/>
        </w:rPr>
      </w:pPr>
    </w:p>
    <w:p w14:paraId="68BFA690" w14:textId="77777777" w:rsidR="00BE5B41" w:rsidRDefault="00BE5B41" w:rsidP="00BE5B41">
      <w:pPr>
        <w:spacing w:line="240" w:lineRule="auto"/>
        <w:jc w:val="both"/>
        <w:rPr>
          <w:rFonts w:ascii="Times New Roman" w:hAnsi="Times New Roman"/>
          <w:sz w:val="24"/>
          <w:szCs w:val="24"/>
          <w:lang w:val="es-ES_tradnl"/>
        </w:rPr>
      </w:pPr>
    </w:p>
    <w:p w14:paraId="1B65D1F5" w14:textId="77777777" w:rsidR="00BE5B41" w:rsidRDefault="00BE5B41" w:rsidP="00BE5B41">
      <w:pPr>
        <w:spacing w:line="240" w:lineRule="auto"/>
        <w:jc w:val="both"/>
        <w:rPr>
          <w:rFonts w:ascii="Times New Roman" w:hAnsi="Times New Roman"/>
          <w:sz w:val="24"/>
          <w:szCs w:val="24"/>
          <w:lang w:val="es-ES_tradnl"/>
        </w:rPr>
      </w:pPr>
    </w:p>
    <w:p w14:paraId="2C347035" w14:textId="77777777" w:rsidR="00BE5B41" w:rsidRDefault="00BE5B41" w:rsidP="00BE5B41">
      <w:pPr>
        <w:spacing w:line="240" w:lineRule="auto"/>
        <w:jc w:val="both"/>
        <w:rPr>
          <w:rFonts w:ascii="Times New Roman" w:hAnsi="Times New Roman"/>
          <w:sz w:val="24"/>
          <w:szCs w:val="24"/>
          <w:lang w:val="es-ES_tradnl"/>
        </w:rPr>
      </w:pPr>
    </w:p>
    <w:p w14:paraId="72C170AD" w14:textId="77777777" w:rsidR="00BE5B41" w:rsidRDefault="00BE5B41" w:rsidP="00BE5B41">
      <w:pPr>
        <w:spacing w:line="240" w:lineRule="auto"/>
        <w:jc w:val="center"/>
        <w:rPr>
          <w:rFonts w:ascii="Times New Roman" w:hAnsi="Times New Roman"/>
          <w:sz w:val="24"/>
          <w:szCs w:val="24"/>
          <w:lang w:val="es-ES_tradnl"/>
        </w:rPr>
      </w:pPr>
      <w:r w:rsidRPr="007E5278">
        <w:rPr>
          <w:rFonts w:ascii="Times New Roman" w:hAnsi="Times New Roman"/>
          <w:i/>
          <w:sz w:val="20"/>
          <w:szCs w:val="24"/>
          <w:lang w:val="es-ES_tradnl"/>
        </w:rPr>
        <w:t>Fuente: Elaboración Propia en base a</w:t>
      </w:r>
      <w:r w:rsidR="008723F6">
        <w:rPr>
          <w:rFonts w:ascii="Times New Roman" w:hAnsi="Times New Roman"/>
          <w:i/>
          <w:sz w:val="20"/>
          <w:szCs w:val="24"/>
          <w:lang w:val="es-ES_tradnl"/>
        </w:rPr>
        <w:t xml:space="preserve"> </w:t>
      </w:r>
      <w:r w:rsidR="008723F6" w:rsidRPr="008723F6">
        <w:rPr>
          <w:rFonts w:ascii="Times New Roman" w:hAnsi="Times New Roman"/>
          <w:i/>
          <w:sz w:val="20"/>
          <w:szCs w:val="24"/>
          <w:lang w:val="es-ES_tradnl"/>
        </w:rPr>
        <w:t>Instituto Nacional de Estadísticas</w:t>
      </w:r>
      <w:r>
        <w:rPr>
          <w:rFonts w:ascii="Times New Roman" w:hAnsi="Times New Roman"/>
          <w:i/>
          <w:sz w:val="20"/>
          <w:szCs w:val="24"/>
          <w:lang w:val="es-ES_tradnl"/>
        </w:rPr>
        <w:t xml:space="preserve"> INE.</w:t>
      </w:r>
    </w:p>
    <w:p w14:paraId="020C8B5F" w14:textId="31CE5737" w:rsidR="00BE5B41" w:rsidRDefault="00BE5B41" w:rsidP="00B816CF">
      <w:pPr>
        <w:spacing w:after="0" w:line="240" w:lineRule="auto"/>
        <w:jc w:val="center"/>
        <w:rPr>
          <w:rFonts w:ascii="Times New Roman" w:hAnsi="Times New Roman"/>
          <w:sz w:val="24"/>
          <w:szCs w:val="24"/>
          <w:lang w:val="es-ES_tradnl"/>
        </w:rPr>
      </w:pPr>
      <w:r w:rsidRPr="00DC11F2">
        <w:rPr>
          <w:rFonts w:ascii="Times New Roman" w:hAnsi="Times New Roman"/>
          <w:sz w:val="24"/>
          <w:szCs w:val="24"/>
          <w:lang w:val="es-ES_tradnl"/>
        </w:rPr>
        <w:t xml:space="preserve">Figura No. </w:t>
      </w:r>
      <w:r>
        <w:rPr>
          <w:rFonts w:ascii="Times New Roman" w:hAnsi="Times New Roman"/>
          <w:sz w:val="24"/>
          <w:szCs w:val="24"/>
          <w:lang w:val="es-ES_tradnl"/>
        </w:rPr>
        <w:t>2</w:t>
      </w:r>
      <w:r w:rsidRPr="00DC11F2">
        <w:rPr>
          <w:rFonts w:ascii="Times New Roman" w:hAnsi="Times New Roman"/>
          <w:sz w:val="24"/>
          <w:szCs w:val="24"/>
          <w:lang w:val="es-ES_tradnl"/>
        </w:rPr>
        <w:t>. Comercio Bilateral de Bolivia en el año 2015.</w:t>
      </w:r>
    </w:p>
    <w:p w14:paraId="0BE67A42" w14:textId="05BF33FB" w:rsidR="00050378" w:rsidRPr="00B816CF" w:rsidRDefault="00050378" w:rsidP="00B816CF">
      <w:pPr>
        <w:spacing w:after="0" w:line="240" w:lineRule="auto"/>
        <w:jc w:val="center"/>
        <w:rPr>
          <w:rFonts w:ascii="Times New Roman" w:hAnsi="Times New Roman"/>
          <w:sz w:val="20"/>
          <w:szCs w:val="24"/>
          <w:lang w:val="es-ES_tradnl"/>
        </w:rPr>
      </w:pPr>
      <w:r w:rsidRPr="00B816CF">
        <w:rPr>
          <w:rFonts w:ascii="Times New Roman" w:hAnsi="Times New Roman"/>
          <w:bCs/>
          <w:sz w:val="20"/>
          <w:szCs w:val="24"/>
          <w:lang w:val="es-ES_tradnl"/>
        </w:rPr>
        <w:t>Porcentaje de participación en el valor de las exportaciones totales.</w:t>
      </w:r>
    </w:p>
    <w:p w14:paraId="364B6BFE" w14:textId="7F93B4B8" w:rsidR="00BE5B41" w:rsidRDefault="00050378" w:rsidP="00BE5B41">
      <w:pPr>
        <w:spacing w:line="240" w:lineRule="auto"/>
        <w:jc w:val="center"/>
        <w:rPr>
          <w:noProof/>
          <w:lang w:val="es-ES_tradnl"/>
        </w:rPr>
      </w:pPr>
      <w:r w:rsidRPr="00DC11F2">
        <w:rPr>
          <w:noProof/>
        </w:rPr>
        <w:drawing>
          <wp:anchor distT="0" distB="0" distL="114300" distR="114300" simplePos="0" relativeHeight="251663360" behindDoc="0" locked="0" layoutInCell="1" allowOverlap="1" wp14:anchorId="35E5D7B5" wp14:editId="7EA956BB">
            <wp:simplePos x="0" y="0"/>
            <wp:positionH relativeFrom="margin">
              <wp:posOffset>464185</wp:posOffset>
            </wp:positionH>
            <wp:positionV relativeFrom="paragraph">
              <wp:posOffset>133350</wp:posOffset>
            </wp:positionV>
            <wp:extent cx="5222240" cy="19183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22240" cy="1918335"/>
                    </a:xfrm>
                    <a:prstGeom prst="rect">
                      <a:avLst/>
                    </a:prstGeom>
                  </pic:spPr>
                </pic:pic>
              </a:graphicData>
            </a:graphic>
            <wp14:sizeRelH relativeFrom="page">
              <wp14:pctWidth>0</wp14:pctWidth>
            </wp14:sizeRelH>
            <wp14:sizeRelV relativeFrom="page">
              <wp14:pctHeight>0</wp14:pctHeight>
            </wp14:sizeRelV>
          </wp:anchor>
        </w:drawing>
      </w:r>
    </w:p>
    <w:p w14:paraId="067AB6C3" w14:textId="016ABD89" w:rsidR="00BE5B41" w:rsidRDefault="00BE5B41" w:rsidP="00BE5B41">
      <w:pPr>
        <w:spacing w:line="240" w:lineRule="auto"/>
        <w:jc w:val="center"/>
        <w:rPr>
          <w:noProof/>
          <w:lang w:val="es-ES_tradnl"/>
        </w:rPr>
      </w:pPr>
    </w:p>
    <w:p w14:paraId="2CC205E5" w14:textId="1C40DE0F" w:rsidR="00BE5B41" w:rsidRDefault="00BE5B41" w:rsidP="00BE5B41">
      <w:pPr>
        <w:spacing w:line="240" w:lineRule="auto"/>
        <w:jc w:val="center"/>
        <w:rPr>
          <w:noProof/>
          <w:lang w:val="es-ES_tradnl"/>
        </w:rPr>
      </w:pPr>
    </w:p>
    <w:p w14:paraId="2A68FEBB" w14:textId="77777777" w:rsidR="00BE5B41" w:rsidRDefault="00BE5B41" w:rsidP="00BE5B41">
      <w:pPr>
        <w:spacing w:line="240" w:lineRule="auto"/>
        <w:jc w:val="center"/>
        <w:rPr>
          <w:noProof/>
          <w:lang w:val="es-ES_tradnl"/>
        </w:rPr>
      </w:pPr>
    </w:p>
    <w:p w14:paraId="19010BED" w14:textId="77777777" w:rsidR="00BE5B41" w:rsidRDefault="00BE5B41" w:rsidP="00BE5B41">
      <w:pPr>
        <w:spacing w:line="240" w:lineRule="auto"/>
        <w:jc w:val="center"/>
        <w:rPr>
          <w:noProof/>
          <w:lang w:val="es-ES_tradnl"/>
        </w:rPr>
      </w:pPr>
    </w:p>
    <w:p w14:paraId="58333B38" w14:textId="77777777" w:rsidR="00BE5B41" w:rsidRDefault="00BE5B41" w:rsidP="00BE5B41">
      <w:pPr>
        <w:spacing w:line="240" w:lineRule="auto"/>
        <w:jc w:val="center"/>
        <w:rPr>
          <w:noProof/>
          <w:lang w:val="es-ES_tradnl"/>
        </w:rPr>
      </w:pPr>
    </w:p>
    <w:p w14:paraId="4073AF0E" w14:textId="77777777" w:rsidR="00BE5B41" w:rsidRDefault="00BE5B41" w:rsidP="00BE5B41">
      <w:pPr>
        <w:spacing w:line="240" w:lineRule="auto"/>
        <w:jc w:val="center"/>
        <w:rPr>
          <w:noProof/>
          <w:lang w:val="es-ES_tradnl"/>
        </w:rPr>
      </w:pPr>
    </w:p>
    <w:p w14:paraId="54EED831" w14:textId="77777777" w:rsidR="003177C4" w:rsidRDefault="003177C4" w:rsidP="00BE5B41">
      <w:pPr>
        <w:spacing w:line="240" w:lineRule="auto"/>
        <w:jc w:val="center"/>
        <w:rPr>
          <w:noProof/>
          <w:lang w:val="es-ES_tradnl"/>
        </w:rPr>
      </w:pPr>
    </w:p>
    <w:p w14:paraId="310F9284" w14:textId="6B7DD204" w:rsidR="00BE5B41" w:rsidRDefault="00BE5B41" w:rsidP="00BE5B41">
      <w:pPr>
        <w:spacing w:line="240" w:lineRule="auto"/>
        <w:jc w:val="center"/>
        <w:rPr>
          <w:rFonts w:ascii="Times New Roman" w:hAnsi="Times New Roman"/>
          <w:sz w:val="24"/>
          <w:szCs w:val="24"/>
          <w:lang w:val="es-ES_tradnl"/>
        </w:rPr>
      </w:pPr>
      <w:r w:rsidRPr="00491D47">
        <w:rPr>
          <w:noProof/>
          <w:lang w:val="es-ES_tradnl"/>
        </w:rPr>
        <w:t xml:space="preserve"> </w:t>
      </w:r>
      <w:r w:rsidRPr="007E5278">
        <w:rPr>
          <w:rFonts w:ascii="Times New Roman" w:hAnsi="Times New Roman"/>
          <w:i/>
          <w:sz w:val="20"/>
          <w:szCs w:val="24"/>
          <w:lang w:val="es-ES_tradnl"/>
        </w:rPr>
        <w:t>Fuente: Elaboración Propia en base a</w:t>
      </w:r>
      <w:r w:rsidR="008723F6">
        <w:rPr>
          <w:rFonts w:ascii="Times New Roman" w:hAnsi="Times New Roman"/>
          <w:i/>
          <w:sz w:val="20"/>
          <w:szCs w:val="24"/>
          <w:lang w:val="es-ES_tradnl"/>
        </w:rPr>
        <w:t xml:space="preserve"> </w:t>
      </w:r>
      <w:r w:rsidR="008723F6" w:rsidRPr="008723F6">
        <w:rPr>
          <w:rFonts w:ascii="Times New Roman" w:hAnsi="Times New Roman"/>
          <w:i/>
          <w:sz w:val="20"/>
          <w:szCs w:val="24"/>
          <w:lang w:val="es-ES_tradnl"/>
        </w:rPr>
        <w:t>Instituto Nacional de Estadísticas</w:t>
      </w:r>
      <w:r>
        <w:rPr>
          <w:rFonts w:ascii="Times New Roman" w:hAnsi="Times New Roman"/>
          <w:i/>
          <w:sz w:val="20"/>
          <w:szCs w:val="24"/>
          <w:lang w:val="es-ES_tradnl"/>
        </w:rPr>
        <w:t xml:space="preserve"> INE.</w:t>
      </w:r>
    </w:p>
    <w:p w14:paraId="3D74910B" w14:textId="77777777" w:rsidR="00BE5B41" w:rsidRPr="008D20AB" w:rsidRDefault="00BE5B41" w:rsidP="00BE5B41">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
        </w:rPr>
      </w:pPr>
    </w:p>
    <w:p w14:paraId="1FFC3606" w14:textId="76EC6FCA" w:rsidR="003B70D9" w:rsidRDefault="00BE5B41" w:rsidP="003B70D9">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3B70D9">
        <w:rPr>
          <w:rFonts w:ascii="Times New Roman" w:hAnsi="Times New Roman"/>
          <w:sz w:val="24"/>
          <w:szCs w:val="24"/>
          <w:lang w:val="es-ES_tradnl"/>
        </w:rPr>
        <w:t>A pesar de los grandes avances del MERCOSUR y de la CAN en materia de integración económica regional, la interdependencia regional medida por el grado de comercio intrarregional,</w:t>
      </w:r>
      <w:r>
        <w:rPr>
          <w:rStyle w:val="FootnoteReference"/>
          <w:szCs w:val="24"/>
          <w:lang w:val="es-ES_tradnl"/>
        </w:rPr>
        <w:footnoteReference w:id="12"/>
      </w:r>
      <w:r w:rsidRPr="003B70D9">
        <w:rPr>
          <w:rFonts w:ascii="Times New Roman" w:hAnsi="Times New Roman"/>
          <w:sz w:val="24"/>
          <w:szCs w:val="24"/>
          <w:lang w:val="es-ES_tradnl"/>
        </w:rPr>
        <w:t xml:space="preserve"> es bajo en comparación con las proporciones de comercio intrarregional de otras regiones del mundo con iniciativas de integración más avanzadas.  Como se puede observar en la Figura No.</w:t>
      </w:r>
      <w:r w:rsidR="007F3D2D" w:rsidRPr="003B70D9">
        <w:rPr>
          <w:rFonts w:ascii="Times New Roman" w:hAnsi="Times New Roman"/>
          <w:sz w:val="24"/>
          <w:szCs w:val="24"/>
          <w:lang w:val="es-ES_tradnl"/>
        </w:rPr>
        <w:t>3</w:t>
      </w:r>
      <w:r w:rsidRPr="003B70D9">
        <w:rPr>
          <w:rFonts w:ascii="Times New Roman" w:hAnsi="Times New Roman"/>
          <w:sz w:val="24"/>
          <w:szCs w:val="24"/>
          <w:lang w:val="es-ES_tradnl"/>
        </w:rPr>
        <w:t>, el comercio intrarregional no solo es bajo para MERCOSUR y CAN, sino que tampoco ha experimentado variaciones significativas a lo largo de los años</w:t>
      </w:r>
      <w:r w:rsidR="00566C07" w:rsidRPr="003B70D9">
        <w:rPr>
          <w:rFonts w:ascii="Times New Roman" w:hAnsi="Times New Roman"/>
          <w:sz w:val="24"/>
          <w:szCs w:val="24"/>
          <w:lang w:val="es-ES_tradnl"/>
        </w:rPr>
        <w:t>,</w:t>
      </w:r>
      <w:r w:rsidR="00AD0512" w:rsidRPr="003B70D9">
        <w:rPr>
          <w:rFonts w:ascii="Times New Roman" w:hAnsi="Times New Roman"/>
          <w:sz w:val="24"/>
          <w:szCs w:val="24"/>
          <w:lang w:val="es-ES_tradnl"/>
        </w:rPr>
        <w:t xml:space="preserve"> </w:t>
      </w:r>
      <w:r w:rsidR="00566C07" w:rsidRPr="003B70D9">
        <w:rPr>
          <w:rFonts w:ascii="Times New Roman" w:hAnsi="Times New Roman"/>
          <w:sz w:val="24"/>
          <w:szCs w:val="24"/>
          <w:lang w:val="es-ES_tradnl"/>
        </w:rPr>
        <w:t>siendo</w:t>
      </w:r>
      <w:r w:rsidR="00AD0512" w:rsidRPr="003B70D9">
        <w:rPr>
          <w:rFonts w:ascii="Times New Roman" w:hAnsi="Times New Roman"/>
          <w:sz w:val="24"/>
          <w:szCs w:val="24"/>
          <w:lang w:val="es-ES_tradnl"/>
        </w:rPr>
        <w:t xml:space="preserve"> e</w:t>
      </w:r>
      <w:r w:rsidRPr="003B70D9">
        <w:rPr>
          <w:rFonts w:ascii="Times New Roman" w:hAnsi="Times New Roman"/>
          <w:sz w:val="24"/>
          <w:szCs w:val="24"/>
          <w:lang w:val="es-ES_tradnl"/>
        </w:rPr>
        <w:t xml:space="preserve">l porcentaje de comercio intrarregional para los últimos 10 años </w:t>
      </w:r>
      <w:r w:rsidR="001F1E45" w:rsidRPr="003B70D9">
        <w:rPr>
          <w:rFonts w:ascii="Times New Roman" w:hAnsi="Times New Roman"/>
          <w:sz w:val="24"/>
          <w:szCs w:val="24"/>
          <w:lang w:val="es-ES_tradnl"/>
        </w:rPr>
        <w:t>de</w:t>
      </w:r>
      <w:r w:rsidRPr="003B70D9">
        <w:rPr>
          <w:rFonts w:ascii="Times New Roman" w:hAnsi="Times New Roman"/>
          <w:sz w:val="24"/>
          <w:szCs w:val="24"/>
          <w:lang w:val="es-ES_tradnl"/>
        </w:rPr>
        <w:t xml:space="preserve"> 14.2 por ciento para MERCOSUR y 8.4 por ciento para la CAN. </w:t>
      </w:r>
      <w:r w:rsidR="00B45B40" w:rsidRPr="003B70D9">
        <w:rPr>
          <w:rFonts w:ascii="Times New Roman" w:hAnsi="Times New Roman"/>
          <w:sz w:val="24"/>
          <w:szCs w:val="24"/>
          <w:lang w:val="es-ES_tradnl"/>
        </w:rPr>
        <w:t xml:space="preserve">Lo anterior </w:t>
      </w:r>
      <w:r w:rsidR="00696E5F" w:rsidRPr="003B70D9">
        <w:rPr>
          <w:rFonts w:ascii="Times New Roman" w:hAnsi="Times New Roman"/>
          <w:sz w:val="24"/>
          <w:szCs w:val="24"/>
          <w:lang w:val="es-ES_tradnl"/>
        </w:rPr>
        <w:t>sugiere</w:t>
      </w:r>
      <w:r w:rsidR="00B45B40" w:rsidRPr="003B70D9">
        <w:rPr>
          <w:rFonts w:ascii="Times New Roman" w:hAnsi="Times New Roman"/>
          <w:sz w:val="24"/>
          <w:szCs w:val="24"/>
          <w:lang w:val="es-ES_tradnl"/>
        </w:rPr>
        <w:t xml:space="preserve"> que el estado de la integración </w:t>
      </w:r>
      <w:r w:rsidR="00B832E2" w:rsidRPr="003B70D9">
        <w:rPr>
          <w:rFonts w:ascii="Times New Roman" w:hAnsi="Times New Roman"/>
          <w:sz w:val="24"/>
          <w:szCs w:val="24"/>
          <w:lang w:val="es-ES_tradnl"/>
        </w:rPr>
        <w:t xml:space="preserve">de las economías </w:t>
      </w:r>
      <w:r w:rsidR="00B832E2" w:rsidRPr="003B70D9">
        <w:rPr>
          <w:rFonts w:ascii="Times New Roman" w:hAnsi="Times New Roman"/>
          <w:sz w:val="24"/>
          <w:szCs w:val="24"/>
          <w:lang w:val="es-ES_tradnl"/>
        </w:rPr>
        <w:lastRenderedPageBreak/>
        <w:t xml:space="preserve">pertenecientes a estas iniciativas, </w:t>
      </w:r>
      <w:r w:rsidR="00B45B40" w:rsidRPr="003B70D9">
        <w:rPr>
          <w:rFonts w:ascii="Times New Roman" w:hAnsi="Times New Roman"/>
          <w:sz w:val="24"/>
          <w:szCs w:val="24"/>
          <w:lang w:val="es-ES_tradnl"/>
        </w:rPr>
        <w:t>es bajo y que se requiere</w:t>
      </w:r>
      <w:r w:rsidR="00696E5F" w:rsidRPr="003B70D9">
        <w:rPr>
          <w:rFonts w:ascii="Times New Roman" w:hAnsi="Times New Roman"/>
          <w:sz w:val="24"/>
          <w:szCs w:val="24"/>
          <w:lang w:val="es-ES_tradnl"/>
        </w:rPr>
        <w:t>n</w:t>
      </w:r>
      <w:r w:rsidR="00E31A33" w:rsidRPr="003B70D9">
        <w:rPr>
          <w:rFonts w:ascii="Times New Roman" w:hAnsi="Times New Roman"/>
          <w:sz w:val="24"/>
          <w:szCs w:val="24"/>
          <w:lang w:val="es-ES_tradnl"/>
        </w:rPr>
        <w:t xml:space="preserve"> de</w:t>
      </w:r>
      <w:r w:rsidR="00B45B40" w:rsidRPr="003B70D9">
        <w:rPr>
          <w:rFonts w:ascii="Times New Roman" w:hAnsi="Times New Roman"/>
          <w:sz w:val="24"/>
          <w:szCs w:val="24"/>
          <w:lang w:val="es-ES_tradnl"/>
        </w:rPr>
        <w:t xml:space="preserve"> acciones concretas </w:t>
      </w:r>
      <w:r w:rsidR="00273FD3" w:rsidRPr="003B70D9">
        <w:rPr>
          <w:rFonts w:ascii="Times New Roman" w:hAnsi="Times New Roman"/>
          <w:sz w:val="24"/>
          <w:szCs w:val="24"/>
          <w:lang w:val="es-ES_tradnl"/>
        </w:rPr>
        <w:t>que impacten positivamente en la integración</w:t>
      </w:r>
      <w:r w:rsidR="00B45B40" w:rsidRPr="003B70D9">
        <w:rPr>
          <w:rFonts w:ascii="Times New Roman" w:hAnsi="Times New Roman"/>
          <w:sz w:val="24"/>
          <w:szCs w:val="24"/>
          <w:lang w:val="es-ES_tradnl"/>
        </w:rPr>
        <w:t xml:space="preserve"> </w:t>
      </w:r>
      <w:r w:rsidR="00E31A33" w:rsidRPr="003B70D9">
        <w:rPr>
          <w:rFonts w:ascii="Times New Roman" w:hAnsi="Times New Roman"/>
          <w:sz w:val="24"/>
          <w:szCs w:val="24"/>
          <w:lang w:val="es-ES_tradnl"/>
        </w:rPr>
        <w:t xml:space="preserve">económica regional </w:t>
      </w:r>
      <w:r w:rsidR="00095DEC" w:rsidRPr="003B70D9">
        <w:rPr>
          <w:rFonts w:ascii="Times New Roman" w:hAnsi="Times New Roman"/>
          <w:sz w:val="24"/>
          <w:szCs w:val="24"/>
          <w:lang w:val="es-ES_tradnl"/>
        </w:rPr>
        <w:t xml:space="preserve">y global </w:t>
      </w:r>
      <w:r w:rsidR="00273FD3" w:rsidRPr="003B70D9">
        <w:rPr>
          <w:rFonts w:ascii="Times New Roman" w:hAnsi="Times New Roman"/>
          <w:sz w:val="24"/>
          <w:szCs w:val="24"/>
          <w:lang w:val="es-ES_tradnl"/>
        </w:rPr>
        <w:t>incrementando</w:t>
      </w:r>
      <w:r w:rsidR="000F6C9B" w:rsidRPr="003B70D9">
        <w:rPr>
          <w:rFonts w:ascii="Times New Roman" w:hAnsi="Times New Roman"/>
          <w:sz w:val="24"/>
          <w:szCs w:val="24"/>
          <w:lang w:val="es-ES_tradnl"/>
        </w:rPr>
        <w:t xml:space="preserve"> </w:t>
      </w:r>
      <w:r w:rsidR="00095DEC" w:rsidRPr="003B70D9">
        <w:rPr>
          <w:rFonts w:ascii="Times New Roman" w:hAnsi="Times New Roman"/>
          <w:sz w:val="24"/>
          <w:szCs w:val="24"/>
          <w:lang w:val="es-ES_tradnl"/>
        </w:rPr>
        <w:t>e</w:t>
      </w:r>
      <w:r w:rsidR="00273FD3" w:rsidRPr="003B70D9">
        <w:rPr>
          <w:rFonts w:ascii="Times New Roman" w:hAnsi="Times New Roman"/>
          <w:sz w:val="24"/>
          <w:szCs w:val="24"/>
          <w:lang w:val="es-ES_tradnl"/>
        </w:rPr>
        <w:t>l</w:t>
      </w:r>
      <w:r w:rsidR="00095DEC" w:rsidRPr="003B70D9">
        <w:rPr>
          <w:rFonts w:ascii="Times New Roman" w:hAnsi="Times New Roman"/>
          <w:sz w:val="24"/>
          <w:szCs w:val="24"/>
          <w:lang w:val="es-ES_tradnl"/>
        </w:rPr>
        <w:t xml:space="preserve"> intercambio de bienes y servicios y también </w:t>
      </w:r>
      <w:r w:rsidR="00273FD3" w:rsidRPr="003B70D9">
        <w:rPr>
          <w:rFonts w:ascii="Times New Roman" w:hAnsi="Times New Roman"/>
          <w:sz w:val="24"/>
          <w:szCs w:val="24"/>
          <w:lang w:val="es-ES_tradnl"/>
        </w:rPr>
        <w:t>los</w:t>
      </w:r>
      <w:r w:rsidR="00B45B40" w:rsidRPr="003B70D9">
        <w:rPr>
          <w:rFonts w:ascii="Times New Roman" w:hAnsi="Times New Roman"/>
          <w:sz w:val="24"/>
          <w:szCs w:val="24"/>
          <w:lang w:val="es-ES_tradnl"/>
        </w:rPr>
        <w:t xml:space="preserve"> flujos de personas y de capitales</w:t>
      </w:r>
      <w:r w:rsidR="00095DEC" w:rsidRPr="003B70D9">
        <w:rPr>
          <w:rFonts w:ascii="Times New Roman" w:hAnsi="Times New Roman"/>
          <w:sz w:val="24"/>
          <w:szCs w:val="24"/>
          <w:lang w:val="es-ES_tradnl"/>
        </w:rPr>
        <w:t xml:space="preserve"> entre los países de la región</w:t>
      </w:r>
      <w:r w:rsidR="00B45B40" w:rsidRPr="003B70D9">
        <w:rPr>
          <w:rFonts w:ascii="Times New Roman" w:hAnsi="Times New Roman"/>
          <w:sz w:val="24"/>
          <w:szCs w:val="24"/>
          <w:lang w:val="es-ES_tradnl"/>
        </w:rPr>
        <w:t>.</w:t>
      </w:r>
    </w:p>
    <w:p w14:paraId="13890ACD" w14:textId="77777777" w:rsidR="003B70D9" w:rsidRDefault="003B70D9" w:rsidP="003B70D9">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5CBD9FE4" w14:textId="5BF43101" w:rsidR="00DB1D39" w:rsidRPr="00BE2682" w:rsidRDefault="00DD2147" w:rsidP="004F291E">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BE2682">
        <w:rPr>
          <w:rFonts w:ascii="Times New Roman" w:hAnsi="Times New Roman"/>
          <w:sz w:val="24"/>
          <w:szCs w:val="24"/>
          <w:lang w:val="es-ES_tradnl"/>
        </w:rPr>
        <w:t>Para lograr el objetivo anterior, l</w:t>
      </w:r>
      <w:r w:rsidR="00454613" w:rsidRPr="00BE2682">
        <w:rPr>
          <w:rFonts w:ascii="Times New Roman" w:hAnsi="Times New Roman"/>
          <w:sz w:val="24"/>
          <w:szCs w:val="24"/>
          <w:lang w:val="es-ES_tradnl"/>
        </w:rPr>
        <w:t xml:space="preserve">a infraestructura </w:t>
      </w:r>
      <w:r w:rsidR="00660BC6" w:rsidRPr="00BE2682">
        <w:rPr>
          <w:rFonts w:ascii="Times New Roman" w:hAnsi="Times New Roman"/>
          <w:sz w:val="24"/>
          <w:szCs w:val="24"/>
          <w:lang w:val="es-ES_tradnl"/>
        </w:rPr>
        <w:t>de t</w:t>
      </w:r>
      <w:r w:rsidR="00067B31" w:rsidRPr="00BE2682">
        <w:rPr>
          <w:rFonts w:ascii="Times New Roman" w:hAnsi="Times New Roman"/>
          <w:sz w:val="24"/>
          <w:szCs w:val="24"/>
          <w:lang w:val="es-ES_tradnl"/>
        </w:rPr>
        <w:t>ransporte</w:t>
      </w:r>
      <w:r w:rsidR="00454613" w:rsidRPr="00BE2682">
        <w:rPr>
          <w:rFonts w:ascii="Times New Roman" w:hAnsi="Times New Roman"/>
          <w:sz w:val="24"/>
          <w:szCs w:val="24"/>
          <w:lang w:val="es-ES_tradnl"/>
        </w:rPr>
        <w:t xml:space="preserve"> desempeña un</w:t>
      </w:r>
      <w:r w:rsidRPr="00BE2682">
        <w:rPr>
          <w:rFonts w:ascii="Times New Roman" w:hAnsi="Times New Roman"/>
          <w:sz w:val="24"/>
          <w:szCs w:val="24"/>
          <w:lang w:val="es-ES_tradnl"/>
        </w:rPr>
        <w:t xml:space="preserve"> rol determinante en la competi</w:t>
      </w:r>
      <w:r w:rsidR="00454613" w:rsidRPr="00BE2682">
        <w:rPr>
          <w:rFonts w:ascii="Times New Roman" w:hAnsi="Times New Roman"/>
          <w:sz w:val="24"/>
          <w:szCs w:val="24"/>
          <w:lang w:val="es-ES_tradnl"/>
        </w:rPr>
        <w:t>tividad sistémica de la economía</w:t>
      </w:r>
      <w:r w:rsidR="001F1E45" w:rsidRPr="00BE2682">
        <w:rPr>
          <w:rFonts w:ascii="Times New Roman" w:hAnsi="Times New Roman"/>
          <w:sz w:val="24"/>
          <w:szCs w:val="24"/>
          <w:lang w:val="es-ES_tradnl"/>
        </w:rPr>
        <w:t xml:space="preserve"> debido a la incidencia </w:t>
      </w:r>
      <w:r w:rsidR="00795CED" w:rsidRPr="00BE2682">
        <w:rPr>
          <w:rFonts w:ascii="Times New Roman" w:hAnsi="Times New Roman"/>
          <w:sz w:val="24"/>
          <w:szCs w:val="24"/>
          <w:lang w:val="es-ES_tradnl"/>
        </w:rPr>
        <w:t xml:space="preserve">directa </w:t>
      </w:r>
      <w:r w:rsidR="001F1E45" w:rsidRPr="00BE2682">
        <w:rPr>
          <w:rFonts w:ascii="Times New Roman" w:hAnsi="Times New Roman"/>
          <w:sz w:val="24"/>
          <w:szCs w:val="24"/>
          <w:lang w:val="es-ES_tradnl"/>
        </w:rPr>
        <w:t>que tiene en los costos de transporte, los que a su vez</w:t>
      </w:r>
      <w:r w:rsidR="003B70D9" w:rsidRPr="00BE2682">
        <w:rPr>
          <w:rFonts w:ascii="Times New Roman" w:hAnsi="Times New Roman"/>
          <w:sz w:val="24"/>
          <w:szCs w:val="24"/>
          <w:lang w:val="es-ES_tradnl"/>
        </w:rPr>
        <w:t xml:space="preserve"> son un </w:t>
      </w:r>
      <w:r w:rsidR="001F1E45" w:rsidRPr="00BE2682">
        <w:rPr>
          <w:rFonts w:ascii="Times New Roman" w:hAnsi="Times New Roman"/>
          <w:sz w:val="24"/>
          <w:szCs w:val="24"/>
          <w:lang w:val="es-ES_tradnl"/>
        </w:rPr>
        <w:t>determinan</w:t>
      </w:r>
      <w:r w:rsidR="003B70D9" w:rsidRPr="00BE2682">
        <w:rPr>
          <w:rFonts w:ascii="Times New Roman" w:hAnsi="Times New Roman"/>
          <w:sz w:val="24"/>
          <w:szCs w:val="24"/>
          <w:lang w:val="es-ES_tradnl"/>
        </w:rPr>
        <w:t>te de</w:t>
      </w:r>
      <w:r w:rsidR="001F1E45" w:rsidRPr="00BE2682">
        <w:rPr>
          <w:rFonts w:ascii="Times New Roman" w:hAnsi="Times New Roman"/>
          <w:sz w:val="24"/>
          <w:szCs w:val="24"/>
          <w:lang w:val="es-ES_tradnl"/>
        </w:rPr>
        <w:t xml:space="preserve"> </w:t>
      </w:r>
      <w:r w:rsidR="001F1E45" w:rsidRPr="00BE2682">
        <w:rPr>
          <w:rFonts w:ascii="Times New Roman" w:hAnsi="Times New Roman" w:cs="Times New Roman"/>
          <w:lang w:val="es-ES_tradnl"/>
        </w:rPr>
        <w:t>los precios finales de los bienes transables y no transables</w:t>
      </w:r>
      <w:r w:rsidR="00BE2682" w:rsidRPr="00BE2682">
        <w:rPr>
          <w:rFonts w:ascii="Times New Roman" w:hAnsi="Times New Roman" w:cs="Times New Roman"/>
          <w:lang w:val="es-ES_tradnl"/>
        </w:rPr>
        <w:t>, destacando que altos precios en estos tipos de bienes significan p</w:t>
      </w:r>
      <w:r w:rsidR="00772D26">
        <w:rPr>
          <w:rFonts w:ascii="Times New Roman" w:hAnsi="Times New Roman" w:cs="Times New Roman"/>
          <w:lang w:val="es-ES_tradnl"/>
        </w:rPr>
        <w:t>é</w:t>
      </w:r>
      <w:r w:rsidR="00BE2682" w:rsidRPr="00BE2682">
        <w:rPr>
          <w:rFonts w:ascii="Times New Roman" w:hAnsi="Times New Roman" w:cs="Times New Roman"/>
          <w:lang w:val="es-ES_tradnl"/>
        </w:rPr>
        <w:t xml:space="preserve">rdida de competitividad en relación con el resto de competidores globales. Teniendo en cuenta el mecanismo por el cual la infraestructura de transporte incide en la competitividad, es </w:t>
      </w:r>
      <w:r w:rsidR="00BE2682">
        <w:rPr>
          <w:rFonts w:ascii="Times New Roman" w:hAnsi="Times New Roman" w:cs="Times New Roman"/>
          <w:lang w:val="es-ES_tradnl"/>
        </w:rPr>
        <w:t>importante resaltar</w:t>
      </w:r>
      <w:r w:rsidR="00BE2682" w:rsidRPr="00BE2682">
        <w:rPr>
          <w:rFonts w:ascii="Times New Roman" w:hAnsi="Times New Roman" w:cs="Times New Roman"/>
          <w:lang w:val="es-ES_tradnl"/>
        </w:rPr>
        <w:t xml:space="preserve"> que </w:t>
      </w:r>
      <w:r w:rsidR="00795CED" w:rsidRPr="00BE2682">
        <w:rPr>
          <w:rFonts w:ascii="Times New Roman" w:hAnsi="Times New Roman" w:cs="Times New Roman"/>
          <w:lang w:val="es-ES_tradnl"/>
        </w:rPr>
        <w:t>e</w:t>
      </w:r>
      <w:r w:rsidR="00851529" w:rsidRPr="00BE2682">
        <w:rPr>
          <w:rFonts w:ascii="Times New Roman" w:hAnsi="Times New Roman"/>
          <w:sz w:val="24"/>
          <w:szCs w:val="24"/>
          <w:lang w:val="es-ES_tradnl"/>
        </w:rPr>
        <w:t>mp</w:t>
      </w:r>
      <w:r w:rsidR="00A72BD8" w:rsidRPr="00BE2682">
        <w:rPr>
          <w:rFonts w:ascii="Times New Roman" w:hAnsi="Times New Roman"/>
          <w:sz w:val="24"/>
          <w:szCs w:val="24"/>
          <w:lang w:val="es-ES_tradnl"/>
        </w:rPr>
        <w:t>íricamente se observa que</w:t>
      </w:r>
      <w:r w:rsidR="000277B3" w:rsidRPr="00BE2682">
        <w:rPr>
          <w:rFonts w:ascii="Times New Roman" w:hAnsi="Times New Roman"/>
          <w:sz w:val="24"/>
          <w:szCs w:val="24"/>
          <w:lang w:val="es-ES_tradnl"/>
        </w:rPr>
        <w:t xml:space="preserve"> los flujos comerciales </w:t>
      </w:r>
      <w:r w:rsidR="00A72BD8" w:rsidRPr="00BE2682">
        <w:rPr>
          <w:rFonts w:ascii="Times New Roman" w:hAnsi="Times New Roman"/>
          <w:sz w:val="24"/>
          <w:szCs w:val="24"/>
          <w:lang w:val="es-ES_tradnl"/>
        </w:rPr>
        <w:t xml:space="preserve">de una economía </w:t>
      </w:r>
      <w:r w:rsidR="000277B3" w:rsidRPr="00BE2682">
        <w:rPr>
          <w:rFonts w:ascii="Times New Roman" w:hAnsi="Times New Roman"/>
          <w:sz w:val="24"/>
          <w:szCs w:val="24"/>
          <w:lang w:val="es-ES_tradnl"/>
        </w:rPr>
        <w:t>son altamente sensi</w:t>
      </w:r>
      <w:r w:rsidR="00A72BD8" w:rsidRPr="00BE2682">
        <w:rPr>
          <w:rFonts w:ascii="Times New Roman" w:hAnsi="Times New Roman"/>
          <w:sz w:val="24"/>
          <w:szCs w:val="24"/>
          <w:lang w:val="es-ES_tradnl"/>
        </w:rPr>
        <w:t>bles a los costos de transporte</w:t>
      </w:r>
      <w:r w:rsidR="00597B6C" w:rsidRPr="00BE2682">
        <w:rPr>
          <w:rFonts w:ascii="Times New Roman" w:hAnsi="Times New Roman"/>
          <w:sz w:val="24"/>
          <w:szCs w:val="24"/>
          <w:lang w:val="es-ES_tradnl"/>
        </w:rPr>
        <w:t xml:space="preserve"> </w:t>
      </w:r>
      <w:r w:rsidR="00597B6C" w:rsidRPr="00BE2682">
        <w:rPr>
          <w:rFonts w:ascii="Times New Roman" w:hAnsi="Times New Roman" w:cs="Times New Roman"/>
          <w:lang w:val="es-ES_tradnl"/>
        </w:rPr>
        <w:t>(Krugman y Livas, 1996)</w:t>
      </w:r>
      <w:r w:rsidR="00A72BD8" w:rsidRPr="00BE2682">
        <w:rPr>
          <w:rFonts w:ascii="Times New Roman" w:hAnsi="Times New Roman"/>
          <w:sz w:val="24"/>
          <w:szCs w:val="24"/>
          <w:lang w:val="es-ES_tradnl"/>
        </w:rPr>
        <w:t>, con lo cual menores costos de transporte significan efectos positivos en el comercio interno y externo de un país</w:t>
      </w:r>
      <w:r w:rsidR="00795CED">
        <w:rPr>
          <w:rStyle w:val="FootnoteReference"/>
          <w:szCs w:val="24"/>
          <w:lang w:val="es-ES_tradnl"/>
        </w:rPr>
        <w:footnoteReference w:id="13"/>
      </w:r>
      <w:r w:rsidR="00A72BD8" w:rsidRPr="00BE2682">
        <w:rPr>
          <w:rFonts w:ascii="Times New Roman" w:hAnsi="Times New Roman"/>
          <w:sz w:val="24"/>
          <w:szCs w:val="24"/>
          <w:lang w:val="es-ES_tradnl"/>
        </w:rPr>
        <w:t xml:space="preserve">. </w:t>
      </w:r>
    </w:p>
    <w:p w14:paraId="3290562E" w14:textId="4A1AAFB6" w:rsidR="008064E8" w:rsidRPr="00B816CF" w:rsidRDefault="00DB1D39" w:rsidP="00B816CF">
      <w:pPr>
        <w:tabs>
          <w:tab w:val="left" w:pos="270"/>
          <w:tab w:val="left" w:pos="360"/>
          <w:tab w:val="left" w:pos="450"/>
          <w:tab w:val="left" w:pos="2085"/>
        </w:tabs>
        <w:spacing w:after="0" w:line="240" w:lineRule="auto"/>
        <w:jc w:val="both"/>
        <w:rPr>
          <w:rFonts w:ascii="Times New Roman" w:hAnsi="Times New Roman"/>
          <w:sz w:val="24"/>
          <w:szCs w:val="24"/>
          <w:lang w:val="es-ES_tradnl"/>
        </w:rPr>
      </w:pPr>
      <w:r w:rsidRPr="00B816CF" w:rsidDel="00DB1D39">
        <w:rPr>
          <w:rFonts w:ascii="Times New Roman" w:hAnsi="Times New Roman"/>
          <w:sz w:val="24"/>
          <w:szCs w:val="24"/>
          <w:lang w:val="es-ES_tradnl"/>
        </w:rPr>
        <w:t xml:space="preserve"> </w:t>
      </w:r>
    </w:p>
    <w:p w14:paraId="48E6C657" w14:textId="77777777" w:rsidR="008064E8" w:rsidRPr="008064E8" w:rsidRDefault="007F3D2D" w:rsidP="008064E8">
      <w:pPr>
        <w:spacing w:after="0" w:line="240" w:lineRule="auto"/>
        <w:jc w:val="center"/>
        <w:rPr>
          <w:rFonts w:ascii="Times New Roman" w:hAnsi="Times New Roman"/>
          <w:sz w:val="24"/>
          <w:szCs w:val="24"/>
          <w:lang w:val="es-ES_tradnl"/>
        </w:rPr>
      </w:pPr>
      <w:r>
        <w:rPr>
          <w:rFonts w:ascii="Times New Roman" w:hAnsi="Times New Roman"/>
          <w:sz w:val="24"/>
          <w:szCs w:val="24"/>
          <w:lang w:val="es-ES_tradnl"/>
        </w:rPr>
        <w:t>Figura No. 3</w:t>
      </w:r>
      <w:r w:rsidR="008064E8" w:rsidRPr="008064E8">
        <w:rPr>
          <w:rFonts w:ascii="Times New Roman" w:hAnsi="Times New Roman"/>
          <w:sz w:val="24"/>
          <w:szCs w:val="24"/>
          <w:lang w:val="es-ES_tradnl"/>
        </w:rPr>
        <w:t>. Evolución del Comercio Intrarregional.</w:t>
      </w:r>
    </w:p>
    <w:p w14:paraId="5853C7ED" w14:textId="77777777" w:rsidR="008064E8" w:rsidRPr="008064E8" w:rsidRDefault="008064E8" w:rsidP="008064E8">
      <w:pPr>
        <w:spacing w:after="0" w:line="240" w:lineRule="auto"/>
        <w:jc w:val="center"/>
        <w:rPr>
          <w:rFonts w:ascii="Times New Roman" w:hAnsi="Times New Roman"/>
          <w:sz w:val="20"/>
          <w:szCs w:val="24"/>
          <w:lang w:val="es-ES_tradnl"/>
        </w:rPr>
      </w:pPr>
      <w:r w:rsidRPr="007E5278">
        <w:rPr>
          <w:noProof/>
          <w:sz w:val="18"/>
        </w:rPr>
        <w:drawing>
          <wp:anchor distT="0" distB="0" distL="114300" distR="114300" simplePos="0" relativeHeight="251665408" behindDoc="0" locked="0" layoutInCell="1" allowOverlap="1" wp14:anchorId="51BBBDCC" wp14:editId="2A6D0AFC">
            <wp:simplePos x="0" y="0"/>
            <wp:positionH relativeFrom="margin">
              <wp:posOffset>76200</wp:posOffset>
            </wp:positionH>
            <wp:positionV relativeFrom="paragraph">
              <wp:posOffset>208280</wp:posOffset>
            </wp:positionV>
            <wp:extent cx="5992495" cy="1954530"/>
            <wp:effectExtent l="0" t="0" r="8255"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92495" cy="1954530"/>
                    </a:xfrm>
                    <a:prstGeom prst="rect">
                      <a:avLst/>
                    </a:prstGeom>
                  </pic:spPr>
                </pic:pic>
              </a:graphicData>
            </a:graphic>
            <wp14:sizeRelH relativeFrom="page">
              <wp14:pctWidth>0</wp14:pctWidth>
            </wp14:sizeRelH>
            <wp14:sizeRelV relativeFrom="page">
              <wp14:pctHeight>0</wp14:pctHeight>
            </wp14:sizeRelV>
          </wp:anchor>
        </w:drawing>
      </w:r>
      <w:r w:rsidRPr="008064E8">
        <w:rPr>
          <w:rFonts w:ascii="Times New Roman" w:hAnsi="Times New Roman"/>
          <w:sz w:val="20"/>
          <w:szCs w:val="24"/>
          <w:lang w:val="es-ES_tradnl"/>
        </w:rPr>
        <w:t>Porcentaje del comercio intrarregional en el comercio total 2000-2015</w:t>
      </w:r>
    </w:p>
    <w:p w14:paraId="2129C483" w14:textId="77777777" w:rsidR="008064E8" w:rsidRPr="008064E8" w:rsidRDefault="008064E8" w:rsidP="008064E8">
      <w:pPr>
        <w:pStyle w:val="ListParagraph"/>
        <w:spacing w:line="240" w:lineRule="auto"/>
        <w:ind w:left="1260"/>
        <w:jc w:val="both"/>
        <w:rPr>
          <w:rFonts w:ascii="Times New Roman" w:hAnsi="Times New Roman"/>
          <w:i/>
          <w:sz w:val="20"/>
          <w:szCs w:val="24"/>
          <w:lang w:val="es-ES_tradnl"/>
        </w:rPr>
      </w:pPr>
      <w:r w:rsidRPr="008064E8">
        <w:rPr>
          <w:rFonts w:ascii="Times New Roman" w:hAnsi="Times New Roman"/>
          <w:i/>
          <w:sz w:val="20"/>
          <w:szCs w:val="24"/>
          <w:lang w:val="es-ES_tradnl"/>
        </w:rPr>
        <w:t xml:space="preserve">Fuente: Elaboración Propia en base a información de World Trade Organization, International Trade Statistics. </w:t>
      </w:r>
      <w:hyperlink r:id="rId17" w:history="1">
        <w:r w:rsidRPr="008064E8">
          <w:rPr>
            <w:rStyle w:val="Hyperlink"/>
            <w:rFonts w:ascii="Times New Roman" w:hAnsi="Times New Roman"/>
            <w:sz w:val="20"/>
            <w:szCs w:val="24"/>
            <w:lang w:val="es-ES_tradnl"/>
          </w:rPr>
          <w:t>www.wto.org/statistics</w:t>
        </w:r>
      </w:hyperlink>
      <w:r w:rsidRPr="008064E8">
        <w:rPr>
          <w:rFonts w:ascii="Times New Roman" w:hAnsi="Times New Roman"/>
          <w:i/>
          <w:sz w:val="20"/>
          <w:szCs w:val="24"/>
          <w:lang w:val="es-ES_tradnl"/>
        </w:rPr>
        <w:t xml:space="preserve">  </w:t>
      </w:r>
    </w:p>
    <w:p w14:paraId="5A64A144" w14:textId="77777777" w:rsidR="008064E8" w:rsidRDefault="008064E8" w:rsidP="008064E8">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618B9913" w14:textId="06869D8F" w:rsidR="008064E8" w:rsidRPr="00D01B96" w:rsidRDefault="008064E8" w:rsidP="008064E8">
      <w:pPr>
        <w:pStyle w:val="ListParagraph"/>
        <w:spacing w:line="240" w:lineRule="auto"/>
        <w:ind w:left="360"/>
        <w:jc w:val="both"/>
        <w:rPr>
          <w:rFonts w:ascii="Times New Roman" w:hAnsi="Times New Roman"/>
          <w:b/>
          <w:sz w:val="24"/>
          <w:szCs w:val="24"/>
          <w:u w:val="single"/>
          <w:lang w:val="es-ES"/>
        </w:rPr>
      </w:pPr>
      <w:r>
        <w:rPr>
          <w:rFonts w:ascii="Times New Roman" w:hAnsi="Times New Roman"/>
          <w:b/>
          <w:sz w:val="24"/>
          <w:szCs w:val="24"/>
          <w:u w:val="single"/>
          <w:lang w:val="es-ES"/>
        </w:rPr>
        <w:t>Contexto Nacional</w:t>
      </w:r>
    </w:p>
    <w:p w14:paraId="437C52E8" w14:textId="77777777" w:rsidR="008064E8" w:rsidRDefault="008064E8" w:rsidP="008064E8">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1385626E" w14:textId="3634A5C1" w:rsidR="008064E8" w:rsidRDefault="008064E8" w:rsidP="008064E8">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8064E8">
        <w:rPr>
          <w:rFonts w:ascii="Times New Roman" w:hAnsi="Times New Roman"/>
          <w:sz w:val="24"/>
          <w:szCs w:val="24"/>
          <w:lang w:val="es-ES"/>
        </w:rPr>
        <w:t>El grado de apertura comercial de Bolivia medido a través del ratio de comercio total/PIB</w:t>
      </w:r>
      <w:r>
        <w:rPr>
          <w:rStyle w:val="FootnoteReference"/>
          <w:szCs w:val="24"/>
          <w:lang w:val="es-ES"/>
        </w:rPr>
        <w:footnoteReference w:id="14"/>
      </w:r>
      <w:r w:rsidRPr="008064E8">
        <w:rPr>
          <w:rFonts w:ascii="Times New Roman" w:hAnsi="Times New Roman"/>
          <w:sz w:val="24"/>
          <w:szCs w:val="24"/>
          <w:lang w:val="es-ES"/>
        </w:rPr>
        <w:t xml:space="preserve"> se situó en 44% en el año 2015. Este indicador, nos permite determinar la </w:t>
      </w:r>
      <w:r w:rsidRPr="008064E8">
        <w:rPr>
          <w:rFonts w:ascii="Times New Roman" w:hAnsi="Times New Roman"/>
          <w:sz w:val="24"/>
          <w:szCs w:val="24"/>
          <w:lang w:val="es-ES_tradnl"/>
        </w:rPr>
        <w:t>importancia relativa del comercio internacional en la economía de un país, y al mismo tiempo nos da una noción de qu</w:t>
      </w:r>
      <w:r w:rsidR="007E5266">
        <w:rPr>
          <w:rFonts w:ascii="Times New Roman" w:hAnsi="Times New Roman"/>
          <w:sz w:val="24"/>
          <w:szCs w:val="24"/>
          <w:lang w:val="es-ES_tradnl"/>
        </w:rPr>
        <w:t>é</w:t>
      </w:r>
      <w:r w:rsidRPr="008064E8">
        <w:rPr>
          <w:rFonts w:ascii="Times New Roman" w:hAnsi="Times New Roman"/>
          <w:sz w:val="24"/>
          <w:szCs w:val="24"/>
          <w:lang w:val="es-ES_tradnl"/>
        </w:rPr>
        <w:t xml:space="preserve"> tan vulnerable es el país a los choques externos provenientes de otras economías o a contagio por crisis sistémica. En el caso de Bolivia, se observa que el grado de apertura al comercio internacional es alto y que la composición de dicho comercio está orientada fundamentalmente hacia países de la región suramericana a través de las principales iniciativas de integración regional a las cuales pertenece. Lo anterior sugiere que intervenciones orientadas a aumentar la competitividad de Bolivia, tenderán a intensificar la </w:t>
      </w:r>
      <w:r w:rsidR="004761FB" w:rsidRPr="008064E8">
        <w:rPr>
          <w:rFonts w:ascii="Times New Roman" w:hAnsi="Times New Roman"/>
          <w:sz w:val="24"/>
          <w:szCs w:val="24"/>
          <w:lang w:val="es-ES_tradnl"/>
        </w:rPr>
        <w:t>propensión</w:t>
      </w:r>
      <w:r w:rsidRPr="008064E8">
        <w:rPr>
          <w:rFonts w:ascii="Times New Roman" w:hAnsi="Times New Roman"/>
          <w:sz w:val="24"/>
          <w:szCs w:val="24"/>
          <w:lang w:val="es-ES_tradnl"/>
        </w:rPr>
        <w:t xml:space="preserve"> del país de comerciar fundamentalmente con países de la región, siempre que la demanda externa de bienes bolivianos </w:t>
      </w:r>
      <w:r w:rsidRPr="008064E8">
        <w:rPr>
          <w:rFonts w:ascii="Times New Roman" w:hAnsi="Times New Roman"/>
          <w:sz w:val="24"/>
          <w:szCs w:val="24"/>
          <w:lang w:val="es-ES_tradnl"/>
        </w:rPr>
        <w:lastRenderedPageBreak/>
        <w:t>se mantenga constante</w:t>
      </w:r>
      <w:r w:rsidR="005F21B7">
        <w:rPr>
          <w:rStyle w:val="FootnoteReference"/>
          <w:szCs w:val="24"/>
          <w:lang w:val="es-ES_tradnl"/>
        </w:rPr>
        <w:footnoteReference w:id="15"/>
      </w:r>
      <w:r w:rsidR="00FE4123">
        <w:rPr>
          <w:rFonts w:ascii="Times New Roman" w:hAnsi="Times New Roman"/>
          <w:sz w:val="24"/>
          <w:szCs w:val="24"/>
          <w:lang w:val="es-ES_tradnl"/>
        </w:rPr>
        <w:t>. Del mismo modo, la alta integración de Bolivia a</w:t>
      </w:r>
      <w:r w:rsidR="001F293D">
        <w:rPr>
          <w:rFonts w:ascii="Times New Roman" w:hAnsi="Times New Roman"/>
          <w:sz w:val="24"/>
          <w:szCs w:val="24"/>
          <w:lang w:val="es-ES_tradnl"/>
        </w:rPr>
        <w:t xml:space="preserve"> los mercados regionales denota</w:t>
      </w:r>
      <w:r w:rsidR="00FE4123">
        <w:rPr>
          <w:rFonts w:ascii="Times New Roman" w:hAnsi="Times New Roman"/>
          <w:sz w:val="24"/>
          <w:szCs w:val="24"/>
          <w:lang w:val="es-ES_tradnl"/>
        </w:rPr>
        <w:t xml:space="preserve"> que </w:t>
      </w:r>
      <w:r w:rsidR="00883926" w:rsidRPr="008064E8">
        <w:rPr>
          <w:rFonts w:ascii="Times New Roman" w:hAnsi="Times New Roman"/>
          <w:sz w:val="24"/>
          <w:szCs w:val="24"/>
          <w:lang w:val="es-ES_tradnl"/>
        </w:rPr>
        <w:t>la proximidad y la conectividad importan para Bolivia</w:t>
      </w:r>
      <w:r w:rsidR="00883926">
        <w:rPr>
          <w:rFonts w:ascii="Times New Roman" w:hAnsi="Times New Roman"/>
          <w:sz w:val="24"/>
          <w:szCs w:val="24"/>
          <w:lang w:val="es-ES_tradnl"/>
        </w:rPr>
        <w:t xml:space="preserve"> </w:t>
      </w:r>
      <w:r w:rsidR="00883926" w:rsidRPr="008064E8">
        <w:rPr>
          <w:rFonts w:ascii="Times New Roman" w:hAnsi="Times New Roman"/>
          <w:sz w:val="24"/>
          <w:szCs w:val="24"/>
          <w:lang w:val="es-ES_tradnl"/>
        </w:rPr>
        <w:t>en el sentido de la relevancia para la integración de las principales regiones productoras de bienes y servicios con los puntos de exportación.</w:t>
      </w:r>
    </w:p>
    <w:p w14:paraId="7F1DC8C2" w14:textId="77777777" w:rsidR="008064E8" w:rsidRDefault="008064E8" w:rsidP="008064E8">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40C5B8D5" w14:textId="51DCDEC4" w:rsidR="00AF2C17" w:rsidRPr="00AF2C17" w:rsidRDefault="00BF563C" w:rsidP="00AF2C17">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8064E8">
        <w:rPr>
          <w:rFonts w:ascii="Times New Roman" w:hAnsi="Times New Roman"/>
          <w:sz w:val="24"/>
          <w:szCs w:val="24"/>
          <w:lang w:val="es-ES_tradnl"/>
        </w:rPr>
        <w:t>Es importante resaltar que, a</w:t>
      </w:r>
      <w:r w:rsidR="009531CE" w:rsidRPr="008064E8">
        <w:rPr>
          <w:rFonts w:ascii="Times New Roman" w:hAnsi="Times New Roman"/>
          <w:sz w:val="24"/>
          <w:szCs w:val="24"/>
          <w:lang w:val="es-ES_tradnl"/>
        </w:rPr>
        <w:t xml:space="preserve"> pesar de la buena inserción de Bolivia a los procesos de integración regional, la concentración regional de las exportaciones es elevada ya que solo 22 de los municipios fueron capaces de exportar, y los </w:t>
      </w:r>
      <w:r w:rsidR="00253764" w:rsidRPr="008064E8">
        <w:rPr>
          <w:rFonts w:ascii="Times New Roman" w:hAnsi="Times New Roman"/>
          <w:sz w:val="24"/>
          <w:szCs w:val="24"/>
          <w:lang w:val="es-ES_tradnl"/>
        </w:rPr>
        <w:t>ocho</w:t>
      </w:r>
      <w:r w:rsidR="009531CE" w:rsidRPr="008064E8">
        <w:rPr>
          <w:rFonts w:ascii="Times New Roman" w:hAnsi="Times New Roman"/>
          <w:sz w:val="24"/>
          <w:szCs w:val="24"/>
          <w:lang w:val="es-ES_tradnl"/>
        </w:rPr>
        <w:t xml:space="preserve"> primeros concentraron el </w:t>
      </w:r>
      <w:r w:rsidR="00253764" w:rsidRPr="008064E8">
        <w:rPr>
          <w:rFonts w:ascii="Times New Roman" w:hAnsi="Times New Roman"/>
          <w:sz w:val="24"/>
          <w:szCs w:val="24"/>
          <w:lang w:val="es-ES_tradnl"/>
        </w:rPr>
        <w:t>77.2</w:t>
      </w:r>
      <w:r w:rsidR="009531CE" w:rsidRPr="008064E8">
        <w:rPr>
          <w:rFonts w:ascii="Times New Roman" w:hAnsi="Times New Roman"/>
          <w:sz w:val="24"/>
          <w:szCs w:val="24"/>
          <w:lang w:val="es-ES_tradnl"/>
        </w:rPr>
        <w:t>% del volumen de exportaciones del país en 2015</w:t>
      </w:r>
      <w:r w:rsidR="00253764" w:rsidRPr="008064E8">
        <w:rPr>
          <w:rFonts w:ascii="Times New Roman" w:hAnsi="Times New Roman"/>
          <w:sz w:val="24"/>
          <w:szCs w:val="24"/>
          <w:lang w:val="es-ES_tradnl"/>
        </w:rPr>
        <w:t xml:space="preserve"> (Ver Figura No. 4)</w:t>
      </w:r>
      <w:r w:rsidR="009531CE" w:rsidRPr="008064E8">
        <w:rPr>
          <w:rFonts w:ascii="Times New Roman" w:hAnsi="Times New Roman"/>
          <w:sz w:val="24"/>
          <w:szCs w:val="24"/>
          <w:lang w:val="es-ES_tradnl"/>
        </w:rPr>
        <w:t xml:space="preserve">. Lo anterior es consecuencia del escaso desarrollo de la competitividad de la economía boliviana determinado por factores de orden interno sobre los cuales se puede actuar o intervenir. Algunos de los factores internos fundamentales es el mal estado de la infraestructura física y de servicios, así como también la falta de inversión en infraestructura </w:t>
      </w:r>
      <w:r w:rsidR="00771D8F">
        <w:rPr>
          <w:rFonts w:ascii="Times New Roman" w:hAnsi="Times New Roman"/>
          <w:sz w:val="24"/>
          <w:szCs w:val="24"/>
          <w:lang w:val="es-ES_tradnl"/>
        </w:rPr>
        <w:t>física</w:t>
      </w:r>
      <w:r w:rsidR="00771D8F" w:rsidRPr="008064E8">
        <w:rPr>
          <w:rFonts w:ascii="Times New Roman" w:hAnsi="Times New Roman"/>
          <w:sz w:val="24"/>
          <w:szCs w:val="24"/>
          <w:lang w:val="es-ES_tradnl"/>
        </w:rPr>
        <w:t xml:space="preserve"> </w:t>
      </w:r>
      <w:r w:rsidR="009531CE" w:rsidRPr="008064E8">
        <w:rPr>
          <w:rFonts w:ascii="Times New Roman" w:hAnsi="Times New Roman"/>
          <w:sz w:val="24"/>
          <w:szCs w:val="24"/>
          <w:lang w:val="es-ES_tradnl"/>
        </w:rPr>
        <w:t>lo cual limita el crecimiento y el aumento de la productividad sistémica de la economía boliviana (ALADI, 2003).</w:t>
      </w:r>
      <w:r w:rsidR="007C5155">
        <w:rPr>
          <w:rFonts w:ascii="Times New Roman" w:hAnsi="Times New Roman"/>
          <w:sz w:val="24"/>
          <w:szCs w:val="24"/>
          <w:lang w:val="es-ES"/>
        </w:rPr>
        <w:t xml:space="preserve"> El incremento de la</w:t>
      </w:r>
      <w:r w:rsidR="001B73A2">
        <w:rPr>
          <w:rFonts w:ascii="Times New Roman" w:hAnsi="Times New Roman"/>
          <w:sz w:val="24"/>
          <w:szCs w:val="24"/>
          <w:lang w:val="es-ES"/>
        </w:rPr>
        <w:t xml:space="preserve"> </w:t>
      </w:r>
      <w:r w:rsidR="0000726D" w:rsidRPr="008064E8">
        <w:rPr>
          <w:rFonts w:ascii="Times New Roman" w:hAnsi="Times New Roman"/>
          <w:sz w:val="24"/>
          <w:szCs w:val="24"/>
          <w:lang w:val="es-ES"/>
        </w:rPr>
        <w:t>conectividad</w:t>
      </w:r>
      <w:r w:rsidR="007C5155">
        <w:rPr>
          <w:rFonts w:ascii="Times New Roman" w:hAnsi="Times New Roman"/>
          <w:sz w:val="24"/>
          <w:szCs w:val="24"/>
          <w:lang w:val="es-ES"/>
        </w:rPr>
        <w:t xml:space="preserve"> territorial al interior del país</w:t>
      </w:r>
      <w:r w:rsidR="0000726D" w:rsidRPr="008064E8">
        <w:rPr>
          <w:rFonts w:ascii="Times New Roman" w:hAnsi="Times New Roman"/>
          <w:sz w:val="24"/>
          <w:szCs w:val="24"/>
          <w:lang w:val="es-ES"/>
        </w:rPr>
        <w:t xml:space="preserve"> </w:t>
      </w:r>
      <w:r w:rsidR="006D4D97" w:rsidRPr="008064E8">
        <w:rPr>
          <w:rFonts w:ascii="Times New Roman" w:hAnsi="Times New Roman"/>
          <w:sz w:val="24"/>
          <w:szCs w:val="24"/>
          <w:lang w:val="es-ES"/>
        </w:rPr>
        <w:t>permitiría</w:t>
      </w:r>
      <w:r w:rsidR="0000726D" w:rsidRPr="008064E8">
        <w:rPr>
          <w:rFonts w:ascii="Times New Roman" w:hAnsi="Times New Roman"/>
          <w:sz w:val="24"/>
          <w:szCs w:val="24"/>
          <w:lang w:val="es-ES"/>
        </w:rPr>
        <w:t xml:space="preserve"> desconcentrar la procedencia de las exportaciones dando mayores oportunidades a nuevas municipalidades de exportar. </w:t>
      </w:r>
    </w:p>
    <w:p w14:paraId="7C50AAB4" w14:textId="77777777" w:rsidR="00AF2C17" w:rsidRPr="00AF2C17" w:rsidRDefault="00AF2C17" w:rsidP="00AF2C17">
      <w:pPr>
        <w:pStyle w:val="ListParagraph"/>
        <w:rPr>
          <w:rFonts w:ascii="Times New Roman" w:hAnsi="Times New Roman"/>
          <w:sz w:val="24"/>
          <w:szCs w:val="24"/>
          <w:lang w:val="es-ES_tradnl"/>
        </w:rPr>
      </w:pPr>
    </w:p>
    <w:p w14:paraId="3DB1A7BD" w14:textId="77777777" w:rsidR="00AF2C17" w:rsidRPr="00AF2C17" w:rsidRDefault="00AF2C17" w:rsidP="00AF2C17">
      <w:pPr>
        <w:pStyle w:val="ListParagraph"/>
        <w:tabs>
          <w:tab w:val="left" w:pos="270"/>
          <w:tab w:val="left" w:pos="360"/>
          <w:tab w:val="left" w:pos="450"/>
          <w:tab w:val="left" w:pos="2085"/>
        </w:tabs>
        <w:spacing w:after="0" w:line="240" w:lineRule="auto"/>
        <w:ind w:left="90"/>
        <w:jc w:val="center"/>
        <w:rPr>
          <w:rFonts w:ascii="Times New Roman" w:hAnsi="Times New Roman"/>
          <w:sz w:val="24"/>
          <w:szCs w:val="24"/>
          <w:lang w:val="es-ES_tradnl"/>
        </w:rPr>
      </w:pPr>
      <w:r w:rsidRPr="00AF2C17">
        <w:rPr>
          <w:rFonts w:ascii="Times New Roman" w:hAnsi="Times New Roman"/>
          <w:sz w:val="24"/>
          <w:szCs w:val="24"/>
          <w:lang w:val="es-ES_tradnl"/>
        </w:rPr>
        <w:t>Figura No. 4. Participación en el valor de las exportaciones de Bolivia por departamentos en el año 2015.</w:t>
      </w:r>
    </w:p>
    <w:p w14:paraId="637CCA4F" w14:textId="77777777" w:rsidR="00AF2C17" w:rsidRPr="008064E8" w:rsidRDefault="00AF2C17" w:rsidP="00AF2C17">
      <w:pPr>
        <w:pStyle w:val="ListParagraph"/>
        <w:autoSpaceDE w:val="0"/>
        <w:autoSpaceDN w:val="0"/>
        <w:adjustRightInd w:val="0"/>
        <w:spacing w:after="0" w:line="240" w:lineRule="auto"/>
        <w:ind w:left="1260"/>
        <w:jc w:val="center"/>
        <w:rPr>
          <w:rFonts w:ascii="Times New Roman" w:hAnsi="Times New Roman"/>
          <w:sz w:val="24"/>
          <w:szCs w:val="24"/>
          <w:lang w:val="es-ES_tradnl"/>
        </w:rPr>
      </w:pPr>
      <w:r>
        <w:rPr>
          <w:noProof/>
        </w:rPr>
        <w:drawing>
          <wp:inline distT="0" distB="0" distL="0" distR="0" wp14:anchorId="344B3127" wp14:editId="1194B87E">
            <wp:extent cx="4428067" cy="2328333"/>
            <wp:effectExtent l="0" t="0" r="10795" b="15240"/>
            <wp:docPr id="4" name="Chart 4">
              <a:extLst xmlns:a="http://schemas.openxmlformats.org/drawingml/2006/main">
                <a:ext uri="{FF2B5EF4-FFF2-40B4-BE49-F238E27FC236}">
                  <a16:creationId xmlns:a16="http://schemas.microsoft.com/office/drawing/2014/main" id="{D1DBB7F0-142C-42B7-AB68-829C860829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6A31EF" w14:textId="77777777" w:rsidR="00AF2C17" w:rsidRPr="008064E8" w:rsidRDefault="00AF2C17" w:rsidP="00AF2C17">
      <w:pPr>
        <w:pStyle w:val="ListParagraph"/>
        <w:spacing w:line="240" w:lineRule="auto"/>
        <w:ind w:left="1260"/>
        <w:jc w:val="center"/>
        <w:rPr>
          <w:rFonts w:ascii="Times New Roman" w:hAnsi="Times New Roman"/>
          <w:sz w:val="24"/>
          <w:szCs w:val="24"/>
          <w:lang w:val="es-ES_tradnl"/>
        </w:rPr>
      </w:pPr>
      <w:r w:rsidRPr="008064E8">
        <w:rPr>
          <w:rFonts w:ascii="Times New Roman" w:hAnsi="Times New Roman"/>
          <w:i/>
          <w:sz w:val="20"/>
          <w:szCs w:val="24"/>
          <w:lang w:val="es-ES_tradnl"/>
        </w:rPr>
        <w:t>Fuente: Elaboración Propia en base a INE.</w:t>
      </w:r>
    </w:p>
    <w:p w14:paraId="28499030" w14:textId="77777777" w:rsidR="00D85C78" w:rsidRPr="00D85C78" w:rsidRDefault="00D85C78" w:rsidP="00D85C78">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2A024D6A" w14:textId="0CB21E85" w:rsidR="00AF2C17" w:rsidRPr="00AF2C17" w:rsidRDefault="00AF2C17" w:rsidP="00E65EA5">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r w:rsidRPr="00AF2C17">
        <w:rPr>
          <w:rFonts w:ascii="Times New Roman" w:hAnsi="Times New Roman"/>
          <w:sz w:val="24"/>
          <w:szCs w:val="24"/>
          <w:lang w:val="es-ES"/>
        </w:rPr>
        <w:t xml:space="preserve">Bolivia cuenta con una infraestructura de transporte y comunicaciones limitada, lo cual ha </w:t>
      </w:r>
      <w:r w:rsidR="007C5155">
        <w:rPr>
          <w:rFonts w:ascii="Times New Roman" w:hAnsi="Times New Roman"/>
          <w:sz w:val="24"/>
          <w:szCs w:val="24"/>
          <w:lang w:val="es-ES"/>
        </w:rPr>
        <w:t>condicionado</w:t>
      </w:r>
      <w:r w:rsidR="007C5155" w:rsidRPr="00AF2C17">
        <w:rPr>
          <w:rFonts w:ascii="Times New Roman" w:hAnsi="Times New Roman"/>
          <w:sz w:val="24"/>
          <w:szCs w:val="24"/>
          <w:lang w:val="es-ES"/>
        </w:rPr>
        <w:t xml:space="preserve"> </w:t>
      </w:r>
      <w:r w:rsidRPr="00AF2C17">
        <w:rPr>
          <w:rFonts w:ascii="Times New Roman" w:hAnsi="Times New Roman"/>
          <w:sz w:val="24"/>
          <w:szCs w:val="24"/>
          <w:lang w:val="es-ES"/>
        </w:rPr>
        <w:t>significativamente las oportunidades de crecimiento y desarrollo del país. Una de las mayores dificultades que tiene el sector productivo es la insuficiente infraestructura de transporte en todas sus modalidades: terrestre, ferroviario, aéreo y fluvial (ALADI, 2003). La deficiente calidad de la infraestructura existente en el país se debe en parte al resultado de años de falta de inversión y debilidad institucional. Adicionalmente, dada su condición de mediterraneidad, los productos bolivianos recorren mayores distancias para acceder a sus consumidores. En el caso particular de las importaciones de b</w:t>
      </w:r>
      <w:r w:rsidR="004E2EFF">
        <w:rPr>
          <w:rFonts w:ascii="Times New Roman" w:hAnsi="Times New Roman"/>
          <w:sz w:val="24"/>
          <w:szCs w:val="24"/>
          <w:lang w:val="es-ES"/>
        </w:rPr>
        <w:t xml:space="preserve">ienes intermedios y de capital, </w:t>
      </w:r>
      <w:r w:rsidRPr="00AF2C17">
        <w:rPr>
          <w:rFonts w:ascii="Times New Roman" w:hAnsi="Times New Roman"/>
          <w:sz w:val="24"/>
          <w:szCs w:val="24"/>
          <w:lang w:val="es-ES"/>
        </w:rPr>
        <w:lastRenderedPageBreak/>
        <w:t>vitales para la producción interna</w:t>
      </w:r>
      <w:r w:rsidR="004E2EFF">
        <w:rPr>
          <w:rFonts w:ascii="Times New Roman" w:hAnsi="Times New Roman"/>
          <w:sz w:val="24"/>
          <w:szCs w:val="24"/>
          <w:lang w:val="es-ES"/>
        </w:rPr>
        <w:t>,</w:t>
      </w:r>
      <w:r w:rsidRPr="00AF2C17">
        <w:rPr>
          <w:rFonts w:ascii="Times New Roman" w:hAnsi="Times New Roman"/>
          <w:sz w:val="24"/>
          <w:szCs w:val="24"/>
          <w:lang w:val="es-ES"/>
        </w:rPr>
        <w:t xml:space="preserve"> el efecto del costo doméstico de transporte supone un incremento en los costos de producción</w:t>
      </w:r>
      <w:r w:rsidR="00B52F4C">
        <w:rPr>
          <w:rStyle w:val="FootnoteReference"/>
          <w:szCs w:val="24"/>
          <w:lang w:val="es-ES"/>
        </w:rPr>
        <w:footnoteReference w:id="16"/>
      </w:r>
      <w:r w:rsidRPr="00AF2C17">
        <w:rPr>
          <w:rFonts w:ascii="Times New Roman" w:hAnsi="Times New Roman"/>
          <w:sz w:val="24"/>
          <w:szCs w:val="24"/>
          <w:lang w:val="es-ES"/>
        </w:rPr>
        <w:t>.</w:t>
      </w:r>
    </w:p>
    <w:p w14:paraId="3560AD41" w14:textId="77777777" w:rsidR="00AF2C17" w:rsidRPr="00AF2C17" w:rsidRDefault="00AF2C17" w:rsidP="00AF2C17">
      <w:pPr>
        <w:pStyle w:val="ListParagraph"/>
        <w:tabs>
          <w:tab w:val="left" w:pos="270"/>
          <w:tab w:val="left" w:pos="360"/>
          <w:tab w:val="left" w:pos="450"/>
          <w:tab w:val="left" w:pos="2085"/>
        </w:tabs>
        <w:spacing w:after="0" w:line="240" w:lineRule="auto"/>
        <w:ind w:left="90"/>
        <w:jc w:val="both"/>
        <w:rPr>
          <w:rFonts w:ascii="Times New Roman" w:hAnsi="Times New Roman"/>
          <w:sz w:val="24"/>
          <w:szCs w:val="24"/>
          <w:lang w:val="es-ES_tradnl"/>
        </w:rPr>
      </w:pPr>
    </w:p>
    <w:p w14:paraId="58E376F8" w14:textId="77777777" w:rsidR="00AF2C17" w:rsidRDefault="009D5A6E" w:rsidP="007E5266">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sidRPr="00AF2C17">
        <w:rPr>
          <w:rFonts w:ascii="Times New Roman" w:hAnsi="Times New Roman" w:cs="Times New Roman"/>
          <w:sz w:val="24"/>
          <w:szCs w:val="24"/>
          <w:lang w:val="es-ES"/>
        </w:rPr>
        <w:t xml:space="preserve">En Bolivia </w:t>
      </w:r>
      <w:r w:rsidR="00E22E0F" w:rsidRPr="00AF2C17">
        <w:rPr>
          <w:rFonts w:ascii="Times New Roman" w:hAnsi="Times New Roman" w:cs="Times New Roman"/>
          <w:sz w:val="24"/>
          <w:szCs w:val="24"/>
          <w:lang w:val="es-ES_tradnl"/>
        </w:rPr>
        <w:t>existen 5 corredores estratégico</w:t>
      </w:r>
      <w:r w:rsidR="006D4D97" w:rsidRPr="00AF2C17">
        <w:rPr>
          <w:rFonts w:ascii="Times New Roman" w:hAnsi="Times New Roman" w:cs="Times New Roman"/>
          <w:sz w:val="24"/>
          <w:szCs w:val="24"/>
          <w:lang w:val="es-ES_tradnl"/>
        </w:rPr>
        <w:t>s</w:t>
      </w:r>
      <w:r w:rsidR="00E22E0F" w:rsidRPr="00AF2C17">
        <w:rPr>
          <w:rFonts w:ascii="Times New Roman" w:hAnsi="Times New Roman" w:cs="Times New Roman"/>
          <w:sz w:val="24"/>
          <w:szCs w:val="24"/>
          <w:lang w:val="es-ES_tradnl"/>
        </w:rPr>
        <w:t xml:space="preserve"> de la Red Vial Fundamental (RVF)</w:t>
      </w:r>
      <w:r w:rsidR="0073084C">
        <w:rPr>
          <w:rStyle w:val="FootnoteReference"/>
          <w:rFonts w:cs="Times New Roman"/>
          <w:szCs w:val="24"/>
          <w:lang w:val="es-ES_tradnl"/>
        </w:rPr>
        <w:footnoteReference w:id="17"/>
      </w:r>
      <w:r w:rsidR="00E22E0F" w:rsidRPr="00AF2C17">
        <w:rPr>
          <w:rFonts w:ascii="Times New Roman" w:hAnsi="Times New Roman" w:cs="Times New Roman"/>
          <w:sz w:val="24"/>
          <w:szCs w:val="24"/>
          <w:lang w:val="es-ES_tradnl"/>
        </w:rPr>
        <w:t xml:space="preserve"> que destacan por su rol como ejes de integraci</w:t>
      </w:r>
      <w:r w:rsidR="00E1703C" w:rsidRPr="00AF2C17">
        <w:rPr>
          <w:rFonts w:ascii="Times New Roman" w:hAnsi="Times New Roman" w:cs="Times New Roman"/>
          <w:sz w:val="24"/>
          <w:szCs w:val="24"/>
          <w:lang w:val="es-ES_tradnl"/>
        </w:rPr>
        <w:t>ón económica (Ver Figura No.5</w:t>
      </w:r>
      <w:r w:rsidR="00E22E0F" w:rsidRPr="00AF2C17">
        <w:rPr>
          <w:rFonts w:ascii="Times New Roman" w:hAnsi="Times New Roman" w:cs="Times New Roman"/>
          <w:sz w:val="24"/>
          <w:szCs w:val="24"/>
          <w:lang w:val="es-ES_tradnl"/>
        </w:rPr>
        <w:t xml:space="preserve">). </w:t>
      </w:r>
      <w:r w:rsidR="00FA597B" w:rsidRPr="00AF2C17">
        <w:rPr>
          <w:rFonts w:ascii="Times New Roman" w:hAnsi="Times New Roman" w:cs="Times New Roman"/>
          <w:sz w:val="24"/>
          <w:szCs w:val="24"/>
          <w:lang w:val="es-ES_tradnl"/>
        </w:rPr>
        <w:t xml:space="preserve">El estado de dichos corredores es fundamental para el comercio regional y para el desarrollo económico de Bolivia. </w:t>
      </w:r>
      <w:r w:rsidR="00E22E0F" w:rsidRPr="00AF2C17">
        <w:rPr>
          <w:rFonts w:ascii="Times New Roman" w:hAnsi="Times New Roman" w:cs="Times New Roman"/>
          <w:sz w:val="24"/>
          <w:szCs w:val="24"/>
          <w:lang w:val="es-ES_tradnl"/>
        </w:rPr>
        <w:t xml:space="preserve">En 2015 el 61% del volumen de las exportaciones (excluyendo hidrocarburos) y más del 88% del volumen de las importaciones se movilizaron por carreteras mostrando una alta dependencia hacia este tipo de transporte, adicionalmente estos corredores son fundamentales para la vinculación de las principales zonas de producción y consumo en </w:t>
      </w:r>
      <w:r w:rsidR="00E65EA5" w:rsidRPr="00AF2C17">
        <w:rPr>
          <w:rFonts w:ascii="Times New Roman" w:hAnsi="Times New Roman" w:cs="Times New Roman"/>
          <w:sz w:val="24"/>
          <w:szCs w:val="24"/>
          <w:lang w:val="es-ES_tradnl"/>
        </w:rPr>
        <w:t>Bolivia, así como también para el funcionamiento de las cadenas de valor</w:t>
      </w:r>
      <w:r w:rsidR="00E22E0F" w:rsidRPr="00AF2C17">
        <w:rPr>
          <w:rFonts w:ascii="Times New Roman" w:hAnsi="Times New Roman" w:cs="Times New Roman"/>
          <w:sz w:val="24"/>
          <w:szCs w:val="24"/>
          <w:lang w:val="es-ES_tradnl"/>
        </w:rPr>
        <w:t xml:space="preserve">. </w:t>
      </w:r>
    </w:p>
    <w:p w14:paraId="2957F890" w14:textId="77777777" w:rsidR="00AF2C17" w:rsidRPr="00AF2C17" w:rsidRDefault="00AF2C17" w:rsidP="00AF2C17">
      <w:pPr>
        <w:pStyle w:val="ListParagraph"/>
        <w:rPr>
          <w:rFonts w:ascii="Times New Roman" w:hAnsi="Times New Roman" w:cs="Times New Roman"/>
          <w:sz w:val="24"/>
          <w:szCs w:val="24"/>
          <w:lang w:val="es-ES"/>
        </w:rPr>
      </w:pPr>
    </w:p>
    <w:p w14:paraId="2EE77871" w14:textId="50F712EF" w:rsidR="00202ADB" w:rsidRDefault="00E65EA5" w:rsidP="00202ADB">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sidRPr="00AF2C17">
        <w:rPr>
          <w:rFonts w:ascii="Times New Roman" w:hAnsi="Times New Roman" w:cs="Times New Roman"/>
          <w:sz w:val="24"/>
          <w:szCs w:val="24"/>
          <w:lang w:val="es-ES"/>
        </w:rPr>
        <w:t>En relación a otros modos de transporte, e</w:t>
      </w:r>
      <w:r w:rsidR="00E22E0F" w:rsidRPr="00AF2C17">
        <w:rPr>
          <w:rFonts w:ascii="Times New Roman" w:hAnsi="Times New Roman" w:cs="Times New Roman"/>
          <w:sz w:val="24"/>
          <w:szCs w:val="24"/>
          <w:lang w:val="es-ES_tradnl"/>
        </w:rPr>
        <w:t>l transporte ferroviario es de relevancia estratégica para Bolivia</w:t>
      </w:r>
      <w:r w:rsidR="00BB7858" w:rsidRPr="00AF2C17">
        <w:rPr>
          <w:rFonts w:ascii="Times New Roman" w:hAnsi="Times New Roman" w:cs="Times New Roman"/>
          <w:sz w:val="24"/>
          <w:szCs w:val="24"/>
          <w:lang w:val="es-ES_tradnl"/>
        </w:rPr>
        <w:t>,</w:t>
      </w:r>
      <w:r w:rsidR="00E22E0F" w:rsidRPr="00AF2C17">
        <w:rPr>
          <w:rFonts w:ascii="Times New Roman" w:hAnsi="Times New Roman" w:cs="Times New Roman"/>
          <w:sz w:val="24"/>
          <w:szCs w:val="24"/>
          <w:lang w:val="es-ES_tradnl"/>
        </w:rPr>
        <w:t xml:space="preserve"> </w:t>
      </w:r>
      <w:r w:rsidR="00BB7858" w:rsidRPr="00AF2C17">
        <w:rPr>
          <w:rFonts w:ascii="Times New Roman" w:hAnsi="Times New Roman" w:cs="Times New Roman"/>
          <w:sz w:val="24"/>
          <w:szCs w:val="24"/>
          <w:lang w:val="es-ES_tradnl"/>
        </w:rPr>
        <w:t>com</w:t>
      </w:r>
      <w:r w:rsidR="000E23DC" w:rsidRPr="00AF2C17">
        <w:rPr>
          <w:rFonts w:ascii="Times New Roman" w:hAnsi="Times New Roman" w:cs="Times New Roman"/>
          <w:sz w:val="24"/>
          <w:szCs w:val="24"/>
          <w:lang w:val="es-ES_tradnl"/>
        </w:rPr>
        <w:t>o se observa en la Figura No. 6,</w:t>
      </w:r>
      <w:r w:rsidR="00BB7858" w:rsidRPr="00AF2C17">
        <w:rPr>
          <w:rFonts w:ascii="Times New Roman" w:hAnsi="Times New Roman" w:cs="Times New Roman"/>
          <w:sz w:val="24"/>
          <w:szCs w:val="24"/>
          <w:lang w:val="es-ES_tradnl"/>
        </w:rPr>
        <w:t xml:space="preserve"> para el año 2015, el </w:t>
      </w:r>
      <w:r w:rsidR="0022645C" w:rsidRPr="00AF2C17">
        <w:rPr>
          <w:rFonts w:ascii="Times New Roman" w:hAnsi="Times New Roman" w:cs="Times New Roman"/>
          <w:sz w:val="24"/>
          <w:szCs w:val="24"/>
          <w:lang w:val="es-ES_tradnl"/>
        </w:rPr>
        <w:t>2</w:t>
      </w:r>
      <w:r w:rsidR="00BB7858" w:rsidRPr="00AF2C17">
        <w:rPr>
          <w:rFonts w:ascii="Times New Roman" w:hAnsi="Times New Roman" w:cs="Times New Roman"/>
          <w:sz w:val="24"/>
          <w:szCs w:val="24"/>
          <w:lang w:val="es-ES_tradnl"/>
        </w:rPr>
        <w:t>4% de las exportaciones y el 7% del total de las importaciones sin incluir hidrocarburos</w:t>
      </w:r>
      <w:r w:rsidR="00FA6707" w:rsidRPr="00AF2C17">
        <w:rPr>
          <w:rFonts w:ascii="Times New Roman" w:hAnsi="Times New Roman" w:cs="Times New Roman"/>
          <w:sz w:val="24"/>
          <w:szCs w:val="24"/>
          <w:lang w:val="es-ES_tradnl"/>
        </w:rPr>
        <w:t>,</w:t>
      </w:r>
      <w:r w:rsidR="00BB7858" w:rsidRPr="00AF2C17">
        <w:rPr>
          <w:rFonts w:ascii="Times New Roman" w:hAnsi="Times New Roman" w:cs="Times New Roman"/>
          <w:sz w:val="24"/>
          <w:szCs w:val="24"/>
          <w:lang w:val="es-ES_tradnl"/>
        </w:rPr>
        <w:t xml:space="preserve"> se realizó a través de esta modalidad de transporte</w:t>
      </w:r>
      <w:r w:rsidR="00F2152C" w:rsidRPr="00AF2C17">
        <w:rPr>
          <w:rFonts w:ascii="Times New Roman" w:hAnsi="Times New Roman" w:cs="Times New Roman"/>
          <w:sz w:val="24"/>
          <w:szCs w:val="24"/>
          <w:lang w:val="es-ES_tradnl"/>
        </w:rPr>
        <w:t>, previéndose que l</w:t>
      </w:r>
      <w:r w:rsidR="00FA6707" w:rsidRPr="00AF2C17">
        <w:rPr>
          <w:rFonts w:ascii="Times New Roman" w:hAnsi="Times New Roman" w:cs="Times New Roman"/>
          <w:sz w:val="24"/>
          <w:szCs w:val="24"/>
          <w:lang w:val="es-ES_tradnl"/>
        </w:rPr>
        <w:t>a</w:t>
      </w:r>
      <w:r w:rsidR="00F2152C" w:rsidRPr="00AF2C17">
        <w:rPr>
          <w:rFonts w:ascii="Times New Roman" w:hAnsi="Times New Roman" w:cs="Times New Roman"/>
          <w:sz w:val="24"/>
          <w:szCs w:val="24"/>
          <w:lang w:val="es-ES_tradnl"/>
        </w:rPr>
        <w:t xml:space="preserve"> participación </w:t>
      </w:r>
      <w:r w:rsidR="006605F7">
        <w:rPr>
          <w:rFonts w:ascii="Times New Roman" w:hAnsi="Times New Roman" w:cs="Times New Roman"/>
          <w:sz w:val="24"/>
          <w:szCs w:val="24"/>
          <w:lang w:val="es-ES_tradnl"/>
        </w:rPr>
        <w:t>del transporte ferroviario</w:t>
      </w:r>
      <w:r w:rsidR="00A27787" w:rsidRPr="00AF2C17">
        <w:rPr>
          <w:rFonts w:ascii="Times New Roman" w:hAnsi="Times New Roman" w:cs="Times New Roman"/>
          <w:sz w:val="24"/>
          <w:szCs w:val="24"/>
          <w:lang w:val="es-ES_tradnl"/>
        </w:rPr>
        <w:t xml:space="preserve"> </w:t>
      </w:r>
      <w:r w:rsidR="00F2152C" w:rsidRPr="00AF2C17">
        <w:rPr>
          <w:rFonts w:ascii="Times New Roman" w:hAnsi="Times New Roman" w:cs="Times New Roman"/>
          <w:sz w:val="24"/>
          <w:szCs w:val="24"/>
          <w:lang w:val="es-ES_tradnl"/>
        </w:rPr>
        <w:t>aumente para el año 2020.</w:t>
      </w:r>
      <w:r w:rsidR="00A27787" w:rsidRPr="00AF2C17">
        <w:rPr>
          <w:rFonts w:ascii="Times New Roman" w:hAnsi="Times New Roman" w:cs="Times New Roman"/>
          <w:sz w:val="24"/>
          <w:szCs w:val="24"/>
          <w:lang w:val="es-ES_tradnl"/>
        </w:rPr>
        <w:t xml:space="preserve"> </w:t>
      </w:r>
      <w:r w:rsidR="00F2152C" w:rsidRPr="00AF2C17">
        <w:rPr>
          <w:rFonts w:ascii="Times New Roman" w:hAnsi="Times New Roman" w:cs="Times New Roman"/>
          <w:sz w:val="24"/>
          <w:szCs w:val="24"/>
          <w:lang w:val="es-ES_tradnl"/>
        </w:rPr>
        <w:t>Con respecto al resto de modalidades de transporte, la participación del transporte fluvial y aéreo en el comercio exterior de Bolivia es bajo, sin embargo, existe mucho potencial para que Bolivia explote estas modalidades de transporte, así como también continúe desarrollando el transporte multimodal el cual es fundamental importancia para el país.</w:t>
      </w:r>
    </w:p>
    <w:p w14:paraId="01044F83" w14:textId="77777777" w:rsidR="00202ADB" w:rsidRDefault="00202ADB" w:rsidP="00202ADB">
      <w:pPr>
        <w:tabs>
          <w:tab w:val="left" w:pos="270"/>
          <w:tab w:val="left" w:pos="360"/>
          <w:tab w:val="left" w:pos="450"/>
          <w:tab w:val="left" w:pos="2085"/>
        </w:tabs>
        <w:spacing w:after="0" w:line="240" w:lineRule="auto"/>
        <w:jc w:val="both"/>
        <w:rPr>
          <w:rFonts w:ascii="Times New Roman" w:hAnsi="Times New Roman" w:cs="Times New Roman"/>
          <w:sz w:val="24"/>
          <w:szCs w:val="24"/>
          <w:lang w:val="es-ES_tradnl"/>
        </w:rPr>
      </w:pPr>
    </w:p>
    <w:p w14:paraId="1D6AFA82" w14:textId="77777777" w:rsidR="00202ADB" w:rsidRPr="00AF2C17" w:rsidRDefault="00202ADB" w:rsidP="00202ADB">
      <w:pPr>
        <w:pStyle w:val="Caption"/>
        <w:keepNext/>
        <w:spacing w:after="0" w:line="0" w:lineRule="atLeast"/>
        <w:ind w:left="720"/>
        <w:jc w:val="center"/>
        <w:rPr>
          <w:rFonts w:ascii="Times New Roman" w:hAnsi="Times New Roman" w:cs="Times New Roman"/>
          <w:b w:val="0"/>
          <w:color w:val="auto"/>
          <w:sz w:val="24"/>
          <w:szCs w:val="24"/>
          <w:lang w:val="es-ES_tradnl"/>
        </w:rPr>
      </w:pPr>
      <w:r w:rsidRPr="00AF2C17">
        <w:rPr>
          <w:rFonts w:ascii="Times New Roman" w:hAnsi="Times New Roman" w:cs="Times New Roman"/>
          <w:b w:val="0"/>
          <w:color w:val="auto"/>
          <w:sz w:val="24"/>
          <w:szCs w:val="24"/>
          <w:lang w:val="es-ES_tradnl"/>
        </w:rPr>
        <w:t>Figura No. 5. Corredores de la Red Vial Fundamental Boliviana</w:t>
      </w:r>
    </w:p>
    <w:p w14:paraId="2C18FD42" w14:textId="77777777" w:rsidR="00202ADB" w:rsidRDefault="00202ADB" w:rsidP="00202ADB">
      <w:pPr>
        <w:pStyle w:val="ListParagraph"/>
        <w:shd w:val="clear" w:color="auto" w:fill="FFFFFF"/>
        <w:tabs>
          <w:tab w:val="left" w:pos="270"/>
          <w:tab w:val="left" w:pos="2085"/>
        </w:tabs>
        <w:spacing w:after="0" w:line="0" w:lineRule="atLeast"/>
        <w:jc w:val="center"/>
        <w:rPr>
          <w:rFonts w:ascii="Times New Roman" w:hAnsi="Times New Roman" w:cs="Times New Roman"/>
          <w:sz w:val="24"/>
          <w:szCs w:val="24"/>
          <w:lang w:val="es-ES_tradnl"/>
        </w:rPr>
      </w:pPr>
      <w:r w:rsidRPr="00F9290F">
        <w:rPr>
          <w:rFonts w:ascii="Times New Roman" w:hAnsi="Times New Roman" w:cs="Times New Roman"/>
          <w:noProof/>
        </w:rPr>
        <w:drawing>
          <wp:inline distT="0" distB="0" distL="0" distR="0" wp14:anchorId="544FD161" wp14:editId="4E809451">
            <wp:extent cx="2669116" cy="3080748"/>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20952" t="9801" r="19429" b="5808"/>
                    <a:stretch/>
                  </pic:blipFill>
                  <pic:spPr bwMode="auto">
                    <a:xfrm>
                      <a:off x="0" y="0"/>
                      <a:ext cx="2669116" cy="3080748"/>
                    </a:xfrm>
                    <a:prstGeom prst="rect">
                      <a:avLst/>
                    </a:prstGeom>
                    <a:ln>
                      <a:noFill/>
                    </a:ln>
                    <a:extLst>
                      <a:ext uri="{53640926-AAD7-44D8-BBD7-CCE9431645EC}">
                        <a14:shadowObscured xmlns:a14="http://schemas.microsoft.com/office/drawing/2010/main"/>
                      </a:ext>
                    </a:extLst>
                  </pic:spPr>
                </pic:pic>
              </a:graphicData>
            </a:graphic>
          </wp:inline>
        </w:drawing>
      </w:r>
    </w:p>
    <w:p w14:paraId="55B89C83" w14:textId="77777777" w:rsidR="00202ADB" w:rsidRPr="005E43A3" w:rsidRDefault="00202ADB" w:rsidP="00202ADB">
      <w:pPr>
        <w:pStyle w:val="ListParagraph"/>
        <w:shd w:val="clear" w:color="auto" w:fill="FFFFFF"/>
        <w:tabs>
          <w:tab w:val="left" w:pos="270"/>
          <w:tab w:val="left" w:pos="2085"/>
        </w:tabs>
        <w:spacing w:after="0" w:line="0" w:lineRule="atLeast"/>
        <w:jc w:val="center"/>
        <w:rPr>
          <w:rFonts w:ascii="Times New Roman" w:hAnsi="Times New Roman" w:cs="Times New Roman"/>
          <w:sz w:val="20"/>
          <w:szCs w:val="24"/>
          <w:lang w:val="es-ES_tradnl"/>
        </w:rPr>
      </w:pPr>
      <w:r w:rsidRPr="005E43A3">
        <w:rPr>
          <w:rFonts w:ascii="Times New Roman" w:hAnsi="Times New Roman" w:cs="Times New Roman"/>
          <w:i/>
          <w:sz w:val="20"/>
          <w:szCs w:val="24"/>
          <w:lang w:val="es-ES_tradnl"/>
        </w:rPr>
        <w:t xml:space="preserve">Fuente: </w:t>
      </w:r>
      <w:r w:rsidRPr="005E43A3">
        <w:rPr>
          <w:rFonts w:ascii="Times New Roman" w:hAnsi="Times New Roman" w:cs="Times New Roman"/>
          <w:sz w:val="20"/>
          <w:szCs w:val="24"/>
          <w:lang w:val="es-ES_tradnl"/>
        </w:rPr>
        <w:t>Administradora Boliviana de Carreteras (ABC)</w:t>
      </w:r>
    </w:p>
    <w:p w14:paraId="26593362" w14:textId="77777777" w:rsidR="00202ADB" w:rsidRDefault="00202ADB" w:rsidP="00202ADB">
      <w:pPr>
        <w:spacing w:after="0" w:line="240" w:lineRule="auto"/>
        <w:jc w:val="both"/>
        <w:rPr>
          <w:rFonts w:ascii="Times New Roman" w:hAnsi="Times New Roman" w:cs="Times New Roman"/>
          <w:sz w:val="24"/>
          <w:szCs w:val="24"/>
          <w:lang w:val="es-ES_tradnl"/>
        </w:rPr>
      </w:pPr>
    </w:p>
    <w:p w14:paraId="4714F40B" w14:textId="77777777" w:rsidR="00202ADB" w:rsidRDefault="00202ADB" w:rsidP="00202ADB">
      <w:pPr>
        <w:spacing w:line="240" w:lineRule="auto"/>
        <w:jc w:val="center"/>
        <w:rPr>
          <w:rFonts w:ascii="Times New Roman" w:hAnsi="Times New Roman" w:cs="Times New Roman"/>
          <w:sz w:val="24"/>
          <w:szCs w:val="24"/>
          <w:lang w:val="es-ES_tradnl"/>
        </w:rPr>
      </w:pPr>
      <w:r w:rsidRPr="00AF2C17">
        <w:rPr>
          <w:rFonts w:ascii="Times New Roman" w:hAnsi="Times New Roman" w:cs="Times New Roman"/>
          <w:sz w:val="24"/>
          <w:szCs w:val="24"/>
          <w:lang w:val="es-ES_tradnl"/>
        </w:rPr>
        <w:t xml:space="preserve">Figura 6. </w:t>
      </w:r>
      <w:r>
        <w:rPr>
          <w:rFonts w:ascii="Times New Roman" w:hAnsi="Times New Roman" w:cs="Times New Roman"/>
          <w:sz w:val="24"/>
          <w:szCs w:val="24"/>
          <w:lang w:val="es-ES_tradnl"/>
        </w:rPr>
        <w:t>Participación de las e</w:t>
      </w:r>
      <w:r w:rsidRPr="00AF2C17">
        <w:rPr>
          <w:rFonts w:ascii="Times New Roman" w:hAnsi="Times New Roman" w:cs="Times New Roman"/>
          <w:sz w:val="24"/>
          <w:szCs w:val="24"/>
          <w:lang w:val="es-ES_tradnl"/>
        </w:rPr>
        <w:t xml:space="preserve">xportaciones </w:t>
      </w:r>
      <w:r>
        <w:rPr>
          <w:rFonts w:ascii="Times New Roman" w:hAnsi="Times New Roman" w:cs="Times New Roman"/>
          <w:sz w:val="24"/>
          <w:szCs w:val="24"/>
          <w:lang w:val="es-ES_tradnl"/>
        </w:rPr>
        <w:t xml:space="preserve">de Bolivia </w:t>
      </w:r>
      <w:r w:rsidRPr="00AF2C17">
        <w:rPr>
          <w:rFonts w:ascii="Times New Roman" w:hAnsi="Times New Roman" w:cs="Times New Roman"/>
          <w:sz w:val="24"/>
          <w:szCs w:val="24"/>
          <w:lang w:val="es-ES_tradnl"/>
        </w:rPr>
        <w:t>por modalidad de transporte excluyendo hidrocarburos.</w:t>
      </w:r>
      <w:r>
        <w:rPr>
          <w:rFonts w:ascii="Times New Roman" w:hAnsi="Times New Roman" w:cs="Times New Roman"/>
          <w:sz w:val="24"/>
          <w:szCs w:val="24"/>
          <w:lang w:val="es-ES_tradnl"/>
        </w:rPr>
        <w:t xml:space="preserve"> </w:t>
      </w:r>
      <w:r w:rsidRPr="00AF2C17">
        <w:rPr>
          <w:rFonts w:ascii="Times New Roman" w:hAnsi="Times New Roman" w:cs="Times New Roman"/>
          <w:szCs w:val="24"/>
          <w:lang w:val="es-ES_tradnl"/>
        </w:rPr>
        <w:t>Años 2010-2015</w:t>
      </w:r>
    </w:p>
    <w:p w14:paraId="09E321BE" w14:textId="77777777" w:rsidR="00202ADB" w:rsidRDefault="00202ADB" w:rsidP="00202ADB">
      <w:pPr>
        <w:spacing w:line="240" w:lineRule="auto"/>
        <w:jc w:val="center"/>
        <w:rPr>
          <w:rFonts w:ascii="Times New Roman" w:hAnsi="Times New Roman" w:cs="Times New Roman"/>
          <w:sz w:val="24"/>
          <w:szCs w:val="24"/>
          <w:lang w:val="es-ES_tradnl"/>
        </w:rPr>
      </w:pPr>
      <w:r w:rsidRPr="00A81F64">
        <w:rPr>
          <w:noProof/>
          <w:color w:val="0000FF"/>
        </w:rPr>
        <w:drawing>
          <wp:inline distT="0" distB="0" distL="0" distR="0" wp14:anchorId="12C40B6A" wp14:editId="05F6AF70">
            <wp:extent cx="4267835" cy="2415540"/>
            <wp:effectExtent l="0" t="0" r="1841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9921E08" w14:textId="77777777" w:rsidR="00202ADB" w:rsidRDefault="00202ADB" w:rsidP="00202ADB">
      <w:pPr>
        <w:pStyle w:val="ListParagraph"/>
        <w:shd w:val="clear" w:color="auto" w:fill="FFFFFF"/>
        <w:tabs>
          <w:tab w:val="left" w:pos="270"/>
          <w:tab w:val="left" w:pos="2085"/>
        </w:tabs>
        <w:spacing w:after="0" w:line="0" w:lineRule="atLeast"/>
        <w:ind w:left="0"/>
        <w:jc w:val="center"/>
        <w:rPr>
          <w:rFonts w:ascii="Times New Roman" w:hAnsi="Times New Roman" w:cs="Times New Roman"/>
          <w:sz w:val="20"/>
          <w:szCs w:val="24"/>
          <w:lang w:val="es-ES_tradnl"/>
        </w:rPr>
      </w:pPr>
      <w:r w:rsidRPr="005B4767">
        <w:rPr>
          <w:rFonts w:ascii="Times New Roman" w:hAnsi="Times New Roman" w:cs="Times New Roman"/>
          <w:i/>
          <w:sz w:val="20"/>
          <w:szCs w:val="24"/>
          <w:lang w:val="es-ES_tradnl"/>
        </w:rPr>
        <w:t xml:space="preserve">Fuente: </w:t>
      </w:r>
      <w:r w:rsidRPr="005B4767">
        <w:rPr>
          <w:rFonts w:ascii="Times New Roman" w:hAnsi="Times New Roman" w:cs="Times New Roman"/>
          <w:sz w:val="20"/>
          <w:szCs w:val="24"/>
          <w:lang w:val="es-ES_tradnl"/>
        </w:rPr>
        <w:t>Instituto Nacional de Estadísticas (INE) de Bolivia.</w:t>
      </w:r>
    </w:p>
    <w:p w14:paraId="259718F6" w14:textId="77777777" w:rsidR="00202ADB" w:rsidRPr="00202ADB" w:rsidRDefault="00202ADB" w:rsidP="00202ADB">
      <w:pPr>
        <w:pStyle w:val="ListParagraph"/>
        <w:rPr>
          <w:rFonts w:ascii="Times New Roman" w:hAnsi="Times New Roman" w:cs="Times New Roman"/>
          <w:sz w:val="24"/>
          <w:szCs w:val="24"/>
          <w:lang w:val="es-ES_tradnl"/>
        </w:rPr>
      </w:pPr>
    </w:p>
    <w:p w14:paraId="30A5591B" w14:textId="4BD14D19" w:rsidR="00B73C29" w:rsidRDefault="009B61EF" w:rsidP="00B73C29">
      <w:pPr>
        <w:pStyle w:val="ListParagraph"/>
        <w:numPr>
          <w:ilvl w:val="1"/>
          <w:numId w:val="2"/>
        </w:numPr>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Como se mencionó anteriormente, e</w:t>
      </w:r>
      <w:r w:rsidR="00202ADB" w:rsidRPr="00202ADB">
        <w:rPr>
          <w:rFonts w:ascii="Times New Roman" w:hAnsi="Times New Roman" w:cs="Times New Roman"/>
          <w:sz w:val="24"/>
          <w:szCs w:val="24"/>
          <w:lang w:val="es-ES_tradnl"/>
        </w:rPr>
        <w:t xml:space="preserve">xiste una relación inversa entre exportaciones y costos internos de transporte, con lo cual las políticas diseñadas para reducirlos pueden tener un impacto significativo en las exportaciones, particularmente en áreas donde el acceso a los puertos es más costoso. Dicha relación es corroborada para los 5 países analizados en el estudio realizado por el BID, </w:t>
      </w:r>
      <w:r w:rsidR="00202ADB" w:rsidRPr="00202ADB">
        <w:rPr>
          <w:rFonts w:ascii="Times New Roman" w:hAnsi="Times New Roman" w:cs="Times New Roman"/>
          <w:i/>
          <w:sz w:val="24"/>
          <w:szCs w:val="24"/>
          <w:lang w:val="es-ES_tradnl"/>
        </w:rPr>
        <w:t xml:space="preserve">“Muy lejos de Exportar” </w:t>
      </w:r>
      <w:r w:rsidR="00202ADB" w:rsidRPr="00202ADB">
        <w:rPr>
          <w:rFonts w:ascii="Times New Roman" w:hAnsi="Times New Roman" w:cs="Times New Roman"/>
          <w:sz w:val="24"/>
          <w:szCs w:val="24"/>
          <w:lang w:val="es-ES_tradnl"/>
        </w:rPr>
        <w:t>en el cual se establece que las mejoras en infraestructura representan un impacto positivo y significativo en las exportaciones de los cinco países objeto de estudio (Brasil, Chile, Colombia, México y Perú). Para el caso de un país andino, se estima que una reducción del 1% en los costos de transporte se asocia con un incremento del 2.9% en el número de productos exportados</w:t>
      </w:r>
      <w:r w:rsidR="00202ADB" w:rsidRPr="00F9290F">
        <w:rPr>
          <w:rStyle w:val="FootnoteReference"/>
          <w:rFonts w:ascii="Times New Roman" w:hAnsi="Times New Roman" w:cs="Times New Roman"/>
          <w:szCs w:val="24"/>
          <w:lang w:val="es-ES_tradnl"/>
        </w:rPr>
        <w:footnoteReference w:id="18"/>
      </w:r>
      <w:r w:rsidR="00202ADB" w:rsidRPr="00202ADB">
        <w:rPr>
          <w:rFonts w:ascii="Times New Roman" w:hAnsi="Times New Roman" w:cs="Times New Roman"/>
          <w:sz w:val="24"/>
          <w:szCs w:val="24"/>
          <w:lang w:val="es-ES_tradnl"/>
        </w:rPr>
        <w:t xml:space="preserve">.  </w:t>
      </w:r>
    </w:p>
    <w:p w14:paraId="52581C13" w14:textId="77777777" w:rsidR="00B73C29" w:rsidRDefault="00B73C29" w:rsidP="00B73C29">
      <w:pPr>
        <w:pStyle w:val="ListParagraph"/>
        <w:tabs>
          <w:tab w:val="left" w:pos="270"/>
          <w:tab w:val="left" w:pos="360"/>
          <w:tab w:val="left" w:pos="450"/>
          <w:tab w:val="left" w:pos="2085"/>
        </w:tabs>
        <w:spacing w:after="0" w:line="240" w:lineRule="auto"/>
        <w:ind w:left="90"/>
        <w:jc w:val="both"/>
        <w:rPr>
          <w:rFonts w:ascii="Times New Roman" w:hAnsi="Times New Roman" w:cs="Times New Roman"/>
          <w:sz w:val="24"/>
          <w:szCs w:val="24"/>
          <w:lang w:val="es-ES_tradnl"/>
        </w:rPr>
      </w:pPr>
    </w:p>
    <w:p w14:paraId="1939F8BF" w14:textId="77777777" w:rsidR="009550A8" w:rsidRDefault="005E5819" w:rsidP="007E5266">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B73C29">
        <w:rPr>
          <w:rFonts w:ascii="Times New Roman" w:hAnsi="Times New Roman" w:cs="Times New Roman"/>
          <w:sz w:val="24"/>
          <w:szCs w:val="24"/>
          <w:lang w:val="es-ES_tradnl"/>
        </w:rPr>
        <w:t>En el mismo sentido, es factible que las mejoras en la red vial también tengan un impacto positivo sobre la probabilidad de exportar de los municipios</w:t>
      </w:r>
      <w:r w:rsidR="00125090" w:rsidRPr="00B73C29">
        <w:rPr>
          <w:rFonts w:ascii="Times New Roman" w:hAnsi="Times New Roman" w:cs="Times New Roman"/>
          <w:sz w:val="24"/>
          <w:szCs w:val="24"/>
          <w:lang w:val="es-ES_tradnl"/>
        </w:rPr>
        <w:t xml:space="preserve">. De acuerdo a las estimaciones realizadas por </w:t>
      </w:r>
      <w:r w:rsidR="002E313F" w:rsidRPr="00B73C29">
        <w:rPr>
          <w:rFonts w:ascii="Times New Roman" w:hAnsi="Times New Roman" w:cs="Times New Roman"/>
          <w:sz w:val="24"/>
          <w:szCs w:val="24"/>
          <w:lang w:val="es-ES_tradnl"/>
        </w:rPr>
        <w:t xml:space="preserve">el </w:t>
      </w:r>
      <w:r w:rsidR="00125090" w:rsidRPr="00B73C29">
        <w:rPr>
          <w:rFonts w:ascii="Times New Roman" w:hAnsi="Times New Roman" w:cs="Times New Roman"/>
          <w:sz w:val="24"/>
          <w:szCs w:val="24"/>
          <w:lang w:val="es-ES_tradnl"/>
        </w:rPr>
        <w:t xml:space="preserve">BID para los países de la Alianza Pacífico, </w:t>
      </w:r>
      <w:r w:rsidR="009550A8" w:rsidRPr="00B73C29">
        <w:rPr>
          <w:rFonts w:ascii="Times New Roman" w:hAnsi="Times New Roman" w:cs="Times New Roman"/>
          <w:sz w:val="24"/>
          <w:szCs w:val="24"/>
          <w:lang w:val="es-ES_tradnl"/>
        </w:rPr>
        <w:t>la</w:t>
      </w:r>
      <w:r w:rsidR="00125090" w:rsidRPr="00B73C29">
        <w:rPr>
          <w:rFonts w:ascii="Times New Roman" w:hAnsi="Times New Roman" w:cs="Times New Roman"/>
          <w:sz w:val="24"/>
          <w:szCs w:val="24"/>
          <w:lang w:val="es-ES_tradnl"/>
        </w:rPr>
        <w:t xml:space="preserve"> probabilidad </w:t>
      </w:r>
      <w:r w:rsidR="002E313F" w:rsidRPr="00B73C29">
        <w:rPr>
          <w:rFonts w:ascii="Times New Roman" w:hAnsi="Times New Roman" w:cs="Times New Roman"/>
          <w:sz w:val="24"/>
          <w:szCs w:val="24"/>
          <w:lang w:val="es-ES_tradnl"/>
        </w:rPr>
        <w:t xml:space="preserve">de exportar de los municipios </w:t>
      </w:r>
      <w:r w:rsidR="00125090" w:rsidRPr="00B73C29">
        <w:rPr>
          <w:rFonts w:ascii="Times New Roman" w:hAnsi="Times New Roman" w:cs="Times New Roman"/>
          <w:sz w:val="24"/>
          <w:szCs w:val="24"/>
          <w:lang w:val="es-ES_tradnl"/>
        </w:rPr>
        <w:t xml:space="preserve">se </w:t>
      </w:r>
      <w:r w:rsidRPr="00B73C29">
        <w:rPr>
          <w:rFonts w:ascii="Times New Roman" w:hAnsi="Times New Roman" w:cs="Times New Roman"/>
          <w:sz w:val="24"/>
          <w:szCs w:val="24"/>
          <w:lang w:val="es-ES_tradnl"/>
        </w:rPr>
        <w:t xml:space="preserve">incrementaría en hasta un 5,9% </w:t>
      </w:r>
      <w:r w:rsidR="002E313F" w:rsidRPr="00B73C29">
        <w:rPr>
          <w:rFonts w:ascii="Times New Roman" w:hAnsi="Times New Roman" w:cs="Times New Roman"/>
          <w:sz w:val="24"/>
          <w:szCs w:val="24"/>
          <w:lang w:val="es-ES_tradnl"/>
        </w:rPr>
        <w:t>(</w:t>
      </w:r>
      <w:r w:rsidRPr="00B73C29">
        <w:rPr>
          <w:rFonts w:ascii="Times New Roman" w:hAnsi="Times New Roman" w:cs="Times New Roman"/>
          <w:sz w:val="24"/>
          <w:szCs w:val="24"/>
          <w:lang w:val="es-ES_tradnl"/>
        </w:rPr>
        <w:t>no específico por destinos</w:t>
      </w:r>
      <w:r w:rsidR="002E313F" w:rsidRPr="00B73C29">
        <w:rPr>
          <w:rFonts w:ascii="Times New Roman" w:hAnsi="Times New Roman" w:cs="Times New Roman"/>
          <w:sz w:val="24"/>
          <w:szCs w:val="24"/>
          <w:lang w:val="es-ES_tradnl"/>
        </w:rPr>
        <w:t>) como respuesta a una reducción de los costos de transporte</w:t>
      </w:r>
      <w:r w:rsidRPr="00B73C29">
        <w:rPr>
          <w:rFonts w:ascii="Times New Roman" w:hAnsi="Times New Roman" w:cs="Times New Roman"/>
          <w:sz w:val="24"/>
          <w:szCs w:val="24"/>
          <w:lang w:val="es-ES_tradnl"/>
        </w:rPr>
        <w:t xml:space="preserve">. </w:t>
      </w:r>
      <w:r w:rsidR="002E313F" w:rsidRPr="00B73C29">
        <w:rPr>
          <w:rFonts w:ascii="Times New Roman" w:hAnsi="Times New Roman" w:cs="Times New Roman"/>
          <w:sz w:val="24"/>
          <w:szCs w:val="24"/>
          <w:lang w:val="es-ES_tradnl"/>
        </w:rPr>
        <w:t>Para el caso de Bolivia, e</w:t>
      </w:r>
      <w:r w:rsidR="00125090" w:rsidRPr="00B73C29">
        <w:rPr>
          <w:rFonts w:ascii="Times New Roman" w:hAnsi="Times New Roman" w:cs="Times New Roman"/>
          <w:sz w:val="24"/>
          <w:szCs w:val="24"/>
          <w:lang w:val="es-ES_tradnl"/>
        </w:rPr>
        <w:t>l aumento de la probabilida</w:t>
      </w:r>
      <w:r w:rsidR="002E313F" w:rsidRPr="00B73C29">
        <w:rPr>
          <w:rFonts w:ascii="Times New Roman" w:hAnsi="Times New Roman" w:cs="Times New Roman"/>
          <w:sz w:val="24"/>
          <w:szCs w:val="24"/>
          <w:lang w:val="es-ES_tradnl"/>
        </w:rPr>
        <w:t>d de exportar de los municipios</w:t>
      </w:r>
      <w:r w:rsidR="00125090" w:rsidRPr="00B73C29">
        <w:rPr>
          <w:rFonts w:ascii="Times New Roman" w:hAnsi="Times New Roman" w:cs="Times New Roman"/>
          <w:sz w:val="24"/>
          <w:szCs w:val="24"/>
          <w:lang w:val="es-ES_tradnl"/>
        </w:rPr>
        <w:t xml:space="preserve"> </w:t>
      </w:r>
      <w:r w:rsidR="002E313F" w:rsidRPr="00B73C29">
        <w:rPr>
          <w:rFonts w:ascii="Times New Roman" w:hAnsi="Times New Roman" w:cs="Times New Roman"/>
          <w:sz w:val="24"/>
          <w:szCs w:val="24"/>
          <w:lang w:val="es-ES_tradnl"/>
        </w:rPr>
        <w:t>como consecuencia de las intervenciones orientadas a reducir los costos de transporte</w:t>
      </w:r>
      <w:r w:rsidR="00215616" w:rsidRPr="00B73C29">
        <w:rPr>
          <w:rFonts w:ascii="Times New Roman" w:hAnsi="Times New Roman" w:cs="Times New Roman"/>
          <w:sz w:val="24"/>
          <w:szCs w:val="24"/>
          <w:lang w:val="es-ES_tradnl"/>
        </w:rPr>
        <w:t>,</w:t>
      </w:r>
      <w:r w:rsidR="002E313F" w:rsidRPr="00B73C29">
        <w:rPr>
          <w:rFonts w:ascii="Times New Roman" w:hAnsi="Times New Roman" w:cs="Times New Roman"/>
          <w:sz w:val="24"/>
          <w:szCs w:val="24"/>
          <w:lang w:val="es-ES_tradnl"/>
        </w:rPr>
        <w:t xml:space="preserve"> </w:t>
      </w:r>
      <w:r w:rsidR="00125090" w:rsidRPr="00B73C29">
        <w:rPr>
          <w:rFonts w:ascii="Times New Roman" w:hAnsi="Times New Roman" w:cs="Times New Roman"/>
          <w:sz w:val="24"/>
          <w:szCs w:val="24"/>
          <w:lang w:val="es-ES_tradnl"/>
        </w:rPr>
        <w:t>significaría</w:t>
      </w:r>
      <w:r w:rsidR="002E313F" w:rsidRPr="00B73C29">
        <w:rPr>
          <w:rFonts w:ascii="Times New Roman" w:hAnsi="Times New Roman" w:cs="Times New Roman"/>
          <w:sz w:val="24"/>
          <w:szCs w:val="24"/>
          <w:lang w:val="es-ES_tradnl"/>
        </w:rPr>
        <w:t>n</w:t>
      </w:r>
      <w:r w:rsidR="00125090" w:rsidRPr="00B73C29">
        <w:rPr>
          <w:rFonts w:ascii="Times New Roman" w:hAnsi="Times New Roman" w:cs="Times New Roman"/>
          <w:sz w:val="24"/>
          <w:szCs w:val="24"/>
          <w:lang w:val="es-ES_tradnl"/>
        </w:rPr>
        <w:t xml:space="preserve"> un</w:t>
      </w:r>
      <w:r w:rsidR="009550A8" w:rsidRPr="00B73C29">
        <w:rPr>
          <w:rFonts w:ascii="Times New Roman" w:hAnsi="Times New Roman" w:cs="Times New Roman"/>
          <w:sz w:val="24"/>
          <w:szCs w:val="24"/>
          <w:lang w:val="es-ES_tradnl"/>
        </w:rPr>
        <w:t>a importante contribución a la desconcentración de las exportaciones en pocos municipios</w:t>
      </w:r>
      <w:r w:rsidR="002E313F" w:rsidRPr="00B73C29">
        <w:rPr>
          <w:rFonts w:ascii="Times New Roman" w:hAnsi="Times New Roman" w:cs="Times New Roman"/>
          <w:sz w:val="24"/>
          <w:szCs w:val="24"/>
          <w:lang w:val="es-ES_tradnl"/>
        </w:rPr>
        <w:t>,</w:t>
      </w:r>
      <w:r w:rsidR="009550A8" w:rsidRPr="00B73C29">
        <w:rPr>
          <w:rFonts w:ascii="Times New Roman" w:hAnsi="Times New Roman" w:cs="Times New Roman"/>
          <w:sz w:val="24"/>
          <w:szCs w:val="24"/>
          <w:lang w:val="es-ES_tradnl"/>
        </w:rPr>
        <w:t xml:space="preserve"> traduciéndose en una mejor distribución subnacional de los beneficios del comercio exterior y la integración regional.</w:t>
      </w:r>
    </w:p>
    <w:p w14:paraId="600863D1" w14:textId="4B5E2DB1" w:rsidR="007E4218" w:rsidRDefault="007E4218" w:rsidP="007E4218">
      <w:pPr>
        <w:tabs>
          <w:tab w:val="left" w:pos="360"/>
          <w:tab w:val="left" w:pos="450"/>
        </w:tabs>
        <w:spacing w:line="240" w:lineRule="auto"/>
        <w:jc w:val="both"/>
        <w:rPr>
          <w:rFonts w:ascii="Times New Roman" w:hAnsi="Times New Roman" w:cs="Times New Roman"/>
          <w:sz w:val="24"/>
          <w:szCs w:val="24"/>
          <w:lang w:val="es-ES_tradnl"/>
        </w:rPr>
      </w:pPr>
    </w:p>
    <w:p w14:paraId="770BBA43" w14:textId="58718CA2" w:rsidR="00826C76" w:rsidRDefault="00826C76" w:rsidP="007E4218">
      <w:pPr>
        <w:tabs>
          <w:tab w:val="left" w:pos="360"/>
          <w:tab w:val="left" w:pos="450"/>
        </w:tabs>
        <w:spacing w:line="240" w:lineRule="auto"/>
        <w:jc w:val="both"/>
        <w:rPr>
          <w:rFonts w:ascii="Times New Roman" w:hAnsi="Times New Roman" w:cs="Times New Roman"/>
          <w:sz w:val="24"/>
          <w:szCs w:val="24"/>
          <w:lang w:val="es-ES_tradnl"/>
        </w:rPr>
      </w:pPr>
    </w:p>
    <w:p w14:paraId="172D095B" w14:textId="77777777" w:rsidR="00826C76" w:rsidRDefault="00826C76" w:rsidP="007E4218">
      <w:pPr>
        <w:tabs>
          <w:tab w:val="left" w:pos="360"/>
          <w:tab w:val="left" w:pos="450"/>
        </w:tabs>
        <w:spacing w:line="240" w:lineRule="auto"/>
        <w:jc w:val="both"/>
        <w:rPr>
          <w:rFonts w:ascii="Times New Roman" w:hAnsi="Times New Roman" w:cs="Times New Roman"/>
          <w:sz w:val="24"/>
          <w:szCs w:val="24"/>
          <w:lang w:val="es-ES_tradnl"/>
        </w:rPr>
      </w:pPr>
    </w:p>
    <w:p w14:paraId="3CEA3E1D" w14:textId="77777777" w:rsidR="007E4218" w:rsidRPr="007E4218" w:rsidRDefault="007E4218" w:rsidP="007E4218">
      <w:pPr>
        <w:pStyle w:val="ListParagraph"/>
        <w:numPr>
          <w:ilvl w:val="0"/>
          <w:numId w:val="2"/>
        </w:numPr>
        <w:tabs>
          <w:tab w:val="left" w:pos="360"/>
          <w:tab w:val="left" w:pos="450"/>
        </w:tabs>
        <w:spacing w:line="240" w:lineRule="auto"/>
        <w:jc w:val="both"/>
        <w:rPr>
          <w:rFonts w:ascii="Times New Roman" w:hAnsi="Times New Roman"/>
          <w:b/>
          <w:color w:val="1F497D"/>
          <w:sz w:val="24"/>
          <w:szCs w:val="24"/>
          <w:lang w:val="es-ES"/>
        </w:rPr>
      </w:pPr>
      <w:r w:rsidRPr="007E4218">
        <w:rPr>
          <w:rFonts w:ascii="Times New Roman" w:hAnsi="Times New Roman"/>
          <w:b/>
          <w:color w:val="1F497D"/>
          <w:sz w:val="24"/>
          <w:szCs w:val="24"/>
          <w:lang w:val="es-ES"/>
        </w:rPr>
        <w:lastRenderedPageBreak/>
        <w:t>Aspectos generales de la operación en términos de integración regional</w:t>
      </w:r>
    </w:p>
    <w:p w14:paraId="015DBBAD" w14:textId="77777777" w:rsidR="007E4218" w:rsidRPr="007E4218" w:rsidRDefault="007E4218" w:rsidP="007E4218">
      <w:pPr>
        <w:pStyle w:val="ListParagraph"/>
        <w:rPr>
          <w:rFonts w:ascii="Times New Roman" w:hAnsi="Times New Roman" w:cs="Times New Roman"/>
          <w:sz w:val="24"/>
          <w:szCs w:val="24"/>
          <w:lang w:val="es-ES_tradnl"/>
        </w:rPr>
      </w:pPr>
    </w:p>
    <w:p w14:paraId="4AD7FADD" w14:textId="18B8199C" w:rsidR="00726FE6" w:rsidRPr="00726FE6" w:rsidRDefault="007E4218" w:rsidP="003F12A1">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r w:rsidRPr="00DE03B2">
        <w:rPr>
          <w:rFonts w:ascii="Times New Roman" w:hAnsi="Times New Roman" w:cs="Times New Roman"/>
          <w:sz w:val="24"/>
          <w:szCs w:val="24"/>
          <w:lang w:val="es-ES"/>
        </w:rPr>
        <w:t xml:space="preserve">El </w:t>
      </w:r>
      <w:r w:rsidR="003F12A1" w:rsidRPr="003F12A1">
        <w:rPr>
          <w:rFonts w:ascii="Times New Roman" w:hAnsi="Times New Roman" w:cs="Times New Roman"/>
          <w:sz w:val="24"/>
          <w:szCs w:val="24"/>
          <w:lang w:val="es-ES"/>
        </w:rPr>
        <w:t xml:space="preserve">Proyecto de Reconstrucción del Tramo Mairana-Bermejo </w:t>
      </w:r>
      <w:r w:rsidRPr="00DE03B2">
        <w:rPr>
          <w:rFonts w:ascii="Times New Roman" w:hAnsi="Times New Roman" w:cs="Times New Roman"/>
          <w:sz w:val="24"/>
          <w:szCs w:val="24"/>
          <w:lang w:val="es-ES"/>
        </w:rPr>
        <w:t xml:space="preserve">(BO-L1186) tiene como objetivo general </w:t>
      </w:r>
      <w:r w:rsidR="00DE03B2" w:rsidRPr="00DE03B2">
        <w:rPr>
          <w:rFonts w:ascii="Times New Roman" w:hAnsi="Times New Roman" w:cs="Times New Roman"/>
          <w:sz w:val="24"/>
          <w:szCs w:val="24"/>
          <w:lang w:val="es-ES"/>
        </w:rPr>
        <w:t xml:space="preserve">contribuir a la productividad y a la integración nacional y regional de Bolivia. El objetivo específico, es contribuir a mejorar el nivel de servicio a través de la construcción, rehabilitación y mejoramiento de los corredores viales de la Red Vial Fundamental (RVF) que resultan en la reducción de costos de operación vehicular y reducción de tiempos de viaje. Asimismo, el </w:t>
      </w:r>
      <w:r w:rsidR="003F12A1">
        <w:rPr>
          <w:rFonts w:ascii="Times New Roman" w:hAnsi="Times New Roman" w:cs="Times New Roman"/>
          <w:sz w:val="24"/>
          <w:szCs w:val="24"/>
          <w:lang w:val="es-ES"/>
        </w:rPr>
        <w:t>proyecto</w:t>
      </w:r>
      <w:r w:rsidR="00DE03B2" w:rsidRPr="00DE03B2">
        <w:rPr>
          <w:rFonts w:ascii="Times New Roman" w:hAnsi="Times New Roman" w:cs="Times New Roman"/>
          <w:sz w:val="24"/>
          <w:szCs w:val="24"/>
          <w:lang w:val="es-ES"/>
        </w:rPr>
        <w:t xml:space="preserve"> busca promover la mejora de la eficiencia en el gasto público sectorial, apoyando la gestión integral de los activos viales, que supone la incorporación de las obras ejecutadas a sistemas de gestión de mantenimiento vial y el fortalecimiento de capacidades en la ABC. </w:t>
      </w:r>
    </w:p>
    <w:p w14:paraId="244FD250" w14:textId="77777777" w:rsidR="00726FE6" w:rsidRPr="00726FE6" w:rsidRDefault="00726FE6" w:rsidP="00726FE6">
      <w:pPr>
        <w:pStyle w:val="ListParagraph"/>
        <w:shd w:val="clear" w:color="auto" w:fill="FFFFFF"/>
        <w:tabs>
          <w:tab w:val="left" w:pos="270"/>
          <w:tab w:val="left" w:pos="360"/>
          <w:tab w:val="left" w:pos="450"/>
          <w:tab w:val="left" w:pos="2085"/>
        </w:tabs>
        <w:spacing w:after="0" w:line="0" w:lineRule="atLeast"/>
        <w:ind w:left="90"/>
        <w:jc w:val="both"/>
        <w:rPr>
          <w:rFonts w:ascii="Times New Roman" w:hAnsi="Times New Roman" w:cs="Times New Roman"/>
          <w:sz w:val="24"/>
          <w:szCs w:val="24"/>
          <w:lang w:val="es-ES_tradnl"/>
        </w:rPr>
      </w:pPr>
    </w:p>
    <w:p w14:paraId="5D5C72AF" w14:textId="304EBC87" w:rsidR="00726FE6" w:rsidRPr="00726FE6" w:rsidRDefault="00DE03B2" w:rsidP="00E74C65">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sz w:val="24"/>
          <w:szCs w:val="24"/>
          <w:lang w:val="es-ES"/>
        </w:rPr>
      </w:pPr>
      <w:r w:rsidRPr="00726FE6">
        <w:rPr>
          <w:rFonts w:ascii="Times New Roman" w:hAnsi="Times New Roman" w:cs="Times New Roman"/>
          <w:sz w:val="24"/>
          <w:szCs w:val="24"/>
          <w:lang w:val="es-ES"/>
        </w:rPr>
        <w:t>Igualmente,</w:t>
      </w:r>
      <w:r w:rsidR="001E41FB" w:rsidRPr="00726FE6">
        <w:rPr>
          <w:rFonts w:ascii="Times New Roman" w:hAnsi="Times New Roman" w:cs="Times New Roman"/>
          <w:sz w:val="24"/>
          <w:szCs w:val="24"/>
          <w:lang w:val="es-ES"/>
        </w:rPr>
        <w:t xml:space="preserve"> </w:t>
      </w:r>
      <w:r w:rsidR="00BB142A">
        <w:rPr>
          <w:rFonts w:ascii="Times New Roman" w:hAnsi="Times New Roman" w:cs="Times New Roman"/>
          <w:sz w:val="24"/>
          <w:szCs w:val="24"/>
          <w:lang w:val="es-ES"/>
        </w:rPr>
        <w:t>el proyecto</w:t>
      </w:r>
      <w:r w:rsidRPr="00726FE6">
        <w:rPr>
          <w:rFonts w:ascii="Times New Roman" w:hAnsi="Times New Roman" w:cs="Times New Roman"/>
          <w:sz w:val="24"/>
          <w:szCs w:val="24"/>
          <w:lang w:val="es-ES"/>
        </w:rPr>
        <w:t xml:space="preserve"> </w:t>
      </w:r>
      <w:r w:rsidR="001E41FB" w:rsidRPr="00726FE6">
        <w:rPr>
          <w:rFonts w:ascii="Times New Roman" w:hAnsi="Times New Roman" w:cs="Times New Roman"/>
          <w:sz w:val="24"/>
          <w:szCs w:val="24"/>
          <w:lang w:val="es-ES"/>
        </w:rPr>
        <w:t>reforzará las acciones que se ha</w:t>
      </w:r>
      <w:r w:rsidR="003D2EDA" w:rsidRPr="00726FE6">
        <w:rPr>
          <w:rFonts w:ascii="Times New Roman" w:hAnsi="Times New Roman" w:cs="Times New Roman"/>
          <w:sz w:val="24"/>
          <w:szCs w:val="24"/>
          <w:lang w:val="es-ES"/>
        </w:rPr>
        <w:t>n</w:t>
      </w:r>
      <w:r w:rsidR="001E41FB" w:rsidRPr="00726FE6">
        <w:rPr>
          <w:rFonts w:ascii="Times New Roman" w:hAnsi="Times New Roman" w:cs="Times New Roman"/>
          <w:sz w:val="24"/>
          <w:szCs w:val="24"/>
          <w:lang w:val="es-ES"/>
        </w:rPr>
        <w:t xml:space="preserve"> llevado a cabo a través </w:t>
      </w:r>
      <w:r w:rsidR="00C70F20" w:rsidRPr="00726FE6">
        <w:rPr>
          <w:rFonts w:ascii="Times New Roman" w:hAnsi="Times New Roman" w:cs="Times New Roman"/>
          <w:sz w:val="24"/>
          <w:szCs w:val="24"/>
          <w:lang w:val="es-ES"/>
        </w:rPr>
        <w:t>de los</w:t>
      </w:r>
      <w:r w:rsidR="00BF27F9" w:rsidRPr="00726FE6">
        <w:rPr>
          <w:rFonts w:ascii="Times New Roman" w:hAnsi="Times New Roman" w:cs="Times New Roman"/>
          <w:sz w:val="24"/>
          <w:szCs w:val="24"/>
          <w:lang w:val="es-ES"/>
        </w:rPr>
        <w:t xml:space="preserve"> programas de Infraestructura Vial de Apoyo al Desarrollo y Gestión de la Red Vial Fundamental I y II (BO-L1095 y BO-L1102)</w:t>
      </w:r>
      <w:r w:rsidR="00C70F20">
        <w:rPr>
          <w:rStyle w:val="FootnoteReference"/>
          <w:rFonts w:cs="Times New Roman"/>
          <w:szCs w:val="24"/>
          <w:lang w:val="es-ES"/>
        </w:rPr>
        <w:footnoteReference w:id="19"/>
      </w:r>
      <w:r w:rsidR="00C70F20" w:rsidRPr="00726FE6">
        <w:rPr>
          <w:rFonts w:ascii="Times New Roman" w:hAnsi="Times New Roman" w:cs="Times New Roman"/>
          <w:sz w:val="24"/>
          <w:szCs w:val="24"/>
          <w:lang w:val="es-ES"/>
        </w:rPr>
        <w:t xml:space="preserve">, actualmente en ejecución. Estos </w:t>
      </w:r>
      <w:bookmarkStart w:id="1" w:name="_GoBack"/>
      <w:r w:rsidR="00C70F20" w:rsidRPr="00726FE6">
        <w:rPr>
          <w:rFonts w:ascii="Times New Roman" w:hAnsi="Times New Roman" w:cs="Times New Roman"/>
          <w:sz w:val="24"/>
          <w:szCs w:val="24"/>
          <w:lang w:val="es-ES"/>
        </w:rPr>
        <w:t>programa</w:t>
      </w:r>
      <w:bookmarkEnd w:id="1"/>
      <w:r w:rsidR="00C70F20" w:rsidRPr="00726FE6">
        <w:rPr>
          <w:rFonts w:ascii="Times New Roman" w:hAnsi="Times New Roman" w:cs="Times New Roman"/>
          <w:sz w:val="24"/>
          <w:szCs w:val="24"/>
          <w:lang w:val="es-ES"/>
        </w:rPr>
        <w:t>s</w:t>
      </w:r>
      <w:r w:rsidR="00BF27F9" w:rsidRPr="00726FE6">
        <w:rPr>
          <w:rFonts w:ascii="Times New Roman" w:hAnsi="Times New Roman" w:cs="Times New Roman"/>
          <w:sz w:val="24"/>
          <w:szCs w:val="24"/>
          <w:lang w:val="es-ES"/>
        </w:rPr>
        <w:t xml:space="preserve"> muestran avances significativos en términos de consolidación de los corredores de exportación de Bolivia a puertos del Pacífico en Perú. Incluyen la construcción de 84 km d</w:t>
      </w:r>
      <w:r w:rsidR="006726F0" w:rsidRPr="00726FE6">
        <w:rPr>
          <w:rFonts w:ascii="Times New Roman" w:hAnsi="Times New Roman" w:cs="Times New Roman"/>
          <w:sz w:val="24"/>
          <w:szCs w:val="24"/>
          <w:lang w:val="es-ES"/>
        </w:rPr>
        <w:t>e carreteras sobre el corredor e</w:t>
      </w:r>
      <w:r w:rsidR="00BF27F9" w:rsidRPr="00726FE6">
        <w:rPr>
          <w:rFonts w:ascii="Times New Roman" w:hAnsi="Times New Roman" w:cs="Times New Roman"/>
          <w:sz w:val="24"/>
          <w:szCs w:val="24"/>
          <w:lang w:val="es-ES"/>
        </w:rPr>
        <w:t>ste-</w:t>
      </w:r>
      <w:r w:rsidR="006726F0" w:rsidRPr="00726FE6">
        <w:rPr>
          <w:rFonts w:ascii="Times New Roman" w:hAnsi="Times New Roman" w:cs="Times New Roman"/>
          <w:sz w:val="24"/>
          <w:szCs w:val="24"/>
          <w:lang w:val="es-ES"/>
        </w:rPr>
        <w:t>o</w:t>
      </w:r>
      <w:r w:rsidR="00BF27F9" w:rsidRPr="00726FE6">
        <w:rPr>
          <w:rFonts w:ascii="Times New Roman" w:hAnsi="Times New Roman" w:cs="Times New Roman"/>
          <w:sz w:val="24"/>
          <w:szCs w:val="24"/>
          <w:lang w:val="es-ES"/>
        </w:rPr>
        <w:t>este, y la rehabilitación de más de 350 km en los departamentos de La Paz y Santa Cruz.</w:t>
      </w:r>
      <w:r w:rsidR="00726FE6" w:rsidRPr="00726FE6">
        <w:rPr>
          <w:rFonts w:ascii="Times New Roman" w:hAnsi="Times New Roman" w:cs="Times New Roman"/>
          <w:sz w:val="24"/>
          <w:szCs w:val="24"/>
          <w:lang w:val="es-ES"/>
        </w:rPr>
        <w:t xml:space="preserve"> </w:t>
      </w:r>
      <w:r w:rsidR="00114ED5" w:rsidRPr="00726FE6">
        <w:rPr>
          <w:rFonts w:ascii="Times New Roman" w:hAnsi="Times New Roman"/>
          <w:sz w:val="24"/>
          <w:szCs w:val="24"/>
          <w:lang w:val="es-ES"/>
        </w:rPr>
        <w:t xml:space="preserve">En relación a la etapa </w:t>
      </w:r>
      <w:r w:rsidR="00085A3B" w:rsidRPr="00726FE6">
        <w:rPr>
          <w:rFonts w:ascii="Times New Roman" w:hAnsi="Times New Roman"/>
          <w:sz w:val="24"/>
          <w:szCs w:val="24"/>
          <w:lang w:val="es-ES"/>
        </w:rPr>
        <w:t xml:space="preserve">III </w:t>
      </w:r>
      <w:r w:rsidR="00114ED5" w:rsidRPr="00726FE6">
        <w:rPr>
          <w:rFonts w:ascii="Times New Roman" w:hAnsi="Times New Roman"/>
          <w:sz w:val="24"/>
          <w:szCs w:val="24"/>
          <w:lang w:val="es-ES"/>
        </w:rPr>
        <w:t>del proyecto, l</w:t>
      </w:r>
      <w:r w:rsidR="00070599" w:rsidRPr="00726FE6">
        <w:rPr>
          <w:rFonts w:ascii="Times New Roman" w:hAnsi="Times New Roman"/>
          <w:sz w:val="24"/>
          <w:szCs w:val="24"/>
          <w:lang w:val="es-ES"/>
        </w:rPr>
        <w:t>a muestra</w:t>
      </w:r>
      <w:r w:rsidR="00085A3B" w:rsidRPr="00726FE6">
        <w:rPr>
          <w:rFonts w:ascii="Times New Roman" w:hAnsi="Times New Roman"/>
          <w:sz w:val="24"/>
          <w:szCs w:val="24"/>
          <w:lang w:val="es-ES"/>
        </w:rPr>
        <w:t xml:space="preserve"> representativa</w:t>
      </w:r>
      <w:r w:rsidR="00070599" w:rsidRPr="00726FE6">
        <w:rPr>
          <w:rFonts w:ascii="Times New Roman" w:hAnsi="Times New Roman"/>
          <w:sz w:val="24"/>
          <w:szCs w:val="24"/>
          <w:lang w:val="es-ES"/>
        </w:rPr>
        <w:t xml:space="preserve"> de la operación está compuesta por el tramo Mairana</w:t>
      </w:r>
      <w:r w:rsidR="00531DBF" w:rsidRPr="00726FE6">
        <w:rPr>
          <w:rFonts w:ascii="Times New Roman" w:hAnsi="Times New Roman"/>
          <w:sz w:val="24"/>
          <w:szCs w:val="24"/>
          <w:lang w:val="es-ES"/>
        </w:rPr>
        <w:t xml:space="preserve"> -</w:t>
      </w:r>
      <w:r w:rsidR="00070599" w:rsidRPr="00726FE6">
        <w:rPr>
          <w:rFonts w:ascii="Times New Roman" w:hAnsi="Times New Roman"/>
          <w:sz w:val="24"/>
          <w:szCs w:val="24"/>
          <w:lang w:val="es-ES"/>
        </w:rPr>
        <w:t xml:space="preserve"> Bermejo de 58km de longitud que se encuentra en una región sub andina (elevación del tramo entre 900m y 1850m</w:t>
      </w:r>
      <w:r w:rsidR="00A8690A" w:rsidRPr="00726FE6">
        <w:rPr>
          <w:rFonts w:ascii="Times New Roman" w:hAnsi="Times New Roman"/>
          <w:sz w:val="24"/>
          <w:szCs w:val="24"/>
          <w:lang w:val="es-ES"/>
        </w:rPr>
        <w:t>)</w:t>
      </w:r>
      <w:r w:rsidR="00460A93" w:rsidRPr="00726FE6">
        <w:rPr>
          <w:rFonts w:ascii="Times New Roman" w:hAnsi="Times New Roman"/>
          <w:sz w:val="24"/>
          <w:szCs w:val="24"/>
          <w:lang w:val="es-ES"/>
        </w:rPr>
        <w:t xml:space="preserve">. </w:t>
      </w:r>
      <w:r w:rsidR="00F762F2" w:rsidRPr="00726FE6">
        <w:rPr>
          <w:rFonts w:ascii="Times New Roman" w:hAnsi="Times New Roman"/>
          <w:sz w:val="24"/>
          <w:szCs w:val="24"/>
          <w:lang w:val="es-ES"/>
        </w:rPr>
        <w:t xml:space="preserve">El tramo fue construido en </w:t>
      </w:r>
      <w:r w:rsidR="00114ED5" w:rsidRPr="00726FE6">
        <w:rPr>
          <w:rFonts w:ascii="Times New Roman" w:hAnsi="Times New Roman"/>
          <w:sz w:val="24"/>
          <w:szCs w:val="24"/>
          <w:lang w:val="es-ES"/>
        </w:rPr>
        <w:t>la década de los años cincuenta y</w:t>
      </w:r>
      <w:r w:rsidR="00F762F2" w:rsidRPr="00726FE6">
        <w:rPr>
          <w:rFonts w:ascii="Times New Roman" w:hAnsi="Times New Roman"/>
          <w:sz w:val="24"/>
          <w:szCs w:val="24"/>
          <w:lang w:val="es-ES"/>
        </w:rPr>
        <w:t xml:space="preserve"> </w:t>
      </w:r>
      <w:r w:rsidR="00114ED5" w:rsidRPr="00726FE6">
        <w:rPr>
          <w:rFonts w:ascii="Times New Roman" w:hAnsi="Times New Roman"/>
          <w:sz w:val="24"/>
          <w:szCs w:val="24"/>
          <w:lang w:val="es-ES"/>
        </w:rPr>
        <w:t>a</w:t>
      </w:r>
      <w:r w:rsidR="00F762F2" w:rsidRPr="00726FE6">
        <w:rPr>
          <w:rFonts w:ascii="Times New Roman" w:hAnsi="Times New Roman"/>
          <w:sz w:val="24"/>
          <w:szCs w:val="24"/>
          <w:lang w:val="es-ES"/>
        </w:rPr>
        <w:t xml:space="preserve">ctualmente el pavimento se ha deteriorado y perdido casi completamente en diferentes sectores. El tramo </w:t>
      </w:r>
      <w:r w:rsidR="00726FE6" w:rsidRPr="00726FE6">
        <w:rPr>
          <w:rFonts w:ascii="Times New Roman" w:hAnsi="Times New Roman"/>
          <w:sz w:val="24"/>
          <w:szCs w:val="24"/>
          <w:lang w:val="es-ES"/>
        </w:rPr>
        <w:t>mencionado</w:t>
      </w:r>
      <w:r w:rsidR="00070599" w:rsidRPr="00726FE6">
        <w:rPr>
          <w:rFonts w:ascii="Times New Roman" w:hAnsi="Times New Roman"/>
          <w:sz w:val="24"/>
          <w:szCs w:val="24"/>
          <w:lang w:val="es-ES"/>
        </w:rPr>
        <w:t xml:space="preserve"> </w:t>
      </w:r>
      <w:r w:rsidR="00374B9D" w:rsidRPr="00726FE6">
        <w:rPr>
          <w:rFonts w:ascii="Times New Roman" w:hAnsi="Times New Roman"/>
          <w:sz w:val="24"/>
          <w:szCs w:val="24"/>
          <w:lang w:val="es-ES"/>
        </w:rPr>
        <w:t>conecta</w:t>
      </w:r>
      <w:r w:rsidR="00605F57" w:rsidRPr="00726FE6">
        <w:rPr>
          <w:rFonts w:ascii="Times New Roman" w:hAnsi="Times New Roman"/>
          <w:sz w:val="24"/>
          <w:szCs w:val="24"/>
          <w:lang w:val="es-ES"/>
        </w:rPr>
        <w:t xml:space="preserve"> </w:t>
      </w:r>
      <w:r w:rsidR="00374144" w:rsidRPr="00726FE6">
        <w:rPr>
          <w:rFonts w:ascii="Times New Roman" w:hAnsi="Times New Roman" w:cs="Times New Roman"/>
          <w:sz w:val="24"/>
          <w:szCs w:val="24"/>
          <w:lang w:val="es-ES_tradnl"/>
        </w:rPr>
        <w:t xml:space="preserve">con la red vial denominada “Y’ de la integración, la cual facilita el tránsito interno entre de los </w:t>
      </w:r>
      <w:r w:rsidR="0062761E" w:rsidRPr="00726FE6">
        <w:rPr>
          <w:rFonts w:ascii="Times New Roman" w:hAnsi="Times New Roman" w:cs="Times New Roman"/>
          <w:sz w:val="24"/>
          <w:szCs w:val="24"/>
          <w:lang w:val="es-ES_tradnl"/>
        </w:rPr>
        <w:t>departamentos</w:t>
      </w:r>
      <w:r w:rsidR="00374144" w:rsidRPr="00726FE6">
        <w:rPr>
          <w:rFonts w:ascii="Times New Roman" w:hAnsi="Times New Roman" w:cs="Times New Roman"/>
          <w:sz w:val="24"/>
          <w:szCs w:val="24"/>
          <w:lang w:val="es-ES_tradnl"/>
        </w:rPr>
        <w:t xml:space="preserve"> de Cochabamba hasta Sucre y Santa Cruz, </w:t>
      </w:r>
      <w:r w:rsidR="0062761E" w:rsidRPr="00726FE6">
        <w:rPr>
          <w:rFonts w:ascii="Times New Roman" w:hAnsi="Times New Roman" w:cs="Times New Roman"/>
          <w:sz w:val="24"/>
          <w:szCs w:val="24"/>
          <w:lang w:val="es-ES_tradnl"/>
        </w:rPr>
        <w:t xml:space="preserve">e igualmente conecta </w:t>
      </w:r>
      <w:r w:rsidR="00374144" w:rsidRPr="00726FE6">
        <w:rPr>
          <w:rFonts w:ascii="Times New Roman" w:hAnsi="Times New Roman" w:cs="Times New Roman"/>
          <w:sz w:val="24"/>
          <w:szCs w:val="24"/>
          <w:lang w:val="es-ES_tradnl"/>
        </w:rPr>
        <w:t xml:space="preserve">con los corredores de integración </w:t>
      </w:r>
      <w:r w:rsidR="00726FE6" w:rsidRPr="00726FE6">
        <w:rPr>
          <w:rFonts w:ascii="Times New Roman" w:hAnsi="Times New Roman" w:cs="Times New Roman"/>
          <w:sz w:val="24"/>
          <w:szCs w:val="24"/>
          <w:lang w:val="es-ES_tradnl"/>
        </w:rPr>
        <w:t>de la RVF</w:t>
      </w:r>
      <w:r w:rsidR="00585ABE">
        <w:rPr>
          <w:rFonts w:ascii="Times New Roman" w:hAnsi="Times New Roman" w:cs="Times New Roman"/>
          <w:sz w:val="24"/>
          <w:szCs w:val="24"/>
          <w:lang w:val="es-ES_tradnl"/>
        </w:rPr>
        <w:t>; corredor</w:t>
      </w:r>
      <w:r w:rsidR="00726FE6" w:rsidRPr="00726FE6">
        <w:rPr>
          <w:rFonts w:ascii="Times New Roman" w:hAnsi="Times New Roman" w:cs="Times New Roman"/>
          <w:sz w:val="24"/>
          <w:szCs w:val="24"/>
          <w:lang w:val="es-ES_tradnl"/>
        </w:rPr>
        <w:t xml:space="preserve"> </w:t>
      </w:r>
      <w:r w:rsidR="00374144" w:rsidRPr="00726FE6">
        <w:rPr>
          <w:rFonts w:ascii="Times New Roman" w:hAnsi="Times New Roman" w:cs="Times New Roman"/>
          <w:sz w:val="24"/>
          <w:szCs w:val="24"/>
          <w:lang w:val="es-ES_tradnl"/>
        </w:rPr>
        <w:t xml:space="preserve">este-oeste y </w:t>
      </w:r>
      <w:r w:rsidR="00585ABE">
        <w:rPr>
          <w:rFonts w:ascii="Times New Roman" w:hAnsi="Times New Roman" w:cs="Times New Roman"/>
          <w:sz w:val="24"/>
          <w:szCs w:val="24"/>
          <w:lang w:val="es-ES_tradnl"/>
        </w:rPr>
        <w:t xml:space="preserve">corredor </w:t>
      </w:r>
      <w:r w:rsidR="00374144" w:rsidRPr="00726FE6">
        <w:rPr>
          <w:rFonts w:ascii="Times New Roman" w:hAnsi="Times New Roman" w:cs="Times New Roman"/>
          <w:sz w:val="24"/>
          <w:szCs w:val="24"/>
          <w:lang w:val="es-ES_tradnl"/>
        </w:rPr>
        <w:t xml:space="preserve">norte-sur. </w:t>
      </w:r>
    </w:p>
    <w:p w14:paraId="796D2AA1" w14:textId="77777777" w:rsidR="00726FE6" w:rsidRPr="00726FE6" w:rsidRDefault="00726FE6" w:rsidP="00726FE6">
      <w:pPr>
        <w:pStyle w:val="ListParagraph"/>
        <w:rPr>
          <w:rFonts w:ascii="Times New Roman" w:hAnsi="Times New Roman" w:cs="Times New Roman"/>
          <w:sz w:val="24"/>
          <w:szCs w:val="24"/>
          <w:lang w:val="es-ES"/>
        </w:rPr>
      </w:pPr>
    </w:p>
    <w:p w14:paraId="1D00DB78" w14:textId="61FCFF05" w:rsidR="00597915" w:rsidRDefault="005632E9" w:rsidP="00FC4C9B">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sz w:val="24"/>
          <w:szCs w:val="24"/>
          <w:lang w:val="es-ES"/>
        </w:rPr>
      </w:pPr>
      <w:r w:rsidRPr="00597915">
        <w:rPr>
          <w:rFonts w:ascii="Times New Roman" w:hAnsi="Times New Roman" w:cs="Times New Roman"/>
          <w:sz w:val="24"/>
          <w:szCs w:val="24"/>
          <w:lang w:val="es-ES"/>
        </w:rPr>
        <w:t>Desde</w:t>
      </w:r>
      <w:r w:rsidR="00C51C94" w:rsidRPr="00597915">
        <w:rPr>
          <w:rFonts w:ascii="Times New Roman" w:hAnsi="Times New Roman" w:cs="Times New Roman"/>
          <w:sz w:val="24"/>
          <w:szCs w:val="24"/>
          <w:lang w:val="es-ES_tradnl"/>
        </w:rPr>
        <w:t xml:space="preserve"> el punto de vista de la integración regional, el tramo Mairana-Bermejo </w:t>
      </w:r>
      <w:r w:rsidR="00933DCC" w:rsidRPr="00597915">
        <w:rPr>
          <w:rFonts w:ascii="Times New Roman" w:hAnsi="Times New Roman" w:cs="Times New Roman"/>
          <w:sz w:val="24"/>
          <w:szCs w:val="24"/>
          <w:lang w:val="es-ES_tradnl"/>
        </w:rPr>
        <w:t>aporta</w:t>
      </w:r>
      <w:r w:rsidR="00C51C94" w:rsidRPr="00597915">
        <w:rPr>
          <w:rFonts w:ascii="Times New Roman" w:hAnsi="Times New Roman" w:cs="Times New Roman"/>
          <w:sz w:val="24"/>
          <w:szCs w:val="24"/>
          <w:lang w:val="es-ES_tradnl"/>
        </w:rPr>
        <w:t xml:space="preserve"> a la conexión de las áreas productivas de</w:t>
      </w:r>
      <w:r w:rsidR="0062761E" w:rsidRPr="00597915">
        <w:rPr>
          <w:rFonts w:ascii="Times New Roman" w:hAnsi="Times New Roman" w:cs="Times New Roman"/>
          <w:sz w:val="24"/>
          <w:szCs w:val="24"/>
          <w:lang w:val="es-ES_tradnl"/>
        </w:rPr>
        <w:t xml:space="preserve"> </w:t>
      </w:r>
      <w:r w:rsidRPr="00597915">
        <w:rPr>
          <w:rFonts w:ascii="Times New Roman" w:hAnsi="Times New Roman" w:cs="Times New Roman"/>
          <w:sz w:val="24"/>
          <w:szCs w:val="24"/>
          <w:lang w:val="es-ES_tradnl"/>
        </w:rPr>
        <w:t>los municipios</w:t>
      </w:r>
      <w:r w:rsidR="000F352D">
        <w:rPr>
          <w:rFonts w:ascii="Times New Roman" w:hAnsi="Times New Roman" w:cs="Times New Roman"/>
          <w:sz w:val="24"/>
          <w:szCs w:val="24"/>
          <w:lang w:val="es-ES_tradnl"/>
        </w:rPr>
        <w:t xml:space="preserve"> de influencia del proyecto, </w:t>
      </w:r>
      <w:r w:rsidR="00C51C94" w:rsidRPr="00597915">
        <w:rPr>
          <w:rFonts w:ascii="Times New Roman" w:hAnsi="Times New Roman" w:cs="Times New Roman"/>
          <w:sz w:val="24"/>
          <w:szCs w:val="24"/>
          <w:lang w:val="es-ES_tradnl"/>
        </w:rPr>
        <w:t xml:space="preserve">permitiendo el tránsito de mercancías y de personas tanto a nivel interno como externo debido a las conexiones con </w:t>
      </w:r>
      <w:r w:rsidR="00585ABE">
        <w:rPr>
          <w:rFonts w:ascii="Times New Roman" w:hAnsi="Times New Roman" w:cs="Times New Roman"/>
          <w:sz w:val="24"/>
          <w:szCs w:val="24"/>
          <w:lang w:val="es-ES_tradnl"/>
        </w:rPr>
        <w:t xml:space="preserve">los </w:t>
      </w:r>
      <w:r w:rsidR="00C51C94" w:rsidRPr="00597915">
        <w:rPr>
          <w:rFonts w:ascii="Times New Roman" w:hAnsi="Times New Roman" w:cs="Times New Roman"/>
          <w:sz w:val="24"/>
          <w:szCs w:val="24"/>
          <w:lang w:val="es-ES_tradnl"/>
        </w:rPr>
        <w:t xml:space="preserve">corredores de integración </w:t>
      </w:r>
      <w:r w:rsidR="00954822" w:rsidRPr="00597915">
        <w:rPr>
          <w:rFonts w:ascii="Times New Roman" w:hAnsi="Times New Roman" w:cs="Times New Roman"/>
          <w:sz w:val="24"/>
          <w:szCs w:val="24"/>
          <w:lang w:val="es-ES_tradnl"/>
        </w:rPr>
        <w:t>regional</w:t>
      </w:r>
      <w:r w:rsidR="00080264">
        <w:rPr>
          <w:rFonts w:ascii="Times New Roman" w:hAnsi="Times New Roman" w:cs="Times New Roman"/>
          <w:sz w:val="24"/>
          <w:szCs w:val="24"/>
          <w:lang w:val="es-ES_tradnl"/>
        </w:rPr>
        <w:t>, específicamente</w:t>
      </w:r>
      <w:r w:rsidR="00954822" w:rsidRPr="00597915">
        <w:rPr>
          <w:rFonts w:ascii="Times New Roman" w:hAnsi="Times New Roman" w:cs="Times New Roman"/>
          <w:sz w:val="24"/>
          <w:szCs w:val="24"/>
          <w:lang w:val="es-ES_tradnl"/>
        </w:rPr>
        <w:t xml:space="preserve"> </w:t>
      </w:r>
      <w:r w:rsidR="001D05B1">
        <w:rPr>
          <w:rFonts w:ascii="Times New Roman" w:hAnsi="Times New Roman" w:cs="Times New Roman"/>
          <w:sz w:val="24"/>
          <w:szCs w:val="24"/>
          <w:lang w:val="es-ES_tradnl"/>
        </w:rPr>
        <w:t xml:space="preserve">con </w:t>
      </w:r>
      <w:r w:rsidR="00954822" w:rsidRPr="00597915">
        <w:rPr>
          <w:rFonts w:ascii="Times New Roman" w:hAnsi="Times New Roman"/>
          <w:sz w:val="24"/>
          <w:szCs w:val="24"/>
          <w:lang w:val="es-ES"/>
        </w:rPr>
        <w:t xml:space="preserve">el corredor este-oeste de la Red Vial Fundamental; </w:t>
      </w:r>
      <w:r w:rsidR="001D05B1">
        <w:rPr>
          <w:rFonts w:ascii="Times New Roman" w:hAnsi="Times New Roman"/>
          <w:sz w:val="24"/>
          <w:szCs w:val="24"/>
          <w:lang w:val="es-ES"/>
        </w:rPr>
        <w:t xml:space="preserve">denominado </w:t>
      </w:r>
      <w:r w:rsidR="00954822" w:rsidRPr="00597915">
        <w:rPr>
          <w:rFonts w:ascii="Times New Roman" w:hAnsi="Times New Roman"/>
          <w:sz w:val="24"/>
          <w:szCs w:val="24"/>
          <w:lang w:val="es-ES"/>
        </w:rPr>
        <w:t xml:space="preserve">también Corredor Bioceánico, </w:t>
      </w:r>
      <w:r w:rsidR="001D05B1">
        <w:rPr>
          <w:rFonts w:ascii="Times New Roman" w:hAnsi="Times New Roman"/>
          <w:sz w:val="24"/>
          <w:szCs w:val="24"/>
          <w:lang w:val="es-ES"/>
        </w:rPr>
        <w:t xml:space="preserve">el cual </w:t>
      </w:r>
      <w:r w:rsidR="006A1577" w:rsidRPr="00597915">
        <w:rPr>
          <w:rFonts w:ascii="Times New Roman" w:hAnsi="Times New Roman"/>
          <w:sz w:val="24"/>
          <w:szCs w:val="24"/>
          <w:lang w:val="es-ES"/>
        </w:rPr>
        <w:t xml:space="preserve">permite el </w:t>
      </w:r>
      <w:r w:rsidR="002E28FF" w:rsidRPr="00597915">
        <w:rPr>
          <w:rFonts w:ascii="Times New Roman" w:hAnsi="Times New Roman"/>
          <w:sz w:val="24"/>
          <w:szCs w:val="24"/>
          <w:lang w:val="es-ES"/>
        </w:rPr>
        <w:t>tránsito</w:t>
      </w:r>
      <w:r w:rsidR="006A1577" w:rsidRPr="00597915">
        <w:rPr>
          <w:rFonts w:ascii="Times New Roman" w:hAnsi="Times New Roman"/>
          <w:sz w:val="24"/>
          <w:szCs w:val="24"/>
          <w:lang w:val="es-ES"/>
        </w:rPr>
        <w:t xml:space="preserve"> entre </w:t>
      </w:r>
      <w:r w:rsidR="00954822" w:rsidRPr="00597915">
        <w:rPr>
          <w:rFonts w:ascii="Times New Roman" w:hAnsi="Times New Roman"/>
          <w:sz w:val="24"/>
          <w:szCs w:val="24"/>
          <w:lang w:val="es-ES"/>
        </w:rPr>
        <w:t>Bolivia</w:t>
      </w:r>
      <w:r w:rsidR="006A1577" w:rsidRPr="00597915">
        <w:rPr>
          <w:rFonts w:ascii="Times New Roman" w:hAnsi="Times New Roman"/>
          <w:sz w:val="24"/>
          <w:szCs w:val="24"/>
          <w:lang w:val="es-ES"/>
        </w:rPr>
        <w:t>,</w:t>
      </w:r>
      <w:r w:rsidR="00954822" w:rsidRPr="00597915">
        <w:rPr>
          <w:rFonts w:ascii="Times New Roman" w:hAnsi="Times New Roman"/>
          <w:sz w:val="24"/>
          <w:szCs w:val="24"/>
          <w:lang w:val="es-ES"/>
        </w:rPr>
        <w:t xml:space="preserve"> Chile y Brasil</w:t>
      </w:r>
      <w:r w:rsidR="001D05B1">
        <w:rPr>
          <w:rFonts w:ascii="Times New Roman" w:hAnsi="Times New Roman"/>
          <w:sz w:val="24"/>
          <w:szCs w:val="24"/>
          <w:lang w:val="es-ES"/>
        </w:rPr>
        <w:t>; y la conexión</w:t>
      </w:r>
      <w:r w:rsidR="00E4425A" w:rsidRPr="00597915">
        <w:rPr>
          <w:rFonts w:ascii="Times New Roman" w:hAnsi="Times New Roman" w:cs="Times New Roman"/>
          <w:sz w:val="24"/>
          <w:szCs w:val="24"/>
          <w:lang w:val="es-ES_tradnl"/>
        </w:rPr>
        <w:t xml:space="preserve"> con el corredor norte-sur </w:t>
      </w:r>
      <w:r w:rsidR="00080264">
        <w:rPr>
          <w:rFonts w:ascii="Times New Roman" w:hAnsi="Times New Roman" w:cs="Times New Roman"/>
          <w:sz w:val="24"/>
          <w:szCs w:val="24"/>
          <w:lang w:val="es-ES_tradnl"/>
        </w:rPr>
        <w:t xml:space="preserve">el cual </w:t>
      </w:r>
      <w:r w:rsidR="00E4425A" w:rsidRPr="00597915">
        <w:rPr>
          <w:rFonts w:ascii="Times New Roman" w:hAnsi="Times New Roman" w:cs="Times New Roman"/>
          <w:sz w:val="24"/>
          <w:szCs w:val="24"/>
          <w:lang w:val="es-ES_tradnl"/>
        </w:rPr>
        <w:t xml:space="preserve">vincula a Bolivia regionalmente con Brasil y Argentina. </w:t>
      </w:r>
      <w:r w:rsidR="00F006B6" w:rsidRPr="00597915">
        <w:rPr>
          <w:rFonts w:ascii="Times New Roman" w:hAnsi="Times New Roman"/>
          <w:sz w:val="24"/>
          <w:szCs w:val="24"/>
          <w:lang w:val="es-ES"/>
        </w:rPr>
        <w:t xml:space="preserve">Futuros tramos a incorporar en el financiamiento del </w:t>
      </w:r>
      <w:r w:rsidR="00BB142A">
        <w:rPr>
          <w:rFonts w:ascii="Times New Roman" w:hAnsi="Times New Roman"/>
          <w:sz w:val="24"/>
          <w:szCs w:val="24"/>
          <w:lang w:val="es-ES"/>
        </w:rPr>
        <w:t>proyecto</w:t>
      </w:r>
      <w:r w:rsidR="00F006B6" w:rsidRPr="00597915">
        <w:rPr>
          <w:rFonts w:ascii="Times New Roman" w:hAnsi="Times New Roman"/>
          <w:sz w:val="24"/>
          <w:szCs w:val="24"/>
          <w:lang w:val="es-ES"/>
        </w:rPr>
        <w:t xml:space="preserve"> deberán igualmente conectar y/o formar parte de la RVF de acuerdo a los criterios de elegibilidad establecidos.</w:t>
      </w:r>
      <w:r w:rsidRPr="00597915">
        <w:rPr>
          <w:rFonts w:ascii="Times New Roman" w:hAnsi="Times New Roman"/>
          <w:sz w:val="24"/>
          <w:szCs w:val="24"/>
          <w:lang w:val="es-ES"/>
        </w:rPr>
        <w:t xml:space="preserve"> </w:t>
      </w:r>
    </w:p>
    <w:p w14:paraId="0ABAA76B" w14:textId="77777777" w:rsidR="00597915" w:rsidRDefault="00597915" w:rsidP="00597915">
      <w:pPr>
        <w:pStyle w:val="ListParagraph"/>
        <w:shd w:val="clear" w:color="auto" w:fill="FFFFFF"/>
        <w:tabs>
          <w:tab w:val="left" w:pos="270"/>
          <w:tab w:val="left" w:pos="360"/>
          <w:tab w:val="left" w:pos="450"/>
          <w:tab w:val="left" w:pos="2085"/>
        </w:tabs>
        <w:spacing w:after="0" w:line="0" w:lineRule="atLeast"/>
        <w:ind w:left="90"/>
        <w:jc w:val="both"/>
        <w:rPr>
          <w:rFonts w:ascii="Times New Roman" w:hAnsi="Times New Roman"/>
          <w:sz w:val="24"/>
          <w:szCs w:val="24"/>
          <w:lang w:val="es-ES"/>
        </w:rPr>
      </w:pPr>
    </w:p>
    <w:p w14:paraId="00DF14D1" w14:textId="74D9683C" w:rsidR="000D505A" w:rsidRPr="000D505A" w:rsidRDefault="00834F14" w:rsidP="00F63666">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sz w:val="24"/>
          <w:szCs w:val="24"/>
          <w:lang w:val="es-ES"/>
        </w:rPr>
      </w:pPr>
      <w:r w:rsidRPr="000D505A">
        <w:rPr>
          <w:rFonts w:ascii="Times New Roman" w:hAnsi="Times New Roman" w:cs="Times New Roman"/>
          <w:sz w:val="24"/>
          <w:szCs w:val="24"/>
          <w:lang w:val="es-ES_tradnl"/>
        </w:rPr>
        <w:t xml:space="preserve">Los niveles de conectividad interna y </w:t>
      </w:r>
      <w:r w:rsidR="002B704A" w:rsidRPr="000D505A">
        <w:rPr>
          <w:rFonts w:ascii="Times New Roman" w:hAnsi="Times New Roman" w:cs="Times New Roman"/>
          <w:sz w:val="24"/>
          <w:szCs w:val="24"/>
          <w:lang w:val="es-ES_tradnl"/>
        </w:rPr>
        <w:t>externa</w:t>
      </w:r>
      <w:r w:rsidRPr="000D505A">
        <w:rPr>
          <w:rFonts w:ascii="Times New Roman" w:hAnsi="Times New Roman" w:cs="Times New Roman"/>
          <w:sz w:val="24"/>
          <w:szCs w:val="24"/>
          <w:lang w:val="es-ES_tradnl"/>
        </w:rPr>
        <w:t xml:space="preserve"> que permitirá el proyecto</w:t>
      </w:r>
      <w:r w:rsidR="00B367D3" w:rsidRPr="000D505A">
        <w:rPr>
          <w:rFonts w:ascii="Times New Roman" w:hAnsi="Times New Roman" w:cs="Times New Roman"/>
          <w:sz w:val="24"/>
          <w:szCs w:val="24"/>
          <w:lang w:val="es-ES_tradnl"/>
        </w:rPr>
        <w:t>,</w:t>
      </w:r>
      <w:r w:rsidR="00954822" w:rsidRPr="000D505A">
        <w:rPr>
          <w:rFonts w:ascii="Times New Roman" w:hAnsi="Times New Roman" w:cs="Times New Roman"/>
          <w:sz w:val="24"/>
          <w:szCs w:val="24"/>
          <w:lang w:val="es-ES_tradnl"/>
        </w:rPr>
        <w:t xml:space="preserve"> denota</w:t>
      </w:r>
      <w:r w:rsidRPr="000D505A">
        <w:rPr>
          <w:rFonts w:ascii="Times New Roman" w:hAnsi="Times New Roman" w:cs="Times New Roman"/>
          <w:sz w:val="24"/>
          <w:szCs w:val="24"/>
          <w:lang w:val="es-ES_tradnl"/>
        </w:rPr>
        <w:t>n</w:t>
      </w:r>
      <w:r w:rsidR="00954822" w:rsidRPr="000D505A">
        <w:rPr>
          <w:rFonts w:ascii="Times New Roman" w:hAnsi="Times New Roman" w:cs="Times New Roman"/>
          <w:sz w:val="24"/>
          <w:szCs w:val="24"/>
          <w:lang w:val="es-ES_tradnl"/>
        </w:rPr>
        <w:t xml:space="preserve"> </w:t>
      </w:r>
      <w:r w:rsidR="00B367D3" w:rsidRPr="000D505A">
        <w:rPr>
          <w:rFonts w:ascii="Times New Roman" w:hAnsi="Times New Roman" w:cs="Times New Roman"/>
          <w:sz w:val="24"/>
          <w:szCs w:val="24"/>
          <w:lang w:val="es-ES_tradnl"/>
        </w:rPr>
        <w:t xml:space="preserve">múltiples </w:t>
      </w:r>
      <w:r w:rsidR="00CA1933" w:rsidRPr="000D505A">
        <w:rPr>
          <w:rFonts w:ascii="Times New Roman" w:hAnsi="Times New Roman" w:cs="Times New Roman"/>
          <w:sz w:val="24"/>
          <w:szCs w:val="24"/>
          <w:lang w:val="es-ES_tradnl"/>
        </w:rPr>
        <w:t>posibilidades para</w:t>
      </w:r>
      <w:r w:rsidR="00954822" w:rsidRPr="000D505A">
        <w:rPr>
          <w:rFonts w:ascii="Times New Roman" w:hAnsi="Times New Roman" w:cs="Times New Roman"/>
          <w:sz w:val="24"/>
          <w:szCs w:val="24"/>
          <w:lang w:val="es-ES_tradnl"/>
        </w:rPr>
        <w:t xml:space="preserve"> Bolivia de tránsito y movilidad orient</w:t>
      </w:r>
      <w:r w:rsidR="00374144" w:rsidRPr="000D505A">
        <w:rPr>
          <w:rFonts w:ascii="Times New Roman" w:hAnsi="Times New Roman" w:cs="Times New Roman"/>
          <w:sz w:val="24"/>
          <w:szCs w:val="24"/>
          <w:lang w:val="es-ES_tradnl"/>
        </w:rPr>
        <w:t>adas a a</w:t>
      </w:r>
      <w:r w:rsidR="00216A39" w:rsidRPr="000D505A">
        <w:rPr>
          <w:rFonts w:ascii="Times New Roman" w:hAnsi="Times New Roman" w:cs="Times New Roman"/>
          <w:sz w:val="24"/>
          <w:szCs w:val="24"/>
          <w:lang w:val="es-ES_tradnl"/>
        </w:rPr>
        <w:t>ctividades productivas</w:t>
      </w:r>
      <w:r w:rsidR="00545DB8" w:rsidRPr="000D505A">
        <w:rPr>
          <w:rFonts w:ascii="Times New Roman" w:hAnsi="Times New Roman" w:cs="Times New Roman"/>
          <w:sz w:val="24"/>
          <w:szCs w:val="24"/>
          <w:lang w:val="es-ES_tradnl"/>
        </w:rPr>
        <w:t xml:space="preserve"> locales contribuyendo al desarrollo económico territorial </w:t>
      </w:r>
      <w:r w:rsidR="00114ED5" w:rsidRPr="000D505A">
        <w:rPr>
          <w:rFonts w:ascii="Times New Roman" w:hAnsi="Times New Roman"/>
          <w:sz w:val="24"/>
          <w:szCs w:val="24"/>
          <w:lang w:val="es-ES"/>
        </w:rPr>
        <w:t>de las áreas de influencia del proyecto</w:t>
      </w:r>
      <w:r w:rsidR="00597915" w:rsidRPr="000D505A">
        <w:rPr>
          <w:rFonts w:ascii="Times New Roman" w:hAnsi="Times New Roman"/>
          <w:sz w:val="24"/>
          <w:szCs w:val="24"/>
          <w:lang w:val="es-ES"/>
        </w:rPr>
        <w:t>. Al respecto, es de resaltar que e</w:t>
      </w:r>
      <w:r w:rsidR="00114ED5" w:rsidRPr="000D505A">
        <w:rPr>
          <w:rFonts w:ascii="Times New Roman" w:hAnsi="Times New Roman"/>
          <w:sz w:val="24"/>
          <w:szCs w:val="24"/>
          <w:lang w:val="es-ES"/>
        </w:rPr>
        <w:t>n</w:t>
      </w:r>
      <w:r w:rsidR="004E068B" w:rsidRPr="000D505A">
        <w:rPr>
          <w:rFonts w:ascii="Times New Roman" w:hAnsi="Times New Roman"/>
          <w:sz w:val="24"/>
          <w:szCs w:val="24"/>
          <w:lang w:val="es-ES"/>
        </w:rPr>
        <w:t xml:space="preserve"> </w:t>
      </w:r>
      <w:r w:rsidR="00080264">
        <w:rPr>
          <w:rFonts w:ascii="Times New Roman" w:hAnsi="Times New Roman"/>
          <w:sz w:val="24"/>
          <w:szCs w:val="24"/>
          <w:lang w:val="es-ES"/>
        </w:rPr>
        <w:t>el municipio</w:t>
      </w:r>
      <w:r w:rsidR="004E068B" w:rsidRPr="000D505A">
        <w:rPr>
          <w:rFonts w:ascii="Times New Roman" w:hAnsi="Times New Roman"/>
          <w:sz w:val="24"/>
          <w:szCs w:val="24"/>
          <w:lang w:val="es-ES"/>
        </w:rPr>
        <w:t xml:space="preserve"> de Mairana</w:t>
      </w:r>
      <w:r w:rsidR="000D505A" w:rsidRPr="000D505A">
        <w:rPr>
          <w:rFonts w:ascii="Times New Roman" w:hAnsi="Times New Roman"/>
          <w:sz w:val="24"/>
          <w:szCs w:val="24"/>
          <w:lang w:val="es-ES"/>
        </w:rPr>
        <w:t>;</w:t>
      </w:r>
      <w:r w:rsidR="004E068B" w:rsidRPr="000D505A">
        <w:rPr>
          <w:rFonts w:ascii="Times New Roman" w:hAnsi="Times New Roman"/>
          <w:sz w:val="24"/>
          <w:szCs w:val="24"/>
          <w:lang w:val="es-ES"/>
        </w:rPr>
        <w:t xml:space="preserve"> </w:t>
      </w:r>
      <w:r w:rsidR="00114ED5" w:rsidRPr="000D505A">
        <w:rPr>
          <w:rFonts w:ascii="Times New Roman" w:hAnsi="Times New Roman"/>
          <w:sz w:val="24"/>
          <w:szCs w:val="24"/>
          <w:lang w:val="es-ES"/>
        </w:rPr>
        <w:t xml:space="preserve">la principal actividad </w:t>
      </w:r>
      <w:r w:rsidR="000D505A" w:rsidRPr="000D505A">
        <w:rPr>
          <w:rFonts w:ascii="Times New Roman" w:hAnsi="Times New Roman"/>
          <w:sz w:val="24"/>
          <w:szCs w:val="24"/>
          <w:lang w:val="es-ES"/>
        </w:rPr>
        <w:t xml:space="preserve">económica </w:t>
      </w:r>
      <w:r w:rsidR="004E068B" w:rsidRPr="000D505A">
        <w:rPr>
          <w:rFonts w:ascii="Times New Roman" w:hAnsi="Times New Roman"/>
          <w:sz w:val="24"/>
          <w:szCs w:val="24"/>
          <w:lang w:val="es-ES"/>
        </w:rPr>
        <w:t xml:space="preserve">es </w:t>
      </w:r>
      <w:r w:rsidR="001362D9" w:rsidRPr="000D505A">
        <w:rPr>
          <w:rFonts w:ascii="Times New Roman" w:hAnsi="Times New Roman"/>
          <w:sz w:val="24"/>
          <w:szCs w:val="24"/>
          <w:lang w:val="es-ES"/>
        </w:rPr>
        <w:t xml:space="preserve">la agricultura con </w:t>
      </w:r>
      <w:r w:rsidR="004E068B" w:rsidRPr="000D505A">
        <w:rPr>
          <w:rFonts w:ascii="Times New Roman" w:hAnsi="Times New Roman"/>
          <w:sz w:val="24"/>
          <w:szCs w:val="24"/>
          <w:lang w:val="es-ES"/>
        </w:rPr>
        <w:t xml:space="preserve">cultivos </w:t>
      </w:r>
      <w:r w:rsidR="00AD3D3C" w:rsidRPr="000D505A">
        <w:rPr>
          <w:rFonts w:ascii="Times New Roman" w:hAnsi="Times New Roman"/>
          <w:sz w:val="24"/>
          <w:szCs w:val="24"/>
          <w:lang w:val="es-ES"/>
        </w:rPr>
        <w:t>como</w:t>
      </w:r>
      <w:r w:rsidR="004E068B" w:rsidRPr="000D505A">
        <w:rPr>
          <w:rFonts w:ascii="Times New Roman" w:hAnsi="Times New Roman"/>
          <w:sz w:val="24"/>
          <w:szCs w:val="24"/>
          <w:lang w:val="es-ES"/>
        </w:rPr>
        <w:t xml:space="preserve"> el tabaco, maíz, fr</w:t>
      </w:r>
      <w:r w:rsidR="001362D9" w:rsidRPr="000D505A">
        <w:rPr>
          <w:rFonts w:ascii="Times New Roman" w:hAnsi="Times New Roman"/>
          <w:sz w:val="24"/>
          <w:szCs w:val="24"/>
          <w:lang w:val="es-ES"/>
        </w:rPr>
        <w:t>i</w:t>
      </w:r>
      <w:r w:rsidR="004E068B" w:rsidRPr="000D505A">
        <w:rPr>
          <w:rFonts w:ascii="Times New Roman" w:hAnsi="Times New Roman"/>
          <w:sz w:val="24"/>
          <w:szCs w:val="24"/>
          <w:lang w:val="es-ES"/>
        </w:rPr>
        <w:t xml:space="preserve">jol, papa, maní y tomate. El potencial </w:t>
      </w:r>
      <w:r w:rsidR="00114ED5" w:rsidRPr="000D505A">
        <w:rPr>
          <w:rFonts w:ascii="Times New Roman" w:hAnsi="Times New Roman"/>
          <w:sz w:val="24"/>
          <w:szCs w:val="24"/>
          <w:lang w:val="es-ES"/>
        </w:rPr>
        <w:t>comercial</w:t>
      </w:r>
      <w:r w:rsidR="004E068B" w:rsidRPr="000D505A">
        <w:rPr>
          <w:rFonts w:ascii="Times New Roman" w:hAnsi="Times New Roman"/>
          <w:sz w:val="24"/>
          <w:szCs w:val="24"/>
          <w:lang w:val="es-ES"/>
        </w:rPr>
        <w:t xml:space="preserve"> de la localidad de Mairana es </w:t>
      </w:r>
      <w:r w:rsidR="001362D9" w:rsidRPr="000D505A">
        <w:rPr>
          <w:rFonts w:ascii="Times New Roman" w:hAnsi="Times New Roman"/>
          <w:sz w:val="24"/>
          <w:szCs w:val="24"/>
          <w:lang w:val="es-ES"/>
        </w:rPr>
        <w:t>alto</w:t>
      </w:r>
      <w:r w:rsidR="004E068B" w:rsidRPr="000D505A">
        <w:rPr>
          <w:rFonts w:ascii="Times New Roman" w:hAnsi="Times New Roman"/>
          <w:sz w:val="24"/>
          <w:szCs w:val="24"/>
          <w:lang w:val="es-ES"/>
        </w:rPr>
        <w:t xml:space="preserve"> </w:t>
      </w:r>
      <w:r w:rsidR="001362D9" w:rsidRPr="000D505A">
        <w:rPr>
          <w:rFonts w:ascii="Times New Roman" w:hAnsi="Times New Roman"/>
          <w:sz w:val="24"/>
          <w:szCs w:val="24"/>
          <w:lang w:val="es-ES"/>
        </w:rPr>
        <w:t>para productos como el tabac</w:t>
      </w:r>
      <w:r w:rsidR="004E068B" w:rsidRPr="000D505A">
        <w:rPr>
          <w:rFonts w:ascii="Times New Roman" w:hAnsi="Times New Roman"/>
          <w:sz w:val="24"/>
          <w:szCs w:val="24"/>
          <w:lang w:val="es-ES"/>
        </w:rPr>
        <w:t>o</w:t>
      </w:r>
      <w:r w:rsidR="00AD3D3C" w:rsidRPr="000D505A">
        <w:rPr>
          <w:rFonts w:ascii="Times New Roman" w:hAnsi="Times New Roman"/>
          <w:sz w:val="24"/>
          <w:szCs w:val="24"/>
          <w:lang w:val="es-ES"/>
        </w:rPr>
        <w:t>,</w:t>
      </w:r>
      <w:r w:rsidR="001362D9" w:rsidRPr="000D505A">
        <w:rPr>
          <w:rFonts w:ascii="Times New Roman" w:hAnsi="Times New Roman"/>
          <w:sz w:val="24"/>
          <w:szCs w:val="24"/>
          <w:lang w:val="es-ES"/>
        </w:rPr>
        <w:t xml:space="preserve"> con lo cual la construcción del tramo de la muestra favorecerá el </w:t>
      </w:r>
      <w:r w:rsidR="00AD3D3C" w:rsidRPr="000D505A">
        <w:rPr>
          <w:rFonts w:ascii="Times New Roman" w:hAnsi="Times New Roman"/>
          <w:sz w:val="24"/>
          <w:szCs w:val="24"/>
          <w:lang w:val="es-ES"/>
        </w:rPr>
        <w:t>movimiento de</w:t>
      </w:r>
      <w:r w:rsidR="003E4473" w:rsidRPr="000D505A">
        <w:rPr>
          <w:rFonts w:ascii="Times New Roman" w:hAnsi="Times New Roman"/>
          <w:sz w:val="24"/>
          <w:szCs w:val="24"/>
          <w:lang w:val="es-ES"/>
        </w:rPr>
        <w:t>l</w:t>
      </w:r>
      <w:r w:rsidR="00AD3D3C" w:rsidRPr="000D505A">
        <w:rPr>
          <w:rFonts w:ascii="Times New Roman" w:hAnsi="Times New Roman"/>
          <w:sz w:val="24"/>
          <w:szCs w:val="24"/>
          <w:lang w:val="es-ES"/>
        </w:rPr>
        <w:t xml:space="preserve"> producto hacia los mercados de Santa Cruz de la Sierra, así como también </w:t>
      </w:r>
      <w:r w:rsidR="001362D9" w:rsidRPr="000D505A">
        <w:rPr>
          <w:rFonts w:ascii="Times New Roman" w:hAnsi="Times New Roman"/>
          <w:sz w:val="24"/>
          <w:szCs w:val="24"/>
          <w:lang w:val="es-ES"/>
        </w:rPr>
        <w:t xml:space="preserve">hacia </w:t>
      </w:r>
      <w:r w:rsidR="001559CA" w:rsidRPr="000D505A">
        <w:rPr>
          <w:rFonts w:ascii="Times New Roman" w:hAnsi="Times New Roman"/>
          <w:sz w:val="24"/>
          <w:szCs w:val="24"/>
          <w:lang w:val="es-ES"/>
        </w:rPr>
        <w:t>los mercados regionales</w:t>
      </w:r>
      <w:r w:rsidR="004E068B" w:rsidRPr="000D505A">
        <w:rPr>
          <w:rFonts w:ascii="Times New Roman" w:hAnsi="Times New Roman"/>
          <w:sz w:val="24"/>
          <w:szCs w:val="24"/>
          <w:lang w:val="es-ES"/>
        </w:rPr>
        <w:t>.</w:t>
      </w:r>
      <w:r w:rsidR="001E239D" w:rsidRPr="000D505A">
        <w:rPr>
          <w:rFonts w:ascii="Times New Roman" w:hAnsi="Times New Roman"/>
          <w:sz w:val="24"/>
          <w:szCs w:val="24"/>
          <w:lang w:val="es-ES"/>
        </w:rPr>
        <w:t xml:space="preserve"> </w:t>
      </w:r>
      <w:r w:rsidR="000D505A" w:rsidRPr="000D505A">
        <w:rPr>
          <w:rFonts w:ascii="Times New Roman" w:hAnsi="Times New Roman"/>
          <w:sz w:val="24"/>
          <w:szCs w:val="24"/>
          <w:lang w:val="es-ES"/>
        </w:rPr>
        <w:t>Por su parte</w:t>
      </w:r>
      <w:r w:rsidR="00597915" w:rsidRPr="000D505A">
        <w:rPr>
          <w:rFonts w:ascii="Times New Roman" w:hAnsi="Times New Roman"/>
          <w:sz w:val="24"/>
          <w:szCs w:val="24"/>
          <w:lang w:val="es-ES"/>
        </w:rPr>
        <w:t>,</w:t>
      </w:r>
      <w:r w:rsidR="0042525B" w:rsidRPr="000D505A">
        <w:rPr>
          <w:rFonts w:ascii="Times New Roman" w:hAnsi="Times New Roman"/>
          <w:sz w:val="24"/>
          <w:szCs w:val="24"/>
          <w:lang w:val="es-ES"/>
        </w:rPr>
        <w:t xml:space="preserve"> la localidad de Samaipata, </w:t>
      </w:r>
      <w:r w:rsidR="00BC7571" w:rsidRPr="000D505A">
        <w:rPr>
          <w:rFonts w:ascii="Times New Roman" w:hAnsi="Times New Roman"/>
          <w:sz w:val="24"/>
          <w:szCs w:val="24"/>
          <w:lang w:val="es-ES"/>
        </w:rPr>
        <w:lastRenderedPageBreak/>
        <w:t>posee alto potencial</w:t>
      </w:r>
      <w:r w:rsidR="00797CD9" w:rsidRPr="000D505A">
        <w:rPr>
          <w:rFonts w:ascii="Times New Roman" w:hAnsi="Times New Roman"/>
          <w:sz w:val="24"/>
          <w:szCs w:val="24"/>
          <w:lang w:val="es-ES"/>
        </w:rPr>
        <w:t xml:space="preserve"> agrícola</w:t>
      </w:r>
      <w:r w:rsidR="006079A4" w:rsidRPr="000D505A">
        <w:rPr>
          <w:rFonts w:ascii="Times New Roman" w:hAnsi="Times New Roman"/>
          <w:sz w:val="24"/>
          <w:szCs w:val="24"/>
          <w:lang w:val="es-ES"/>
        </w:rPr>
        <w:t xml:space="preserve"> </w:t>
      </w:r>
      <w:r w:rsidR="007B2550" w:rsidRPr="000D505A">
        <w:rPr>
          <w:rFonts w:ascii="Times New Roman" w:hAnsi="Times New Roman"/>
          <w:sz w:val="24"/>
          <w:szCs w:val="24"/>
          <w:lang w:val="es-ES"/>
        </w:rPr>
        <w:t>con productos como frijol, poroto, papa, tabaco, caña, maní entre otros</w:t>
      </w:r>
      <w:r w:rsidR="000D505A" w:rsidRPr="000D505A">
        <w:rPr>
          <w:rFonts w:ascii="Times New Roman" w:hAnsi="Times New Roman"/>
          <w:sz w:val="24"/>
          <w:szCs w:val="24"/>
          <w:lang w:val="es-ES"/>
        </w:rPr>
        <w:t>, destacando que cerca del 80% de la producción agrícola es comercializada a nivel nacional</w:t>
      </w:r>
      <w:r w:rsidR="000D505A">
        <w:rPr>
          <w:rStyle w:val="FootnoteReference"/>
          <w:szCs w:val="24"/>
          <w:lang w:val="es-ES"/>
        </w:rPr>
        <w:footnoteReference w:id="20"/>
      </w:r>
      <w:r w:rsidR="00765730" w:rsidRPr="000D505A">
        <w:rPr>
          <w:rFonts w:ascii="Times New Roman" w:hAnsi="Times New Roman"/>
          <w:sz w:val="24"/>
          <w:szCs w:val="24"/>
          <w:lang w:val="es-ES"/>
        </w:rPr>
        <w:t>.</w:t>
      </w:r>
      <w:r w:rsidR="003E4473" w:rsidRPr="000D505A">
        <w:rPr>
          <w:rFonts w:ascii="Times New Roman" w:hAnsi="Times New Roman"/>
          <w:sz w:val="24"/>
          <w:szCs w:val="24"/>
          <w:lang w:val="es-ES"/>
        </w:rPr>
        <w:t xml:space="preserve"> </w:t>
      </w:r>
      <w:r w:rsidR="00765730" w:rsidRPr="000D505A">
        <w:rPr>
          <w:rFonts w:ascii="Times New Roman" w:hAnsi="Times New Roman"/>
          <w:sz w:val="24"/>
          <w:szCs w:val="24"/>
          <w:lang w:val="es-ES"/>
        </w:rPr>
        <w:t>A</w:t>
      </w:r>
      <w:r w:rsidR="003E4473" w:rsidRPr="000D505A">
        <w:rPr>
          <w:rFonts w:ascii="Times New Roman" w:hAnsi="Times New Roman"/>
          <w:sz w:val="24"/>
          <w:szCs w:val="24"/>
          <w:lang w:val="es-ES"/>
        </w:rPr>
        <w:t>dicionalmente, e</w:t>
      </w:r>
      <w:r w:rsidR="006079A4" w:rsidRPr="000D505A">
        <w:rPr>
          <w:rFonts w:ascii="Times New Roman" w:hAnsi="Times New Roman"/>
          <w:sz w:val="24"/>
          <w:szCs w:val="24"/>
          <w:lang w:val="es-ES"/>
        </w:rPr>
        <w:t>l turismo es una actividad relevante para</w:t>
      </w:r>
      <w:r w:rsidR="00080264">
        <w:rPr>
          <w:rFonts w:ascii="Times New Roman" w:hAnsi="Times New Roman"/>
          <w:sz w:val="24"/>
          <w:szCs w:val="24"/>
          <w:lang w:val="es-ES"/>
        </w:rPr>
        <w:t xml:space="preserve"> estas regiones</w:t>
      </w:r>
      <w:r w:rsidR="006079A4" w:rsidRPr="000D505A">
        <w:rPr>
          <w:rFonts w:ascii="Times New Roman" w:hAnsi="Times New Roman"/>
          <w:sz w:val="24"/>
          <w:szCs w:val="24"/>
          <w:lang w:val="es-ES"/>
        </w:rPr>
        <w:t xml:space="preserve"> </w:t>
      </w:r>
      <w:r w:rsidR="00BC7571" w:rsidRPr="000D505A">
        <w:rPr>
          <w:rFonts w:ascii="Times New Roman" w:hAnsi="Times New Roman"/>
          <w:sz w:val="24"/>
          <w:szCs w:val="24"/>
          <w:lang w:val="es-ES"/>
        </w:rPr>
        <w:t xml:space="preserve">debido a </w:t>
      </w:r>
      <w:r w:rsidR="007B2550" w:rsidRPr="000D505A">
        <w:rPr>
          <w:rFonts w:ascii="Times New Roman" w:hAnsi="Times New Roman"/>
          <w:sz w:val="24"/>
          <w:szCs w:val="24"/>
          <w:lang w:val="es-ES"/>
        </w:rPr>
        <w:t>los atractivos</w:t>
      </w:r>
      <w:r w:rsidR="00BC7571" w:rsidRPr="000D505A">
        <w:rPr>
          <w:rFonts w:ascii="Times New Roman" w:hAnsi="Times New Roman"/>
          <w:sz w:val="24"/>
          <w:szCs w:val="24"/>
          <w:lang w:val="es-ES"/>
        </w:rPr>
        <w:t xml:space="preserve"> arqueológic</w:t>
      </w:r>
      <w:r w:rsidR="007B2550" w:rsidRPr="000D505A">
        <w:rPr>
          <w:rFonts w:ascii="Times New Roman" w:hAnsi="Times New Roman"/>
          <w:sz w:val="24"/>
          <w:szCs w:val="24"/>
          <w:lang w:val="es-ES"/>
        </w:rPr>
        <w:t>o</w:t>
      </w:r>
      <w:r w:rsidR="00BC7571" w:rsidRPr="000D505A">
        <w:rPr>
          <w:rFonts w:ascii="Times New Roman" w:hAnsi="Times New Roman"/>
          <w:sz w:val="24"/>
          <w:szCs w:val="24"/>
          <w:lang w:val="es-ES"/>
        </w:rPr>
        <w:t>s</w:t>
      </w:r>
      <w:r w:rsidR="00396A8C">
        <w:rPr>
          <w:rStyle w:val="FootnoteReference"/>
          <w:szCs w:val="24"/>
          <w:lang w:val="es-ES"/>
        </w:rPr>
        <w:footnoteReference w:id="21"/>
      </w:r>
      <w:r w:rsidR="00080264">
        <w:rPr>
          <w:rFonts w:ascii="Times New Roman" w:hAnsi="Times New Roman"/>
          <w:sz w:val="24"/>
          <w:szCs w:val="24"/>
          <w:lang w:val="es-ES"/>
        </w:rPr>
        <w:t xml:space="preserve"> y naturales que poseen, </w:t>
      </w:r>
      <w:r w:rsidR="00714A01" w:rsidRPr="000D505A">
        <w:rPr>
          <w:rFonts w:ascii="Times New Roman" w:hAnsi="Times New Roman"/>
          <w:sz w:val="24"/>
          <w:szCs w:val="24"/>
          <w:lang w:val="es-ES"/>
        </w:rPr>
        <w:t>representando</w:t>
      </w:r>
      <w:r w:rsidR="007534E2" w:rsidRPr="000D505A">
        <w:rPr>
          <w:rFonts w:ascii="Times New Roman" w:hAnsi="Times New Roman"/>
          <w:sz w:val="24"/>
          <w:szCs w:val="24"/>
          <w:lang w:val="es-ES"/>
        </w:rPr>
        <w:t xml:space="preserve"> </w:t>
      </w:r>
      <w:r w:rsidR="00080264">
        <w:rPr>
          <w:rFonts w:ascii="Times New Roman" w:hAnsi="Times New Roman"/>
          <w:sz w:val="24"/>
          <w:szCs w:val="24"/>
          <w:lang w:val="es-ES"/>
        </w:rPr>
        <w:t xml:space="preserve">la actividad turística </w:t>
      </w:r>
      <w:r w:rsidR="007534E2" w:rsidRPr="000D505A">
        <w:rPr>
          <w:rFonts w:ascii="Times New Roman" w:hAnsi="Times New Roman"/>
          <w:sz w:val="24"/>
          <w:szCs w:val="24"/>
          <w:lang w:val="es-ES"/>
        </w:rPr>
        <w:t>una fuente de ingresos importante para las familias del lugar</w:t>
      </w:r>
      <w:r w:rsidR="00E25A71">
        <w:rPr>
          <w:rFonts w:ascii="Times New Roman" w:hAnsi="Times New Roman"/>
          <w:sz w:val="24"/>
          <w:szCs w:val="24"/>
          <w:lang w:val="es-ES"/>
        </w:rPr>
        <w:t xml:space="preserve"> la cual se verá potenciada por las mejoras en la conectividad vial contempladas por el proyecto.</w:t>
      </w:r>
    </w:p>
    <w:p w14:paraId="30A54527" w14:textId="77777777" w:rsidR="000D505A" w:rsidRPr="000D505A" w:rsidRDefault="000D505A" w:rsidP="000D505A">
      <w:pPr>
        <w:pStyle w:val="ListParagraph"/>
        <w:rPr>
          <w:rFonts w:ascii="Times New Roman" w:hAnsi="Times New Roman"/>
          <w:sz w:val="24"/>
          <w:szCs w:val="24"/>
          <w:lang w:val="es-ES"/>
        </w:rPr>
      </w:pPr>
    </w:p>
    <w:p w14:paraId="4BBD1AA6" w14:textId="767112DF" w:rsidR="00CC615E" w:rsidRPr="00CC615E" w:rsidRDefault="007B2550" w:rsidP="00CC615E">
      <w:pPr>
        <w:pStyle w:val="ListParagraph"/>
        <w:numPr>
          <w:ilvl w:val="1"/>
          <w:numId w:val="2"/>
        </w:numPr>
        <w:shd w:val="clear" w:color="auto" w:fill="FFFFFF"/>
        <w:tabs>
          <w:tab w:val="left" w:pos="270"/>
          <w:tab w:val="left" w:pos="360"/>
          <w:tab w:val="left" w:pos="450"/>
          <w:tab w:val="left" w:pos="2085"/>
        </w:tabs>
        <w:spacing w:after="0" w:line="0" w:lineRule="atLeast"/>
        <w:ind w:left="90"/>
        <w:jc w:val="both"/>
        <w:rPr>
          <w:rFonts w:ascii="Times New Roman" w:hAnsi="Times New Roman"/>
          <w:sz w:val="24"/>
          <w:szCs w:val="24"/>
          <w:lang w:val="es-ES"/>
        </w:rPr>
      </w:pPr>
      <w:r w:rsidRPr="00597915">
        <w:rPr>
          <w:rFonts w:ascii="Times New Roman" w:hAnsi="Times New Roman"/>
          <w:sz w:val="24"/>
          <w:szCs w:val="24"/>
          <w:lang w:val="es-ES"/>
        </w:rPr>
        <w:t xml:space="preserve">Por lo anterior, </w:t>
      </w:r>
      <w:r w:rsidR="007534E2" w:rsidRPr="00597915">
        <w:rPr>
          <w:rFonts w:ascii="Times New Roman" w:hAnsi="Times New Roman"/>
          <w:sz w:val="24"/>
          <w:szCs w:val="24"/>
          <w:lang w:val="es-ES"/>
        </w:rPr>
        <w:t xml:space="preserve">las mejorar en </w:t>
      </w:r>
      <w:r w:rsidR="0042525B" w:rsidRPr="00597915">
        <w:rPr>
          <w:rFonts w:ascii="Times New Roman" w:hAnsi="Times New Roman"/>
          <w:sz w:val="24"/>
          <w:szCs w:val="24"/>
          <w:lang w:val="es-ES"/>
        </w:rPr>
        <w:t xml:space="preserve">la conexión </w:t>
      </w:r>
      <w:r w:rsidRPr="00597915">
        <w:rPr>
          <w:rFonts w:ascii="Times New Roman" w:hAnsi="Times New Roman"/>
          <w:sz w:val="24"/>
          <w:szCs w:val="24"/>
          <w:lang w:val="es-ES"/>
        </w:rPr>
        <w:t xml:space="preserve">interna </w:t>
      </w:r>
      <w:r w:rsidR="00C1252D">
        <w:rPr>
          <w:rFonts w:ascii="Times New Roman" w:hAnsi="Times New Roman"/>
          <w:sz w:val="24"/>
          <w:szCs w:val="24"/>
          <w:lang w:val="es-ES"/>
        </w:rPr>
        <w:t xml:space="preserve">de las </w:t>
      </w:r>
      <w:r w:rsidR="00F67A16">
        <w:rPr>
          <w:rFonts w:ascii="Times New Roman" w:hAnsi="Times New Roman"/>
          <w:sz w:val="24"/>
          <w:szCs w:val="24"/>
          <w:lang w:val="es-ES"/>
        </w:rPr>
        <w:t>zonas</w:t>
      </w:r>
      <w:r w:rsidR="00C1252D">
        <w:rPr>
          <w:rFonts w:ascii="Times New Roman" w:hAnsi="Times New Roman"/>
          <w:sz w:val="24"/>
          <w:szCs w:val="24"/>
          <w:lang w:val="es-ES"/>
        </w:rPr>
        <w:t xml:space="preserve"> de influencia del proyecto, </w:t>
      </w:r>
      <w:r w:rsidR="0042525B" w:rsidRPr="00597915">
        <w:rPr>
          <w:rFonts w:ascii="Times New Roman" w:hAnsi="Times New Roman"/>
          <w:sz w:val="24"/>
          <w:szCs w:val="24"/>
          <w:lang w:val="es-ES"/>
        </w:rPr>
        <w:t>con departamento</w:t>
      </w:r>
      <w:r w:rsidR="00270578" w:rsidRPr="00597915">
        <w:rPr>
          <w:rFonts w:ascii="Times New Roman" w:hAnsi="Times New Roman"/>
          <w:sz w:val="24"/>
          <w:szCs w:val="24"/>
          <w:lang w:val="es-ES"/>
        </w:rPr>
        <w:t xml:space="preserve">s </w:t>
      </w:r>
      <w:r w:rsidR="00C1252D">
        <w:rPr>
          <w:rFonts w:ascii="Times New Roman" w:hAnsi="Times New Roman"/>
          <w:sz w:val="24"/>
          <w:szCs w:val="24"/>
          <w:lang w:val="es-ES"/>
        </w:rPr>
        <w:t>de</w:t>
      </w:r>
      <w:r w:rsidR="00270578" w:rsidRPr="00597915">
        <w:rPr>
          <w:rFonts w:ascii="Times New Roman" w:hAnsi="Times New Roman"/>
          <w:sz w:val="24"/>
          <w:szCs w:val="24"/>
          <w:lang w:val="es-ES"/>
        </w:rPr>
        <w:t xml:space="preserve"> importante actividad </w:t>
      </w:r>
      <w:r w:rsidR="009A550D">
        <w:rPr>
          <w:rFonts w:ascii="Times New Roman" w:hAnsi="Times New Roman"/>
          <w:sz w:val="24"/>
          <w:szCs w:val="24"/>
          <w:lang w:val="es-ES"/>
        </w:rPr>
        <w:t>económica y</w:t>
      </w:r>
      <w:r w:rsidR="00BE6386">
        <w:rPr>
          <w:rFonts w:ascii="Times New Roman" w:hAnsi="Times New Roman"/>
          <w:sz w:val="24"/>
          <w:szCs w:val="24"/>
          <w:lang w:val="es-ES"/>
        </w:rPr>
        <w:t xml:space="preserve"> con los corredores de integración de </w:t>
      </w:r>
      <w:r w:rsidR="00C1252D">
        <w:rPr>
          <w:rFonts w:ascii="Times New Roman" w:hAnsi="Times New Roman"/>
          <w:sz w:val="24"/>
          <w:szCs w:val="24"/>
          <w:lang w:val="es-ES"/>
        </w:rPr>
        <w:t>la RVF</w:t>
      </w:r>
      <w:r w:rsidR="00270578" w:rsidRPr="00597915">
        <w:rPr>
          <w:rFonts w:ascii="Times New Roman" w:hAnsi="Times New Roman"/>
          <w:sz w:val="24"/>
          <w:szCs w:val="24"/>
          <w:lang w:val="es-ES"/>
        </w:rPr>
        <w:t xml:space="preserve">, </w:t>
      </w:r>
      <w:r w:rsidR="009E0A3D" w:rsidRPr="00597915">
        <w:rPr>
          <w:rFonts w:ascii="Times New Roman" w:hAnsi="Times New Roman"/>
          <w:sz w:val="24"/>
          <w:szCs w:val="24"/>
          <w:lang w:val="es-ES"/>
        </w:rPr>
        <w:t xml:space="preserve">significa </w:t>
      </w:r>
      <w:r w:rsidR="00270578" w:rsidRPr="00597915">
        <w:rPr>
          <w:rFonts w:ascii="Times New Roman" w:hAnsi="Times New Roman"/>
          <w:sz w:val="24"/>
          <w:szCs w:val="24"/>
          <w:lang w:val="es-ES"/>
        </w:rPr>
        <w:t xml:space="preserve">un incremento en la </w:t>
      </w:r>
      <w:r w:rsidR="0042525B" w:rsidRPr="00597915">
        <w:rPr>
          <w:rFonts w:ascii="Times New Roman" w:hAnsi="Times New Roman"/>
          <w:sz w:val="24"/>
          <w:szCs w:val="24"/>
          <w:lang w:val="es-ES"/>
        </w:rPr>
        <w:t xml:space="preserve">movilidad </w:t>
      </w:r>
      <w:r w:rsidR="00270578" w:rsidRPr="00597915">
        <w:rPr>
          <w:rFonts w:ascii="Times New Roman" w:hAnsi="Times New Roman"/>
          <w:sz w:val="24"/>
          <w:szCs w:val="24"/>
          <w:lang w:val="es-ES"/>
        </w:rPr>
        <w:t>de</w:t>
      </w:r>
      <w:r w:rsidR="0042525B" w:rsidRPr="00597915">
        <w:rPr>
          <w:rFonts w:ascii="Times New Roman" w:hAnsi="Times New Roman"/>
          <w:sz w:val="24"/>
          <w:szCs w:val="24"/>
          <w:lang w:val="es-ES"/>
        </w:rPr>
        <w:t xml:space="preserve"> los productos </w:t>
      </w:r>
      <w:r w:rsidR="00270578" w:rsidRPr="00597915">
        <w:rPr>
          <w:rFonts w:ascii="Times New Roman" w:hAnsi="Times New Roman"/>
          <w:sz w:val="24"/>
          <w:szCs w:val="24"/>
          <w:lang w:val="es-ES"/>
        </w:rPr>
        <w:t>y servicios de la zona</w:t>
      </w:r>
      <w:r w:rsidR="00BE6386">
        <w:rPr>
          <w:rFonts w:ascii="Times New Roman" w:hAnsi="Times New Roman"/>
          <w:sz w:val="24"/>
          <w:szCs w:val="24"/>
          <w:lang w:val="es-ES"/>
        </w:rPr>
        <w:t>,</w:t>
      </w:r>
      <w:r w:rsidR="00396A8C" w:rsidRPr="00597915">
        <w:rPr>
          <w:rFonts w:ascii="Times New Roman" w:hAnsi="Times New Roman"/>
          <w:sz w:val="24"/>
          <w:szCs w:val="24"/>
          <w:lang w:val="es-ES"/>
        </w:rPr>
        <w:t xml:space="preserve"> </w:t>
      </w:r>
      <w:r w:rsidR="009E0A3D" w:rsidRPr="00597915">
        <w:rPr>
          <w:rFonts w:ascii="Times New Roman" w:hAnsi="Times New Roman"/>
          <w:sz w:val="24"/>
          <w:szCs w:val="24"/>
          <w:lang w:val="es-ES"/>
        </w:rPr>
        <w:t xml:space="preserve">permitiendo </w:t>
      </w:r>
      <w:r w:rsidR="00480D92">
        <w:rPr>
          <w:rFonts w:ascii="Times New Roman" w:hAnsi="Times New Roman"/>
          <w:sz w:val="24"/>
          <w:szCs w:val="24"/>
          <w:lang w:val="es-ES"/>
        </w:rPr>
        <w:t>un mejor</w:t>
      </w:r>
      <w:r w:rsidR="007D0D13">
        <w:rPr>
          <w:rFonts w:ascii="Times New Roman" w:hAnsi="Times New Roman"/>
          <w:sz w:val="24"/>
          <w:szCs w:val="24"/>
          <w:lang w:val="es-ES"/>
        </w:rPr>
        <w:t xml:space="preserve"> acceso a</w:t>
      </w:r>
      <w:r w:rsidR="001A7B72">
        <w:rPr>
          <w:rFonts w:ascii="Times New Roman" w:hAnsi="Times New Roman"/>
          <w:sz w:val="24"/>
          <w:szCs w:val="24"/>
          <w:lang w:val="es-ES"/>
        </w:rPr>
        <w:t>l</w:t>
      </w:r>
      <w:r w:rsidR="009E0A3D" w:rsidRPr="00597915">
        <w:rPr>
          <w:rFonts w:ascii="Times New Roman" w:hAnsi="Times New Roman"/>
          <w:sz w:val="24"/>
          <w:szCs w:val="24"/>
          <w:lang w:val="es-ES"/>
        </w:rPr>
        <w:t xml:space="preserve"> mercado</w:t>
      </w:r>
      <w:r w:rsidR="001B6C1B">
        <w:rPr>
          <w:rFonts w:ascii="Times New Roman" w:hAnsi="Times New Roman"/>
          <w:sz w:val="24"/>
          <w:szCs w:val="24"/>
          <w:lang w:val="es-ES"/>
        </w:rPr>
        <w:t xml:space="preserve"> tanto interno como regional, además que facilita la movilidad de los principales productos de importación de Bolivia provenientes del mercado regional. </w:t>
      </w:r>
      <w:r w:rsidR="00C1252D">
        <w:rPr>
          <w:rFonts w:ascii="Times New Roman" w:hAnsi="Times New Roman" w:cs="Times New Roman"/>
          <w:sz w:val="24"/>
          <w:lang w:val="es-ES_tradnl"/>
        </w:rPr>
        <w:t>Tomando en consideración que</w:t>
      </w:r>
      <w:r w:rsidR="00AD3D3C" w:rsidRPr="001B6C1B">
        <w:rPr>
          <w:rFonts w:ascii="Times New Roman" w:hAnsi="Times New Roman" w:cs="Times New Roman"/>
          <w:sz w:val="24"/>
          <w:lang w:val="es-ES_tradnl"/>
        </w:rPr>
        <w:t xml:space="preserve"> </w:t>
      </w:r>
      <w:r w:rsidR="00D54DA7" w:rsidRPr="001B6C1B">
        <w:rPr>
          <w:rFonts w:ascii="Times New Roman" w:hAnsi="Times New Roman" w:cs="Times New Roman"/>
          <w:sz w:val="24"/>
          <w:lang w:val="es-ES_tradnl"/>
        </w:rPr>
        <w:t>la competitividad de los productos agrícolas en los mercados internacionales se ve afectada</w:t>
      </w:r>
      <w:r w:rsidR="00114ED5" w:rsidRPr="001B6C1B">
        <w:rPr>
          <w:rFonts w:ascii="Times New Roman" w:hAnsi="Times New Roman" w:cs="Times New Roman"/>
          <w:sz w:val="24"/>
          <w:lang w:val="es-ES_tradnl"/>
        </w:rPr>
        <w:t xml:space="preserve"> entre otros factores,</w:t>
      </w:r>
      <w:r w:rsidR="00D54DA7" w:rsidRPr="001B6C1B">
        <w:rPr>
          <w:rFonts w:ascii="Times New Roman" w:hAnsi="Times New Roman" w:cs="Times New Roman"/>
          <w:sz w:val="24"/>
          <w:lang w:val="es-ES_tradnl"/>
        </w:rPr>
        <w:t xml:space="preserve"> por la calidad de la infraestructura de transporte del país</w:t>
      </w:r>
      <w:r w:rsidR="000259FE" w:rsidRPr="001B6C1B">
        <w:rPr>
          <w:rFonts w:ascii="Times New Roman" w:hAnsi="Times New Roman" w:cs="Times New Roman"/>
          <w:sz w:val="24"/>
          <w:lang w:val="es-ES_tradnl"/>
        </w:rPr>
        <w:t xml:space="preserve">, </w:t>
      </w:r>
      <w:r w:rsidR="0083415B" w:rsidRPr="001B6C1B">
        <w:rPr>
          <w:rFonts w:ascii="Times New Roman" w:hAnsi="Times New Roman" w:cs="Times New Roman"/>
          <w:sz w:val="24"/>
          <w:lang w:val="es-ES_tradnl"/>
        </w:rPr>
        <w:t>por la accesibilidad y la disponibilidad de servicios conexos en las zonas</w:t>
      </w:r>
      <w:r w:rsidR="00E25A71">
        <w:rPr>
          <w:rFonts w:ascii="Times New Roman" w:hAnsi="Times New Roman" w:cs="Times New Roman"/>
          <w:sz w:val="24"/>
          <w:lang w:val="es-ES_tradnl"/>
        </w:rPr>
        <w:t>,</w:t>
      </w:r>
      <w:r w:rsidR="00114ED5" w:rsidRPr="001B6C1B">
        <w:rPr>
          <w:rFonts w:ascii="Times New Roman" w:hAnsi="Times New Roman" w:cs="Times New Roman"/>
          <w:sz w:val="24"/>
          <w:lang w:val="es-ES_tradnl"/>
        </w:rPr>
        <w:t xml:space="preserve"> lo cual es especialmente importante para el desarrollo de</w:t>
      </w:r>
      <w:r w:rsidR="0083415B" w:rsidRPr="001B6C1B">
        <w:rPr>
          <w:rFonts w:ascii="Times New Roman" w:hAnsi="Times New Roman" w:cs="Times New Roman"/>
          <w:sz w:val="24"/>
          <w:lang w:val="es-ES_tradnl"/>
        </w:rPr>
        <w:t xml:space="preserve"> la actividad turística</w:t>
      </w:r>
      <w:r w:rsidR="00480D92">
        <w:rPr>
          <w:rFonts w:ascii="Times New Roman" w:hAnsi="Times New Roman" w:cs="Times New Roman"/>
          <w:sz w:val="24"/>
          <w:lang w:val="es-ES_tradnl"/>
        </w:rPr>
        <w:t>;</w:t>
      </w:r>
      <w:r w:rsidR="007E11FF">
        <w:rPr>
          <w:rFonts w:ascii="Times New Roman" w:hAnsi="Times New Roman" w:cs="Times New Roman"/>
          <w:sz w:val="24"/>
          <w:lang w:val="es-ES_tradnl"/>
        </w:rPr>
        <w:t xml:space="preserve"> </w:t>
      </w:r>
      <w:r w:rsidR="0083415B" w:rsidRPr="001B6C1B">
        <w:rPr>
          <w:rFonts w:ascii="Times New Roman" w:hAnsi="Times New Roman" w:cs="Times New Roman"/>
          <w:sz w:val="24"/>
          <w:lang w:val="es-ES_tradnl"/>
        </w:rPr>
        <w:t>e</w:t>
      </w:r>
      <w:r w:rsidR="000259FE" w:rsidRPr="001B6C1B">
        <w:rPr>
          <w:rFonts w:ascii="Times New Roman" w:hAnsi="Times New Roman" w:cs="Times New Roman"/>
          <w:sz w:val="24"/>
          <w:lang w:val="es-ES_tradnl"/>
        </w:rPr>
        <w:t xml:space="preserve">l mejoramiento </w:t>
      </w:r>
      <w:r w:rsidR="0083415B" w:rsidRPr="001B6C1B">
        <w:rPr>
          <w:rFonts w:ascii="Times New Roman" w:hAnsi="Times New Roman" w:cs="Times New Roman"/>
          <w:sz w:val="24"/>
          <w:lang w:val="es-ES_tradnl"/>
        </w:rPr>
        <w:t>de las vías</w:t>
      </w:r>
      <w:r w:rsidR="000259FE" w:rsidRPr="001B6C1B">
        <w:rPr>
          <w:rFonts w:ascii="Times New Roman" w:hAnsi="Times New Roman" w:cs="Times New Roman"/>
          <w:sz w:val="24"/>
          <w:lang w:val="es-ES_tradnl"/>
        </w:rPr>
        <w:t xml:space="preserve"> generará un incremento en el volumen del tránsito en los caminos, especialmente en lo referente al transporte de carga. Este incremento estará directamente relacionado con la transitabilidad de los caminos y el crecimiento</w:t>
      </w:r>
      <w:r w:rsidR="0083415B" w:rsidRPr="001B6C1B">
        <w:rPr>
          <w:rFonts w:ascii="Times New Roman" w:hAnsi="Times New Roman" w:cs="Times New Roman"/>
          <w:sz w:val="24"/>
          <w:lang w:val="es-ES_tradnl"/>
        </w:rPr>
        <w:t xml:space="preserve"> de las actividades productivas y turísticas en las zonas de influencia del proyecto. </w:t>
      </w:r>
    </w:p>
    <w:p w14:paraId="32AE758A" w14:textId="77777777" w:rsidR="00CC615E" w:rsidRDefault="00CC615E" w:rsidP="00CC615E">
      <w:pPr>
        <w:shd w:val="clear" w:color="auto" w:fill="FFFFFF"/>
        <w:tabs>
          <w:tab w:val="left" w:pos="270"/>
          <w:tab w:val="left" w:pos="360"/>
          <w:tab w:val="left" w:pos="450"/>
          <w:tab w:val="left" w:pos="2085"/>
        </w:tabs>
        <w:spacing w:after="0" w:line="0" w:lineRule="atLeast"/>
        <w:ind w:left="-270"/>
        <w:jc w:val="both"/>
        <w:rPr>
          <w:rFonts w:ascii="Times New Roman" w:hAnsi="Times New Roman"/>
          <w:b/>
          <w:color w:val="1F497D"/>
          <w:sz w:val="24"/>
          <w:lang w:val="es-ES"/>
        </w:rPr>
      </w:pPr>
    </w:p>
    <w:p w14:paraId="08216115" w14:textId="7A1908DD" w:rsidR="007E4218" w:rsidRPr="00CC615E" w:rsidRDefault="007E4218" w:rsidP="00CC615E">
      <w:pPr>
        <w:pStyle w:val="ListParagraph"/>
        <w:numPr>
          <w:ilvl w:val="0"/>
          <w:numId w:val="14"/>
        </w:numPr>
        <w:shd w:val="clear" w:color="auto" w:fill="FFFFFF"/>
        <w:tabs>
          <w:tab w:val="left" w:pos="270"/>
          <w:tab w:val="left" w:pos="360"/>
          <w:tab w:val="left" w:pos="450"/>
          <w:tab w:val="left" w:pos="2085"/>
        </w:tabs>
        <w:spacing w:after="0" w:line="0" w:lineRule="atLeast"/>
        <w:jc w:val="both"/>
        <w:rPr>
          <w:rFonts w:ascii="Times New Roman" w:hAnsi="Times New Roman"/>
          <w:sz w:val="24"/>
          <w:szCs w:val="24"/>
          <w:lang w:val="es-ES"/>
        </w:rPr>
      </w:pPr>
      <w:r w:rsidRPr="00CC615E">
        <w:rPr>
          <w:rFonts w:ascii="Times New Roman" w:hAnsi="Times New Roman"/>
          <w:b/>
          <w:color w:val="1F497D"/>
          <w:sz w:val="24"/>
          <w:lang w:val="es-ES"/>
        </w:rPr>
        <w:t>Validación de criterios en el marco de la Estrategia de Integración</w:t>
      </w:r>
    </w:p>
    <w:p w14:paraId="731AF957" w14:textId="0FBCF253" w:rsidR="00545B66" w:rsidRPr="005E7522" w:rsidRDefault="00545B66" w:rsidP="00CC615E">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sz w:val="24"/>
          <w:szCs w:val="24"/>
          <w:lang w:val="es-ES"/>
        </w:rPr>
      </w:pPr>
    </w:p>
    <w:p w14:paraId="2A53191B" w14:textId="77777777" w:rsidR="00671A7D" w:rsidRPr="00671A7D" w:rsidRDefault="00671A7D" w:rsidP="00671A7D">
      <w:pPr>
        <w:pStyle w:val="ListParagraph"/>
        <w:numPr>
          <w:ilvl w:val="0"/>
          <w:numId w:val="2"/>
        </w:numPr>
        <w:shd w:val="clear" w:color="auto" w:fill="FFFFFF"/>
        <w:tabs>
          <w:tab w:val="left" w:pos="270"/>
          <w:tab w:val="left" w:pos="360"/>
          <w:tab w:val="left" w:pos="450"/>
          <w:tab w:val="left" w:pos="2085"/>
        </w:tabs>
        <w:autoSpaceDE w:val="0"/>
        <w:autoSpaceDN w:val="0"/>
        <w:adjustRightInd w:val="0"/>
        <w:spacing w:after="0" w:line="240" w:lineRule="auto"/>
        <w:jc w:val="both"/>
        <w:rPr>
          <w:rFonts w:ascii="Times New Roman" w:hAnsi="Times New Roman"/>
          <w:vanish/>
          <w:sz w:val="24"/>
          <w:szCs w:val="24"/>
          <w:lang w:val="es-ES"/>
        </w:rPr>
      </w:pPr>
    </w:p>
    <w:p w14:paraId="3EE5F208" w14:textId="73C99916" w:rsidR="007910D2" w:rsidRPr="00823D99" w:rsidRDefault="005B25EB" w:rsidP="007E38F9">
      <w:pPr>
        <w:pStyle w:val="ListParagraph"/>
        <w:numPr>
          <w:ilvl w:val="1"/>
          <w:numId w:val="2"/>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cs="Times New Roman"/>
          <w:sz w:val="24"/>
          <w:lang w:val="es-ES_tradnl"/>
        </w:rPr>
      </w:pPr>
      <w:r w:rsidRPr="00823D99">
        <w:rPr>
          <w:rFonts w:ascii="Times New Roman" w:hAnsi="Times New Roman"/>
          <w:sz w:val="24"/>
          <w:szCs w:val="24"/>
          <w:lang w:val="es-ES"/>
        </w:rPr>
        <w:t>El</w:t>
      </w:r>
      <w:r w:rsidR="007910D2" w:rsidRPr="00823D99">
        <w:rPr>
          <w:rFonts w:ascii="Times New Roman" w:hAnsi="Times New Roman"/>
          <w:sz w:val="24"/>
          <w:szCs w:val="24"/>
          <w:lang w:val="es-ES"/>
        </w:rPr>
        <w:t xml:space="preserve"> </w:t>
      </w:r>
      <w:r w:rsidRPr="00823D99">
        <w:rPr>
          <w:rFonts w:ascii="Times New Roman" w:hAnsi="Times New Roman"/>
          <w:sz w:val="24"/>
          <w:szCs w:val="24"/>
          <w:lang w:val="es-ES"/>
        </w:rPr>
        <w:t>Programa de Logística e Infraestructura de Transporte (BR</w:t>
      </w:r>
      <w:r w:rsidR="007910D2" w:rsidRPr="00823D99">
        <w:rPr>
          <w:rFonts w:ascii="Times New Roman" w:hAnsi="Times New Roman"/>
          <w:sz w:val="24"/>
          <w:szCs w:val="24"/>
          <w:lang w:val="es-ES"/>
        </w:rPr>
        <w:t>-L</w:t>
      </w:r>
      <w:r w:rsidRPr="00823D99">
        <w:rPr>
          <w:rFonts w:ascii="Times New Roman" w:hAnsi="Times New Roman"/>
          <w:sz w:val="24"/>
          <w:szCs w:val="24"/>
          <w:lang w:val="es-ES"/>
        </w:rPr>
        <w:t>1434</w:t>
      </w:r>
      <w:r w:rsidR="007910D2" w:rsidRPr="00823D99">
        <w:rPr>
          <w:rFonts w:ascii="Times New Roman" w:hAnsi="Times New Roman"/>
          <w:sz w:val="24"/>
          <w:szCs w:val="24"/>
          <w:lang w:val="es-ES"/>
        </w:rPr>
        <w:t xml:space="preserve">) está alineada con el desafío de desarrollo de integración económica incluido en la Estrategia Institucional del Banco 2010-2020 (GN-2788-5); puesto que la habilitación </w:t>
      </w:r>
      <w:r w:rsidRPr="00823D99">
        <w:rPr>
          <w:rFonts w:ascii="Times New Roman" w:hAnsi="Times New Roman"/>
          <w:sz w:val="24"/>
          <w:szCs w:val="24"/>
          <w:lang w:val="es-ES"/>
        </w:rPr>
        <w:t xml:space="preserve">y mejora de </w:t>
      </w:r>
      <w:r w:rsidR="007910D2" w:rsidRPr="00823D99">
        <w:rPr>
          <w:rFonts w:ascii="Times New Roman" w:hAnsi="Times New Roman"/>
          <w:sz w:val="24"/>
          <w:szCs w:val="24"/>
          <w:lang w:val="es-ES"/>
        </w:rPr>
        <w:t>un segmento de una carretera nacional, contribuirá a mejorar la conectividad de una de las áreas de producción con vocación exportadora y de alta actividad turística, con la red nacional de carreteras y con las instalaciones de importación y de exportación del país, a través del tramo Mairana-Bermejo de la Red Nacional y sus conexiones con los corredores de integración regional.</w:t>
      </w:r>
    </w:p>
    <w:p w14:paraId="16C78AC2" w14:textId="77777777" w:rsidR="007910D2" w:rsidRPr="007910D2" w:rsidRDefault="007910D2" w:rsidP="007910D2">
      <w:pPr>
        <w:pStyle w:val="ListParagraph"/>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cs="Times New Roman"/>
          <w:sz w:val="24"/>
          <w:lang w:val="es-ES_tradnl"/>
        </w:rPr>
      </w:pPr>
    </w:p>
    <w:p w14:paraId="1110FE74" w14:textId="19F5E041" w:rsidR="007910D2" w:rsidRDefault="004422AB" w:rsidP="007910D2">
      <w:pPr>
        <w:pStyle w:val="ListParagraph"/>
        <w:numPr>
          <w:ilvl w:val="1"/>
          <w:numId w:val="2"/>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cs="Times New Roman"/>
          <w:sz w:val="24"/>
          <w:lang w:val="es-ES_tradnl"/>
        </w:rPr>
      </w:pPr>
      <w:r w:rsidRPr="00D8401B">
        <w:rPr>
          <w:rFonts w:ascii="Times New Roman" w:hAnsi="Times New Roman"/>
          <w:sz w:val="24"/>
          <w:szCs w:val="24"/>
          <w:lang w:val="es-ES"/>
        </w:rPr>
        <w:t>Los resultados e</w:t>
      </w:r>
      <w:r w:rsidR="00B33CE8" w:rsidRPr="00D8401B">
        <w:rPr>
          <w:rFonts w:ascii="Times New Roman" w:hAnsi="Times New Roman"/>
          <w:sz w:val="24"/>
          <w:szCs w:val="24"/>
          <w:lang w:val="es-ES"/>
        </w:rPr>
        <w:t xml:space="preserve">sperados de la rehabilitación del tramo de la muestra </w:t>
      </w:r>
      <w:r w:rsidR="001A7B72">
        <w:rPr>
          <w:rFonts w:ascii="Times New Roman" w:hAnsi="Times New Roman"/>
          <w:sz w:val="24"/>
          <w:szCs w:val="24"/>
          <w:lang w:val="es-ES"/>
        </w:rPr>
        <w:t>relacionados a</w:t>
      </w:r>
      <w:r w:rsidRPr="00D8401B">
        <w:rPr>
          <w:rFonts w:ascii="Times New Roman" w:hAnsi="Times New Roman"/>
          <w:sz w:val="24"/>
          <w:szCs w:val="24"/>
          <w:lang w:val="es-ES"/>
        </w:rPr>
        <w:t xml:space="preserve"> la reducción de los tiempos </w:t>
      </w:r>
      <w:r w:rsidR="007C26FC">
        <w:rPr>
          <w:rFonts w:ascii="Times New Roman" w:hAnsi="Times New Roman"/>
          <w:sz w:val="24"/>
          <w:szCs w:val="24"/>
          <w:lang w:val="es-ES"/>
        </w:rPr>
        <w:t xml:space="preserve">promedio </w:t>
      </w:r>
      <w:r w:rsidRPr="00D8401B">
        <w:rPr>
          <w:rFonts w:ascii="Times New Roman" w:hAnsi="Times New Roman"/>
          <w:sz w:val="24"/>
          <w:szCs w:val="24"/>
          <w:lang w:val="es-ES"/>
        </w:rPr>
        <w:t xml:space="preserve">de viaje </w:t>
      </w:r>
      <w:r w:rsidR="00CC615E">
        <w:rPr>
          <w:rFonts w:ascii="Times New Roman" w:hAnsi="Times New Roman"/>
          <w:sz w:val="24"/>
          <w:szCs w:val="24"/>
          <w:lang w:val="es-ES"/>
        </w:rPr>
        <w:t>en</w:t>
      </w:r>
      <w:r w:rsidRPr="00D8401B">
        <w:rPr>
          <w:rFonts w:ascii="Times New Roman" w:hAnsi="Times New Roman"/>
          <w:sz w:val="24"/>
          <w:szCs w:val="24"/>
          <w:lang w:val="es-ES"/>
        </w:rPr>
        <w:t xml:space="preserve"> </w:t>
      </w:r>
      <w:r w:rsidR="0061678A">
        <w:rPr>
          <w:rFonts w:ascii="Times New Roman" w:hAnsi="Times New Roman"/>
          <w:sz w:val="24"/>
          <w:szCs w:val="24"/>
          <w:lang w:val="es-ES"/>
        </w:rPr>
        <w:t>15.2</w:t>
      </w:r>
      <w:r w:rsidRPr="00D8401B">
        <w:rPr>
          <w:rFonts w:ascii="Times New Roman" w:hAnsi="Times New Roman"/>
          <w:sz w:val="24"/>
          <w:szCs w:val="24"/>
          <w:lang w:val="es-ES"/>
        </w:rPr>
        <w:t>%</w:t>
      </w:r>
      <w:r w:rsidR="00CB0BF5">
        <w:rPr>
          <w:rStyle w:val="FootnoteReference"/>
          <w:szCs w:val="24"/>
          <w:lang w:val="es-ES"/>
        </w:rPr>
        <w:footnoteReference w:id="22"/>
      </w:r>
      <w:r w:rsidRPr="00D8401B">
        <w:rPr>
          <w:rFonts w:ascii="Times New Roman" w:hAnsi="Times New Roman"/>
          <w:sz w:val="24"/>
          <w:szCs w:val="24"/>
          <w:lang w:val="es-ES"/>
        </w:rPr>
        <w:t xml:space="preserve"> y la reducción en los costos </w:t>
      </w:r>
      <w:r w:rsidR="001510AB" w:rsidRPr="00D8401B">
        <w:rPr>
          <w:rFonts w:ascii="Times New Roman" w:hAnsi="Times New Roman"/>
          <w:sz w:val="24"/>
          <w:szCs w:val="24"/>
          <w:lang w:val="es-ES"/>
        </w:rPr>
        <w:t xml:space="preserve">de operación </w:t>
      </w:r>
      <w:r w:rsidR="00CC615E">
        <w:rPr>
          <w:rFonts w:ascii="Times New Roman" w:hAnsi="Times New Roman"/>
          <w:sz w:val="24"/>
          <w:szCs w:val="24"/>
          <w:lang w:val="es-ES"/>
        </w:rPr>
        <w:t>vehicular en</w:t>
      </w:r>
      <w:r w:rsidR="00CB0BF5">
        <w:rPr>
          <w:rFonts w:ascii="Times New Roman" w:hAnsi="Times New Roman"/>
          <w:sz w:val="24"/>
          <w:szCs w:val="24"/>
          <w:lang w:val="es-ES"/>
        </w:rPr>
        <w:t xml:space="preserve"> 7.1</w:t>
      </w:r>
      <w:r w:rsidRPr="00D8401B">
        <w:rPr>
          <w:rFonts w:ascii="Times New Roman" w:hAnsi="Times New Roman"/>
          <w:sz w:val="24"/>
          <w:szCs w:val="24"/>
          <w:lang w:val="es-ES"/>
        </w:rPr>
        <w:t>%</w:t>
      </w:r>
      <w:r w:rsidR="001534CB">
        <w:rPr>
          <w:rStyle w:val="FootnoteReference"/>
          <w:szCs w:val="24"/>
          <w:lang w:val="es-ES"/>
        </w:rPr>
        <w:footnoteReference w:id="23"/>
      </w:r>
      <w:r w:rsidRPr="00D8401B">
        <w:rPr>
          <w:rFonts w:ascii="Times New Roman" w:hAnsi="Times New Roman"/>
          <w:sz w:val="24"/>
          <w:szCs w:val="24"/>
          <w:lang w:val="es-ES"/>
        </w:rPr>
        <w:t>; contribuirán a incentivar</w:t>
      </w:r>
      <w:r w:rsidR="00C235D3" w:rsidRPr="00D8401B">
        <w:rPr>
          <w:rFonts w:ascii="Times New Roman" w:hAnsi="Times New Roman"/>
          <w:sz w:val="24"/>
          <w:szCs w:val="24"/>
          <w:lang w:val="es-ES"/>
        </w:rPr>
        <w:t xml:space="preserve"> la actividad turística y</w:t>
      </w:r>
      <w:r w:rsidRPr="00D8401B">
        <w:rPr>
          <w:rFonts w:ascii="Times New Roman" w:hAnsi="Times New Roman"/>
          <w:sz w:val="24"/>
          <w:szCs w:val="24"/>
          <w:lang w:val="es-ES"/>
        </w:rPr>
        <w:t xml:space="preserve"> el comercio</w:t>
      </w:r>
      <w:r w:rsidR="00545B66" w:rsidRPr="00D8401B">
        <w:rPr>
          <w:rFonts w:ascii="Times New Roman" w:hAnsi="Times New Roman"/>
          <w:sz w:val="24"/>
          <w:szCs w:val="24"/>
          <w:lang w:val="es-ES"/>
        </w:rPr>
        <w:t xml:space="preserve"> regional </w:t>
      </w:r>
      <w:r w:rsidRPr="00D8401B">
        <w:rPr>
          <w:rFonts w:ascii="Times New Roman" w:hAnsi="Times New Roman"/>
          <w:sz w:val="24"/>
          <w:szCs w:val="24"/>
          <w:lang w:val="es-ES"/>
        </w:rPr>
        <w:t xml:space="preserve">de productos como </w:t>
      </w:r>
      <w:r w:rsidR="00C235D3" w:rsidRPr="00D8401B">
        <w:rPr>
          <w:rFonts w:ascii="Times New Roman" w:hAnsi="Times New Roman"/>
          <w:sz w:val="24"/>
          <w:szCs w:val="24"/>
          <w:lang w:val="es-ES"/>
        </w:rPr>
        <w:t>el tabaco, la papa y el maíz</w:t>
      </w:r>
      <w:r w:rsidRPr="00D8401B">
        <w:rPr>
          <w:rFonts w:ascii="Times New Roman" w:hAnsi="Times New Roman"/>
          <w:sz w:val="24"/>
          <w:szCs w:val="24"/>
          <w:lang w:val="es-ES"/>
        </w:rPr>
        <w:t>, así como a ampliar las oportunidades de pequeñas y m</w:t>
      </w:r>
      <w:r w:rsidR="00C235D3" w:rsidRPr="00D8401B">
        <w:rPr>
          <w:rFonts w:ascii="Times New Roman" w:hAnsi="Times New Roman"/>
          <w:sz w:val="24"/>
          <w:szCs w:val="24"/>
          <w:lang w:val="es-ES"/>
        </w:rPr>
        <w:t>ediana</w:t>
      </w:r>
      <w:r w:rsidRPr="00D8401B">
        <w:rPr>
          <w:rFonts w:ascii="Times New Roman" w:hAnsi="Times New Roman"/>
          <w:sz w:val="24"/>
          <w:szCs w:val="24"/>
          <w:lang w:val="es-ES"/>
        </w:rPr>
        <w:t xml:space="preserve">s empresas para insertarse y/o participar en cadenas de </w:t>
      </w:r>
      <w:r w:rsidR="00FF1E69" w:rsidRPr="00D8401B">
        <w:rPr>
          <w:rFonts w:ascii="Times New Roman" w:hAnsi="Times New Roman"/>
          <w:sz w:val="24"/>
          <w:szCs w:val="24"/>
          <w:lang w:val="es-ES"/>
        </w:rPr>
        <w:t>valor aportando</w:t>
      </w:r>
      <w:r w:rsidRPr="00D8401B">
        <w:rPr>
          <w:rFonts w:ascii="Times New Roman" w:hAnsi="Times New Roman"/>
          <w:sz w:val="24"/>
          <w:szCs w:val="24"/>
          <w:lang w:val="es-ES"/>
        </w:rPr>
        <w:t xml:space="preserve"> de esa manera al crecimiento inclusivo y sostenible del país.</w:t>
      </w:r>
      <w:r w:rsidR="00FD15D6" w:rsidRPr="00D8401B">
        <w:rPr>
          <w:rFonts w:ascii="Times New Roman" w:hAnsi="Times New Roman"/>
          <w:sz w:val="24"/>
          <w:szCs w:val="24"/>
          <w:lang w:val="es-ES"/>
        </w:rPr>
        <w:t xml:space="preserve"> </w:t>
      </w:r>
      <w:r w:rsidR="00C82356" w:rsidRPr="00D8401B">
        <w:rPr>
          <w:rFonts w:ascii="Times New Roman" w:hAnsi="Times New Roman"/>
          <w:sz w:val="24"/>
          <w:szCs w:val="24"/>
          <w:lang w:val="es-ES"/>
        </w:rPr>
        <w:t xml:space="preserve">El proyecto también está alineado y contribuye con el Marco </w:t>
      </w:r>
      <w:r w:rsidR="00EB3257">
        <w:rPr>
          <w:rFonts w:ascii="Times New Roman" w:hAnsi="Times New Roman"/>
          <w:sz w:val="24"/>
          <w:szCs w:val="24"/>
          <w:lang w:val="es-ES"/>
        </w:rPr>
        <w:t>de Resultados Corporativo (CRF)</w:t>
      </w:r>
      <w:r w:rsidR="00C82356" w:rsidRPr="00D8401B">
        <w:rPr>
          <w:rFonts w:ascii="Times New Roman" w:hAnsi="Times New Roman"/>
          <w:sz w:val="24"/>
          <w:szCs w:val="24"/>
          <w:lang w:val="es-ES"/>
        </w:rPr>
        <w:t xml:space="preserve"> a través </w:t>
      </w:r>
      <w:r w:rsidR="00FF1E69" w:rsidRPr="00D8401B">
        <w:rPr>
          <w:rFonts w:ascii="Times New Roman" w:hAnsi="Times New Roman"/>
          <w:sz w:val="24"/>
          <w:szCs w:val="24"/>
          <w:lang w:val="es-ES"/>
        </w:rPr>
        <w:t>del</w:t>
      </w:r>
      <w:r w:rsidR="00C82356" w:rsidRPr="00D8401B">
        <w:rPr>
          <w:rFonts w:ascii="Times New Roman" w:hAnsi="Times New Roman"/>
          <w:sz w:val="24"/>
          <w:szCs w:val="24"/>
          <w:lang w:val="es-ES"/>
        </w:rPr>
        <w:t xml:space="preserve"> indicador vinculado con el Desafío Regional de Integración Económica reflejados en la Matriz de Resultados del </w:t>
      </w:r>
      <w:r w:rsidR="00BB142A">
        <w:rPr>
          <w:rFonts w:ascii="Times New Roman" w:hAnsi="Times New Roman"/>
          <w:sz w:val="24"/>
          <w:szCs w:val="24"/>
          <w:lang w:val="es-ES"/>
        </w:rPr>
        <w:t>proyecto</w:t>
      </w:r>
      <w:r w:rsidR="00C82356" w:rsidRPr="00D8401B">
        <w:rPr>
          <w:rFonts w:ascii="Times New Roman" w:hAnsi="Times New Roman"/>
          <w:sz w:val="24"/>
          <w:szCs w:val="24"/>
          <w:lang w:val="es-ES"/>
        </w:rPr>
        <w:t xml:space="preserve">: (i) </w:t>
      </w:r>
      <w:r w:rsidR="00D8401B" w:rsidRPr="00D8401B">
        <w:rPr>
          <w:rFonts w:ascii="Times New Roman" w:hAnsi="Times New Roman"/>
          <w:sz w:val="24"/>
          <w:szCs w:val="24"/>
          <w:lang w:val="es-ES"/>
        </w:rPr>
        <w:t xml:space="preserve">Km </w:t>
      </w:r>
      <w:r w:rsidR="00EB3257">
        <w:rPr>
          <w:rFonts w:ascii="Times New Roman" w:hAnsi="Times New Roman"/>
          <w:sz w:val="24"/>
          <w:szCs w:val="24"/>
          <w:lang w:val="es-ES"/>
        </w:rPr>
        <w:t>de la RVF mejorados o ampliados,</w:t>
      </w:r>
      <w:r w:rsidR="00CC615E">
        <w:rPr>
          <w:rFonts w:ascii="Times New Roman" w:hAnsi="Times New Roman"/>
          <w:sz w:val="24"/>
          <w:szCs w:val="24"/>
          <w:lang w:val="es-ES"/>
        </w:rPr>
        <w:t xml:space="preserve"> </w:t>
      </w:r>
      <w:r w:rsidR="00CC615E" w:rsidRPr="00FB7321">
        <w:rPr>
          <w:rFonts w:ascii="Times New Roman" w:hAnsi="Times New Roman" w:cs="Times New Roman"/>
          <w:sz w:val="24"/>
          <w:lang w:val="es-ES_tradnl"/>
        </w:rPr>
        <w:t xml:space="preserve">puesto que rehabilitará y mejorará un segmento de la red </w:t>
      </w:r>
      <w:r w:rsidR="00EB3257">
        <w:rPr>
          <w:rFonts w:ascii="Times New Roman" w:hAnsi="Times New Roman" w:cs="Times New Roman"/>
          <w:sz w:val="24"/>
          <w:lang w:val="es-ES_tradnl"/>
        </w:rPr>
        <w:t>nacional</w:t>
      </w:r>
      <w:r w:rsidR="00CC615E" w:rsidRPr="00FB7321">
        <w:rPr>
          <w:rFonts w:ascii="Times New Roman" w:hAnsi="Times New Roman" w:cs="Times New Roman"/>
          <w:sz w:val="24"/>
          <w:lang w:val="es-ES_tradnl"/>
        </w:rPr>
        <w:t xml:space="preserve">, contribuyendo a la mejora de la cobertura, calidad y conectividad de la infraestructura de transporte y propiciando el desarrollo de la conectividad vial regional. </w:t>
      </w:r>
    </w:p>
    <w:p w14:paraId="448C924F" w14:textId="77777777" w:rsidR="007910D2" w:rsidRPr="007910D2" w:rsidRDefault="007910D2" w:rsidP="007910D2">
      <w:pPr>
        <w:pStyle w:val="ListParagraph"/>
        <w:rPr>
          <w:rFonts w:ascii="Times New Roman" w:hAnsi="Times New Roman"/>
          <w:sz w:val="24"/>
          <w:szCs w:val="24"/>
          <w:lang w:val="es-ES"/>
        </w:rPr>
      </w:pPr>
    </w:p>
    <w:p w14:paraId="5A990656" w14:textId="0B31D04E" w:rsidR="00C82356" w:rsidRPr="007910D2" w:rsidRDefault="00C82356" w:rsidP="007910D2">
      <w:pPr>
        <w:pStyle w:val="ListParagraph"/>
        <w:numPr>
          <w:ilvl w:val="1"/>
          <w:numId w:val="2"/>
        </w:numPr>
        <w:shd w:val="clear" w:color="auto" w:fill="FFFFFF"/>
        <w:tabs>
          <w:tab w:val="left" w:pos="270"/>
          <w:tab w:val="left" w:pos="360"/>
          <w:tab w:val="left" w:pos="450"/>
          <w:tab w:val="left" w:pos="2085"/>
        </w:tabs>
        <w:autoSpaceDE w:val="0"/>
        <w:autoSpaceDN w:val="0"/>
        <w:adjustRightInd w:val="0"/>
        <w:spacing w:after="0" w:line="240" w:lineRule="auto"/>
        <w:ind w:left="90"/>
        <w:jc w:val="both"/>
        <w:rPr>
          <w:rFonts w:ascii="Times New Roman" w:hAnsi="Times New Roman" w:cs="Times New Roman"/>
          <w:sz w:val="24"/>
          <w:lang w:val="es-ES_tradnl"/>
        </w:rPr>
      </w:pPr>
      <w:r w:rsidRPr="007910D2">
        <w:rPr>
          <w:rFonts w:ascii="Times New Roman" w:hAnsi="Times New Roman"/>
          <w:sz w:val="24"/>
          <w:szCs w:val="24"/>
          <w:lang w:val="es-ES"/>
        </w:rPr>
        <w:t xml:space="preserve">Finalmente, de acuerdo a la Estrategia Sectorial de Apoyo a la Integración Competitiva Regional y Global (GN-2565-4), una operación de integración regional se clasifica como tal en la medida en la que atiende a uno de los cuatro criterios siguientes: (i) focalización multinacional, (ii) subsidiariedad nacional, (iii) adicionalidad regional, y (iv) compensación de fallas de coordinación. La presente operación cumple con el criterio de </w:t>
      </w:r>
      <w:r w:rsidRPr="007910D2">
        <w:rPr>
          <w:rFonts w:ascii="Times New Roman" w:hAnsi="Times New Roman"/>
          <w:b/>
          <w:sz w:val="24"/>
          <w:szCs w:val="24"/>
          <w:lang w:val="es-ES"/>
        </w:rPr>
        <w:t>Focalización Multinacional</w:t>
      </w:r>
      <w:r w:rsidRPr="007910D2">
        <w:rPr>
          <w:rFonts w:ascii="Times New Roman" w:hAnsi="Times New Roman"/>
          <w:sz w:val="24"/>
          <w:szCs w:val="24"/>
          <w:lang w:val="es-ES"/>
        </w:rPr>
        <w:t xml:space="preserve"> ya que apoya una inversión nacional, enfocada en el objetivo de mejorar la competitividad </w:t>
      </w:r>
      <w:r w:rsidR="006E08F9" w:rsidRPr="007910D2">
        <w:rPr>
          <w:rFonts w:ascii="Times New Roman" w:hAnsi="Times New Roman"/>
          <w:sz w:val="24"/>
          <w:szCs w:val="24"/>
          <w:lang w:val="es-ES"/>
        </w:rPr>
        <w:t xml:space="preserve">de </w:t>
      </w:r>
      <w:r w:rsidR="00BA490F" w:rsidRPr="007910D2">
        <w:rPr>
          <w:rFonts w:ascii="Times New Roman" w:hAnsi="Times New Roman"/>
          <w:sz w:val="24"/>
          <w:szCs w:val="24"/>
          <w:lang w:val="es-ES"/>
        </w:rPr>
        <w:t xml:space="preserve">diversos territorios </w:t>
      </w:r>
      <w:r w:rsidR="006E08F9" w:rsidRPr="007910D2">
        <w:rPr>
          <w:rFonts w:ascii="Times New Roman" w:hAnsi="Times New Roman"/>
          <w:sz w:val="24"/>
          <w:szCs w:val="24"/>
          <w:lang w:val="es-ES"/>
        </w:rPr>
        <w:t>promoviendo</w:t>
      </w:r>
      <w:r w:rsidRPr="007910D2">
        <w:rPr>
          <w:rFonts w:ascii="Times New Roman" w:hAnsi="Times New Roman"/>
          <w:sz w:val="24"/>
          <w:szCs w:val="24"/>
          <w:lang w:val="es-ES"/>
        </w:rPr>
        <w:t xml:space="preserve"> su inte</w:t>
      </w:r>
      <w:r w:rsidR="006E08F9" w:rsidRPr="007910D2">
        <w:rPr>
          <w:rFonts w:ascii="Times New Roman" w:hAnsi="Times New Roman"/>
          <w:sz w:val="24"/>
          <w:szCs w:val="24"/>
          <w:lang w:val="es-ES"/>
        </w:rPr>
        <w:t xml:space="preserve">gración en la economía nacional. Del mismo modo, debido a que las inversiones a realizarse aportan a la mejora de una carretera nacional que </w:t>
      </w:r>
      <w:r w:rsidR="00CC615E" w:rsidRPr="007910D2">
        <w:rPr>
          <w:rFonts w:ascii="Times New Roman" w:hAnsi="Times New Roman"/>
          <w:sz w:val="24"/>
          <w:szCs w:val="24"/>
          <w:lang w:val="es-ES"/>
        </w:rPr>
        <w:t>conecta con un</w:t>
      </w:r>
      <w:r w:rsidR="006E08F9" w:rsidRPr="007910D2">
        <w:rPr>
          <w:rFonts w:ascii="Times New Roman" w:hAnsi="Times New Roman"/>
          <w:sz w:val="24"/>
          <w:szCs w:val="24"/>
          <w:lang w:val="es-ES"/>
        </w:rPr>
        <w:t xml:space="preserve"> corredor de transporte internacional, </w:t>
      </w:r>
      <w:r w:rsidR="00CC36F8" w:rsidRPr="007910D2">
        <w:rPr>
          <w:rFonts w:ascii="Times New Roman" w:hAnsi="Times New Roman"/>
          <w:sz w:val="24"/>
          <w:szCs w:val="24"/>
          <w:lang w:val="es-ES"/>
        </w:rPr>
        <w:t>la operación contribuirá a facilitar el acceso de la producción y el tránsito de mercaderías a los mercados externos; regional e internacionales</w:t>
      </w:r>
      <w:r w:rsidR="00BA490F" w:rsidRPr="007910D2">
        <w:rPr>
          <w:rFonts w:ascii="Times New Roman" w:hAnsi="Times New Roman"/>
          <w:sz w:val="24"/>
          <w:szCs w:val="24"/>
          <w:lang w:val="es-ES"/>
        </w:rPr>
        <w:t xml:space="preserve">, así como también </w:t>
      </w:r>
      <w:r w:rsidR="009A3723" w:rsidRPr="007910D2">
        <w:rPr>
          <w:rFonts w:ascii="Times New Roman" w:hAnsi="Times New Roman"/>
          <w:sz w:val="24"/>
          <w:szCs w:val="24"/>
          <w:lang w:val="es-ES"/>
        </w:rPr>
        <w:t xml:space="preserve">el aumento de la accesibilidad </w:t>
      </w:r>
      <w:r w:rsidR="00A25688" w:rsidRPr="007910D2">
        <w:rPr>
          <w:rFonts w:ascii="Times New Roman" w:hAnsi="Times New Roman"/>
          <w:sz w:val="24"/>
          <w:szCs w:val="24"/>
          <w:lang w:val="es-ES"/>
        </w:rPr>
        <w:t xml:space="preserve">para el desarrollo turístico </w:t>
      </w:r>
      <w:r w:rsidR="004020B9" w:rsidRPr="007910D2">
        <w:rPr>
          <w:rFonts w:ascii="Times New Roman" w:hAnsi="Times New Roman"/>
          <w:sz w:val="24"/>
          <w:szCs w:val="24"/>
          <w:lang w:val="es-ES"/>
        </w:rPr>
        <w:t>de</w:t>
      </w:r>
      <w:r w:rsidR="00A25688" w:rsidRPr="007910D2">
        <w:rPr>
          <w:rFonts w:ascii="Times New Roman" w:hAnsi="Times New Roman"/>
          <w:sz w:val="24"/>
          <w:szCs w:val="24"/>
          <w:lang w:val="es-ES"/>
        </w:rPr>
        <w:t xml:space="preserve"> las zonas.</w:t>
      </w:r>
    </w:p>
    <w:sectPr w:rsidR="00C82356" w:rsidRPr="007910D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C2B9" w14:textId="77777777" w:rsidR="007B1C96" w:rsidRDefault="007B1C96" w:rsidP="001D27B9">
      <w:pPr>
        <w:spacing w:after="0" w:line="240" w:lineRule="auto"/>
      </w:pPr>
      <w:r>
        <w:separator/>
      </w:r>
    </w:p>
  </w:endnote>
  <w:endnote w:type="continuationSeparator" w:id="0">
    <w:p w14:paraId="0AF3BE8D" w14:textId="77777777" w:rsidR="007B1C96" w:rsidRDefault="007B1C96" w:rsidP="001D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4814144"/>
      <w:docPartObj>
        <w:docPartGallery w:val="Page Numbers (Bottom of Page)"/>
        <w:docPartUnique/>
      </w:docPartObj>
    </w:sdtPr>
    <w:sdtEndPr/>
    <w:sdtContent>
      <w:p w14:paraId="657C4331" w14:textId="6F2D818F" w:rsidR="007E5266" w:rsidRDefault="007E5266">
        <w:pPr>
          <w:pStyle w:val="Footer"/>
          <w:jc w:val="right"/>
        </w:pPr>
        <w:r>
          <w:t xml:space="preserve">Page | </w:t>
        </w:r>
        <w:r>
          <w:fldChar w:fldCharType="begin"/>
        </w:r>
        <w:r>
          <w:instrText xml:space="preserve"> PAGE   \* MERGEFORMAT </w:instrText>
        </w:r>
        <w:r>
          <w:fldChar w:fldCharType="separate"/>
        </w:r>
        <w:r w:rsidR="00D15E27">
          <w:rPr>
            <w:noProof/>
          </w:rPr>
          <w:t>10</w:t>
        </w:r>
        <w:r>
          <w:rPr>
            <w:noProof/>
          </w:rPr>
          <w:fldChar w:fldCharType="end"/>
        </w:r>
        <w:r>
          <w:t xml:space="preserve"> </w:t>
        </w:r>
      </w:p>
    </w:sdtContent>
  </w:sdt>
  <w:p w14:paraId="6B2A8F88" w14:textId="77777777" w:rsidR="007E5266" w:rsidRDefault="007E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07573" w14:textId="77777777" w:rsidR="007B1C96" w:rsidRDefault="007B1C96" w:rsidP="001D27B9">
      <w:pPr>
        <w:spacing w:after="0" w:line="240" w:lineRule="auto"/>
      </w:pPr>
      <w:r>
        <w:separator/>
      </w:r>
    </w:p>
  </w:footnote>
  <w:footnote w:type="continuationSeparator" w:id="0">
    <w:p w14:paraId="7A0CA0CF" w14:textId="77777777" w:rsidR="007B1C96" w:rsidRDefault="007B1C96" w:rsidP="001D27B9">
      <w:pPr>
        <w:spacing w:after="0" w:line="240" w:lineRule="auto"/>
      </w:pPr>
      <w:r>
        <w:continuationSeparator/>
      </w:r>
    </w:p>
  </w:footnote>
  <w:footnote w:id="1">
    <w:p w14:paraId="27609933" w14:textId="77777777" w:rsidR="007E5266" w:rsidRPr="00F823F1" w:rsidRDefault="007E5266" w:rsidP="001D27B9">
      <w:pPr>
        <w:pStyle w:val="FootnoteText"/>
        <w:ind w:left="180" w:hanging="180"/>
        <w:jc w:val="both"/>
        <w:rPr>
          <w:rFonts w:ascii="Times New Roman" w:hAnsi="Times New Roman"/>
          <w:color w:val="000000" w:themeColor="text1"/>
          <w:szCs w:val="18"/>
          <w:lang w:val="es-ES"/>
        </w:rPr>
      </w:pPr>
      <w:r w:rsidRPr="006D002E">
        <w:rPr>
          <w:rStyle w:val="FootnoteReference"/>
          <w:rFonts w:cs="Arial"/>
          <w:color w:val="000000" w:themeColor="text1"/>
          <w:szCs w:val="18"/>
        </w:rPr>
        <w:footnoteRef/>
      </w:r>
      <w:r w:rsidRPr="005F0C18">
        <w:rPr>
          <w:rFonts w:cs="Arial"/>
          <w:color w:val="000000" w:themeColor="text1"/>
          <w:szCs w:val="18"/>
          <w:lang w:val="es-ES_tradnl"/>
        </w:rPr>
        <w:t xml:space="preserve">  </w:t>
      </w:r>
      <w:r>
        <w:rPr>
          <w:rFonts w:cs="Arial"/>
          <w:color w:val="000000" w:themeColor="text1"/>
          <w:szCs w:val="18"/>
          <w:lang w:val="es-ES_tradnl"/>
        </w:rPr>
        <w:t xml:space="preserve"> </w:t>
      </w:r>
      <w:r w:rsidRPr="00F823F1">
        <w:rPr>
          <w:rFonts w:ascii="Times New Roman" w:hAnsi="Times New Roman"/>
          <w:color w:val="000000" w:themeColor="text1"/>
          <w:szCs w:val="18"/>
          <w:lang w:val="es-ES"/>
        </w:rPr>
        <w:t xml:space="preserve">La densidad poblacional varía entre 34,4 habitantes por km2 en Cochabamba y 2,1 hab/km2 en Beni y Pando, siendo el promedio nacional de 10 habitantes por km2. </w:t>
      </w:r>
    </w:p>
  </w:footnote>
  <w:footnote w:id="2">
    <w:p w14:paraId="3FE21251" w14:textId="3BF07E87" w:rsidR="007E5266" w:rsidRPr="00F823F1" w:rsidRDefault="007E5266" w:rsidP="001D27B9">
      <w:pPr>
        <w:pStyle w:val="FootnoteText"/>
        <w:ind w:left="180" w:hanging="180"/>
        <w:jc w:val="both"/>
        <w:rPr>
          <w:rFonts w:ascii="Times New Roman" w:hAnsi="Times New Roman"/>
          <w:color w:val="000000" w:themeColor="text1"/>
          <w:szCs w:val="18"/>
          <w:lang w:val="es-ES"/>
        </w:rPr>
      </w:pPr>
      <w:r w:rsidRPr="00F823F1">
        <w:rPr>
          <w:rStyle w:val="FootnoteReference"/>
          <w:rFonts w:ascii="Times New Roman" w:hAnsi="Times New Roman"/>
          <w:color w:val="000000" w:themeColor="text1"/>
          <w:szCs w:val="18"/>
        </w:rPr>
        <w:footnoteRef/>
      </w:r>
      <w:r w:rsidRPr="00F823F1">
        <w:rPr>
          <w:rFonts w:ascii="Times New Roman" w:hAnsi="Times New Roman"/>
          <w:color w:val="000000" w:themeColor="text1"/>
          <w:szCs w:val="18"/>
          <w:lang w:val="es-ES_tradnl"/>
        </w:rPr>
        <w:t xml:space="preserve">  </w:t>
      </w:r>
      <w:r w:rsidR="00736985">
        <w:rPr>
          <w:rFonts w:ascii="Times New Roman" w:hAnsi="Times New Roman"/>
          <w:color w:val="000000" w:themeColor="text1"/>
          <w:szCs w:val="18"/>
          <w:lang w:val="es-ES_tradnl"/>
        </w:rPr>
        <w:t>De acuerdo al Instituto Nacional de Estadísticas (IBE), e</w:t>
      </w:r>
      <w:r w:rsidRPr="00F823F1">
        <w:rPr>
          <w:rFonts w:ascii="Times New Roman" w:hAnsi="Times New Roman"/>
          <w:color w:val="000000" w:themeColor="text1"/>
          <w:szCs w:val="18"/>
          <w:lang w:val="es-ES"/>
        </w:rPr>
        <w:t>n 201</w:t>
      </w:r>
      <w:r>
        <w:rPr>
          <w:rFonts w:ascii="Times New Roman" w:hAnsi="Times New Roman"/>
          <w:color w:val="000000" w:themeColor="text1"/>
          <w:szCs w:val="18"/>
          <w:lang w:val="es-ES"/>
        </w:rPr>
        <w:t>4</w:t>
      </w:r>
      <w:r w:rsidRPr="00F823F1">
        <w:rPr>
          <w:rFonts w:ascii="Times New Roman" w:hAnsi="Times New Roman"/>
          <w:color w:val="000000" w:themeColor="text1"/>
          <w:szCs w:val="18"/>
          <w:lang w:val="es-ES"/>
        </w:rPr>
        <w:t xml:space="preserve">, la participación departamental en el PIB fue la siguiente: Santa Cruz (28,48%), La Paz (25,20%), Cochabamba (14,20%), Tarija (13,69%), Potosí (5,43%), Chuquisaca (4,97%), Oruro (4,77%), Beni (2,41%), Pando (0,86%). </w:t>
      </w:r>
    </w:p>
  </w:footnote>
  <w:footnote w:id="3">
    <w:p w14:paraId="5EE590A1" w14:textId="6EBF30C4" w:rsidR="007E5266" w:rsidRDefault="007E5266">
      <w:pPr>
        <w:pStyle w:val="FootnoteText"/>
      </w:pPr>
      <w:r>
        <w:rPr>
          <w:rStyle w:val="FootnoteReference"/>
        </w:rPr>
        <w:footnoteRef/>
      </w:r>
      <w:r>
        <w:t xml:space="preserve"> </w:t>
      </w:r>
      <w:r w:rsidR="00736985">
        <w:t xml:space="preserve"> </w:t>
      </w:r>
      <w:r w:rsidRPr="00736985">
        <w:rPr>
          <w:rFonts w:ascii="Times New Roman" w:hAnsi="Times New Roman"/>
        </w:rPr>
        <w:t>The Global Competitiveness Report 2015-2016, World Economic Forum.</w:t>
      </w:r>
    </w:p>
  </w:footnote>
  <w:footnote w:id="4">
    <w:p w14:paraId="27EA5D36" w14:textId="6F42760A" w:rsidR="007E5266" w:rsidRPr="00A3053B" w:rsidRDefault="007E5266" w:rsidP="009E5FBD">
      <w:pPr>
        <w:pStyle w:val="FootnoteText"/>
        <w:jc w:val="both"/>
        <w:rPr>
          <w:rFonts w:ascii="Times New Roman" w:hAnsi="Times New Roman"/>
          <w:lang w:val="es-ES_tradnl"/>
        </w:rPr>
      </w:pPr>
      <w:r w:rsidRPr="00A3053B">
        <w:rPr>
          <w:rStyle w:val="FootnoteReference"/>
          <w:rFonts w:ascii="Times New Roman" w:hAnsi="Times New Roman"/>
        </w:rPr>
        <w:footnoteRef/>
      </w:r>
      <w:r w:rsidRPr="00A3053B">
        <w:rPr>
          <w:rFonts w:ascii="Times New Roman" w:hAnsi="Times New Roman"/>
          <w:lang w:val="es-ES_tradnl"/>
        </w:rPr>
        <w:t xml:space="preserve"> </w:t>
      </w:r>
      <w:r>
        <w:rPr>
          <w:rFonts w:ascii="Times New Roman" w:hAnsi="Times New Roman"/>
          <w:lang w:val="es-ES_tradnl"/>
        </w:rPr>
        <w:t>T</w:t>
      </w:r>
      <w:r w:rsidRPr="00A3053B">
        <w:rPr>
          <w:rFonts w:ascii="Times New Roman" w:hAnsi="Times New Roman"/>
          <w:lang w:val="es-ES_tradnl"/>
        </w:rPr>
        <w:t>omado de la b</w:t>
      </w:r>
      <w:r>
        <w:rPr>
          <w:rFonts w:ascii="Times New Roman" w:hAnsi="Times New Roman"/>
          <w:lang w:val="es-ES_tradnl"/>
        </w:rPr>
        <w:t xml:space="preserve">ase de datos de infraestructura INFRALATAM </w:t>
      </w:r>
      <w:r w:rsidRPr="00A3053B">
        <w:rPr>
          <w:rFonts w:ascii="Times New Roman" w:hAnsi="Times New Roman"/>
          <w:lang w:val="es-ES_tradnl"/>
        </w:rPr>
        <w:t>de</w:t>
      </w:r>
      <w:r>
        <w:rPr>
          <w:rFonts w:ascii="Times New Roman" w:hAnsi="Times New Roman"/>
          <w:lang w:val="es-ES_tradnl"/>
        </w:rPr>
        <w:t>l</w:t>
      </w:r>
      <w:r w:rsidRPr="00A3053B">
        <w:rPr>
          <w:rFonts w:ascii="Times New Roman" w:hAnsi="Times New Roman"/>
          <w:lang w:val="es-ES_tradnl"/>
        </w:rPr>
        <w:t xml:space="preserve"> IDB - ECLAC, CAF.</w:t>
      </w:r>
      <w:r>
        <w:rPr>
          <w:rFonts w:ascii="Times New Roman" w:hAnsi="Times New Roman"/>
          <w:lang w:val="es-ES_tradnl"/>
        </w:rPr>
        <w:t xml:space="preserve"> La medición incluye todos los sectores de infraestructura; agua, energía, transporte y telecomunicaciones. </w:t>
      </w:r>
    </w:p>
  </w:footnote>
  <w:footnote w:id="5">
    <w:p w14:paraId="6506A998" w14:textId="77777777" w:rsidR="007E5266" w:rsidRPr="007F60E3" w:rsidRDefault="007E5266" w:rsidP="004253E8">
      <w:pPr>
        <w:pStyle w:val="FootnoteText"/>
        <w:jc w:val="both"/>
        <w:rPr>
          <w:rFonts w:ascii="Times New Roman" w:hAnsi="Times New Roman"/>
          <w:lang w:val="es-ES_tradnl"/>
        </w:rPr>
      </w:pPr>
      <w:r w:rsidRPr="007F60E3">
        <w:rPr>
          <w:rStyle w:val="FootnoteReference"/>
          <w:rFonts w:ascii="Times New Roman" w:hAnsi="Times New Roman"/>
        </w:rPr>
        <w:footnoteRef/>
      </w:r>
      <w:r w:rsidRPr="007F60E3">
        <w:rPr>
          <w:rFonts w:ascii="Times New Roman" w:hAnsi="Times New Roman"/>
          <w:lang w:val="es-ES_tradnl"/>
        </w:rPr>
        <w:t xml:space="preserve"> Esta iniciativa fue creada en el año 2000 con el fin último de “impulsar la integración y modernización de la infraestructura física bajo una concepción regional del espacio suramericano” (Comunicado de Brasilia, 2000).</w:t>
      </w:r>
    </w:p>
  </w:footnote>
  <w:footnote w:id="6">
    <w:p w14:paraId="4BA52946" w14:textId="77777777" w:rsidR="007E5266" w:rsidRPr="004253E8" w:rsidRDefault="007E5266" w:rsidP="004253E8">
      <w:pPr>
        <w:pStyle w:val="FootnoteText"/>
        <w:jc w:val="both"/>
        <w:rPr>
          <w:lang w:val="es-ES_tradnl"/>
        </w:rPr>
      </w:pPr>
      <w:r>
        <w:rPr>
          <w:rStyle w:val="FootnoteReference"/>
        </w:rPr>
        <w:footnoteRef/>
      </w:r>
      <w:r w:rsidRPr="004253E8">
        <w:rPr>
          <w:lang w:val="es-ES_tradnl"/>
        </w:rPr>
        <w:t xml:space="preserve"> </w:t>
      </w:r>
      <w:r w:rsidRPr="004253E8">
        <w:rPr>
          <w:rFonts w:ascii="Times New Roman" w:hAnsi="Times New Roman"/>
          <w:szCs w:val="18"/>
          <w:lang w:val="es-ES_tradnl"/>
        </w:rPr>
        <w:t>Información</w:t>
      </w:r>
      <w:r w:rsidRPr="004253E8">
        <w:rPr>
          <w:rFonts w:ascii="Times New Roman" w:eastAsiaTheme="minorHAnsi" w:hAnsi="Times New Roman"/>
          <w:szCs w:val="18"/>
          <w:lang w:val="es-ES"/>
        </w:rPr>
        <w:t xml:space="preserve"> detallada sobre los Ejes de Integración y Desarrollo de IIRSA/COSIPLAN se encuentra disponible en </w:t>
      </w:r>
      <w:hyperlink r:id="rId1" w:history="1">
        <w:r w:rsidRPr="004253E8">
          <w:rPr>
            <w:rStyle w:val="Hyperlink"/>
            <w:rFonts w:ascii="Times New Roman" w:eastAsiaTheme="minorHAnsi" w:hAnsi="Times New Roman"/>
            <w:szCs w:val="18"/>
            <w:lang w:val="es-ES"/>
          </w:rPr>
          <w:t>http://iirsa.org/infographic</w:t>
        </w:r>
      </w:hyperlink>
    </w:p>
  </w:footnote>
  <w:footnote w:id="7">
    <w:p w14:paraId="1A2D4257" w14:textId="4D6AD4EF" w:rsidR="007E5266" w:rsidRPr="004253E8" w:rsidRDefault="007E5266" w:rsidP="004253E8">
      <w:pPr>
        <w:pStyle w:val="FootnoteText"/>
        <w:jc w:val="both"/>
        <w:rPr>
          <w:szCs w:val="18"/>
          <w:lang w:val="es-ES_tradnl"/>
        </w:rPr>
      </w:pPr>
      <w:r w:rsidRPr="00B62CFA">
        <w:rPr>
          <w:rStyle w:val="FootnoteReference"/>
          <w:sz w:val="16"/>
        </w:rPr>
        <w:footnoteRef/>
      </w:r>
      <w:r w:rsidRPr="00B62CFA">
        <w:rPr>
          <w:sz w:val="16"/>
          <w:lang w:val="es-ES_tradnl"/>
        </w:rPr>
        <w:t xml:space="preserve"> </w:t>
      </w:r>
      <w:r w:rsidRPr="004253E8">
        <w:rPr>
          <w:rFonts w:ascii="Times New Roman" w:hAnsi="Times New Roman"/>
          <w:szCs w:val="18"/>
          <w:lang w:val="es-ES_tradnl"/>
        </w:rPr>
        <w:t xml:space="preserve">Dentro de la cartera de proyectos de IIRSA, Bolivia cuenta </w:t>
      </w:r>
      <w:r>
        <w:rPr>
          <w:rFonts w:ascii="Times New Roman" w:hAnsi="Times New Roman"/>
          <w:szCs w:val="18"/>
          <w:lang w:val="es-ES_tradnl"/>
        </w:rPr>
        <w:t xml:space="preserve">en la actualidad </w:t>
      </w:r>
      <w:r w:rsidRPr="004253E8">
        <w:rPr>
          <w:rFonts w:ascii="Times New Roman" w:hAnsi="Times New Roman"/>
          <w:szCs w:val="18"/>
          <w:lang w:val="es-ES_tradnl"/>
        </w:rPr>
        <w:t>con 20 proyectos que son de carácter binacional o trinacional.</w:t>
      </w:r>
      <w:r w:rsidR="003177C4">
        <w:rPr>
          <w:rFonts w:ascii="Times New Roman" w:hAnsi="Times New Roman"/>
          <w:szCs w:val="18"/>
          <w:lang w:val="es-ES_tradnl"/>
        </w:rPr>
        <w:t xml:space="preserve"> </w:t>
      </w:r>
      <w:hyperlink r:id="rId2" w:history="1">
        <w:r w:rsidR="003177C4" w:rsidRPr="000B6935">
          <w:rPr>
            <w:rStyle w:val="Hyperlink"/>
            <w:rFonts w:ascii="Times New Roman" w:hAnsi="Times New Roman"/>
            <w:szCs w:val="18"/>
            <w:lang w:val="es-ES_tradnl"/>
          </w:rPr>
          <w:t>http://iirsa.org/proyectos/</w:t>
        </w:r>
      </w:hyperlink>
      <w:r w:rsidR="003177C4">
        <w:rPr>
          <w:rFonts w:ascii="Times New Roman" w:hAnsi="Times New Roman"/>
          <w:szCs w:val="18"/>
          <w:lang w:val="es-ES_tradnl"/>
        </w:rPr>
        <w:t xml:space="preserve"> </w:t>
      </w:r>
      <w:r w:rsidRPr="004253E8">
        <w:rPr>
          <w:rFonts w:ascii="Times New Roman" w:hAnsi="Times New Roman"/>
          <w:szCs w:val="18"/>
          <w:lang w:val="es-ES_tradnl"/>
        </w:rPr>
        <w:t xml:space="preserve"> </w:t>
      </w:r>
    </w:p>
  </w:footnote>
  <w:footnote w:id="8">
    <w:p w14:paraId="5556CA43" w14:textId="77777777" w:rsidR="007E5266" w:rsidRPr="002736A6" w:rsidRDefault="007E5266" w:rsidP="002736A6">
      <w:pPr>
        <w:pStyle w:val="FootnoteText"/>
        <w:jc w:val="both"/>
        <w:rPr>
          <w:lang w:val="es-ES_tradnl"/>
        </w:rPr>
      </w:pPr>
      <w:r>
        <w:rPr>
          <w:rStyle w:val="FootnoteReference"/>
        </w:rPr>
        <w:footnoteRef/>
      </w:r>
      <w:r w:rsidRPr="002736A6">
        <w:rPr>
          <w:lang w:val="es-ES_tradnl"/>
        </w:rPr>
        <w:t xml:space="preserve"> </w:t>
      </w:r>
      <w:r w:rsidRPr="005E43A3">
        <w:rPr>
          <w:rFonts w:ascii="Times New Roman" w:hAnsi="Times New Roman"/>
          <w:szCs w:val="18"/>
          <w:lang w:val="es-ES_tradnl"/>
        </w:rPr>
        <w:t>La Comunidad Andina es un organismo de integración económica, cuyo objetivo es promover el desarrollo equilibrado y armónico de sus países miembros en condiciones de equidad, acelerar el crecimiento por medio de la integración y la cooperación económica y social. Los países que la integran son Bolivia, Colombia, Ecuador y Perú.</w:t>
      </w:r>
    </w:p>
  </w:footnote>
  <w:footnote w:id="9">
    <w:p w14:paraId="7D9A5131" w14:textId="51CDCB3E" w:rsidR="007E5266" w:rsidRPr="002736A6" w:rsidRDefault="007E5266" w:rsidP="002736A6">
      <w:pPr>
        <w:pStyle w:val="FootnoteText"/>
        <w:jc w:val="both"/>
        <w:rPr>
          <w:lang w:val="es-ES_tradnl"/>
        </w:rPr>
      </w:pPr>
      <w:r>
        <w:rPr>
          <w:rStyle w:val="FootnoteReference"/>
        </w:rPr>
        <w:footnoteRef/>
      </w:r>
      <w:r w:rsidRPr="002736A6">
        <w:rPr>
          <w:lang w:val="es-ES_tradnl"/>
        </w:rPr>
        <w:t xml:space="preserve"> </w:t>
      </w:r>
      <w:r w:rsidRPr="005E43A3">
        <w:rPr>
          <w:rFonts w:ascii="Times New Roman" w:hAnsi="Times New Roman"/>
          <w:color w:val="000000" w:themeColor="text1"/>
          <w:szCs w:val="18"/>
          <w:lang w:val="es-ES_tradnl"/>
        </w:rPr>
        <w:t>El MERCOSUR es un proceso de integración regional instituido inicialmente por Argentina, Brasil, Paraguay y Uruguay al cual en fases posteriores se ha incorporado Venezuela y Bolivia</w:t>
      </w:r>
      <w:r w:rsidR="00E6274B">
        <w:rPr>
          <w:rFonts w:ascii="Times New Roman" w:hAnsi="Times New Roman"/>
          <w:color w:val="000000" w:themeColor="text1"/>
          <w:szCs w:val="18"/>
          <w:lang w:val="es-ES_tradnl"/>
        </w:rPr>
        <w:t xml:space="preserve"> actualmente en proceso de adhesión</w:t>
      </w:r>
      <w:r w:rsidRPr="005E43A3">
        <w:rPr>
          <w:rFonts w:ascii="Times New Roman" w:hAnsi="Times New Roman"/>
          <w:color w:val="000000" w:themeColor="text1"/>
          <w:szCs w:val="18"/>
          <w:lang w:val="es-ES_tradnl"/>
        </w:rPr>
        <w:t>. Tiene como objetivo propiciar un espacio común para generar oportunidades comerciales y de inversión a través de la integración competitivas de las economías nacionales al mercado internacional.</w:t>
      </w:r>
    </w:p>
  </w:footnote>
  <w:footnote w:id="10">
    <w:p w14:paraId="2429B160" w14:textId="77777777" w:rsidR="007E5266" w:rsidRPr="00660BC6" w:rsidRDefault="007E5266" w:rsidP="00660BC6">
      <w:pPr>
        <w:pStyle w:val="FootnoteText"/>
        <w:jc w:val="both"/>
        <w:rPr>
          <w:lang w:val="es-ES_tradnl"/>
        </w:rPr>
      </w:pPr>
      <w:r>
        <w:rPr>
          <w:rStyle w:val="FootnoteReference"/>
        </w:rPr>
        <w:footnoteRef/>
      </w:r>
      <w:r w:rsidRPr="00660BC6">
        <w:rPr>
          <w:lang w:val="es-ES_tradnl"/>
        </w:rPr>
        <w:t xml:space="preserve"> </w:t>
      </w:r>
      <w:r w:rsidRPr="00660BC6">
        <w:rPr>
          <w:rFonts w:ascii="Times New Roman" w:hAnsi="Times New Roman"/>
          <w:szCs w:val="18"/>
          <w:lang w:val="es-ES_tradnl"/>
        </w:rPr>
        <w:t>Si bien resultan prometedores, los beneficios económicos potenciales de la integración pueden estar limitados por la magnitud de las demás fricciones comerciales, como los costos de información y de transporte (Hummels, 2001; Anderson y van Wincoop, 2004).</w:t>
      </w:r>
    </w:p>
  </w:footnote>
  <w:footnote w:id="11">
    <w:p w14:paraId="6E866AFE" w14:textId="77777777" w:rsidR="007E5266" w:rsidRPr="00162B42" w:rsidRDefault="007E5266" w:rsidP="003B7B47">
      <w:pPr>
        <w:pStyle w:val="FootnoteText"/>
        <w:rPr>
          <w:lang w:val="es-ES_tradnl"/>
        </w:rPr>
      </w:pPr>
      <w:r>
        <w:rPr>
          <w:rStyle w:val="FootnoteReference"/>
        </w:rPr>
        <w:footnoteRef/>
      </w:r>
      <w:r w:rsidRPr="00162B42">
        <w:rPr>
          <w:lang w:val="es-ES_tradnl"/>
        </w:rPr>
        <w:t xml:space="preserve"> </w:t>
      </w:r>
      <w:r w:rsidRPr="001A2472">
        <w:rPr>
          <w:rFonts w:ascii="Times New Roman" w:hAnsi="Times New Roman"/>
          <w:szCs w:val="18"/>
          <w:lang w:val="es-ES_tradnl"/>
        </w:rPr>
        <w:t xml:space="preserve">Instituto Nacional de Estadísticas (INE) de Bolivia </w:t>
      </w:r>
      <w:hyperlink r:id="rId3" w:history="1">
        <w:r w:rsidRPr="001A2472">
          <w:rPr>
            <w:rStyle w:val="Hyperlink"/>
            <w:rFonts w:ascii="Times New Roman" w:hAnsi="Times New Roman"/>
            <w:szCs w:val="18"/>
            <w:lang w:val="es-ES_tradnl"/>
          </w:rPr>
          <w:t>www.ine.gob.bo</w:t>
        </w:r>
      </w:hyperlink>
    </w:p>
  </w:footnote>
  <w:footnote w:id="12">
    <w:p w14:paraId="35C3782D" w14:textId="5B5B6829" w:rsidR="007E5266" w:rsidRPr="00454613" w:rsidRDefault="007E5266" w:rsidP="00BE5B41">
      <w:pPr>
        <w:pStyle w:val="FootnoteText"/>
        <w:jc w:val="both"/>
        <w:rPr>
          <w:lang w:val="es-ES_tradnl"/>
        </w:rPr>
      </w:pPr>
      <w:r>
        <w:rPr>
          <w:rStyle w:val="FootnoteReference"/>
        </w:rPr>
        <w:footnoteRef/>
      </w:r>
      <w:r w:rsidRPr="00454613">
        <w:rPr>
          <w:lang w:val="es-ES_tradnl"/>
        </w:rPr>
        <w:t xml:space="preserve"> </w:t>
      </w:r>
      <w:r w:rsidRPr="00454613">
        <w:rPr>
          <w:rFonts w:ascii="Times New Roman" w:eastAsiaTheme="minorHAnsi" w:hAnsi="Times New Roman"/>
          <w:lang w:val="es-ES"/>
        </w:rPr>
        <w:t xml:space="preserve">El porcentaje de </w:t>
      </w:r>
      <w:r>
        <w:rPr>
          <w:rFonts w:ascii="Times New Roman" w:eastAsiaTheme="minorHAnsi" w:hAnsi="Times New Roman"/>
          <w:lang w:val="es-ES"/>
        </w:rPr>
        <w:t>Comercio Intrarregional (CI)</w:t>
      </w:r>
      <w:r w:rsidRPr="00454613">
        <w:rPr>
          <w:rFonts w:ascii="Times New Roman" w:eastAsiaTheme="minorHAnsi" w:hAnsi="Times New Roman"/>
          <w:lang w:val="es-ES"/>
        </w:rPr>
        <w:t xml:space="preserve"> es una medida de interdependencia </w:t>
      </w:r>
      <w:r>
        <w:rPr>
          <w:rFonts w:ascii="Times New Roman" w:eastAsiaTheme="minorHAnsi" w:hAnsi="Times New Roman"/>
          <w:lang w:val="es-ES"/>
        </w:rPr>
        <w:t>que</w:t>
      </w:r>
      <w:r w:rsidRPr="00454613">
        <w:rPr>
          <w:rFonts w:ascii="Times New Roman" w:eastAsiaTheme="minorHAnsi" w:hAnsi="Times New Roman"/>
          <w:lang w:val="es-ES"/>
        </w:rPr>
        <w:t xml:space="preserve"> muestra la importancia relativa del comercio intrarregional versus la dependencia hacia el comercio extra regional.</w:t>
      </w:r>
      <w:r>
        <w:rPr>
          <w:rFonts w:ascii="Times New Roman" w:eastAsiaTheme="minorHAnsi" w:hAnsi="Times New Roman"/>
          <w:lang w:val="es-ES"/>
        </w:rPr>
        <w:t xml:space="preserve"> De acuerdo a estimaciones del Banco de Desarrollo Asiático (ADB), e</w:t>
      </w:r>
      <w:r w:rsidRPr="00454613">
        <w:rPr>
          <w:rFonts w:ascii="Times New Roman" w:eastAsiaTheme="minorHAnsi" w:hAnsi="Times New Roman"/>
          <w:lang w:val="es-ES"/>
        </w:rPr>
        <w:t>st</w:t>
      </w:r>
      <w:r>
        <w:rPr>
          <w:rFonts w:ascii="Times New Roman" w:eastAsiaTheme="minorHAnsi" w:hAnsi="Times New Roman"/>
          <w:lang w:val="es-ES"/>
        </w:rPr>
        <w:t>e</w:t>
      </w:r>
      <w:r w:rsidRPr="00454613">
        <w:rPr>
          <w:rFonts w:ascii="Times New Roman" w:eastAsiaTheme="minorHAnsi" w:hAnsi="Times New Roman"/>
          <w:lang w:val="es-ES"/>
        </w:rPr>
        <w:t xml:space="preserve"> ratio e</w:t>
      </w:r>
      <w:r>
        <w:rPr>
          <w:rFonts w:ascii="Times New Roman" w:eastAsiaTheme="minorHAnsi" w:hAnsi="Times New Roman"/>
          <w:lang w:val="es-ES"/>
        </w:rPr>
        <w:t>s</w:t>
      </w:r>
      <w:r w:rsidRPr="00454613">
        <w:rPr>
          <w:rFonts w:ascii="Times New Roman" w:eastAsiaTheme="minorHAnsi" w:hAnsi="Times New Roman"/>
          <w:lang w:val="es-ES"/>
        </w:rPr>
        <w:t xml:space="preserve"> muy alto para la Unión </w:t>
      </w:r>
      <w:r>
        <w:rPr>
          <w:rFonts w:ascii="Times New Roman" w:eastAsiaTheme="minorHAnsi" w:hAnsi="Times New Roman"/>
          <w:lang w:val="es-ES"/>
        </w:rPr>
        <w:t xml:space="preserve">Europea (58% en el año 2007) y para los países del este asiático Asia (52% en el año 2007), para este último grupo de países, la tendencia es claramente creciente y muy próximo a la proporción observada para la Unión Europea. </w:t>
      </w:r>
    </w:p>
  </w:footnote>
  <w:footnote w:id="13">
    <w:p w14:paraId="199F4367" w14:textId="26F55CD6" w:rsidR="00795CED" w:rsidRPr="00760B2E" w:rsidRDefault="00795CED" w:rsidP="00760B2E">
      <w:pPr>
        <w:pStyle w:val="FootnoteText"/>
        <w:jc w:val="both"/>
        <w:rPr>
          <w:rFonts w:ascii="Times New Roman" w:hAnsi="Times New Roman"/>
          <w:lang w:val="es-ES_tradnl"/>
        </w:rPr>
      </w:pPr>
      <w:r>
        <w:rPr>
          <w:rStyle w:val="FootnoteReference"/>
        </w:rPr>
        <w:footnoteRef/>
      </w:r>
      <w:r w:rsidRPr="00795CED">
        <w:rPr>
          <w:lang w:val="es-ES_tradnl"/>
        </w:rPr>
        <w:t xml:space="preserve"> </w:t>
      </w:r>
      <w:r w:rsidR="00760B2E" w:rsidRPr="00760B2E">
        <w:rPr>
          <w:rFonts w:ascii="Times New Roman" w:hAnsi="Times New Roman"/>
          <w:lang w:val="es-ES_tradnl"/>
        </w:rPr>
        <w:t>Más precisamente, se espera</w:t>
      </w:r>
      <w:r w:rsidR="00760B2E">
        <w:rPr>
          <w:rFonts w:ascii="Times New Roman" w:hAnsi="Times New Roman"/>
          <w:lang w:val="es-ES_tradnl"/>
        </w:rPr>
        <w:t xml:space="preserve"> </w:t>
      </w:r>
      <w:r w:rsidR="00760B2E" w:rsidRPr="00760B2E">
        <w:rPr>
          <w:rFonts w:ascii="Times New Roman" w:hAnsi="Times New Roman"/>
          <w:lang w:val="es-ES_tradnl"/>
        </w:rPr>
        <w:t>que una reducción del 1% en los costos de transporte ad valorem produzca</w:t>
      </w:r>
      <w:r w:rsidR="00760B2E">
        <w:rPr>
          <w:rFonts w:ascii="Times New Roman" w:hAnsi="Times New Roman"/>
          <w:lang w:val="es-ES_tradnl"/>
        </w:rPr>
        <w:t xml:space="preserve"> </w:t>
      </w:r>
      <w:r w:rsidR="00760B2E" w:rsidRPr="00760B2E">
        <w:rPr>
          <w:rFonts w:ascii="Times New Roman" w:hAnsi="Times New Roman"/>
          <w:lang w:val="es-ES_tradnl"/>
        </w:rPr>
        <w:t>un incremento en las exportaciones que va desde el 1,3% en México hasta</w:t>
      </w:r>
      <w:r w:rsidR="00760B2E">
        <w:rPr>
          <w:rFonts w:ascii="Times New Roman" w:hAnsi="Times New Roman"/>
          <w:lang w:val="es-ES_tradnl"/>
        </w:rPr>
        <w:t xml:space="preserve"> el 4,5% en Chile</w:t>
      </w:r>
      <w:r w:rsidR="00C34A1A">
        <w:rPr>
          <w:rFonts w:ascii="Times New Roman" w:hAnsi="Times New Roman"/>
          <w:lang w:val="es-ES_tradnl"/>
        </w:rPr>
        <w:t xml:space="preserve"> (Ver Molina, D., Heuser, C y Mesquita, M., 2016)</w:t>
      </w:r>
      <w:r w:rsidR="00760B2E">
        <w:rPr>
          <w:rFonts w:ascii="Times New Roman" w:hAnsi="Times New Roman"/>
          <w:lang w:val="es-ES_tradnl"/>
        </w:rPr>
        <w:t>.</w:t>
      </w:r>
    </w:p>
  </w:footnote>
  <w:footnote w:id="14">
    <w:p w14:paraId="26E63163" w14:textId="77777777" w:rsidR="007E5266" w:rsidRPr="00433132" w:rsidRDefault="007E5266" w:rsidP="008064E8">
      <w:pPr>
        <w:autoSpaceDE w:val="0"/>
        <w:autoSpaceDN w:val="0"/>
        <w:adjustRightInd w:val="0"/>
        <w:spacing w:after="0" w:line="240" w:lineRule="auto"/>
        <w:jc w:val="both"/>
        <w:rPr>
          <w:rFonts w:ascii="Times New Roman" w:hAnsi="Times New Roman" w:cs="Times New Roman"/>
          <w:sz w:val="18"/>
          <w:szCs w:val="18"/>
          <w:lang w:val="es-ES_tradnl"/>
        </w:rPr>
      </w:pPr>
      <w:r w:rsidRPr="00433132">
        <w:rPr>
          <w:rStyle w:val="FootnoteReference"/>
          <w:rFonts w:ascii="Times New Roman" w:hAnsi="Times New Roman" w:cs="Times New Roman"/>
          <w:szCs w:val="18"/>
        </w:rPr>
        <w:footnoteRef/>
      </w:r>
      <w:r w:rsidRPr="00433132">
        <w:rPr>
          <w:rFonts w:ascii="Times New Roman" w:hAnsi="Times New Roman" w:cs="Times New Roman"/>
          <w:sz w:val="18"/>
          <w:szCs w:val="18"/>
          <w:lang w:val="es-ES_tradnl"/>
        </w:rPr>
        <w:t xml:space="preserve"> El ratio comercio/Producto Interno Bruto es medido como la suma del valor en USD del total de las exportaciones y las importaciones dividido por el Producto Interno Bruto. </w:t>
      </w:r>
    </w:p>
  </w:footnote>
  <w:footnote w:id="15">
    <w:p w14:paraId="0614ABEE" w14:textId="2B18B6DB" w:rsidR="005F21B7" w:rsidRPr="005F21B7" w:rsidRDefault="005F21B7" w:rsidP="005F21B7">
      <w:pPr>
        <w:pStyle w:val="FootnoteText"/>
        <w:jc w:val="both"/>
        <w:rPr>
          <w:sz w:val="12"/>
          <w:lang w:val="es-ES_tradnl"/>
        </w:rPr>
      </w:pPr>
      <w:r>
        <w:rPr>
          <w:rStyle w:val="FootnoteReference"/>
        </w:rPr>
        <w:footnoteRef/>
      </w:r>
      <w:r w:rsidRPr="005F21B7">
        <w:rPr>
          <w:lang w:val="es-ES_tradnl"/>
        </w:rPr>
        <w:t xml:space="preserve"> </w:t>
      </w:r>
      <w:r w:rsidRPr="005F21B7">
        <w:rPr>
          <w:rFonts w:ascii="Times New Roman" w:hAnsi="Times New Roman"/>
          <w:szCs w:val="24"/>
          <w:lang w:val="es-ES_tradnl"/>
        </w:rPr>
        <w:t>El porcentaje de comercio intrarregional de Bolivia fue de 81% de su comercio total en 2015, y analizando únicamente el destino de las exportaciones a los países de América Latina, pero excluyendo Centro América y el Caribe, casi el 90% es hacia la región de Sur América.</w:t>
      </w:r>
    </w:p>
  </w:footnote>
  <w:footnote w:id="16">
    <w:p w14:paraId="0E54A3AA" w14:textId="7395187D" w:rsidR="00B52F4C" w:rsidRPr="00B816CF" w:rsidRDefault="00B52F4C" w:rsidP="00B816CF">
      <w:pPr>
        <w:pStyle w:val="FootnoteText"/>
        <w:jc w:val="both"/>
        <w:rPr>
          <w:lang w:val="es-ES_tradnl"/>
        </w:rPr>
      </w:pPr>
      <w:r>
        <w:rPr>
          <w:rStyle w:val="FootnoteReference"/>
        </w:rPr>
        <w:footnoteRef/>
      </w:r>
      <w:r w:rsidRPr="00B816CF">
        <w:rPr>
          <w:lang w:val="es-ES_tradnl"/>
        </w:rPr>
        <w:t xml:space="preserve"> </w:t>
      </w:r>
      <w:r w:rsidRPr="00B52F4C">
        <w:rPr>
          <w:rFonts w:ascii="Times New Roman" w:hAnsi="Times New Roman"/>
          <w:lang w:val="es-ES_tradnl"/>
        </w:rPr>
        <w:t xml:space="preserve">Con </w:t>
      </w:r>
      <w:r w:rsidRPr="00B816CF">
        <w:rPr>
          <w:rFonts w:ascii="Times New Roman" w:hAnsi="Times New Roman"/>
          <w:lang w:val="es-ES_tradnl"/>
        </w:rPr>
        <w:t>datos de los Indicador</w:t>
      </w:r>
      <w:r w:rsidR="00FE4123">
        <w:rPr>
          <w:rFonts w:ascii="Times New Roman" w:hAnsi="Times New Roman"/>
          <w:lang w:val="es-ES_tradnl"/>
        </w:rPr>
        <w:t>es del Desarrollo Mundial (IDM</w:t>
      </w:r>
      <w:r w:rsidRPr="00B816CF">
        <w:rPr>
          <w:rFonts w:ascii="Times New Roman" w:hAnsi="Times New Roman"/>
          <w:lang w:val="es-ES_tradnl"/>
        </w:rPr>
        <w:t>), se observa que para el año 20</w:t>
      </w:r>
      <w:r>
        <w:rPr>
          <w:rFonts w:ascii="Times New Roman" w:hAnsi="Times New Roman"/>
          <w:lang w:val="es-ES_tradnl"/>
        </w:rPr>
        <w:t>08</w:t>
      </w:r>
      <w:r w:rsidRPr="00B816CF">
        <w:rPr>
          <w:rFonts w:ascii="Times New Roman" w:hAnsi="Times New Roman"/>
          <w:lang w:val="es-ES_tradnl"/>
        </w:rPr>
        <w:t>, el costo de importar (US$ por contenedor) para Bolivia fue</w:t>
      </w:r>
      <w:r w:rsidRPr="00B52F4C">
        <w:rPr>
          <w:rFonts w:ascii="Times New Roman" w:hAnsi="Times New Roman"/>
          <w:lang w:val="es-ES_tradnl"/>
        </w:rPr>
        <w:t xml:space="preserve"> 1</w:t>
      </w:r>
      <w:r w:rsidRPr="00B816CF">
        <w:rPr>
          <w:rFonts w:ascii="Times New Roman" w:hAnsi="Times New Roman"/>
          <w:lang w:val="es-ES_tradnl"/>
        </w:rPr>
        <w:t>6%</w:t>
      </w:r>
      <w:r>
        <w:rPr>
          <w:rFonts w:ascii="Times New Roman" w:hAnsi="Times New Roman"/>
          <w:lang w:val="es-ES_tradnl"/>
        </w:rPr>
        <w:t xml:space="preserve"> (o 285 dólares por contenedor) más</w:t>
      </w:r>
      <w:r w:rsidRPr="00B816CF">
        <w:rPr>
          <w:rFonts w:ascii="Times New Roman" w:hAnsi="Times New Roman"/>
          <w:lang w:val="es-ES_tradnl"/>
        </w:rPr>
        <w:t xml:space="preserve"> que el costo de importar promedio observado para todos los países de América Latina y el Caribe.</w:t>
      </w:r>
      <w:r>
        <w:rPr>
          <w:lang w:val="es-ES_tradnl"/>
        </w:rPr>
        <w:t xml:space="preserve"> </w:t>
      </w:r>
    </w:p>
  </w:footnote>
  <w:footnote w:id="17">
    <w:p w14:paraId="1AA6AFC9" w14:textId="10B3A5F5" w:rsidR="007E5266" w:rsidRPr="0073084C" w:rsidRDefault="007E5266" w:rsidP="0073084C">
      <w:pPr>
        <w:pStyle w:val="FootnoteText"/>
        <w:jc w:val="both"/>
        <w:rPr>
          <w:rFonts w:ascii="Times New Roman" w:hAnsi="Times New Roman"/>
          <w:lang w:val="es-ES_tradnl"/>
        </w:rPr>
      </w:pPr>
      <w:r w:rsidRPr="0073084C">
        <w:rPr>
          <w:rStyle w:val="FootnoteReference"/>
          <w:rFonts w:ascii="Times New Roman" w:hAnsi="Times New Roman"/>
        </w:rPr>
        <w:footnoteRef/>
      </w:r>
      <w:r w:rsidRPr="0073084C">
        <w:rPr>
          <w:rFonts w:ascii="Times New Roman" w:hAnsi="Times New Roman"/>
          <w:lang w:val="es-ES_tradnl"/>
        </w:rPr>
        <w:t xml:space="preserve"> La Red Vial Fundamental (eje La Paz-Cochabamba-Santa Cruz</w:t>
      </w:r>
      <w:r w:rsidR="001B73A2">
        <w:rPr>
          <w:rFonts w:ascii="Times New Roman" w:hAnsi="Times New Roman"/>
          <w:lang w:val="es-ES_tradnl"/>
        </w:rPr>
        <w:t>) tiene</w:t>
      </w:r>
      <w:r w:rsidRPr="0073084C">
        <w:rPr>
          <w:rFonts w:ascii="Times New Roman" w:hAnsi="Times New Roman"/>
          <w:lang w:val="es-ES_tradnl"/>
        </w:rPr>
        <w:t xml:space="preserve"> una extensión de 15.919 Kilómetros y</w:t>
      </w:r>
      <w:r w:rsidR="001B73A2">
        <w:rPr>
          <w:rFonts w:ascii="Times New Roman" w:hAnsi="Times New Roman"/>
          <w:lang w:val="es-ES_tradnl"/>
        </w:rPr>
        <w:t xml:space="preserve"> es</w:t>
      </w:r>
      <w:r w:rsidRPr="0073084C">
        <w:rPr>
          <w:rFonts w:ascii="Times New Roman" w:hAnsi="Times New Roman"/>
          <w:lang w:val="es-ES_tradnl"/>
        </w:rPr>
        <w:t xml:space="preserve"> administrada por la Administradora Boliviana de Carreteras</w:t>
      </w:r>
      <w:r w:rsidR="001B73A2">
        <w:rPr>
          <w:rFonts w:ascii="Times New Roman" w:hAnsi="Times New Roman"/>
          <w:lang w:val="es-ES_tradnl"/>
        </w:rPr>
        <w:t xml:space="preserve"> (ABC).</w:t>
      </w:r>
      <w:r w:rsidRPr="0073084C">
        <w:rPr>
          <w:rFonts w:ascii="Times New Roman" w:hAnsi="Times New Roman"/>
          <w:lang w:val="es-ES_tradnl"/>
        </w:rPr>
        <w:t xml:space="preserve"> </w:t>
      </w:r>
      <w:r w:rsidR="001B73A2">
        <w:rPr>
          <w:rFonts w:ascii="Times New Roman" w:hAnsi="Times New Roman"/>
          <w:lang w:val="es-ES_tradnl"/>
        </w:rPr>
        <w:t xml:space="preserve">La RVF </w:t>
      </w:r>
      <w:r w:rsidRPr="0073084C">
        <w:rPr>
          <w:rFonts w:ascii="Times New Roman" w:hAnsi="Times New Roman"/>
          <w:lang w:val="es-ES_tradnl"/>
        </w:rPr>
        <w:t>concentra aproximadame</w:t>
      </w:r>
      <w:r w:rsidR="001B73A2">
        <w:rPr>
          <w:rFonts w:ascii="Times New Roman" w:hAnsi="Times New Roman"/>
          <w:lang w:val="es-ES_tradnl"/>
        </w:rPr>
        <w:t>nte un 80% del tráfico nacional y</w:t>
      </w:r>
      <w:r w:rsidRPr="0073084C">
        <w:rPr>
          <w:rFonts w:ascii="Times New Roman" w:hAnsi="Times New Roman"/>
          <w:lang w:val="es-ES_tradnl"/>
        </w:rPr>
        <w:t xml:space="preserve"> conecta a las principales ciudades de Bolivia y al país con otros países de Sudamérica.</w:t>
      </w:r>
    </w:p>
  </w:footnote>
  <w:footnote w:id="18">
    <w:p w14:paraId="07B26BCB" w14:textId="7335F269" w:rsidR="007E5266" w:rsidRPr="005E43A3" w:rsidRDefault="007E5266" w:rsidP="00202ADB">
      <w:pPr>
        <w:pStyle w:val="FootnoteText"/>
        <w:ind w:left="180" w:hanging="180"/>
        <w:jc w:val="both"/>
        <w:rPr>
          <w:rFonts w:ascii="Times New Roman" w:hAnsi="Times New Roman"/>
          <w:szCs w:val="18"/>
          <w:lang w:val="es-ES_tradnl"/>
        </w:rPr>
      </w:pPr>
      <w:r w:rsidRPr="005E43A3">
        <w:rPr>
          <w:rStyle w:val="FootnoteReference"/>
          <w:rFonts w:ascii="Times New Roman" w:hAnsi="Times New Roman"/>
          <w:szCs w:val="18"/>
        </w:rPr>
        <w:footnoteRef/>
      </w:r>
      <w:r w:rsidRPr="005E43A3">
        <w:rPr>
          <w:rFonts w:ascii="Times New Roman" w:hAnsi="Times New Roman"/>
          <w:szCs w:val="18"/>
          <w:lang w:val="es-ES_tradnl"/>
        </w:rPr>
        <w:t xml:space="preserve"> </w:t>
      </w:r>
      <w:r w:rsidRPr="00C36DF9">
        <w:rPr>
          <w:rFonts w:ascii="Times New Roman" w:eastAsiaTheme="minorHAnsi" w:hAnsi="Times New Roman"/>
          <w:szCs w:val="18"/>
          <w:lang w:val="es-ES_tradnl"/>
        </w:rPr>
        <w:t xml:space="preserve">Los autores remarcan que las estimaciones </w:t>
      </w:r>
      <w:r w:rsidR="00884660">
        <w:rPr>
          <w:rFonts w:ascii="Times New Roman" w:eastAsiaTheme="minorHAnsi" w:hAnsi="Times New Roman"/>
          <w:szCs w:val="18"/>
          <w:lang w:val="es-ES_tradnl"/>
        </w:rPr>
        <w:t>son</w:t>
      </w:r>
      <w:r w:rsidRPr="00C36DF9">
        <w:rPr>
          <w:rFonts w:ascii="Times New Roman" w:eastAsiaTheme="minorHAnsi" w:hAnsi="Times New Roman"/>
          <w:szCs w:val="18"/>
          <w:lang w:val="es-ES_tradnl"/>
        </w:rPr>
        <w:t xml:space="preserve"> una aproximación porque al enfocarse en las exportaciones, no se está captando los efectos indirectos de los costos de producción, además del tema de causalidad inversa en el sentido de que los altos niveles de exportación tienden a disminuir los costos de transporte dado a la existencia de economías de escala.</w:t>
      </w:r>
    </w:p>
  </w:footnote>
  <w:footnote w:id="19">
    <w:p w14:paraId="62DDFFF2" w14:textId="77777777" w:rsidR="007E5266" w:rsidRPr="00207EC0" w:rsidRDefault="007E5266">
      <w:pPr>
        <w:pStyle w:val="FootnoteText"/>
        <w:rPr>
          <w:rFonts w:ascii="Times New Roman" w:hAnsi="Times New Roman"/>
          <w:szCs w:val="18"/>
          <w:lang w:val="es-ES_tradnl"/>
        </w:rPr>
      </w:pPr>
      <w:r w:rsidRPr="00207EC0">
        <w:rPr>
          <w:rStyle w:val="FootnoteReference"/>
          <w:rFonts w:ascii="Times New Roman" w:hAnsi="Times New Roman"/>
          <w:szCs w:val="18"/>
          <w:lang w:val="es-ES_tradnl"/>
        </w:rPr>
        <w:footnoteRef/>
      </w:r>
      <w:r w:rsidRPr="00207EC0">
        <w:rPr>
          <w:rFonts w:ascii="Times New Roman" w:hAnsi="Times New Roman"/>
          <w:szCs w:val="18"/>
          <w:lang w:val="es-ES_tradnl"/>
        </w:rPr>
        <w:t xml:space="preserve"> </w:t>
      </w:r>
      <w:r w:rsidRPr="00207EC0">
        <w:rPr>
          <w:rFonts w:ascii="Times New Roman" w:eastAsiaTheme="minorHAnsi" w:hAnsi="Times New Roman"/>
          <w:szCs w:val="18"/>
          <w:lang w:val="es-ES_tradnl"/>
        </w:rPr>
        <w:t>Aprobados en 2014 y 2015 respectivamente.</w:t>
      </w:r>
    </w:p>
  </w:footnote>
  <w:footnote w:id="20">
    <w:p w14:paraId="2EF9251C" w14:textId="720356DF" w:rsidR="000D505A" w:rsidRPr="000D505A" w:rsidRDefault="000D505A" w:rsidP="0061678A">
      <w:pPr>
        <w:pStyle w:val="FootnoteText"/>
        <w:jc w:val="both"/>
        <w:rPr>
          <w:lang w:val="es-ES_tradnl"/>
        </w:rPr>
      </w:pPr>
      <w:r>
        <w:rPr>
          <w:rStyle w:val="FootnoteReference"/>
        </w:rPr>
        <w:footnoteRef/>
      </w:r>
      <w:r w:rsidRPr="000D505A">
        <w:rPr>
          <w:lang w:val="es-ES_tradnl"/>
        </w:rPr>
        <w:t xml:space="preserve"> </w:t>
      </w:r>
      <w:r w:rsidRPr="000D505A">
        <w:rPr>
          <w:rFonts w:ascii="Times New Roman" w:hAnsi="Times New Roman"/>
          <w:lang w:val="es-ES_tradnl"/>
        </w:rPr>
        <w:t xml:space="preserve">Dato tomado de </w:t>
      </w:r>
      <w:r w:rsidR="00080264">
        <w:rPr>
          <w:rFonts w:ascii="Times New Roman" w:hAnsi="Times New Roman"/>
          <w:lang w:val="es-ES_tradnl"/>
        </w:rPr>
        <w:t xml:space="preserve">la </w:t>
      </w:r>
      <w:r w:rsidRPr="000D505A">
        <w:rPr>
          <w:rFonts w:ascii="Times New Roman" w:hAnsi="Times New Roman"/>
          <w:lang w:val="es-ES_tradnl"/>
        </w:rPr>
        <w:t xml:space="preserve">web del Gobierno Autónomo Departamental, Santa Cruz. </w:t>
      </w:r>
      <w:hyperlink r:id="rId4" w:history="1">
        <w:r w:rsidRPr="000D505A">
          <w:rPr>
            <w:rStyle w:val="Hyperlink"/>
            <w:rFonts w:ascii="Times New Roman" w:hAnsi="Times New Roman"/>
            <w:lang w:val="es-ES_tradnl"/>
          </w:rPr>
          <w:t>www.santacruz.gob.bo</w:t>
        </w:r>
      </w:hyperlink>
      <w:r>
        <w:rPr>
          <w:lang w:val="es-ES_tradnl"/>
        </w:rPr>
        <w:t xml:space="preserve"> </w:t>
      </w:r>
    </w:p>
  </w:footnote>
  <w:footnote w:id="21">
    <w:p w14:paraId="0F4D049F" w14:textId="0E8F2222" w:rsidR="00396A8C" w:rsidRPr="00545B66" w:rsidRDefault="00396A8C" w:rsidP="0061678A">
      <w:pPr>
        <w:pStyle w:val="FootnoteText"/>
        <w:jc w:val="both"/>
        <w:rPr>
          <w:rFonts w:ascii="Times New Roman" w:hAnsi="Times New Roman"/>
          <w:lang w:val="es-ES_tradnl"/>
        </w:rPr>
      </w:pPr>
      <w:r w:rsidRPr="00545B66">
        <w:rPr>
          <w:rStyle w:val="FootnoteReference"/>
          <w:rFonts w:ascii="Times New Roman" w:hAnsi="Times New Roman"/>
        </w:rPr>
        <w:footnoteRef/>
      </w:r>
      <w:r w:rsidRPr="00545B66">
        <w:rPr>
          <w:rFonts w:ascii="Times New Roman" w:hAnsi="Times New Roman"/>
          <w:lang w:val="es-ES_tradnl"/>
        </w:rPr>
        <w:t xml:space="preserve"> El Fuerte de Samaipata es Patrimonio Cultural de la Humanidad por la Unesco el año 1998.</w:t>
      </w:r>
    </w:p>
  </w:footnote>
  <w:footnote w:id="22">
    <w:p w14:paraId="6117A1AD" w14:textId="06B0854F" w:rsidR="00CB0BF5" w:rsidRPr="00CB0BF5" w:rsidRDefault="00CB0BF5" w:rsidP="0061678A">
      <w:pPr>
        <w:pStyle w:val="FootnoteText"/>
        <w:jc w:val="both"/>
        <w:rPr>
          <w:lang w:val="es-ES_tradnl"/>
        </w:rPr>
      </w:pPr>
      <w:r>
        <w:rPr>
          <w:rStyle w:val="FootnoteReference"/>
        </w:rPr>
        <w:footnoteRef/>
      </w:r>
      <w:r w:rsidRPr="00CB0BF5">
        <w:rPr>
          <w:lang w:val="es-ES_tradnl"/>
        </w:rPr>
        <w:t xml:space="preserve"> </w:t>
      </w:r>
      <w:r w:rsidR="00296C4F">
        <w:rPr>
          <w:rFonts w:ascii="Times New Roman" w:hAnsi="Times New Roman"/>
          <w:szCs w:val="18"/>
          <w:lang w:val="es-ES_tradnl"/>
        </w:rPr>
        <w:t>De acuerdo a la Matriz de R</w:t>
      </w:r>
      <w:r w:rsidRPr="00CB0BF5">
        <w:rPr>
          <w:rFonts w:ascii="Times New Roman" w:hAnsi="Times New Roman"/>
          <w:szCs w:val="18"/>
          <w:lang w:val="es-ES_tradnl"/>
        </w:rPr>
        <w:t xml:space="preserve">esultados del </w:t>
      </w:r>
      <w:r w:rsidR="00296C4F">
        <w:rPr>
          <w:rFonts w:ascii="Times New Roman" w:hAnsi="Times New Roman"/>
          <w:szCs w:val="18"/>
          <w:lang w:val="es-ES_tradnl"/>
        </w:rPr>
        <w:t>P</w:t>
      </w:r>
      <w:r w:rsidRPr="00CB0BF5">
        <w:rPr>
          <w:rFonts w:ascii="Times New Roman" w:hAnsi="Times New Roman"/>
          <w:szCs w:val="18"/>
          <w:lang w:val="es-ES_tradnl"/>
        </w:rPr>
        <w:t xml:space="preserve">royecto, los </w:t>
      </w:r>
      <w:r w:rsidRPr="00CB0BF5">
        <w:rPr>
          <w:rFonts w:ascii="Times New Roman" w:hAnsi="Times New Roman"/>
          <w:szCs w:val="18"/>
          <w:lang w:val="es-ES"/>
        </w:rPr>
        <w:t xml:space="preserve">tiempos promedio de viaje </w:t>
      </w:r>
      <w:r w:rsidR="0061678A">
        <w:rPr>
          <w:rFonts w:ascii="Times New Roman" w:hAnsi="Times New Roman"/>
          <w:szCs w:val="18"/>
          <w:lang w:val="es-ES"/>
        </w:rPr>
        <w:t>para todo tipo de vehículos</w:t>
      </w:r>
      <w:r w:rsidR="0061678A" w:rsidRPr="00CB0BF5">
        <w:rPr>
          <w:rFonts w:ascii="Times New Roman" w:hAnsi="Times New Roman"/>
          <w:szCs w:val="18"/>
          <w:lang w:val="es-ES"/>
        </w:rPr>
        <w:t xml:space="preserve"> </w:t>
      </w:r>
      <w:r w:rsidRPr="00CB0BF5">
        <w:rPr>
          <w:rFonts w:ascii="Times New Roman" w:hAnsi="Times New Roman"/>
          <w:szCs w:val="18"/>
          <w:lang w:val="es-ES"/>
        </w:rPr>
        <w:t>pasarían de 1.</w:t>
      </w:r>
      <w:r w:rsidR="0061678A">
        <w:rPr>
          <w:rFonts w:ascii="Times New Roman" w:hAnsi="Times New Roman"/>
          <w:szCs w:val="18"/>
          <w:lang w:val="es-ES"/>
        </w:rPr>
        <w:t>45</w:t>
      </w:r>
      <w:r w:rsidRPr="00CB0BF5">
        <w:rPr>
          <w:rFonts w:ascii="Times New Roman" w:hAnsi="Times New Roman"/>
          <w:szCs w:val="18"/>
          <w:lang w:val="es-ES"/>
        </w:rPr>
        <w:t xml:space="preserve"> horas en el año base de 2017 a 1.</w:t>
      </w:r>
      <w:r w:rsidR="0061678A">
        <w:rPr>
          <w:rFonts w:ascii="Times New Roman" w:hAnsi="Times New Roman"/>
          <w:szCs w:val="18"/>
          <w:lang w:val="es-ES"/>
        </w:rPr>
        <w:t xml:space="preserve">23 horas para el 2021. </w:t>
      </w:r>
    </w:p>
  </w:footnote>
  <w:footnote w:id="23">
    <w:p w14:paraId="35EEA7C2" w14:textId="0F8B858A" w:rsidR="001534CB" w:rsidRPr="001534CB" w:rsidRDefault="001534CB" w:rsidP="0061678A">
      <w:pPr>
        <w:pStyle w:val="FootnoteText"/>
        <w:jc w:val="both"/>
        <w:rPr>
          <w:lang w:val="es-ES_tradnl"/>
        </w:rPr>
      </w:pPr>
      <w:r>
        <w:rPr>
          <w:rStyle w:val="FootnoteReference"/>
        </w:rPr>
        <w:footnoteRef/>
      </w:r>
      <w:r w:rsidRPr="001534CB">
        <w:rPr>
          <w:lang w:val="es-ES_tradnl"/>
        </w:rPr>
        <w:t xml:space="preserve"> </w:t>
      </w:r>
      <w:r w:rsidR="00296C4F">
        <w:rPr>
          <w:rFonts w:ascii="Times New Roman" w:hAnsi="Times New Roman"/>
          <w:lang w:val="es-ES_tradnl"/>
        </w:rPr>
        <w:t>De acuerdo a la Matriz de R</w:t>
      </w:r>
      <w:r w:rsidRPr="001534CB">
        <w:rPr>
          <w:rFonts w:ascii="Times New Roman" w:hAnsi="Times New Roman"/>
          <w:lang w:val="es-ES_tradnl"/>
        </w:rPr>
        <w:t xml:space="preserve">esultados del </w:t>
      </w:r>
      <w:r w:rsidR="00296C4F">
        <w:rPr>
          <w:rFonts w:ascii="Times New Roman" w:hAnsi="Times New Roman"/>
          <w:lang w:val="es-ES_tradnl"/>
        </w:rPr>
        <w:t>P</w:t>
      </w:r>
      <w:r w:rsidRPr="001534CB">
        <w:rPr>
          <w:rFonts w:ascii="Times New Roman" w:hAnsi="Times New Roman"/>
          <w:lang w:val="es-ES_tradnl"/>
        </w:rPr>
        <w:t>royecto, los costos de operación vehicular pasarían de 5.89 US$/veh-km a 5.47 US$/veh-km.</w:t>
      </w:r>
      <w:r>
        <w:rPr>
          <w:lang w:val="es-ES_trad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EDE"/>
    <w:multiLevelType w:val="multilevel"/>
    <w:tmpl w:val="95821A3C"/>
    <w:lvl w:ilvl="0">
      <w:start w:val="1"/>
      <w:numFmt w:val="upperRoman"/>
      <w:lvlText w:val="%1."/>
      <w:lvlJc w:val="right"/>
      <w:pPr>
        <w:ind w:left="720" w:hanging="360"/>
      </w:pPr>
      <w:rPr>
        <w:b/>
        <w:color w:val="1F497D"/>
        <w:lang w:val="es-ES_tradnl"/>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ECE20D7"/>
    <w:multiLevelType w:val="hybridMultilevel"/>
    <w:tmpl w:val="BB229F6C"/>
    <w:lvl w:ilvl="0" w:tplc="E6A28C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0728"/>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BF7B99"/>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1947D7"/>
    <w:multiLevelType w:val="hybridMultilevel"/>
    <w:tmpl w:val="43D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520D8"/>
    <w:multiLevelType w:val="hybridMultilevel"/>
    <w:tmpl w:val="63309D12"/>
    <w:lvl w:ilvl="0" w:tplc="F84C4430">
      <w:start w:val="6"/>
      <w:numFmt w:val="upperRoman"/>
      <w:lvlText w:val="%1."/>
      <w:lvlJc w:val="left"/>
      <w:pPr>
        <w:ind w:left="450" w:hanging="720"/>
      </w:pPr>
      <w:rPr>
        <w:rFonts w:hint="default"/>
        <w:b/>
        <w:color w:val="1F497D"/>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52C9217D"/>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08271C"/>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07360F"/>
    <w:multiLevelType w:val="hybridMultilevel"/>
    <w:tmpl w:val="48C8A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B7ECA"/>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EE22AE"/>
    <w:multiLevelType w:val="hybridMultilevel"/>
    <w:tmpl w:val="4FE8E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A0016"/>
    <w:multiLevelType w:val="multilevel"/>
    <w:tmpl w:val="4B66F85E"/>
    <w:lvl w:ilvl="0">
      <w:start w:val="1"/>
      <w:numFmt w:val="upperRoman"/>
      <w:lvlText w:val="%1."/>
      <w:lvlJc w:val="right"/>
      <w:pPr>
        <w:ind w:left="1260" w:hanging="720"/>
      </w:pPr>
      <w:rPr>
        <w:rFonts w:hint="default"/>
        <w:color w:val="44546A" w:themeColor="text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39C01AB"/>
    <w:multiLevelType w:val="multilevel"/>
    <w:tmpl w:val="95821A3C"/>
    <w:lvl w:ilvl="0">
      <w:start w:val="1"/>
      <w:numFmt w:val="upperRoman"/>
      <w:lvlText w:val="%1."/>
      <w:lvlJc w:val="right"/>
      <w:pPr>
        <w:ind w:left="720" w:hanging="360"/>
      </w:pPr>
      <w:rPr>
        <w:b/>
        <w:color w:val="1F497D"/>
        <w:lang w:val="es-ES_tradnl"/>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761B4E97"/>
    <w:multiLevelType w:val="multilevel"/>
    <w:tmpl w:val="F23EE2A8"/>
    <w:lvl w:ilvl="0">
      <w:start w:val="1"/>
      <w:numFmt w:val="upperRoman"/>
      <w:lvlText w:val="%1."/>
      <w:lvlJc w:val="right"/>
      <w:pPr>
        <w:ind w:left="1260" w:hanging="720"/>
      </w:pPr>
      <w:rPr>
        <w:rFonts w:hint="default"/>
        <w:color w:val="44546A" w:themeColor="text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1"/>
  </w:num>
  <w:num w:numId="3">
    <w:abstractNumId w:val="1"/>
  </w:num>
  <w:num w:numId="4">
    <w:abstractNumId w:val="8"/>
  </w:num>
  <w:num w:numId="5">
    <w:abstractNumId w:val="4"/>
  </w:num>
  <w:num w:numId="6">
    <w:abstractNumId w:val="7"/>
  </w:num>
  <w:num w:numId="7">
    <w:abstractNumId w:val="13"/>
  </w:num>
  <w:num w:numId="8">
    <w:abstractNumId w:val="10"/>
  </w:num>
  <w:num w:numId="9">
    <w:abstractNumId w:val="6"/>
  </w:num>
  <w:num w:numId="10">
    <w:abstractNumId w:val="0"/>
  </w:num>
  <w:num w:numId="11">
    <w:abstractNumId w:val="2"/>
  </w:num>
  <w:num w:numId="12">
    <w:abstractNumId w:val="9"/>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40"/>
    <w:rsid w:val="00000ABE"/>
    <w:rsid w:val="00003193"/>
    <w:rsid w:val="000040D4"/>
    <w:rsid w:val="00005E7F"/>
    <w:rsid w:val="0000726D"/>
    <w:rsid w:val="00013EB3"/>
    <w:rsid w:val="000156BA"/>
    <w:rsid w:val="0001573E"/>
    <w:rsid w:val="0002328B"/>
    <w:rsid w:val="00023B35"/>
    <w:rsid w:val="0002502D"/>
    <w:rsid w:val="000259FE"/>
    <w:rsid w:val="00026933"/>
    <w:rsid w:val="000277B3"/>
    <w:rsid w:val="000348C0"/>
    <w:rsid w:val="00045F84"/>
    <w:rsid w:val="0005014A"/>
    <w:rsid w:val="00050378"/>
    <w:rsid w:val="00052C4C"/>
    <w:rsid w:val="00053CA0"/>
    <w:rsid w:val="00054D5C"/>
    <w:rsid w:val="00054F51"/>
    <w:rsid w:val="000555E8"/>
    <w:rsid w:val="00060A9E"/>
    <w:rsid w:val="00062566"/>
    <w:rsid w:val="00065B59"/>
    <w:rsid w:val="0006626E"/>
    <w:rsid w:val="00066602"/>
    <w:rsid w:val="0006786A"/>
    <w:rsid w:val="00067B31"/>
    <w:rsid w:val="00070599"/>
    <w:rsid w:val="00070A4B"/>
    <w:rsid w:val="00070B15"/>
    <w:rsid w:val="00071BDC"/>
    <w:rsid w:val="000726E6"/>
    <w:rsid w:val="00074AF4"/>
    <w:rsid w:val="00080264"/>
    <w:rsid w:val="00084397"/>
    <w:rsid w:val="00085A3B"/>
    <w:rsid w:val="0009245F"/>
    <w:rsid w:val="00095DEC"/>
    <w:rsid w:val="000A4355"/>
    <w:rsid w:val="000A7D8F"/>
    <w:rsid w:val="000B541B"/>
    <w:rsid w:val="000B5CBA"/>
    <w:rsid w:val="000C0E84"/>
    <w:rsid w:val="000C1139"/>
    <w:rsid w:val="000C7AF8"/>
    <w:rsid w:val="000C7BB6"/>
    <w:rsid w:val="000D2718"/>
    <w:rsid w:val="000D272F"/>
    <w:rsid w:val="000D442D"/>
    <w:rsid w:val="000D505A"/>
    <w:rsid w:val="000D5C7D"/>
    <w:rsid w:val="000E1DB8"/>
    <w:rsid w:val="000E23DC"/>
    <w:rsid w:val="000E2513"/>
    <w:rsid w:val="000E48F0"/>
    <w:rsid w:val="000E654E"/>
    <w:rsid w:val="000E6B95"/>
    <w:rsid w:val="000E6C24"/>
    <w:rsid w:val="000F04A7"/>
    <w:rsid w:val="000F0A57"/>
    <w:rsid w:val="000F2706"/>
    <w:rsid w:val="000F352D"/>
    <w:rsid w:val="000F4231"/>
    <w:rsid w:val="000F5EBE"/>
    <w:rsid w:val="000F6C9B"/>
    <w:rsid w:val="001012B3"/>
    <w:rsid w:val="00103469"/>
    <w:rsid w:val="00103976"/>
    <w:rsid w:val="00103A82"/>
    <w:rsid w:val="001042A8"/>
    <w:rsid w:val="00112852"/>
    <w:rsid w:val="001140FB"/>
    <w:rsid w:val="001144B3"/>
    <w:rsid w:val="00114ED5"/>
    <w:rsid w:val="00123200"/>
    <w:rsid w:val="00124BDF"/>
    <w:rsid w:val="00125090"/>
    <w:rsid w:val="00131C1B"/>
    <w:rsid w:val="001353CF"/>
    <w:rsid w:val="001362D9"/>
    <w:rsid w:val="001402C2"/>
    <w:rsid w:val="001406B3"/>
    <w:rsid w:val="00143038"/>
    <w:rsid w:val="00145A96"/>
    <w:rsid w:val="0014694E"/>
    <w:rsid w:val="001510AB"/>
    <w:rsid w:val="001534CB"/>
    <w:rsid w:val="00153695"/>
    <w:rsid w:val="0015480E"/>
    <w:rsid w:val="001559CA"/>
    <w:rsid w:val="00156652"/>
    <w:rsid w:val="001569CC"/>
    <w:rsid w:val="0015792D"/>
    <w:rsid w:val="00157F1F"/>
    <w:rsid w:val="001649A6"/>
    <w:rsid w:val="0017323E"/>
    <w:rsid w:val="001749E8"/>
    <w:rsid w:val="00174ADD"/>
    <w:rsid w:val="00175EE2"/>
    <w:rsid w:val="0017655D"/>
    <w:rsid w:val="00182B63"/>
    <w:rsid w:val="00193A49"/>
    <w:rsid w:val="00193B28"/>
    <w:rsid w:val="00196E07"/>
    <w:rsid w:val="00197B9D"/>
    <w:rsid w:val="001A1001"/>
    <w:rsid w:val="001A20AE"/>
    <w:rsid w:val="001A55C7"/>
    <w:rsid w:val="001A7919"/>
    <w:rsid w:val="001A7B72"/>
    <w:rsid w:val="001B0F84"/>
    <w:rsid w:val="001B1CA4"/>
    <w:rsid w:val="001B2453"/>
    <w:rsid w:val="001B6C1B"/>
    <w:rsid w:val="001B71A9"/>
    <w:rsid w:val="001B73A2"/>
    <w:rsid w:val="001C2258"/>
    <w:rsid w:val="001C4513"/>
    <w:rsid w:val="001D05B1"/>
    <w:rsid w:val="001D169A"/>
    <w:rsid w:val="001D27B9"/>
    <w:rsid w:val="001E239D"/>
    <w:rsid w:val="001E41FB"/>
    <w:rsid w:val="001E4514"/>
    <w:rsid w:val="001E4F72"/>
    <w:rsid w:val="001E575F"/>
    <w:rsid w:val="001E5848"/>
    <w:rsid w:val="001E68B3"/>
    <w:rsid w:val="001F1E45"/>
    <w:rsid w:val="001F293D"/>
    <w:rsid w:val="002016C5"/>
    <w:rsid w:val="00202ADB"/>
    <w:rsid w:val="002042CD"/>
    <w:rsid w:val="0020461C"/>
    <w:rsid w:val="00207DAE"/>
    <w:rsid w:val="00207EC0"/>
    <w:rsid w:val="0021090C"/>
    <w:rsid w:val="00210E3F"/>
    <w:rsid w:val="00215616"/>
    <w:rsid w:val="0021676B"/>
    <w:rsid w:val="00216A24"/>
    <w:rsid w:val="00216A39"/>
    <w:rsid w:val="00217085"/>
    <w:rsid w:val="00220A32"/>
    <w:rsid w:val="00223214"/>
    <w:rsid w:val="0022497B"/>
    <w:rsid w:val="00225D21"/>
    <w:rsid w:val="002261B4"/>
    <w:rsid w:val="0022645C"/>
    <w:rsid w:val="0023344F"/>
    <w:rsid w:val="00234B0A"/>
    <w:rsid w:val="002401BC"/>
    <w:rsid w:val="00253764"/>
    <w:rsid w:val="00260666"/>
    <w:rsid w:val="00262A2A"/>
    <w:rsid w:val="00262CFC"/>
    <w:rsid w:val="0026740C"/>
    <w:rsid w:val="00270578"/>
    <w:rsid w:val="00271953"/>
    <w:rsid w:val="002736A6"/>
    <w:rsid w:val="00273FD3"/>
    <w:rsid w:val="00276C61"/>
    <w:rsid w:val="0028050A"/>
    <w:rsid w:val="0028674B"/>
    <w:rsid w:val="00294FD1"/>
    <w:rsid w:val="00295D5B"/>
    <w:rsid w:val="002961D7"/>
    <w:rsid w:val="002963B6"/>
    <w:rsid w:val="00296C4F"/>
    <w:rsid w:val="0029762B"/>
    <w:rsid w:val="002A0EC6"/>
    <w:rsid w:val="002A356B"/>
    <w:rsid w:val="002A7B5C"/>
    <w:rsid w:val="002B1025"/>
    <w:rsid w:val="002B1C71"/>
    <w:rsid w:val="002B704A"/>
    <w:rsid w:val="002C55A8"/>
    <w:rsid w:val="002C7217"/>
    <w:rsid w:val="002C7A95"/>
    <w:rsid w:val="002D0B49"/>
    <w:rsid w:val="002D2640"/>
    <w:rsid w:val="002D4E90"/>
    <w:rsid w:val="002D602F"/>
    <w:rsid w:val="002D6576"/>
    <w:rsid w:val="002E0B68"/>
    <w:rsid w:val="002E22CE"/>
    <w:rsid w:val="002E28FF"/>
    <w:rsid w:val="002E2F81"/>
    <w:rsid w:val="002E313F"/>
    <w:rsid w:val="002E34BF"/>
    <w:rsid w:val="002E47D5"/>
    <w:rsid w:val="002E58C1"/>
    <w:rsid w:val="002E77CC"/>
    <w:rsid w:val="002E7AEE"/>
    <w:rsid w:val="002F7834"/>
    <w:rsid w:val="00300506"/>
    <w:rsid w:val="003028B8"/>
    <w:rsid w:val="00305102"/>
    <w:rsid w:val="00305A71"/>
    <w:rsid w:val="003116CA"/>
    <w:rsid w:val="0031262A"/>
    <w:rsid w:val="003177C4"/>
    <w:rsid w:val="00317838"/>
    <w:rsid w:val="003211A5"/>
    <w:rsid w:val="00324364"/>
    <w:rsid w:val="00324E51"/>
    <w:rsid w:val="00341995"/>
    <w:rsid w:val="003449E6"/>
    <w:rsid w:val="00345226"/>
    <w:rsid w:val="0034645A"/>
    <w:rsid w:val="003566F9"/>
    <w:rsid w:val="003622AB"/>
    <w:rsid w:val="00362ABC"/>
    <w:rsid w:val="003640CE"/>
    <w:rsid w:val="00371BF9"/>
    <w:rsid w:val="003733BF"/>
    <w:rsid w:val="00374144"/>
    <w:rsid w:val="00374B9D"/>
    <w:rsid w:val="00374FC6"/>
    <w:rsid w:val="003769D0"/>
    <w:rsid w:val="00382B47"/>
    <w:rsid w:val="00382CC2"/>
    <w:rsid w:val="003876CA"/>
    <w:rsid w:val="003903A6"/>
    <w:rsid w:val="00390460"/>
    <w:rsid w:val="00391A3A"/>
    <w:rsid w:val="003923E5"/>
    <w:rsid w:val="003953FA"/>
    <w:rsid w:val="00396A8C"/>
    <w:rsid w:val="003971F6"/>
    <w:rsid w:val="003A0D77"/>
    <w:rsid w:val="003A1BCB"/>
    <w:rsid w:val="003A2545"/>
    <w:rsid w:val="003A3D1B"/>
    <w:rsid w:val="003A4764"/>
    <w:rsid w:val="003A7686"/>
    <w:rsid w:val="003B0411"/>
    <w:rsid w:val="003B1683"/>
    <w:rsid w:val="003B3BF3"/>
    <w:rsid w:val="003B5062"/>
    <w:rsid w:val="003B70D9"/>
    <w:rsid w:val="003B7B47"/>
    <w:rsid w:val="003C26DF"/>
    <w:rsid w:val="003C2F6F"/>
    <w:rsid w:val="003C476A"/>
    <w:rsid w:val="003C7698"/>
    <w:rsid w:val="003D2EDA"/>
    <w:rsid w:val="003D38A5"/>
    <w:rsid w:val="003D3E2E"/>
    <w:rsid w:val="003E2925"/>
    <w:rsid w:val="003E317D"/>
    <w:rsid w:val="003E4473"/>
    <w:rsid w:val="003E501F"/>
    <w:rsid w:val="003E564A"/>
    <w:rsid w:val="003E7EAA"/>
    <w:rsid w:val="003F12A1"/>
    <w:rsid w:val="003F63EB"/>
    <w:rsid w:val="003F6460"/>
    <w:rsid w:val="003F67BC"/>
    <w:rsid w:val="00400D27"/>
    <w:rsid w:val="00401FE3"/>
    <w:rsid w:val="004020B9"/>
    <w:rsid w:val="00404645"/>
    <w:rsid w:val="0040500D"/>
    <w:rsid w:val="004064CF"/>
    <w:rsid w:val="00407E3A"/>
    <w:rsid w:val="00412CC0"/>
    <w:rsid w:val="0041386F"/>
    <w:rsid w:val="004158C1"/>
    <w:rsid w:val="00415DB4"/>
    <w:rsid w:val="004235CC"/>
    <w:rsid w:val="0042525B"/>
    <w:rsid w:val="004253E8"/>
    <w:rsid w:val="00432BA1"/>
    <w:rsid w:val="00433132"/>
    <w:rsid w:val="00436DCC"/>
    <w:rsid w:val="00436F13"/>
    <w:rsid w:val="00437AF6"/>
    <w:rsid w:val="00441478"/>
    <w:rsid w:val="00441538"/>
    <w:rsid w:val="004422AB"/>
    <w:rsid w:val="0044346B"/>
    <w:rsid w:val="0044460C"/>
    <w:rsid w:val="00445508"/>
    <w:rsid w:val="004468CD"/>
    <w:rsid w:val="00454613"/>
    <w:rsid w:val="00454BC0"/>
    <w:rsid w:val="00456E73"/>
    <w:rsid w:val="00460A93"/>
    <w:rsid w:val="00461232"/>
    <w:rsid w:val="00462918"/>
    <w:rsid w:val="0046316B"/>
    <w:rsid w:val="00471BBB"/>
    <w:rsid w:val="00473D72"/>
    <w:rsid w:val="004761FB"/>
    <w:rsid w:val="00480D92"/>
    <w:rsid w:val="00483924"/>
    <w:rsid w:val="00485271"/>
    <w:rsid w:val="00487321"/>
    <w:rsid w:val="00491D47"/>
    <w:rsid w:val="00491D70"/>
    <w:rsid w:val="00492A04"/>
    <w:rsid w:val="00492C04"/>
    <w:rsid w:val="00495A25"/>
    <w:rsid w:val="004A4214"/>
    <w:rsid w:val="004A4707"/>
    <w:rsid w:val="004A4DB5"/>
    <w:rsid w:val="004A56C6"/>
    <w:rsid w:val="004A68A9"/>
    <w:rsid w:val="004A7318"/>
    <w:rsid w:val="004B4EDB"/>
    <w:rsid w:val="004B71B4"/>
    <w:rsid w:val="004C0613"/>
    <w:rsid w:val="004C3336"/>
    <w:rsid w:val="004C567F"/>
    <w:rsid w:val="004C5D59"/>
    <w:rsid w:val="004C6602"/>
    <w:rsid w:val="004D0BC4"/>
    <w:rsid w:val="004D1C40"/>
    <w:rsid w:val="004D45AB"/>
    <w:rsid w:val="004D51EE"/>
    <w:rsid w:val="004D52F2"/>
    <w:rsid w:val="004E068B"/>
    <w:rsid w:val="004E08B4"/>
    <w:rsid w:val="004E21F8"/>
    <w:rsid w:val="004E2EFF"/>
    <w:rsid w:val="004F02D0"/>
    <w:rsid w:val="004F2F36"/>
    <w:rsid w:val="004F547F"/>
    <w:rsid w:val="004F58C6"/>
    <w:rsid w:val="004F669B"/>
    <w:rsid w:val="00503523"/>
    <w:rsid w:val="005054D9"/>
    <w:rsid w:val="005100AD"/>
    <w:rsid w:val="00512D41"/>
    <w:rsid w:val="00513861"/>
    <w:rsid w:val="00514849"/>
    <w:rsid w:val="00514A29"/>
    <w:rsid w:val="00515AE1"/>
    <w:rsid w:val="00516C61"/>
    <w:rsid w:val="005175ED"/>
    <w:rsid w:val="005212FF"/>
    <w:rsid w:val="00522B48"/>
    <w:rsid w:val="005262E3"/>
    <w:rsid w:val="00531DBF"/>
    <w:rsid w:val="0053386C"/>
    <w:rsid w:val="00533C56"/>
    <w:rsid w:val="00534495"/>
    <w:rsid w:val="00535413"/>
    <w:rsid w:val="005403C9"/>
    <w:rsid w:val="005434FF"/>
    <w:rsid w:val="00545B66"/>
    <w:rsid w:val="00545DB8"/>
    <w:rsid w:val="005518C9"/>
    <w:rsid w:val="00552540"/>
    <w:rsid w:val="00554861"/>
    <w:rsid w:val="00560968"/>
    <w:rsid w:val="00560D49"/>
    <w:rsid w:val="005632E9"/>
    <w:rsid w:val="00566C07"/>
    <w:rsid w:val="00567FEA"/>
    <w:rsid w:val="00571743"/>
    <w:rsid w:val="0057684D"/>
    <w:rsid w:val="00576E4D"/>
    <w:rsid w:val="005820A2"/>
    <w:rsid w:val="00583BC1"/>
    <w:rsid w:val="00585ABE"/>
    <w:rsid w:val="00585B64"/>
    <w:rsid w:val="00597915"/>
    <w:rsid w:val="00597B6C"/>
    <w:rsid w:val="005A1115"/>
    <w:rsid w:val="005A7B4D"/>
    <w:rsid w:val="005B25EB"/>
    <w:rsid w:val="005B2A64"/>
    <w:rsid w:val="005B4767"/>
    <w:rsid w:val="005C0439"/>
    <w:rsid w:val="005C065E"/>
    <w:rsid w:val="005C1670"/>
    <w:rsid w:val="005C19C3"/>
    <w:rsid w:val="005C35C1"/>
    <w:rsid w:val="005C6001"/>
    <w:rsid w:val="005D01FB"/>
    <w:rsid w:val="005D1F31"/>
    <w:rsid w:val="005D4848"/>
    <w:rsid w:val="005D4BB1"/>
    <w:rsid w:val="005D79C5"/>
    <w:rsid w:val="005E5819"/>
    <w:rsid w:val="005E7522"/>
    <w:rsid w:val="005F0253"/>
    <w:rsid w:val="005F218F"/>
    <w:rsid w:val="005F21B7"/>
    <w:rsid w:val="005F4E0C"/>
    <w:rsid w:val="00605F57"/>
    <w:rsid w:val="0060734E"/>
    <w:rsid w:val="006079A4"/>
    <w:rsid w:val="00607D5B"/>
    <w:rsid w:val="0061421D"/>
    <w:rsid w:val="0061678A"/>
    <w:rsid w:val="0062761E"/>
    <w:rsid w:val="00633516"/>
    <w:rsid w:val="00633E9E"/>
    <w:rsid w:val="00636652"/>
    <w:rsid w:val="006404E9"/>
    <w:rsid w:val="00644F89"/>
    <w:rsid w:val="00647E22"/>
    <w:rsid w:val="006509EF"/>
    <w:rsid w:val="006517DC"/>
    <w:rsid w:val="006538A6"/>
    <w:rsid w:val="006538C1"/>
    <w:rsid w:val="00654503"/>
    <w:rsid w:val="006605F7"/>
    <w:rsid w:val="00660BC6"/>
    <w:rsid w:val="006672D4"/>
    <w:rsid w:val="00671A7D"/>
    <w:rsid w:val="006726F0"/>
    <w:rsid w:val="00674152"/>
    <w:rsid w:val="00683B96"/>
    <w:rsid w:val="0069082F"/>
    <w:rsid w:val="00691363"/>
    <w:rsid w:val="006938BA"/>
    <w:rsid w:val="006942F4"/>
    <w:rsid w:val="00695088"/>
    <w:rsid w:val="00696B5C"/>
    <w:rsid w:val="00696E5F"/>
    <w:rsid w:val="006A0E86"/>
    <w:rsid w:val="006A1577"/>
    <w:rsid w:val="006A2837"/>
    <w:rsid w:val="006A46F5"/>
    <w:rsid w:val="006A5CF7"/>
    <w:rsid w:val="006A6A5C"/>
    <w:rsid w:val="006A6D0B"/>
    <w:rsid w:val="006C0335"/>
    <w:rsid w:val="006C2301"/>
    <w:rsid w:val="006C54EF"/>
    <w:rsid w:val="006D0737"/>
    <w:rsid w:val="006D4D97"/>
    <w:rsid w:val="006D7D92"/>
    <w:rsid w:val="006E08F9"/>
    <w:rsid w:val="006E1C47"/>
    <w:rsid w:val="006E4372"/>
    <w:rsid w:val="006E43AD"/>
    <w:rsid w:val="006E4C7F"/>
    <w:rsid w:val="006E5A0D"/>
    <w:rsid w:val="006E6272"/>
    <w:rsid w:val="006F1B82"/>
    <w:rsid w:val="006F2288"/>
    <w:rsid w:val="006F6FFF"/>
    <w:rsid w:val="007014A8"/>
    <w:rsid w:val="00701654"/>
    <w:rsid w:val="00701E2C"/>
    <w:rsid w:val="00702185"/>
    <w:rsid w:val="0070286C"/>
    <w:rsid w:val="007039A7"/>
    <w:rsid w:val="007101C0"/>
    <w:rsid w:val="00710866"/>
    <w:rsid w:val="00714A01"/>
    <w:rsid w:val="00721372"/>
    <w:rsid w:val="00726FE6"/>
    <w:rsid w:val="0073084C"/>
    <w:rsid w:val="00734841"/>
    <w:rsid w:val="00734F49"/>
    <w:rsid w:val="00736985"/>
    <w:rsid w:val="00740811"/>
    <w:rsid w:val="007464FB"/>
    <w:rsid w:val="00750666"/>
    <w:rsid w:val="0075106C"/>
    <w:rsid w:val="0075279A"/>
    <w:rsid w:val="007534E2"/>
    <w:rsid w:val="00754075"/>
    <w:rsid w:val="00760B2E"/>
    <w:rsid w:val="00760D84"/>
    <w:rsid w:val="0076332A"/>
    <w:rsid w:val="00765730"/>
    <w:rsid w:val="0076578E"/>
    <w:rsid w:val="00771D8F"/>
    <w:rsid w:val="00772B1E"/>
    <w:rsid w:val="00772D26"/>
    <w:rsid w:val="00775548"/>
    <w:rsid w:val="00776958"/>
    <w:rsid w:val="00776DE6"/>
    <w:rsid w:val="00777DEA"/>
    <w:rsid w:val="00790AA0"/>
    <w:rsid w:val="007910D2"/>
    <w:rsid w:val="007953B0"/>
    <w:rsid w:val="00795CED"/>
    <w:rsid w:val="00796250"/>
    <w:rsid w:val="00797A9F"/>
    <w:rsid w:val="00797CD9"/>
    <w:rsid w:val="007A0538"/>
    <w:rsid w:val="007A06F4"/>
    <w:rsid w:val="007A565D"/>
    <w:rsid w:val="007A5CE4"/>
    <w:rsid w:val="007B0195"/>
    <w:rsid w:val="007B1C68"/>
    <w:rsid w:val="007B1C96"/>
    <w:rsid w:val="007B2550"/>
    <w:rsid w:val="007B386F"/>
    <w:rsid w:val="007B746B"/>
    <w:rsid w:val="007C14DB"/>
    <w:rsid w:val="007C26FC"/>
    <w:rsid w:val="007C5155"/>
    <w:rsid w:val="007C5CEB"/>
    <w:rsid w:val="007C704C"/>
    <w:rsid w:val="007D0D13"/>
    <w:rsid w:val="007D756C"/>
    <w:rsid w:val="007E11FF"/>
    <w:rsid w:val="007E4218"/>
    <w:rsid w:val="007E5266"/>
    <w:rsid w:val="007E5278"/>
    <w:rsid w:val="007F2784"/>
    <w:rsid w:val="007F2CF4"/>
    <w:rsid w:val="007F3CA5"/>
    <w:rsid w:val="007F3D2D"/>
    <w:rsid w:val="007F5DF1"/>
    <w:rsid w:val="007F60E3"/>
    <w:rsid w:val="007F6CFE"/>
    <w:rsid w:val="008064E8"/>
    <w:rsid w:val="008073BD"/>
    <w:rsid w:val="008078C5"/>
    <w:rsid w:val="00811912"/>
    <w:rsid w:val="00817202"/>
    <w:rsid w:val="00823D99"/>
    <w:rsid w:val="008256FC"/>
    <w:rsid w:val="00826C76"/>
    <w:rsid w:val="00827A53"/>
    <w:rsid w:val="008300E7"/>
    <w:rsid w:val="008319F1"/>
    <w:rsid w:val="00832B00"/>
    <w:rsid w:val="0083415B"/>
    <w:rsid w:val="00834726"/>
    <w:rsid w:val="00834F14"/>
    <w:rsid w:val="00836AAC"/>
    <w:rsid w:val="00844530"/>
    <w:rsid w:val="00846CCC"/>
    <w:rsid w:val="00851529"/>
    <w:rsid w:val="008579C5"/>
    <w:rsid w:val="00871618"/>
    <w:rsid w:val="008723F6"/>
    <w:rsid w:val="00875DE8"/>
    <w:rsid w:val="00883926"/>
    <w:rsid w:val="008842CF"/>
    <w:rsid w:val="00884660"/>
    <w:rsid w:val="00886ECB"/>
    <w:rsid w:val="0089656A"/>
    <w:rsid w:val="00897B5B"/>
    <w:rsid w:val="008A1763"/>
    <w:rsid w:val="008A429A"/>
    <w:rsid w:val="008B24CB"/>
    <w:rsid w:val="008B372F"/>
    <w:rsid w:val="008B3F0C"/>
    <w:rsid w:val="008B7170"/>
    <w:rsid w:val="008B7600"/>
    <w:rsid w:val="008D1FD6"/>
    <w:rsid w:val="008D20AB"/>
    <w:rsid w:val="008D29DD"/>
    <w:rsid w:val="008D6EAF"/>
    <w:rsid w:val="008E0757"/>
    <w:rsid w:val="008E1319"/>
    <w:rsid w:val="008E20FE"/>
    <w:rsid w:val="008E2209"/>
    <w:rsid w:val="008E483A"/>
    <w:rsid w:val="008E5414"/>
    <w:rsid w:val="008F465D"/>
    <w:rsid w:val="008F4BA5"/>
    <w:rsid w:val="008F6304"/>
    <w:rsid w:val="00900D0A"/>
    <w:rsid w:val="009010F0"/>
    <w:rsid w:val="00914486"/>
    <w:rsid w:val="00925D65"/>
    <w:rsid w:val="00933D32"/>
    <w:rsid w:val="00933DCC"/>
    <w:rsid w:val="00940035"/>
    <w:rsid w:val="009439BB"/>
    <w:rsid w:val="0094694B"/>
    <w:rsid w:val="009478A9"/>
    <w:rsid w:val="0095048D"/>
    <w:rsid w:val="00951438"/>
    <w:rsid w:val="009531CE"/>
    <w:rsid w:val="00954822"/>
    <w:rsid w:val="00954CB9"/>
    <w:rsid w:val="009550A8"/>
    <w:rsid w:val="009574D7"/>
    <w:rsid w:val="00962ED0"/>
    <w:rsid w:val="00962F3E"/>
    <w:rsid w:val="00963D84"/>
    <w:rsid w:val="009715B5"/>
    <w:rsid w:val="009719AE"/>
    <w:rsid w:val="00971CFA"/>
    <w:rsid w:val="00971D81"/>
    <w:rsid w:val="00972623"/>
    <w:rsid w:val="009739A8"/>
    <w:rsid w:val="0098095A"/>
    <w:rsid w:val="00980C71"/>
    <w:rsid w:val="00983FD0"/>
    <w:rsid w:val="00985197"/>
    <w:rsid w:val="00997E80"/>
    <w:rsid w:val="009A3723"/>
    <w:rsid w:val="009A550D"/>
    <w:rsid w:val="009B06D3"/>
    <w:rsid w:val="009B5BA1"/>
    <w:rsid w:val="009B61EF"/>
    <w:rsid w:val="009B6B49"/>
    <w:rsid w:val="009C15C5"/>
    <w:rsid w:val="009C195B"/>
    <w:rsid w:val="009C59E3"/>
    <w:rsid w:val="009C6D7D"/>
    <w:rsid w:val="009D1827"/>
    <w:rsid w:val="009D3132"/>
    <w:rsid w:val="009D5A6E"/>
    <w:rsid w:val="009D72DD"/>
    <w:rsid w:val="009D7D3D"/>
    <w:rsid w:val="009E0A3D"/>
    <w:rsid w:val="009E42AC"/>
    <w:rsid w:val="009E48D3"/>
    <w:rsid w:val="009E5FBD"/>
    <w:rsid w:val="009F1018"/>
    <w:rsid w:val="009F1621"/>
    <w:rsid w:val="009F3E60"/>
    <w:rsid w:val="009F64D6"/>
    <w:rsid w:val="009F784A"/>
    <w:rsid w:val="00A04DFA"/>
    <w:rsid w:val="00A06BF7"/>
    <w:rsid w:val="00A076EB"/>
    <w:rsid w:val="00A13709"/>
    <w:rsid w:val="00A13832"/>
    <w:rsid w:val="00A146FE"/>
    <w:rsid w:val="00A17360"/>
    <w:rsid w:val="00A17841"/>
    <w:rsid w:val="00A20A16"/>
    <w:rsid w:val="00A25688"/>
    <w:rsid w:val="00A27787"/>
    <w:rsid w:val="00A27896"/>
    <w:rsid w:val="00A3053B"/>
    <w:rsid w:val="00A329E1"/>
    <w:rsid w:val="00A35C32"/>
    <w:rsid w:val="00A4139E"/>
    <w:rsid w:val="00A472F8"/>
    <w:rsid w:val="00A50A35"/>
    <w:rsid w:val="00A51673"/>
    <w:rsid w:val="00A536B5"/>
    <w:rsid w:val="00A57D26"/>
    <w:rsid w:val="00A63274"/>
    <w:rsid w:val="00A637B9"/>
    <w:rsid w:val="00A63C23"/>
    <w:rsid w:val="00A64185"/>
    <w:rsid w:val="00A669CA"/>
    <w:rsid w:val="00A72BD8"/>
    <w:rsid w:val="00A73F0C"/>
    <w:rsid w:val="00A767DB"/>
    <w:rsid w:val="00A81F64"/>
    <w:rsid w:val="00A85869"/>
    <w:rsid w:val="00A8690A"/>
    <w:rsid w:val="00A87806"/>
    <w:rsid w:val="00A9188C"/>
    <w:rsid w:val="00A92B09"/>
    <w:rsid w:val="00A93BA5"/>
    <w:rsid w:val="00A96BDC"/>
    <w:rsid w:val="00AA1DB1"/>
    <w:rsid w:val="00AA1EEA"/>
    <w:rsid w:val="00AA5D8F"/>
    <w:rsid w:val="00AB4D7F"/>
    <w:rsid w:val="00AB5511"/>
    <w:rsid w:val="00AB6C78"/>
    <w:rsid w:val="00AB7CE8"/>
    <w:rsid w:val="00AC0499"/>
    <w:rsid w:val="00AC1EEA"/>
    <w:rsid w:val="00AC3AF8"/>
    <w:rsid w:val="00AC4039"/>
    <w:rsid w:val="00AC784E"/>
    <w:rsid w:val="00AD0331"/>
    <w:rsid w:val="00AD0512"/>
    <w:rsid w:val="00AD3D3C"/>
    <w:rsid w:val="00AD59E6"/>
    <w:rsid w:val="00AE05B1"/>
    <w:rsid w:val="00AE0978"/>
    <w:rsid w:val="00AF2104"/>
    <w:rsid w:val="00AF2C17"/>
    <w:rsid w:val="00AF4409"/>
    <w:rsid w:val="00AF65B0"/>
    <w:rsid w:val="00AF79B0"/>
    <w:rsid w:val="00B01054"/>
    <w:rsid w:val="00B039CE"/>
    <w:rsid w:val="00B0464A"/>
    <w:rsid w:val="00B05319"/>
    <w:rsid w:val="00B05F8F"/>
    <w:rsid w:val="00B06B20"/>
    <w:rsid w:val="00B146B5"/>
    <w:rsid w:val="00B17899"/>
    <w:rsid w:val="00B17D6F"/>
    <w:rsid w:val="00B23C11"/>
    <w:rsid w:val="00B25264"/>
    <w:rsid w:val="00B25762"/>
    <w:rsid w:val="00B25CD9"/>
    <w:rsid w:val="00B269C0"/>
    <w:rsid w:val="00B3350B"/>
    <w:rsid w:val="00B337A8"/>
    <w:rsid w:val="00B33CE8"/>
    <w:rsid w:val="00B367D3"/>
    <w:rsid w:val="00B41EC6"/>
    <w:rsid w:val="00B41F40"/>
    <w:rsid w:val="00B45B40"/>
    <w:rsid w:val="00B47319"/>
    <w:rsid w:val="00B47619"/>
    <w:rsid w:val="00B47F90"/>
    <w:rsid w:val="00B52385"/>
    <w:rsid w:val="00B52572"/>
    <w:rsid w:val="00B52F4C"/>
    <w:rsid w:val="00B60860"/>
    <w:rsid w:val="00B61ED5"/>
    <w:rsid w:val="00B62CFA"/>
    <w:rsid w:val="00B667F6"/>
    <w:rsid w:val="00B6736B"/>
    <w:rsid w:val="00B67A0A"/>
    <w:rsid w:val="00B704B7"/>
    <w:rsid w:val="00B7215B"/>
    <w:rsid w:val="00B726A5"/>
    <w:rsid w:val="00B73C29"/>
    <w:rsid w:val="00B751D4"/>
    <w:rsid w:val="00B7663D"/>
    <w:rsid w:val="00B816CF"/>
    <w:rsid w:val="00B832E2"/>
    <w:rsid w:val="00B97588"/>
    <w:rsid w:val="00BA0925"/>
    <w:rsid w:val="00BA3914"/>
    <w:rsid w:val="00BA490F"/>
    <w:rsid w:val="00BA591A"/>
    <w:rsid w:val="00BA6302"/>
    <w:rsid w:val="00BA680E"/>
    <w:rsid w:val="00BA6D28"/>
    <w:rsid w:val="00BB0A64"/>
    <w:rsid w:val="00BB142A"/>
    <w:rsid w:val="00BB2F24"/>
    <w:rsid w:val="00BB40B9"/>
    <w:rsid w:val="00BB64D3"/>
    <w:rsid w:val="00BB6905"/>
    <w:rsid w:val="00BB7858"/>
    <w:rsid w:val="00BC0955"/>
    <w:rsid w:val="00BC19DF"/>
    <w:rsid w:val="00BC247F"/>
    <w:rsid w:val="00BC4D03"/>
    <w:rsid w:val="00BC7571"/>
    <w:rsid w:val="00BD1F8E"/>
    <w:rsid w:val="00BD5298"/>
    <w:rsid w:val="00BD7A98"/>
    <w:rsid w:val="00BE1A48"/>
    <w:rsid w:val="00BE2682"/>
    <w:rsid w:val="00BE58C5"/>
    <w:rsid w:val="00BE5B41"/>
    <w:rsid w:val="00BE6386"/>
    <w:rsid w:val="00BF17E7"/>
    <w:rsid w:val="00BF27F9"/>
    <w:rsid w:val="00BF563C"/>
    <w:rsid w:val="00BF64DD"/>
    <w:rsid w:val="00C00D4F"/>
    <w:rsid w:val="00C0696E"/>
    <w:rsid w:val="00C10B47"/>
    <w:rsid w:val="00C119B1"/>
    <w:rsid w:val="00C1252D"/>
    <w:rsid w:val="00C227AD"/>
    <w:rsid w:val="00C235D3"/>
    <w:rsid w:val="00C34A1A"/>
    <w:rsid w:val="00C43F0A"/>
    <w:rsid w:val="00C4598E"/>
    <w:rsid w:val="00C509B2"/>
    <w:rsid w:val="00C51C94"/>
    <w:rsid w:val="00C57C89"/>
    <w:rsid w:val="00C6147C"/>
    <w:rsid w:val="00C6331F"/>
    <w:rsid w:val="00C63DDA"/>
    <w:rsid w:val="00C70F20"/>
    <w:rsid w:val="00C76410"/>
    <w:rsid w:val="00C769F8"/>
    <w:rsid w:val="00C80C5B"/>
    <w:rsid w:val="00C80D08"/>
    <w:rsid w:val="00C813CC"/>
    <w:rsid w:val="00C82356"/>
    <w:rsid w:val="00C838B0"/>
    <w:rsid w:val="00C85A66"/>
    <w:rsid w:val="00C86BA8"/>
    <w:rsid w:val="00C97883"/>
    <w:rsid w:val="00CA1933"/>
    <w:rsid w:val="00CA4B93"/>
    <w:rsid w:val="00CA75FB"/>
    <w:rsid w:val="00CB0390"/>
    <w:rsid w:val="00CB0A3F"/>
    <w:rsid w:val="00CB0BF5"/>
    <w:rsid w:val="00CB2532"/>
    <w:rsid w:val="00CB2D07"/>
    <w:rsid w:val="00CB528A"/>
    <w:rsid w:val="00CC0A8D"/>
    <w:rsid w:val="00CC1D28"/>
    <w:rsid w:val="00CC1D53"/>
    <w:rsid w:val="00CC25B1"/>
    <w:rsid w:val="00CC3144"/>
    <w:rsid w:val="00CC36F8"/>
    <w:rsid w:val="00CC615E"/>
    <w:rsid w:val="00CD1F3F"/>
    <w:rsid w:val="00CD2F5C"/>
    <w:rsid w:val="00CE0AD8"/>
    <w:rsid w:val="00CE2ED1"/>
    <w:rsid w:val="00CE70AD"/>
    <w:rsid w:val="00CF012D"/>
    <w:rsid w:val="00CF3BA8"/>
    <w:rsid w:val="00CF6CD4"/>
    <w:rsid w:val="00D04242"/>
    <w:rsid w:val="00D04FC9"/>
    <w:rsid w:val="00D07E35"/>
    <w:rsid w:val="00D1033F"/>
    <w:rsid w:val="00D10B7E"/>
    <w:rsid w:val="00D129EC"/>
    <w:rsid w:val="00D15E27"/>
    <w:rsid w:val="00D23208"/>
    <w:rsid w:val="00D23432"/>
    <w:rsid w:val="00D25BB2"/>
    <w:rsid w:val="00D26CA7"/>
    <w:rsid w:val="00D301CB"/>
    <w:rsid w:val="00D311DB"/>
    <w:rsid w:val="00D34346"/>
    <w:rsid w:val="00D36A3B"/>
    <w:rsid w:val="00D3796B"/>
    <w:rsid w:val="00D405E9"/>
    <w:rsid w:val="00D41E22"/>
    <w:rsid w:val="00D42EE6"/>
    <w:rsid w:val="00D433B9"/>
    <w:rsid w:val="00D4364F"/>
    <w:rsid w:val="00D438F0"/>
    <w:rsid w:val="00D45A5D"/>
    <w:rsid w:val="00D51281"/>
    <w:rsid w:val="00D5179B"/>
    <w:rsid w:val="00D531BD"/>
    <w:rsid w:val="00D54720"/>
    <w:rsid w:val="00D54DA7"/>
    <w:rsid w:val="00D610BC"/>
    <w:rsid w:val="00D63B58"/>
    <w:rsid w:val="00D63E33"/>
    <w:rsid w:val="00D741A1"/>
    <w:rsid w:val="00D747BB"/>
    <w:rsid w:val="00D8401B"/>
    <w:rsid w:val="00D85C78"/>
    <w:rsid w:val="00D86946"/>
    <w:rsid w:val="00D90EC5"/>
    <w:rsid w:val="00D91403"/>
    <w:rsid w:val="00DA3DA1"/>
    <w:rsid w:val="00DA4E70"/>
    <w:rsid w:val="00DB1D39"/>
    <w:rsid w:val="00DC11F2"/>
    <w:rsid w:val="00DC225E"/>
    <w:rsid w:val="00DC2A08"/>
    <w:rsid w:val="00DD18FE"/>
    <w:rsid w:val="00DD2147"/>
    <w:rsid w:val="00DD4080"/>
    <w:rsid w:val="00DD73DA"/>
    <w:rsid w:val="00DD7DEF"/>
    <w:rsid w:val="00DE03B2"/>
    <w:rsid w:val="00DE10CD"/>
    <w:rsid w:val="00DE158F"/>
    <w:rsid w:val="00DF0491"/>
    <w:rsid w:val="00DF2C98"/>
    <w:rsid w:val="00DF51FB"/>
    <w:rsid w:val="00DF52B9"/>
    <w:rsid w:val="00DF5431"/>
    <w:rsid w:val="00E002D2"/>
    <w:rsid w:val="00E005C6"/>
    <w:rsid w:val="00E04EA0"/>
    <w:rsid w:val="00E122E3"/>
    <w:rsid w:val="00E13C36"/>
    <w:rsid w:val="00E1703C"/>
    <w:rsid w:val="00E1713F"/>
    <w:rsid w:val="00E21ADA"/>
    <w:rsid w:val="00E22E0F"/>
    <w:rsid w:val="00E25A71"/>
    <w:rsid w:val="00E260F6"/>
    <w:rsid w:val="00E27861"/>
    <w:rsid w:val="00E3006A"/>
    <w:rsid w:val="00E31A33"/>
    <w:rsid w:val="00E3598F"/>
    <w:rsid w:val="00E3644F"/>
    <w:rsid w:val="00E4425A"/>
    <w:rsid w:val="00E44744"/>
    <w:rsid w:val="00E45DF3"/>
    <w:rsid w:val="00E470E6"/>
    <w:rsid w:val="00E50DC5"/>
    <w:rsid w:val="00E54BAB"/>
    <w:rsid w:val="00E57764"/>
    <w:rsid w:val="00E6274B"/>
    <w:rsid w:val="00E65EA5"/>
    <w:rsid w:val="00E71B31"/>
    <w:rsid w:val="00E75DBE"/>
    <w:rsid w:val="00E80317"/>
    <w:rsid w:val="00E80850"/>
    <w:rsid w:val="00E835C4"/>
    <w:rsid w:val="00E84805"/>
    <w:rsid w:val="00E904B7"/>
    <w:rsid w:val="00E9089C"/>
    <w:rsid w:val="00E9293D"/>
    <w:rsid w:val="00E92F11"/>
    <w:rsid w:val="00E942B0"/>
    <w:rsid w:val="00EA0279"/>
    <w:rsid w:val="00EA466F"/>
    <w:rsid w:val="00EA4ADD"/>
    <w:rsid w:val="00EA5C03"/>
    <w:rsid w:val="00EB0642"/>
    <w:rsid w:val="00EB3257"/>
    <w:rsid w:val="00EB45C6"/>
    <w:rsid w:val="00EC1F42"/>
    <w:rsid w:val="00EC4903"/>
    <w:rsid w:val="00EC74BF"/>
    <w:rsid w:val="00ED1040"/>
    <w:rsid w:val="00ED4689"/>
    <w:rsid w:val="00EE1117"/>
    <w:rsid w:val="00EE3C1D"/>
    <w:rsid w:val="00EE48E9"/>
    <w:rsid w:val="00EE6419"/>
    <w:rsid w:val="00EF3E1A"/>
    <w:rsid w:val="00EF7664"/>
    <w:rsid w:val="00F006B6"/>
    <w:rsid w:val="00F01F4C"/>
    <w:rsid w:val="00F03FD4"/>
    <w:rsid w:val="00F07571"/>
    <w:rsid w:val="00F1285B"/>
    <w:rsid w:val="00F132C2"/>
    <w:rsid w:val="00F139B0"/>
    <w:rsid w:val="00F16429"/>
    <w:rsid w:val="00F179BB"/>
    <w:rsid w:val="00F2152C"/>
    <w:rsid w:val="00F22176"/>
    <w:rsid w:val="00F23CA5"/>
    <w:rsid w:val="00F24419"/>
    <w:rsid w:val="00F365F8"/>
    <w:rsid w:val="00F52DED"/>
    <w:rsid w:val="00F52EA4"/>
    <w:rsid w:val="00F54D8C"/>
    <w:rsid w:val="00F61D25"/>
    <w:rsid w:val="00F628D0"/>
    <w:rsid w:val="00F640CD"/>
    <w:rsid w:val="00F661AF"/>
    <w:rsid w:val="00F67A16"/>
    <w:rsid w:val="00F67E87"/>
    <w:rsid w:val="00F7210B"/>
    <w:rsid w:val="00F7494A"/>
    <w:rsid w:val="00F74B96"/>
    <w:rsid w:val="00F74BF6"/>
    <w:rsid w:val="00F75BB2"/>
    <w:rsid w:val="00F762F2"/>
    <w:rsid w:val="00F84B9D"/>
    <w:rsid w:val="00F86E87"/>
    <w:rsid w:val="00F903D8"/>
    <w:rsid w:val="00F9660E"/>
    <w:rsid w:val="00F96CA4"/>
    <w:rsid w:val="00FA29DF"/>
    <w:rsid w:val="00FA2FF6"/>
    <w:rsid w:val="00FA597B"/>
    <w:rsid w:val="00FA63CA"/>
    <w:rsid w:val="00FA6707"/>
    <w:rsid w:val="00FA6C56"/>
    <w:rsid w:val="00FB230D"/>
    <w:rsid w:val="00FC141B"/>
    <w:rsid w:val="00FC73FE"/>
    <w:rsid w:val="00FD15D6"/>
    <w:rsid w:val="00FD4BA1"/>
    <w:rsid w:val="00FD718E"/>
    <w:rsid w:val="00FE06E3"/>
    <w:rsid w:val="00FE32E0"/>
    <w:rsid w:val="00FE4123"/>
    <w:rsid w:val="00FE5AD9"/>
    <w:rsid w:val="00FF1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6198"/>
  <w15:chartTrackingRefBased/>
  <w15:docId w15:val="{1A4AA8FF-A7DE-49A7-A9A1-E3819961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2540"/>
    <w:pPr>
      <w:spacing w:after="200" w:line="276" w:lineRule="auto"/>
      <w:ind w:left="720"/>
      <w:contextualSpacing/>
    </w:pPr>
  </w:style>
  <w:style w:type="character" w:customStyle="1" w:styleId="ListParagraphChar">
    <w:name w:val="List Paragraph Char"/>
    <w:link w:val="ListParagraph"/>
    <w:uiPriority w:val="34"/>
    <w:rsid w:val="00552540"/>
  </w:style>
  <w:style w:type="paragraph" w:styleId="IntenseQuote">
    <w:name w:val="Intense Quote"/>
    <w:basedOn w:val="Normal"/>
    <w:next w:val="Normal"/>
    <w:link w:val="IntenseQuoteChar"/>
    <w:uiPriority w:val="30"/>
    <w:qFormat/>
    <w:rsid w:val="00552540"/>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552540"/>
    <w:rPr>
      <w:b/>
      <w:bCs/>
      <w:i/>
      <w:iCs/>
      <w:color w:val="5B9BD5" w:themeColor="accent1"/>
    </w:rPr>
  </w:style>
  <w:style w:type="paragraph" w:styleId="CommentText">
    <w:name w:val="annotation text"/>
    <w:basedOn w:val="Normal"/>
    <w:link w:val="CommentTextChar"/>
    <w:uiPriority w:val="99"/>
    <w:semiHidden/>
    <w:unhideWhenUsed/>
    <w:rsid w:val="001D27B9"/>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D27B9"/>
    <w:rPr>
      <w:rFonts w:ascii="Calibri" w:eastAsia="Calibri" w:hAnsi="Calibri" w:cs="Times New Roman"/>
      <w:sz w:val="20"/>
      <w:szCs w:val="20"/>
    </w:rPr>
  </w:style>
  <w:style w:type="paragraph" w:styleId="FootnoteText">
    <w:name w:val="footnote text"/>
    <w:aliases w:val="fn,Texto de rodapé,nota_rodapé,nota de rodapé Car Car,nota de rodapé Car Car Car Car Car Car Car Car Car Car Car,footnote,single space,FOOTNOTES,footnote text,Footnote Text Char Char,Texto nota pie IIRSA,foottextfra,F,texto de nota al pie"/>
    <w:basedOn w:val="Normal"/>
    <w:link w:val="FootnoteTextChar"/>
    <w:uiPriority w:val="99"/>
    <w:qFormat/>
    <w:rsid w:val="001D27B9"/>
    <w:pPr>
      <w:spacing w:after="0" w:line="240" w:lineRule="auto"/>
    </w:pPr>
    <w:rPr>
      <w:rFonts w:ascii="Arial" w:eastAsia="Times New Roman" w:hAnsi="Arial" w:cs="Times New Roman"/>
      <w:sz w:val="18"/>
      <w:szCs w:val="20"/>
    </w:rPr>
  </w:style>
  <w:style w:type="character" w:customStyle="1" w:styleId="FootnoteTextChar">
    <w:name w:val="Footnote Text Char"/>
    <w:aliases w:val="fn Char,Texto de rodapé Char,nota_rodapé Char,nota de rodapé Car Car Char,nota de rodapé Car Car Car Car Car Car Car Car Car Car Car Char,footnote Char,single space Char,FOOTNOTES Char,footnote text Char,Footnote Text Char Char Char"/>
    <w:basedOn w:val="DefaultParagraphFont"/>
    <w:link w:val="FootnoteText"/>
    <w:uiPriority w:val="99"/>
    <w:rsid w:val="001D27B9"/>
    <w:rPr>
      <w:rFonts w:ascii="Arial" w:eastAsia="Times New Roman" w:hAnsi="Arial" w:cs="Times New Roman"/>
      <w:sz w:val="18"/>
      <w:szCs w:val="20"/>
    </w:rPr>
  </w:style>
  <w:style w:type="character" w:styleId="FootnoteReference">
    <w:name w:val="footnote reference"/>
    <w:aliases w:val="FC,ftref,Fußnotenzeichen DISS,16 Point,Superscript 6 Point,BVI fnr,???? ?????? 1,referencia nota al pie,Footnote Reference Number,Footnote,Ref,de nota al pie,Normal + Font:9 Point,Superscript 3 Point Times,SUPERS,number,titulo 2"/>
    <w:basedOn w:val="DefaultParagraphFont"/>
    <w:uiPriority w:val="99"/>
    <w:qFormat/>
    <w:rsid w:val="001D27B9"/>
    <w:rPr>
      <w:rFonts w:ascii="Arial" w:hAnsi="Arial"/>
      <w:sz w:val="18"/>
      <w:vertAlign w:val="superscript"/>
    </w:rPr>
  </w:style>
  <w:style w:type="paragraph" w:styleId="Header">
    <w:name w:val="header"/>
    <w:basedOn w:val="Normal"/>
    <w:link w:val="HeaderChar"/>
    <w:uiPriority w:val="99"/>
    <w:unhideWhenUsed/>
    <w:rsid w:val="001D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7B9"/>
  </w:style>
  <w:style w:type="paragraph" w:styleId="Footer">
    <w:name w:val="footer"/>
    <w:basedOn w:val="Normal"/>
    <w:link w:val="FooterChar"/>
    <w:uiPriority w:val="99"/>
    <w:unhideWhenUsed/>
    <w:rsid w:val="001D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B9"/>
  </w:style>
  <w:style w:type="character" w:styleId="Hyperlink">
    <w:name w:val="Hyperlink"/>
    <w:basedOn w:val="DefaultParagraphFont"/>
    <w:uiPriority w:val="99"/>
    <w:unhideWhenUsed/>
    <w:rsid w:val="00B62CFA"/>
    <w:rPr>
      <w:color w:val="0563C1" w:themeColor="hyperlink"/>
      <w:u w:val="single"/>
    </w:rPr>
  </w:style>
  <w:style w:type="character" w:styleId="CommentReference">
    <w:name w:val="annotation reference"/>
    <w:basedOn w:val="DefaultParagraphFont"/>
    <w:uiPriority w:val="99"/>
    <w:semiHidden/>
    <w:unhideWhenUsed/>
    <w:rsid w:val="00F86E87"/>
    <w:rPr>
      <w:sz w:val="16"/>
      <w:szCs w:val="16"/>
    </w:rPr>
  </w:style>
  <w:style w:type="paragraph" w:styleId="CommentSubject">
    <w:name w:val="annotation subject"/>
    <w:basedOn w:val="CommentText"/>
    <w:next w:val="CommentText"/>
    <w:link w:val="CommentSubjectChar"/>
    <w:uiPriority w:val="99"/>
    <w:semiHidden/>
    <w:unhideWhenUsed/>
    <w:rsid w:val="00F86E8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6E8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86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87"/>
    <w:rPr>
      <w:rFonts w:ascii="Segoe UI" w:hAnsi="Segoe UI" w:cs="Segoe UI"/>
      <w:sz w:val="18"/>
      <w:szCs w:val="18"/>
    </w:rPr>
  </w:style>
  <w:style w:type="paragraph" w:styleId="Caption">
    <w:name w:val="caption"/>
    <w:aliases w:val="GRÁFICOS,CUADROS"/>
    <w:basedOn w:val="Normal"/>
    <w:next w:val="Normal"/>
    <w:link w:val="CaptionChar"/>
    <w:unhideWhenUsed/>
    <w:qFormat/>
    <w:rsid w:val="00E1703C"/>
    <w:pPr>
      <w:spacing w:after="200" w:line="240" w:lineRule="auto"/>
    </w:pPr>
    <w:rPr>
      <w:b/>
      <w:bCs/>
      <w:color w:val="5B9BD5" w:themeColor="accent1"/>
      <w:sz w:val="18"/>
      <w:szCs w:val="18"/>
    </w:rPr>
  </w:style>
  <w:style w:type="character" w:customStyle="1" w:styleId="CaptionChar">
    <w:name w:val="Caption Char"/>
    <w:aliases w:val="GRÁFICOS Char,CUADROS Char"/>
    <w:link w:val="Caption"/>
    <w:locked/>
    <w:rsid w:val="00E1703C"/>
    <w:rPr>
      <w:b/>
      <w:bCs/>
      <w:color w:val="5B9BD5" w:themeColor="accent1"/>
      <w:sz w:val="18"/>
      <w:szCs w:val="18"/>
    </w:rPr>
  </w:style>
  <w:style w:type="paragraph" w:customStyle="1" w:styleId="Default">
    <w:name w:val="Default"/>
    <w:rsid w:val="00DD18FE"/>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semiHidden/>
    <w:unhideWhenUsed/>
    <w:rsid w:val="000D50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2399">
      <w:bodyDiv w:val="1"/>
      <w:marLeft w:val="0"/>
      <w:marRight w:val="0"/>
      <w:marTop w:val="0"/>
      <w:marBottom w:val="0"/>
      <w:divBdr>
        <w:top w:val="none" w:sz="0" w:space="0" w:color="auto"/>
        <w:left w:val="none" w:sz="0" w:space="0" w:color="auto"/>
        <w:bottom w:val="none" w:sz="0" w:space="0" w:color="auto"/>
        <w:right w:val="none" w:sz="0" w:space="0" w:color="auto"/>
      </w:divBdr>
    </w:div>
    <w:div w:id="837574167">
      <w:bodyDiv w:val="1"/>
      <w:marLeft w:val="0"/>
      <w:marRight w:val="0"/>
      <w:marTop w:val="0"/>
      <w:marBottom w:val="0"/>
      <w:divBdr>
        <w:top w:val="none" w:sz="0" w:space="0" w:color="auto"/>
        <w:left w:val="none" w:sz="0" w:space="0" w:color="auto"/>
        <w:bottom w:val="none" w:sz="0" w:space="0" w:color="auto"/>
        <w:right w:val="none" w:sz="0" w:space="0" w:color="auto"/>
      </w:divBdr>
    </w:div>
    <w:div w:id="1187795873">
      <w:bodyDiv w:val="1"/>
      <w:marLeft w:val="0"/>
      <w:marRight w:val="0"/>
      <w:marTop w:val="0"/>
      <w:marBottom w:val="0"/>
      <w:divBdr>
        <w:top w:val="none" w:sz="0" w:space="0" w:color="auto"/>
        <w:left w:val="none" w:sz="0" w:space="0" w:color="auto"/>
        <w:bottom w:val="none" w:sz="0" w:space="0" w:color="auto"/>
        <w:right w:val="none" w:sz="0" w:space="0" w:color="auto"/>
      </w:divBdr>
      <w:divsChild>
        <w:div w:id="67383304">
          <w:marLeft w:val="0"/>
          <w:marRight w:val="0"/>
          <w:marTop w:val="0"/>
          <w:marBottom w:val="0"/>
          <w:divBdr>
            <w:top w:val="none" w:sz="0" w:space="0" w:color="auto"/>
            <w:left w:val="none" w:sz="0" w:space="0" w:color="auto"/>
            <w:bottom w:val="none" w:sz="0" w:space="0" w:color="auto"/>
            <w:right w:val="none" w:sz="0" w:space="0" w:color="auto"/>
          </w:divBdr>
          <w:divsChild>
            <w:div w:id="907114748">
              <w:marLeft w:val="0"/>
              <w:marRight w:val="0"/>
              <w:marTop w:val="0"/>
              <w:marBottom w:val="0"/>
              <w:divBdr>
                <w:top w:val="none" w:sz="0" w:space="0" w:color="auto"/>
                <w:left w:val="none" w:sz="0" w:space="0" w:color="auto"/>
                <w:bottom w:val="none" w:sz="0" w:space="0" w:color="auto"/>
                <w:right w:val="none" w:sz="0" w:space="0" w:color="auto"/>
              </w:divBdr>
              <w:divsChild>
                <w:div w:id="10840193">
                  <w:marLeft w:val="0"/>
                  <w:marRight w:val="0"/>
                  <w:marTop w:val="0"/>
                  <w:marBottom w:val="0"/>
                  <w:divBdr>
                    <w:top w:val="none" w:sz="0" w:space="0" w:color="auto"/>
                    <w:left w:val="none" w:sz="0" w:space="0" w:color="auto"/>
                    <w:bottom w:val="none" w:sz="0" w:space="0" w:color="auto"/>
                    <w:right w:val="none" w:sz="0" w:space="0" w:color="auto"/>
                  </w:divBdr>
                  <w:divsChild>
                    <w:div w:id="111023082">
                      <w:marLeft w:val="0"/>
                      <w:marRight w:val="0"/>
                      <w:marTop w:val="0"/>
                      <w:marBottom w:val="0"/>
                      <w:divBdr>
                        <w:top w:val="none" w:sz="0" w:space="0" w:color="auto"/>
                        <w:left w:val="none" w:sz="0" w:space="0" w:color="auto"/>
                        <w:bottom w:val="none" w:sz="0" w:space="0" w:color="auto"/>
                        <w:right w:val="none" w:sz="0" w:space="0" w:color="auto"/>
                      </w:divBdr>
                      <w:divsChild>
                        <w:div w:id="1371804877">
                          <w:marLeft w:val="0"/>
                          <w:marRight w:val="0"/>
                          <w:marTop w:val="0"/>
                          <w:marBottom w:val="0"/>
                          <w:divBdr>
                            <w:top w:val="none" w:sz="0" w:space="0" w:color="auto"/>
                            <w:left w:val="none" w:sz="0" w:space="0" w:color="auto"/>
                            <w:bottom w:val="none" w:sz="0" w:space="0" w:color="auto"/>
                            <w:right w:val="none" w:sz="0" w:space="0" w:color="auto"/>
                          </w:divBdr>
                          <w:divsChild>
                            <w:div w:id="637107401">
                              <w:marLeft w:val="0"/>
                              <w:marRight w:val="0"/>
                              <w:marTop w:val="0"/>
                              <w:marBottom w:val="0"/>
                              <w:divBdr>
                                <w:top w:val="none" w:sz="0" w:space="0" w:color="auto"/>
                                <w:left w:val="none" w:sz="0" w:space="0" w:color="auto"/>
                                <w:bottom w:val="none" w:sz="0" w:space="0" w:color="auto"/>
                                <w:right w:val="none" w:sz="0" w:space="0" w:color="auto"/>
                              </w:divBdr>
                              <w:divsChild>
                                <w:div w:id="1446340513">
                                  <w:marLeft w:val="0"/>
                                  <w:marRight w:val="0"/>
                                  <w:marTop w:val="0"/>
                                  <w:marBottom w:val="0"/>
                                  <w:divBdr>
                                    <w:top w:val="none" w:sz="0" w:space="0" w:color="auto"/>
                                    <w:left w:val="none" w:sz="0" w:space="0" w:color="auto"/>
                                    <w:bottom w:val="none" w:sz="0" w:space="0" w:color="auto"/>
                                    <w:right w:val="none" w:sz="0" w:space="0" w:color="auto"/>
                                  </w:divBdr>
                                  <w:divsChild>
                                    <w:div w:id="928196793">
                                      <w:marLeft w:val="60"/>
                                      <w:marRight w:val="0"/>
                                      <w:marTop w:val="0"/>
                                      <w:marBottom w:val="0"/>
                                      <w:divBdr>
                                        <w:top w:val="none" w:sz="0" w:space="0" w:color="auto"/>
                                        <w:left w:val="none" w:sz="0" w:space="0" w:color="auto"/>
                                        <w:bottom w:val="none" w:sz="0" w:space="0" w:color="auto"/>
                                        <w:right w:val="none" w:sz="0" w:space="0" w:color="auto"/>
                                      </w:divBdr>
                                      <w:divsChild>
                                        <w:div w:id="1232352925">
                                          <w:marLeft w:val="0"/>
                                          <w:marRight w:val="0"/>
                                          <w:marTop w:val="0"/>
                                          <w:marBottom w:val="0"/>
                                          <w:divBdr>
                                            <w:top w:val="none" w:sz="0" w:space="0" w:color="auto"/>
                                            <w:left w:val="none" w:sz="0" w:space="0" w:color="auto"/>
                                            <w:bottom w:val="none" w:sz="0" w:space="0" w:color="auto"/>
                                            <w:right w:val="none" w:sz="0" w:space="0" w:color="auto"/>
                                          </w:divBdr>
                                          <w:divsChild>
                                            <w:div w:id="912466004">
                                              <w:marLeft w:val="0"/>
                                              <w:marRight w:val="0"/>
                                              <w:marTop w:val="0"/>
                                              <w:marBottom w:val="120"/>
                                              <w:divBdr>
                                                <w:top w:val="single" w:sz="6" w:space="0" w:color="F5F5F5"/>
                                                <w:left w:val="single" w:sz="6" w:space="0" w:color="F5F5F5"/>
                                                <w:bottom w:val="single" w:sz="6" w:space="0" w:color="F5F5F5"/>
                                                <w:right w:val="single" w:sz="6" w:space="0" w:color="F5F5F5"/>
                                              </w:divBdr>
                                              <w:divsChild>
                                                <w:div w:id="85201352">
                                                  <w:marLeft w:val="0"/>
                                                  <w:marRight w:val="0"/>
                                                  <w:marTop w:val="0"/>
                                                  <w:marBottom w:val="0"/>
                                                  <w:divBdr>
                                                    <w:top w:val="none" w:sz="0" w:space="0" w:color="auto"/>
                                                    <w:left w:val="none" w:sz="0" w:space="0" w:color="auto"/>
                                                    <w:bottom w:val="none" w:sz="0" w:space="0" w:color="auto"/>
                                                    <w:right w:val="none" w:sz="0" w:space="0" w:color="auto"/>
                                                  </w:divBdr>
                                                  <w:divsChild>
                                                    <w:div w:id="13603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893293">
      <w:bodyDiv w:val="1"/>
      <w:marLeft w:val="0"/>
      <w:marRight w:val="0"/>
      <w:marTop w:val="0"/>
      <w:marBottom w:val="0"/>
      <w:divBdr>
        <w:top w:val="none" w:sz="0" w:space="0" w:color="auto"/>
        <w:left w:val="none" w:sz="0" w:space="0" w:color="auto"/>
        <w:bottom w:val="none" w:sz="0" w:space="0" w:color="auto"/>
        <w:right w:val="none" w:sz="0" w:space="0" w:color="auto"/>
      </w:divBdr>
      <w:divsChild>
        <w:div w:id="612321861">
          <w:marLeft w:val="0"/>
          <w:marRight w:val="0"/>
          <w:marTop w:val="0"/>
          <w:marBottom w:val="0"/>
          <w:divBdr>
            <w:top w:val="none" w:sz="0" w:space="0" w:color="auto"/>
            <w:left w:val="none" w:sz="0" w:space="0" w:color="auto"/>
            <w:bottom w:val="none" w:sz="0" w:space="0" w:color="auto"/>
            <w:right w:val="none" w:sz="0" w:space="0" w:color="auto"/>
          </w:divBdr>
          <w:divsChild>
            <w:div w:id="787622512">
              <w:marLeft w:val="0"/>
              <w:marRight w:val="0"/>
              <w:marTop w:val="0"/>
              <w:marBottom w:val="0"/>
              <w:divBdr>
                <w:top w:val="none" w:sz="0" w:space="0" w:color="auto"/>
                <w:left w:val="none" w:sz="0" w:space="0" w:color="auto"/>
                <w:bottom w:val="none" w:sz="0" w:space="0" w:color="auto"/>
                <w:right w:val="none" w:sz="0" w:space="0" w:color="auto"/>
              </w:divBdr>
              <w:divsChild>
                <w:div w:id="2132623656">
                  <w:marLeft w:val="0"/>
                  <w:marRight w:val="0"/>
                  <w:marTop w:val="0"/>
                  <w:marBottom w:val="0"/>
                  <w:divBdr>
                    <w:top w:val="none" w:sz="0" w:space="0" w:color="auto"/>
                    <w:left w:val="none" w:sz="0" w:space="0" w:color="auto"/>
                    <w:bottom w:val="none" w:sz="0" w:space="0" w:color="auto"/>
                    <w:right w:val="none" w:sz="0" w:space="0" w:color="auto"/>
                  </w:divBdr>
                  <w:divsChild>
                    <w:div w:id="1282761631">
                      <w:marLeft w:val="0"/>
                      <w:marRight w:val="0"/>
                      <w:marTop w:val="0"/>
                      <w:marBottom w:val="0"/>
                      <w:divBdr>
                        <w:top w:val="none" w:sz="0" w:space="0" w:color="auto"/>
                        <w:left w:val="none" w:sz="0" w:space="0" w:color="auto"/>
                        <w:bottom w:val="none" w:sz="0" w:space="0" w:color="auto"/>
                        <w:right w:val="none" w:sz="0" w:space="0" w:color="auto"/>
                      </w:divBdr>
                      <w:divsChild>
                        <w:div w:id="690033364">
                          <w:marLeft w:val="0"/>
                          <w:marRight w:val="0"/>
                          <w:marTop w:val="0"/>
                          <w:marBottom w:val="0"/>
                          <w:divBdr>
                            <w:top w:val="none" w:sz="0" w:space="0" w:color="auto"/>
                            <w:left w:val="none" w:sz="0" w:space="0" w:color="auto"/>
                            <w:bottom w:val="none" w:sz="0" w:space="0" w:color="auto"/>
                            <w:right w:val="none" w:sz="0" w:space="0" w:color="auto"/>
                          </w:divBdr>
                          <w:divsChild>
                            <w:div w:id="1093628300">
                              <w:marLeft w:val="0"/>
                              <w:marRight w:val="0"/>
                              <w:marTop w:val="0"/>
                              <w:marBottom w:val="0"/>
                              <w:divBdr>
                                <w:top w:val="none" w:sz="0" w:space="0" w:color="auto"/>
                                <w:left w:val="none" w:sz="0" w:space="0" w:color="auto"/>
                                <w:bottom w:val="none" w:sz="0" w:space="0" w:color="auto"/>
                                <w:right w:val="none" w:sz="0" w:space="0" w:color="auto"/>
                              </w:divBdr>
                              <w:divsChild>
                                <w:div w:id="70472461">
                                  <w:marLeft w:val="0"/>
                                  <w:marRight w:val="0"/>
                                  <w:marTop w:val="0"/>
                                  <w:marBottom w:val="0"/>
                                  <w:divBdr>
                                    <w:top w:val="none" w:sz="0" w:space="0" w:color="auto"/>
                                    <w:left w:val="none" w:sz="0" w:space="0" w:color="auto"/>
                                    <w:bottom w:val="none" w:sz="0" w:space="0" w:color="auto"/>
                                    <w:right w:val="none" w:sz="0" w:space="0" w:color="auto"/>
                                  </w:divBdr>
                                  <w:divsChild>
                                    <w:div w:id="17004986">
                                      <w:marLeft w:val="60"/>
                                      <w:marRight w:val="0"/>
                                      <w:marTop w:val="0"/>
                                      <w:marBottom w:val="0"/>
                                      <w:divBdr>
                                        <w:top w:val="none" w:sz="0" w:space="0" w:color="auto"/>
                                        <w:left w:val="none" w:sz="0" w:space="0" w:color="auto"/>
                                        <w:bottom w:val="none" w:sz="0" w:space="0" w:color="auto"/>
                                        <w:right w:val="none" w:sz="0" w:space="0" w:color="auto"/>
                                      </w:divBdr>
                                      <w:divsChild>
                                        <w:div w:id="503545678">
                                          <w:marLeft w:val="0"/>
                                          <w:marRight w:val="0"/>
                                          <w:marTop w:val="0"/>
                                          <w:marBottom w:val="0"/>
                                          <w:divBdr>
                                            <w:top w:val="none" w:sz="0" w:space="0" w:color="auto"/>
                                            <w:left w:val="none" w:sz="0" w:space="0" w:color="auto"/>
                                            <w:bottom w:val="none" w:sz="0" w:space="0" w:color="auto"/>
                                            <w:right w:val="none" w:sz="0" w:space="0" w:color="auto"/>
                                          </w:divBdr>
                                          <w:divsChild>
                                            <w:div w:id="821391525">
                                              <w:marLeft w:val="0"/>
                                              <w:marRight w:val="0"/>
                                              <w:marTop w:val="0"/>
                                              <w:marBottom w:val="120"/>
                                              <w:divBdr>
                                                <w:top w:val="single" w:sz="6" w:space="0" w:color="F5F5F5"/>
                                                <w:left w:val="single" w:sz="6" w:space="0" w:color="F5F5F5"/>
                                                <w:bottom w:val="single" w:sz="6" w:space="0" w:color="F5F5F5"/>
                                                <w:right w:val="single" w:sz="6" w:space="0" w:color="F5F5F5"/>
                                              </w:divBdr>
                                              <w:divsChild>
                                                <w:div w:id="927470875">
                                                  <w:marLeft w:val="0"/>
                                                  <w:marRight w:val="0"/>
                                                  <w:marTop w:val="0"/>
                                                  <w:marBottom w:val="0"/>
                                                  <w:divBdr>
                                                    <w:top w:val="none" w:sz="0" w:space="0" w:color="auto"/>
                                                    <w:left w:val="none" w:sz="0" w:space="0" w:color="auto"/>
                                                    <w:bottom w:val="none" w:sz="0" w:space="0" w:color="auto"/>
                                                    <w:right w:val="none" w:sz="0" w:space="0" w:color="auto"/>
                                                  </w:divBdr>
                                                  <w:divsChild>
                                                    <w:div w:id="6000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251315">
      <w:bodyDiv w:val="1"/>
      <w:marLeft w:val="0"/>
      <w:marRight w:val="0"/>
      <w:marTop w:val="0"/>
      <w:marBottom w:val="0"/>
      <w:divBdr>
        <w:top w:val="none" w:sz="0" w:space="0" w:color="auto"/>
        <w:left w:val="none" w:sz="0" w:space="0" w:color="auto"/>
        <w:bottom w:val="none" w:sz="0" w:space="0" w:color="auto"/>
        <w:right w:val="none" w:sz="0" w:space="0" w:color="auto"/>
      </w:divBdr>
      <w:divsChild>
        <w:div w:id="35276254">
          <w:marLeft w:val="0"/>
          <w:marRight w:val="0"/>
          <w:marTop w:val="0"/>
          <w:marBottom w:val="0"/>
          <w:divBdr>
            <w:top w:val="none" w:sz="0" w:space="0" w:color="auto"/>
            <w:left w:val="none" w:sz="0" w:space="0" w:color="auto"/>
            <w:bottom w:val="none" w:sz="0" w:space="0" w:color="auto"/>
            <w:right w:val="none" w:sz="0" w:space="0" w:color="auto"/>
          </w:divBdr>
          <w:divsChild>
            <w:div w:id="18432682">
              <w:marLeft w:val="0"/>
              <w:marRight w:val="0"/>
              <w:marTop w:val="0"/>
              <w:marBottom w:val="0"/>
              <w:divBdr>
                <w:top w:val="none" w:sz="0" w:space="0" w:color="auto"/>
                <w:left w:val="none" w:sz="0" w:space="0" w:color="auto"/>
                <w:bottom w:val="none" w:sz="0" w:space="0" w:color="auto"/>
                <w:right w:val="none" w:sz="0" w:space="0" w:color="auto"/>
              </w:divBdr>
              <w:divsChild>
                <w:div w:id="490219543">
                  <w:marLeft w:val="0"/>
                  <w:marRight w:val="0"/>
                  <w:marTop w:val="0"/>
                  <w:marBottom w:val="0"/>
                  <w:divBdr>
                    <w:top w:val="none" w:sz="0" w:space="0" w:color="auto"/>
                    <w:left w:val="none" w:sz="0" w:space="0" w:color="auto"/>
                    <w:bottom w:val="none" w:sz="0" w:space="0" w:color="auto"/>
                    <w:right w:val="none" w:sz="0" w:space="0" w:color="auto"/>
                  </w:divBdr>
                  <w:divsChild>
                    <w:div w:id="1130246165">
                      <w:marLeft w:val="0"/>
                      <w:marRight w:val="0"/>
                      <w:marTop w:val="0"/>
                      <w:marBottom w:val="0"/>
                      <w:divBdr>
                        <w:top w:val="none" w:sz="0" w:space="0" w:color="auto"/>
                        <w:left w:val="none" w:sz="0" w:space="0" w:color="auto"/>
                        <w:bottom w:val="none" w:sz="0" w:space="0" w:color="auto"/>
                        <w:right w:val="none" w:sz="0" w:space="0" w:color="auto"/>
                      </w:divBdr>
                      <w:divsChild>
                        <w:div w:id="982737909">
                          <w:marLeft w:val="0"/>
                          <w:marRight w:val="0"/>
                          <w:marTop w:val="0"/>
                          <w:marBottom w:val="0"/>
                          <w:divBdr>
                            <w:top w:val="none" w:sz="0" w:space="0" w:color="auto"/>
                            <w:left w:val="none" w:sz="0" w:space="0" w:color="auto"/>
                            <w:bottom w:val="none" w:sz="0" w:space="0" w:color="auto"/>
                            <w:right w:val="none" w:sz="0" w:space="0" w:color="auto"/>
                          </w:divBdr>
                          <w:divsChild>
                            <w:div w:id="150028017">
                              <w:marLeft w:val="0"/>
                              <w:marRight w:val="0"/>
                              <w:marTop w:val="0"/>
                              <w:marBottom w:val="0"/>
                              <w:divBdr>
                                <w:top w:val="none" w:sz="0" w:space="0" w:color="auto"/>
                                <w:left w:val="none" w:sz="0" w:space="0" w:color="auto"/>
                                <w:bottom w:val="none" w:sz="0" w:space="0" w:color="auto"/>
                                <w:right w:val="none" w:sz="0" w:space="0" w:color="auto"/>
                              </w:divBdr>
                              <w:divsChild>
                                <w:div w:id="810755919">
                                  <w:marLeft w:val="0"/>
                                  <w:marRight w:val="0"/>
                                  <w:marTop w:val="0"/>
                                  <w:marBottom w:val="0"/>
                                  <w:divBdr>
                                    <w:top w:val="none" w:sz="0" w:space="0" w:color="auto"/>
                                    <w:left w:val="none" w:sz="0" w:space="0" w:color="auto"/>
                                    <w:bottom w:val="none" w:sz="0" w:space="0" w:color="auto"/>
                                    <w:right w:val="none" w:sz="0" w:space="0" w:color="auto"/>
                                  </w:divBdr>
                                  <w:divsChild>
                                    <w:div w:id="474877614">
                                      <w:marLeft w:val="60"/>
                                      <w:marRight w:val="0"/>
                                      <w:marTop w:val="0"/>
                                      <w:marBottom w:val="0"/>
                                      <w:divBdr>
                                        <w:top w:val="none" w:sz="0" w:space="0" w:color="auto"/>
                                        <w:left w:val="none" w:sz="0" w:space="0" w:color="auto"/>
                                        <w:bottom w:val="none" w:sz="0" w:space="0" w:color="auto"/>
                                        <w:right w:val="none" w:sz="0" w:space="0" w:color="auto"/>
                                      </w:divBdr>
                                      <w:divsChild>
                                        <w:div w:id="1288660533">
                                          <w:marLeft w:val="0"/>
                                          <w:marRight w:val="0"/>
                                          <w:marTop w:val="0"/>
                                          <w:marBottom w:val="0"/>
                                          <w:divBdr>
                                            <w:top w:val="none" w:sz="0" w:space="0" w:color="auto"/>
                                            <w:left w:val="none" w:sz="0" w:space="0" w:color="auto"/>
                                            <w:bottom w:val="none" w:sz="0" w:space="0" w:color="auto"/>
                                            <w:right w:val="none" w:sz="0" w:space="0" w:color="auto"/>
                                          </w:divBdr>
                                          <w:divsChild>
                                            <w:div w:id="1180463724">
                                              <w:marLeft w:val="0"/>
                                              <w:marRight w:val="0"/>
                                              <w:marTop w:val="0"/>
                                              <w:marBottom w:val="120"/>
                                              <w:divBdr>
                                                <w:top w:val="single" w:sz="6" w:space="0" w:color="F5F5F5"/>
                                                <w:left w:val="single" w:sz="6" w:space="0" w:color="F5F5F5"/>
                                                <w:bottom w:val="single" w:sz="6" w:space="0" w:color="F5F5F5"/>
                                                <w:right w:val="single" w:sz="6" w:space="0" w:color="F5F5F5"/>
                                              </w:divBdr>
                                              <w:divsChild>
                                                <w:div w:id="262609280">
                                                  <w:marLeft w:val="0"/>
                                                  <w:marRight w:val="0"/>
                                                  <w:marTop w:val="0"/>
                                                  <w:marBottom w:val="0"/>
                                                  <w:divBdr>
                                                    <w:top w:val="none" w:sz="0" w:space="0" w:color="auto"/>
                                                    <w:left w:val="none" w:sz="0" w:space="0" w:color="auto"/>
                                                    <w:bottom w:val="none" w:sz="0" w:space="0" w:color="auto"/>
                                                    <w:right w:val="none" w:sz="0" w:space="0" w:color="auto"/>
                                                  </w:divBdr>
                                                  <w:divsChild>
                                                    <w:div w:id="17739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44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wto.org/statistics"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hart" Target="charts/chart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e.gob.bo" TargetMode="External"/><Relationship Id="rId2" Type="http://schemas.openxmlformats.org/officeDocument/2006/relationships/hyperlink" Target="http://iirsa.org/proyectos/" TargetMode="External"/><Relationship Id="rId1" Type="http://schemas.openxmlformats.org/officeDocument/2006/relationships/hyperlink" Target="http://iirsa.org/infographic" TargetMode="External"/><Relationship Id="rId4" Type="http://schemas.openxmlformats.org/officeDocument/2006/relationships/hyperlink" Target="http://www.santacruz.gob.b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abrielaar\Documents\GII\Pipeline\POD%20de%20pipeline\BO-L1186\Estad&#237;sticas%20Bolivia\export%20por%20zona%20econ&#243;mic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abrielaar\Documents\GII\Pipeline\POD%20de%20pipeline\BO-L1186\Estad&#237;sticas%20Bolivia\Export%20departament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abrielaar\Documents\Documento%20Proyecto%20Bolivia\volumen%20export%20por%20tipo%20de%20transport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'Informacion Estadistica'!$L$12</c:f>
              <c:strCache>
                <c:ptCount val="1"/>
                <c:pt idx="0">
                  <c:v>CAN</c:v>
                </c:pt>
              </c:strCache>
            </c:strRef>
          </c:tx>
          <c:spPr>
            <a:solidFill>
              <a:schemeClr val="accent5">
                <a:shade val="76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'Informacion Estadistica'!$M$7:$V$7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'Informacion Estadistica'!$M$12:$V$12</c:f>
              <c:numCache>
                <c:formatCode>0.0%</c:formatCode>
                <c:ptCount val="10"/>
                <c:pt idx="0">
                  <c:v>0.12118221347537662</c:v>
                </c:pt>
                <c:pt idx="1">
                  <c:v>8.3696698367651923E-2</c:v>
                </c:pt>
                <c:pt idx="2">
                  <c:v>7.2902087991958381E-2</c:v>
                </c:pt>
                <c:pt idx="3">
                  <c:v>0.11394656060893682</c:v>
                </c:pt>
                <c:pt idx="4">
                  <c:v>9.8576065754318223E-2</c:v>
                </c:pt>
                <c:pt idx="5">
                  <c:v>8.8550502724540014E-2</c:v>
                </c:pt>
                <c:pt idx="6">
                  <c:v>0.10682336686083921</c:v>
                </c:pt>
                <c:pt idx="7">
                  <c:v>0.11842846619557654</c:v>
                </c:pt>
                <c:pt idx="8">
                  <c:v>9.955494493482403E-2</c:v>
                </c:pt>
                <c:pt idx="9">
                  <c:v>0.11255993637347123</c:v>
                </c:pt>
              </c:numCache>
            </c:numRef>
          </c:val>
          <c:extLst>
            <c:ext xmlns:c16="http://schemas.microsoft.com/office/drawing/2014/chart" uri="{C3380CC4-5D6E-409C-BE32-E72D297353CC}">
              <c16:uniqueId val="{00000000-23D0-48A6-8411-246C6B5D5B03}"/>
            </c:ext>
          </c:extLst>
        </c:ser>
        <c:ser>
          <c:idx val="1"/>
          <c:order val="1"/>
          <c:tx>
            <c:strRef>
              <c:f>'Informacion Estadistica'!$L$13</c:f>
              <c:strCache>
                <c:ptCount val="1"/>
                <c:pt idx="0">
                  <c:v>MERCOSUR</c:v>
                </c:pt>
              </c:strCache>
            </c:strRef>
          </c:tx>
          <c:spPr>
            <a:solidFill>
              <a:schemeClr val="accent5">
                <a:tint val="77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'Informacion Estadistica'!$M$7:$V$7</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'Informacion Estadistica'!$M$13:$V$13</c:f>
              <c:numCache>
                <c:formatCode>0.0%</c:formatCode>
                <c:ptCount val="10"/>
                <c:pt idx="0">
                  <c:v>0.47972143155727853</c:v>
                </c:pt>
                <c:pt idx="1">
                  <c:v>0.45667938729448404</c:v>
                </c:pt>
                <c:pt idx="2">
                  <c:v>0.51548342699023741</c:v>
                </c:pt>
                <c:pt idx="3">
                  <c:v>0.3931135320835436</c:v>
                </c:pt>
                <c:pt idx="4">
                  <c:v>0.42880185218255618</c:v>
                </c:pt>
                <c:pt idx="5">
                  <c:v>0.45072494763696069</c:v>
                </c:pt>
                <c:pt idx="6">
                  <c:v>0.50568382552470348</c:v>
                </c:pt>
                <c:pt idx="7">
                  <c:v>0.55066637555119791</c:v>
                </c:pt>
                <c:pt idx="8">
                  <c:v>0.51029104560806593</c:v>
                </c:pt>
                <c:pt idx="9">
                  <c:v>0.45948198012358582</c:v>
                </c:pt>
              </c:numCache>
            </c:numRef>
          </c:val>
          <c:extLst>
            <c:ext xmlns:c16="http://schemas.microsoft.com/office/drawing/2014/chart" uri="{C3380CC4-5D6E-409C-BE32-E72D297353CC}">
              <c16:uniqueId val="{00000001-23D0-48A6-8411-246C6B5D5B03}"/>
            </c:ext>
          </c:extLst>
        </c:ser>
        <c:dLbls>
          <c:dLblPos val="outEnd"/>
          <c:showLegendKey val="0"/>
          <c:showVal val="1"/>
          <c:showCatName val="0"/>
          <c:showSerName val="0"/>
          <c:showPercent val="0"/>
          <c:showBubbleSize val="0"/>
        </c:dLbls>
        <c:gapWidth val="444"/>
        <c:overlap val="-90"/>
        <c:axId val="368896368"/>
        <c:axId val="368896696"/>
      </c:barChart>
      <c:catAx>
        <c:axId val="3688963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68896696"/>
        <c:crosses val="autoZero"/>
        <c:auto val="1"/>
        <c:lblAlgn val="ctr"/>
        <c:lblOffset val="100"/>
        <c:noMultiLvlLbl val="0"/>
      </c:catAx>
      <c:valAx>
        <c:axId val="368896696"/>
        <c:scaling>
          <c:orientation val="minMax"/>
        </c:scaling>
        <c:delete val="1"/>
        <c:axPos val="l"/>
        <c:numFmt formatCode="0.0%" sourceLinked="1"/>
        <c:majorTickMark val="none"/>
        <c:minorTickMark val="none"/>
        <c:tickLblPos val="nextTo"/>
        <c:crossAx val="36889636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'Informacion Estadistica'!$M$41:$M$48</c:f>
              <c:strCache>
                <c:ptCount val="8"/>
                <c:pt idx="0">
                  <c:v>Santa Cruz</c:v>
                </c:pt>
                <c:pt idx="1">
                  <c:v>Puerto Suárez</c:v>
                </c:pt>
                <c:pt idx="2">
                  <c:v>Tarija</c:v>
                </c:pt>
                <c:pt idx="3">
                  <c:v>Yacuiba</c:v>
                </c:pt>
                <c:pt idx="4">
                  <c:v>Oruro</c:v>
                </c:pt>
                <c:pt idx="5">
                  <c:v>Tambo Quemado</c:v>
                </c:pt>
                <c:pt idx="6">
                  <c:v>Potosí</c:v>
                </c:pt>
                <c:pt idx="7">
                  <c:v>Uyuni</c:v>
                </c:pt>
              </c:strCache>
            </c:strRef>
          </c:cat>
          <c:val>
            <c:numRef>
              <c:f>'Informacion Estadistica'!$N$41:$N$48</c:f>
              <c:numCache>
                <c:formatCode>0.0%</c:formatCode>
                <c:ptCount val="8"/>
                <c:pt idx="0">
                  <c:v>0.1644532304044091</c:v>
                </c:pt>
                <c:pt idx="1">
                  <c:v>0.15393651540501324</c:v>
                </c:pt>
                <c:pt idx="2">
                  <c:v>0.10012815722500941</c:v>
                </c:pt>
                <c:pt idx="3">
                  <c:v>9.9980815761574915E-2</c:v>
                </c:pt>
                <c:pt idx="4">
                  <c:v>7.5810729830994572E-2</c:v>
                </c:pt>
                <c:pt idx="5">
                  <c:v>7.4067286090023887E-2</c:v>
                </c:pt>
                <c:pt idx="6">
                  <c:v>5.2175158880497931E-2</c:v>
                </c:pt>
                <c:pt idx="7">
                  <c:v>5.1378677678396267E-2</c:v>
                </c:pt>
              </c:numCache>
            </c:numRef>
          </c:val>
          <c:extLst>
            <c:ext xmlns:c16="http://schemas.microsoft.com/office/drawing/2014/chart" uri="{C3380CC4-5D6E-409C-BE32-E72D297353CC}">
              <c16:uniqueId val="{00000000-18CD-47A1-96F2-2BC7F2029ED8}"/>
            </c:ext>
          </c:extLst>
        </c:ser>
        <c:dLbls>
          <c:showLegendKey val="0"/>
          <c:showVal val="0"/>
          <c:showCatName val="0"/>
          <c:showSerName val="0"/>
          <c:showPercent val="0"/>
          <c:showBubbleSize val="0"/>
        </c:dLbls>
        <c:gapWidth val="164"/>
        <c:overlap val="-22"/>
        <c:axId val="506261944"/>
        <c:axId val="506262600"/>
      </c:barChart>
      <c:catAx>
        <c:axId val="50626194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262600"/>
        <c:crosses val="autoZero"/>
        <c:auto val="1"/>
        <c:lblAlgn val="ctr"/>
        <c:lblOffset val="100"/>
        <c:noMultiLvlLbl val="0"/>
      </c:catAx>
      <c:valAx>
        <c:axId val="50626260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261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xls_export!$A$17</c:f>
              <c:strCache>
                <c:ptCount val="1"/>
                <c:pt idx="0">
                  <c:v>FLUVIAL</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xls_export!$B$6:$G$6</c:f>
              <c:numCache>
                <c:formatCode>General</c:formatCode>
                <c:ptCount val="6"/>
                <c:pt idx="0">
                  <c:v>2010</c:v>
                </c:pt>
                <c:pt idx="1">
                  <c:v>2011</c:v>
                </c:pt>
                <c:pt idx="2">
                  <c:v>2012</c:v>
                </c:pt>
                <c:pt idx="3">
                  <c:v>2013</c:v>
                </c:pt>
                <c:pt idx="4">
                  <c:v>2014</c:v>
                </c:pt>
                <c:pt idx="5">
                  <c:v>2015</c:v>
                </c:pt>
              </c:numCache>
            </c:numRef>
          </c:cat>
          <c:val>
            <c:numRef>
              <c:f>xls_export!$B$17:$G$17</c:f>
              <c:numCache>
                <c:formatCode>0%</c:formatCode>
                <c:ptCount val="6"/>
                <c:pt idx="0">
                  <c:v>0.19454364471400848</c:v>
                </c:pt>
                <c:pt idx="1">
                  <c:v>0.15884761278100024</c:v>
                </c:pt>
                <c:pt idx="2">
                  <c:v>0.20315477753120967</c:v>
                </c:pt>
                <c:pt idx="3">
                  <c:v>0.19969961431506003</c:v>
                </c:pt>
                <c:pt idx="4">
                  <c:v>0.20652184326602449</c:v>
                </c:pt>
                <c:pt idx="5">
                  <c:v>0.2384601672479183</c:v>
                </c:pt>
              </c:numCache>
            </c:numRef>
          </c:val>
          <c:extLst>
            <c:ext xmlns:c16="http://schemas.microsoft.com/office/drawing/2014/chart" uri="{C3380CC4-5D6E-409C-BE32-E72D297353CC}">
              <c16:uniqueId val="{00000000-BFDC-47CA-9D16-EC10EB5DFE7C}"/>
            </c:ext>
          </c:extLst>
        </c:ser>
        <c:ser>
          <c:idx val="1"/>
          <c:order val="1"/>
          <c:tx>
            <c:strRef>
              <c:f>xls_export!$A$18</c:f>
              <c:strCache>
                <c:ptCount val="1"/>
                <c:pt idx="0">
                  <c:v>AEREA</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xls_export!$B$6:$G$6</c:f>
              <c:numCache>
                <c:formatCode>General</c:formatCode>
                <c:ptCount val="6"/>
                <c:pt idx="0">
                  <c:v>2010</c:v>
                </c:pt>
                <c:pt idx="1">
                  <c:v>2011</c:v>
                </c:pt>
                <c:pt idx="2">
                  <c:v>2012</c:v>
                </c:pt>
                <c:pt idx="3">
                  <c:v>2013</c:v>
                </c:pt>
                <c:pt idx="4">
                  <c:v>2014</c:v>
                </c:pt>
                <c:pt idx="5">
                  <c:v>2015</c:v>
                </c:pt>
              </c:numCache>
            </c:numRef>
          </c:cat>
          <c:val>
            <c:numRef>
              <c:f>xls_export!$B$18:$G$18</c:f>
              <c:numCache>
                <c:formatCode>0%</c:formatCode>
                <c:ptCount val="6"/>
                <c:pt idx="0">
                  <c:v>7.8467556395406552E-3</c:v>
                </c:pt>
                <c:pt idx="1">
                  <c:v>8.6708723680104446E-3</c:v>
                </c:pt>
                <c:pt idx="2">
                  <c:v>7.6780419226177366E-3</c:v>
                </c:pt>
                <c:pt idx="3">
                  <c:v>8.5578101564010925E-3</c:v>
                </c:pt>
                <c:pt idx="4">
                  <c:v>1.0018412502919691E-2</c:v>
                </c:pt>
                <c:pt idx="5">
                  <c:v>1.0433833140862695E-2</c:v>
                </c:pt>
              </c:numCache>
            </c:numRef>
          </c:val>
          <c:extLst>
            <c:ext xmlns:c16="http://schemas.microsoft.com/office/drawing/2014/chart" uri="{C3380CC4-5D6E-409C-BE32-E72D297353CC}">
              <c16:uniqueId val="{00000001-BFDC-47CA-9D16-EC10EB5DFE7C}"/>
            </c:ext>
          </c:extLst>
        </c:ser>
        <c:ser>
          <c:idx val="2"/>
          <c:order val="2"/>
          <c:tx>
            <c:strRef>
              <c:f>xls_export!$A$19</c:f>
              <c:strCache>
                <c:ptCount val="1"/>
                <c:pt idx="0">
                  <c:v>FERROVIARIA</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xls_export!$B$6:$G$6</c:f>
              <c:numCache>
                <c:formatCode>General</c:formatCode>
                <c:ptCount val="6"/>
                <c:pt idx="0">
                  <c:v>2010</c:v>
                </c:pt>
                <c:pt idx="1">
                  <c:v>2011</c:v>
                </c:pt>
                <c:pt idx="2">
                  <c:v>2012</c:v>
                </c:pt>
                <c:pt idx="3">
                  <c:v>2013</c:v>
                </c:pt>
                <c:pt idx="4">
                  <c:v>2014</c:v>
                </c:pt>
                <c:pt idx="5">
                  <c:v>2015</c:v>
                </c:pt>
              </c:numCache>
            </c:numRef>
          </c:cat>
          <c:val>
            <c:numRef>
              <c:f>xls_export!$B$19:$G$19</c:f>
              <c:numCache>
                <c:formatCode>0%</c:formatCode>
                <c:ptCount val="6"/>
                <c:pt idx="0">
                  <c:v>0.21211094720508433</c:v>
                </c:pt>
                <c:pt idx="1">
                  <c:v>0.2506110340531294</c:v>
                </c:pt>
                <c:pt idx="2">
                  <c:v>0.19272136960246472</c:v>
                </c:pt>
                <c:pt idx="3">
                  <c:v>0.16195319331278973</c:v>
                </c:pt>
                <c:pt idx="4">
                  <c:v>0.13878776985422059</c:v>
                </c:pt>
                <c:pt idx="5">
                  <c:v>0.13918610723095426</c:v>
                </c:pt>
              </c:numCache>
            </c:numRef>
          </c:val>
          <c:extLst>
            <c:ext xmlns:c16="http://schemas.microsoft.com/office/drawing/2014/chart" uri="{C3380CC4-5D6E-409C-BE32-E72D297353CC}">
              <c16:uniqueId val="{00000002-BFDC-47CA-9D16-EC10EB5DFE7C}"/>
            </c:ext>
          </c:extLst>
        </c:ser>
        <c:ser>
          <c:idx val="3"/>
          <c:order val="3"/>
          <c:tx>
            <c:strRef>
              <c:f>xls_export!$A$20</c:f>
              <c:strCache>
                <c:ptCount val="1"/>
                <c:pt idx="0">
                  <c:v>CARRETERA</c:v>
                </c:pt>
              </c:strCache>
            </c:strRef>
          </c:tx>
          <c:spPr>
            <a:pattFill prst="narHorz">
              <a:fgClr>
                <a:schemeClr val="accent1">
                  <a:lumMod val="60000"/>
                </a:schemeClr>
              </a:fgClr>
              <a:bgClr>
                <a:schemeClr val="accent1">
                  <a:lumMod val="60000"/>
                  <a:lumMod val="20000"/>
                  <a:lumOff val="80000"/>
                </a:schemeClr>
              </a:bgClr>
            </a:pattFill>
            <a:ln>
              <a:noFill/>
            </a:ln>
            <a:effectLst>
              <a:innerShdw blurRad="114300">
                <a:schemeClr val="accent1">
                  <a:lumMod val="60000"/>
                </a:schemeClr>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xls_export!$B$6:$G$6</c:f>
              <c:numCache>
                <c:formatCode>General</c:formatCode>
                <c:ptCount val="6"/>
                <c:pt idx="0">
                  <c:v>2010</c:v>
                </c:pt>
                <c:pt idx="1">
                  <c:v>2011</c:v>
                </c:pt>
                <c:pt idx="2">
                  <c:v>2012</c:v>
                </c:pt>
                <c:pt idx="3">
                  <c:v>2013</c:v>
                </c:pt>
                <c:pt idx="4">
                  <c:v>2014</c:v>
                </c:pt>
                <c:pt idx="5">
                  <c:v>2015</c:v>
                </c:pt>
              </c:numCache>
            </c:numRef>
          </c:cat>
          <c:val>
            <c:numRef>
              <c:f>xls_export!$B$20:$G$20</c:f>
              <c:numCache>
                <c:formatCode>0%</c:formatCode>
                <c:ptCount val="6"/>
                <c:pt idx="0">
                  <c:v>0.58549865244136645</c:v>
                </c:pt>
                <c:pt idx="1">
                  <c:v>0.58187048079785986</c:v>
                </c:pt>
                <c:pt idx="2">
                  <c:v>0.59644581094370785</c:v>
                </c:pt>
                <c:pt idx="3">
                  <c:v>0.62978938221574932</c:v>
                </c:pt>
                <c:pt idx="4">
                  <c:v>0.64467197437683532</c:v>
                </c:pt>
                <c:pt idx="5">
                  <c:v>0.61191989238026478</c:v>
                </c:pt>
              </c:numCache>
            </c:numRef>
          </c:val>
          <c:extLst>
            <c:ext xmlns:c16="http://schemas.microsoft.com/office/drawing/2014/chart" uri="{C3380CC4-5D6E-409C-BE32-E72D297353CC}">
              <c16:uniqueId val="{00000003-BFDC-47CA-9D16-EC10EB5DFE7C}"/>
            </c:ext>
          </c:extLst>
        </c:ser>
        <c:dLbls>
          <c:showLegendKey val="0"/>
          <c:showVal val="1"/>
          <c:showCatName val="0"/>
          <c:showSerName val="0"/>
          <c:showPercent val="0"/>
          <c:showBubbleSize val="0"/>
        </c:dLbls>
        <c:gapWidth val="164"/>
        <c:overlap val="-22"/>
        <c:axId val="307785800"/>
        <c:axId val="307785472"/>
      </c:barChart>
      <c:catAx>
        <c:axId val="3077858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5472"/>
        <c:crosses val="autoZero"/>
        <c:auto val="1"/>
        <c:lblAlgn val="ctr"/>
        <c:lblOffset val="100"/>
        <c:noMultiLvlLbl val="0"/>
      </c:catAx>
      <c:valAx>
        <c:axId val="30778547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7858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246E5CCB79E5034CB1A48E8F5418F709" ma:contentTypeVersion="27" ma:contentTypeDescription="A content type to manage public (operations) IDB documents" ma:contentTypeScope="" ma:versionID="c824e817f7b4a2ba803b6779d53bd6d6">
  <xsd:schema xmlns:xsd="http://www.w3.org/2001/XMLSchema" xmlns:xs="http://www.w3.org/2001/XMLSchema" xmlns:p="http://schemas.microsoft.com/office/2006/metadata/properties" xmlns:ns2="cdc7663a-08f0-4737-9e8c-148ce897a09c" targetNamespace="http://schemas.microsoft.com/office/2006/metadata/properties" ma:root="true" ma:fieldsID="7148bbd2547d5f1784cb61ea1835f70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R0000315899</Record_x0020_Number>
    <Key_x0020_Document xmlns="cdc7663a-08f0-4737-9e8c-148ce897a09c">false</Key_x0020_Document>
    <Division_x0020_or_x0020_Unit xmlns="cdc7663a-08f0-4737-9e8c-148ce897a09c">INE/TSP</Division_x0020_or_x0020_Unit>
    <Other_x0020_Author xmlns="cdc7663a-08f0-4737-9e8c-148ce897a09c" xsi:nil="true"/>
    <IDBDocs_x0020_Number xmlns="cdc7663a-08f0-4737-9e8c-148ce897a09c" xsi:nil="true"/>
    <Document_x0020_Author xmlns="cdc7663a-08f0-4737-9e8c-148ce897a09c">Cocha, Agustina</Document_x0020_Author>
    <_dlc_DocId xmlns="cdc7663a-08f0-4737-9e8c-148ce897a09c">EZSHARE-2073159898-44</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Bolivia</TermName>
          <TermId xmlns="http://schemas.microsoft.com/office/infopath/2007/PartnerControls">6445a937-aea4-4907-9f24-bff96a7c61c8</TermId>
        </TermInfo>
      </Terms>
    </ic46d7e087fd4a108fb86518ca413cc6>
    <TaxCatchAll xmlns="cdc7663a-08f0-4737-9e8c-148ce897a09c">
      <Value>26</Value>
      <Value>45</Value>
      <Value>2</Value>
      <Value>29</Value>
      <Value>43</Value>
    </TaxCatchAll>
    <Fiscal_x0020_Year_x0020_IDB xmlns="cdc7663a-08f0-4737-9e8c-148ce897a09c">2017</Fiscal_x0020_Year_x0020_IDB>
    <b26cdb1da78c4bb4b1c1bac2f6ac5911 xmlns="cdc7663a-08f0-4737-9e8c-148ce897a09c">
      <Terms xmlns="http://schemas.microsoft.com/office/infopath/2007/PartnerControls"/>
    </b26cdb1da78c4bb4b1c1bac2f6ac5911>
    <Project_x0020_Number xmlns="cdc7663a-08f0-4737-9e8c-148ce897a09c">BO-L1186</Project_x0020_Number>
    <Package_x0020_Code xmlns="cdc7663a-08f0-4737-9e8c-148ce897a09c" xsi:nil="true"/>
    <Migration_x0020_Info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Monitoring and Reporting</TermName>
          <TermId xmlns="http://schemas.microsoft.com/office/infopath/2007/PartnerControls">df3c2aa1-d63e-41aa-b1f5-bb15dee691ca</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BLD</TermName>
          <TermId xmlns="http://schemas.microsoft.com/office/infopath/2007/PartnerControls">60acb4c1-0ef3-40ba-9d70-f741cd9e6c23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TRANSPORT</TermName>
          <TermId xmlns="http://schemas.microsoft.com/office/infopath/2007/PartnerControls">5a25d1a8-4baf-41a8-9e3b-e167accda6ea</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MAJOR HIGHWAYS</TermName>
          <TermId xmlns="http://schemas.microsoft.com/office/infopath/2007/PartnerControls">59b49cf2-c4cd-4316-ac14-b3a0ffc7d51d</TermId>
        </TermInfo>
      </Terms>
    </b2ec7cfb18674cb8803df6b262e8b107>
    <Document_x0020_Language_x0020_IDB xmlns="cdc7663a-08f0-4737-9e8c-148ce897a09c">Spanish</Document_x0020_Language_x0020_IDB>
    <_dlc_DocIdUrl xmlns="cdc7663a-08f0-4737-9e8c-148ce897a09c">
      <Url>https://idbg.sharepoint.com/teams/EZ-BO-LON/BO-L1186/_layouts/15/DocIdRedir.aspx?ID=EZSHARE-2073159898-44</Url>
      <Description>EZSHARE-2073159898-44</Description>
    </_dlc_DocIdUrl>
    <Phase xmlns="cdc7663a-08f0-4737-9e8c-148ce897a09c">ACTIVE</Phas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F3918-B718-402A-AFAB-3D0787B50082}"/>
</file>

<file path=customXml/itemProps2.xml><?xml version="1.0" encoding="utf-8"?>
<ds:datastoreItem xmlns:ds="http://schemas.openxmlformats.org/officeDocument/2006/customXml" ds:itemID="{0A5B6099-E14C-4A42-A26F-6116B8EE87C1}">
  <ds:schemaRefs>
    <ds:schemaRef ds:uri="http://schemas.microsoft.com/sharepoint/v3/contenttype/forms"/>
  </ds:schemaRefs>
</ds:datastoreItem>
</file>

<file path=customXml/itemProps3.xml><?xml version="1.0" encoding="utf-8"?>
<ds:datastoreItem xmlns:ds="http://schemas.openxmlformats.org/officeDocument/2006/customXml" ds:itemID="{431B3461-7A77-4B37-8E6A-BCD73E79BAB7}">
  <ds:schemaRefs>
    <ds:schemaRef ds:uri="http://schemas.microsoft.com/sharepoint/events"/>
  </ds:schemaRefs>
</ds:datastoreItem>
</file>

<file path=customXml/itemProps4.xml><?xml version="1.0" encoding="utf-8"?>
<ds:datastoreItem xmlns:ds="http://schemas.openxmlformats.org/officeDocument/2006/customXml" ds:itemID="{B938BB2D-9FBB-4A6B-80F9-A88FCD5FA838}">
  <ds:schemaRef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cdc7663a-08f0-4737-9e8c-148ce897a09c"/>
  </ds:schemaRefs>
</ds:datastoreItem>
</file>

<file path=customXml/itemProps5.xml><?xml version="1.0" encoding="utf-8"?>
<ds:datastoreItem xmlns:ds="http://schemas.openxmlformats.org/officeDocument/2006/customXml" ds:itemID="{73A477B1-E752-45DE-BAFC-D21F7F3A5C1D}"/>
</file>

<file path=customXml/itemProps6.xml><?xml version="1.0" encoding="utf-8"?>
<ds:datastoreItem xmlns:ds="http://schemas.openxmlformats.org/officeDocument/2006/customXml" ds:itemID="{417B99F4-88D1-45E7-839B-9C09DC8E7D6C}"/>
</file>

<file path=customXml/itemProps7.xml><?xml version="1.0" encoding="utf-8"?>
<ds:datastoreItem xmlns:ds="http://schemas.openxmlformats.org/officeDocument/2006/customXml" ds:itemID="{B25EB0EE-A93D-4C96-8636-A798AC8B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Arteaga Velazquez, Gabriela Maria</dc:creator>
  <cp:keywords/>
  <dc:description/>
  <cp:lastModifiedBy>Cocha, Agustina</cp:lastModifiedBy>
  <cp:revision>12</cp:revision>
  <cp:lastPrinted>2017-05-09T14:02:00Z</cp:lastPrinted>
  <dcterms:created xsi:type="dcterms:W3CDTF">2017-07-18T21:36:00Z</dcterms:created>
  <dcterms:modified xsi:type="dcterms:W3CDTF">2017-10-30T15:33:00Z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45;#MAJOR HIGHWAYS|59b49cf2-c4cd-4316-ac14-b3a0ffc7d51d</vt:lpwstr>
  </property>
  <property fmtid="{D5CDD505-2E9C-101B-9397-08002B2CF9AE}" pid="7" name="Country">
    <vt:lpwstr>26;#Bolivia|6445a937-aea4-4907-9f24-bff96a7c61c8</vt:lpwstr>
  </property>
  <property fmtid="{D5CDD505-2E9C-101B-9397-08002B2CF9AE}" pid="8" name="Fund IDB">
    <vt:lpwstr>29;#BLD|60acb4c1-0ef3-40ba-9d70-f741cd9e6c23</vt:lpwstr>
  </property>
  <property fmtid="{D5CDD505-2E9C-101B-9397-08002B2CF9AE}" pid="9" name="_dlc_DocIdItemGuid">
    <vt:lpwstr>ccb0b7c6-be09-4c1c-8e56-a5c87e6b4df2</vt:lpwstr>
  </property>
  <property fmtid="{D5CDD505-2E9C-101B-9397-08002B2CF9AE}" pid="10" name="Sector IDB">
    <vt:lpwstr>43;#TRANSPORT|5a25d1a8-4baf-41a8-9e3b-e167accda6ea</vt:lpwstr>
  </property>
  <property fmtid="{D5CDD505-2E9C-101B-9397-08002B2CF9AE}" pid="11" name="RecordPoint_ActiveItemMoved">
    <vt:lpwstr>/teams/EZ-BO-LON/BO-L1186/15 LifeCycle Milestones/Draft Area/POD/EEO_04_Anexo de Integración_BO-L1186.docx</vt:lpwstr>
  </property>
  <property fmtid="{D5CDD505-2E9C-101B-9397-08002B2CF9AE}" pid="12" name="Function Operations IDB">
    <vt:lpwstr>2;#Monitoring and Reporting|df3c2aa1-d63e-41aa-b1f5-bb15dee691ca</vt:lpwstr>
  </property>
  <property fmtid="{D5CDD505-2E9C-101B-9397-08002B2CF9AE}" pid="13" name="RecordStorageActiveId">
    <vt:lpwstr>4537a531-2309-4f84-9e4a-897c4edbec6c</vt:lpwstr>
  </property>
  <property fmtid="{D5CDD505-2E9C-101B-9397-08002B2CF9AE}" pid="14" name="Disclosure Activity">
    <vt:lpwstr>Loan Proposal</vt:lpwstr>
  </property>
  <property fmtid="{D5CDD505-2E9C-101B-9397-08002B2CF9AE}" pid="15" name="ContentTypeId">
    <vt:lpwstr>0x0101001A458A224826124E8B45B1D613300CFC00246E5CCB79E5034CB1A48E8F5418F709</vt:lpwstr>
  </property>
</Properties>
</file>