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0"/>
      </w:tblGrid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A616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</w:pPr>
            <w:bookmarkStart w:id="0" w:name="_GoBack"/>
            <w:bookmarkEnd w:id="0"/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Acerbi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, M., E. S.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Triana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, S.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Enríquez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, R.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Tiffer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-Sotomayor, A. L. Gomes Lima, K.</w:t>
            </w: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br/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Siegmann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, P. Clemente-Fernandez, and N. E. Nkrumah. 2014. Environmental</w:t>
            </w: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br/>
              <w:t>Impact Assessment Systems in Latin America and the Caribbean in 34th Annual</w:t>
            </w: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br/>
              <w:t>Conference of the International Association for Impact Assessment Environment</w:t>
            </w: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br/>
              <w:t>Unit, LAC Region, The World Bank., Chile.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A616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</w:pP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Ahmed, K. 2012. Getting to green: a sourcebook of pollution management policy tools for growth and competitiveness. </w:t>
            </w:r>
            <w:proofErr w:type="gram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pollution-management-policy-tools-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growthcompetitiveness</w:t>
            </w:r>
            <w:proofErr w:type="spellEnd"/>
            <w:proofErr w:type="gram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. World Bank. http://documents.worldbank.org/curated/en/2012/01/16565836/getting-greensourcebook-, Washington, DC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r w:rsidRPr="00A61615">
              <w:rPr>
                <w:rFonts w:ascii="Arial" w:hAnsi="Arial"/>
                <w:color w:val="000000"/>
                <w:sz w:val="22"/>
                <w:szCs w:val="22"/>
                <w:lang w:val="pt-BR" w:eastAsia="es-ES_tradnl"/>
              </w:rPr>
              <w:t xml:space="preserve">Andam, K. S., P. J.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val="pt-BR" w:eastAsia="es-ES_tradnl"/>
              </w:rPr>
              <w:t>Ferraro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val="pt-BR" w:eastAsia="es-ES_tradnl"/>
              </w:rPr>
              <w:t xml:space="preserve">, A.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val="pt-BR" w:eastAsia="es-ES_tradnl"/>
              </w:rPr>
              <w:t>Pfaff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val="pt-BR" w:eastAsia="es-ES_tradnl"/>
              </w:rPr>
              <w:t>, G. A. Sanchez-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val="pt-BR" w:eastAsia="es-ES_tradnl"/>
              </w:rPr>
              <w:t>Azofeifa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val="pt-BR" w:eastAsia="es-ES_tradnl"/>
              </w:rPr>
              <w:t xml:space="preserve">,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val="pt-BR" w:eastAsia="es-ES_tradnl"/>
              </w:rPr>
              <w:t>and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val="pt-BR" w:eastAsia="es-ES_tradnl"/>
              </w:rPr>
              <w:t xml:space="preserve"> J. A.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val="pt-BR" w:eastAsia="es-ES_tradnl"/>
              </w:rPr>
              <w:t>Robalino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val="pt-BR" w:eastAsia="es-ES_tradnl"/>
              </w:rPr>
              <w:t xml:space="preserve">. </w:t>
            </w: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2008. Measuring the effectiveness of protected area networks in reducing deforestation.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Proceedings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of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the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National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Academy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of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Sciences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105:16089-16094.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Andersen, L. E. 2009. Cambio climático en Bolivia. Impacto sobre bosques y biodiversidad. Instituto de estudios avanzados en desarrollo. Serie de documentos de trabajo sobre desarrollo Nº 11/2009. La Paz, Bolivia. 47 p.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A616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</w:pP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Awe, Y., J.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Nygard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, S.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Larssen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, H. Lee, H.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Dulal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, and R.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Kanakia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. 2015. Clean Air and Healthy Lungs: Enhancing the World Bank's Approach to Air Quality Management. Environment and natural resources global practice discussion paper; no. 3. http://wwwwds.worldbank.org/external/default/WDSContentServer/WDSP/IB/2015/02/19/00 0456286_20150219134226/Rendered/PDF/ACS90350NWP0RE00Box385428B0 0PUBLIC0.pdf Banco Mundial, Washington, DC.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Banco Mundial 2006.Public Policy Options for the Well-Being of all.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World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Bank </w:t>
            </w:r>
          </w:p>
        </w:tc>
      </w:tr>
      <w:tr w:rsidR="00A616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15" w:rsidRPr="00A61615" w:rsidRDefault="00A616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</w:pP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Banco Mundial, 2009. The Sunken Billions. The Economic Justification of Fisheries Reforms. Washington, DC,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Estados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Unidos</w:t>
            </w:r>
            <w:proofErr w:type="spellEnd"/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A616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</w:pP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Banco Mundial, 2015. Rebalancing Inclusive Growth to deepen gains on Poverty</w:t>
            </w: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br/>
              <w:t>and Inequality reduction, Bolivia, Systematic Country Diagnostic.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Blackman, A. 2013. Evaluating forest conservation policies in developing countries using remote sensing data: An introduction and practical guide.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Forest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Policy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and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Economics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34:1-16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Bovarnick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, A., F.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Alpízar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, and C. Schnell. 2010. Latin America and the Caribbean: A</w:t>
            </w: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br/>
              <w:t xml:space="preserve">biodiversity superpower.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United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Nations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Development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Program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(UNDP).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Castro, F. d., B.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Hogenboom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, M. Baud, J.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Martínez-Alier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, H.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Sejenovich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, M. Walter, M.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Kleiche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-Dray, R. A.-A.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Waast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, P., B. Bull, M. Aguilar-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Støen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, C. Parker, G.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Baigorrotegui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, F.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Estenssoro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, F. Toni, C. Hirsch, D.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Barkin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, B. Lemus, and L.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Urkidi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. </w:t>
            </w:r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2015. Gobernanza ambiental en América Latina. CLACSO/ENGOV, Buenos Aires.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Dasgupta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, S. H., H., and D. Wheeler. 1998. What improves environmental performance? Evidence from Mexican Industry.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The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World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Bank.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Dasgupta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, S., H.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Hettige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, and D. Wheeler. 2000. What improves environmental compliance? Evidence from Mexican industry.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Journal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of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Environmental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Economics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and Management 39:39-66.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Escobar, N., and C. Chávez. 2013. Monitoring, firms’ compliance and imposition of fines: evidence from the Federal Industrial Inspection Program in Mexico City.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Environment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</w:t>
            </w:r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lastRenderedPageBreak/>
              <w:t xml:space="preserve">and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Development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Economics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18:723-748.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A616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lastRenderedPageBreak/>
              <w:t>Esty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, D. C., and M. E. Porter. 2005. National Environmental Performance: An Empirical Analysis of Policy Results and Determinants. Yale Law School Faculty Scholarship Series. Paper 430. </w:t>
            </w:r>
            <w:hyperlink r:id="rId5" w:history="1">
              <w:r w:rsidR="00A61615" w:rsidRPr="00A61615">
                <w:rPr>
                  <w:rStyle w:val="Hyperlink"/>
                  <w:rFonts w:ascii="Arial" w:hAnsi="Arial"/>
                  <w:sz w:val="22"/>
                  <w:szCs w:val="22"/>
                  <w:lang w:val="es-ES_tradnl" w:eastAsia="es-ES_tradnl"/>
                </w:rPr>
                <w:t>http://digitalcommons.law.yale.edu/fss_papers/430</w:t>
              </w:r>
            </w:hyperlink>
            <w:r w:rsidRPr="00A616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.</w:t>
            </w:r>
          </w:p>
          <w:p w:rsidR="00A61615" w:rsidRPr="00A61615" w:rsidRDefault="00A616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</w:pP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Ferraro, P. J. y M. M.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Hanauer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. 2011. Protecting Ecosystems and Alleviating Poverty with Parks and Reserves: ‘Win-Win’ or Tradeoffs? Environmental and Resources Economics,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vol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 48, no. 2.</w:t>
            </w:r>
          </w:p>
        </w:tc>
      </w:tr>
      <w:tr w:rsidR="00600B15" w:rsidRPr="00A616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FMI. Perspectivas de la Economía Mundial, Octubre 2016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INECE. 2009. Principles of Environmental Compliance and Enforcement Handbook. inece.org/principles/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PrinciplesHandbook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. </w:t>
            </w:r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Red Internacional por el Acatamiento y Ejecución Ambiental (INECE).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A616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</w:pP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Joppa, L. N., and A. Pfaff. 2010. Global protected area impacts. Proceedings of the Royal</w:t>
            </w: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br/>
              <w:t>Society of London B: Biological Sciences</w:t>
            </w:r>
            <w:proofErr w:type="gram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:rspb20101713</w:t>
            </w:r>
            <w:proofErr w:type="gram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.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Larson, A., P. Pacheco, F. Toni, and M. Vallejo. 2006. Exclusion and inclusion in Latin</w:t>
            </w: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br/>
              <w:t xml:space="preserve">America forestry: whither decentralization. </w:t>
            </w:r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CIFOR,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Bogor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, Indonesia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Mahon, R., L. Fanning, and P.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McConney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. 2011. Observations on governance in the Global Environment Facility International Waters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Programme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. CERMES Technical Report No. 45. Centre for Resource Management and Environmental Studies (CERMES) University of the West Indies, Faculty of Pure and Applied Sciences. </w:t>
            </w:r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Cave Hill Campus, Barbados, 36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pp</w:t>
            </w:r>
            <w:proofErr w:type="spellEnd"/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A616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</w:pP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Mazur, E. 2011. Environmental Enforcement in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Decentralised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 Governance Systems: Toward a Nationwide Level Playing Field. OECD Environment Working Papers, No. 34. OECD Publishing. http://dx.doi.org/10.1787/5kgb1m60qtq6-en.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MMAyA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. 2015. V Informe Nacional al Convenio de las NN.UU. sobre la Diversidad Biológica. Vivir Bien en Armonía con la Madre Tierra. La Paz. Bolivia. 108 pp.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Müller R. Pacheco P y Montero JC. 2014. El contexto de la deforestación y degradación de los bosques en Bolivia: Causas, actores e instituciones. Documentos Ocasionales 100.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Bogor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, Indonesia : CIFOR. 23 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Müller, R., P. Pacheco, and J. C. Montero. </w:t>
            </w:r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2014. El contexto de la deforestación y degradación de los bosques en Bolivia: Causas, actores e instituciones. CIFOR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Mullins, J., and P.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Bharadwaj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. 2014. Effects of Short-Term Measures to Curb Air Pollution: Evidence from Santiago, Chile. </w:t>
            </w:r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American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Journal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of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Agricultural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Economics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97:1107–1134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Nelson, A., and K. M.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Chomitz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. 2011. Effectiveness of strict vs. multiple use protected areas in reducing tropical forest fires: a global analysis using matching methods.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Plos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One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6:e22722.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OCDE. 2006. Applying Strategic Environmental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Assesment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: Good Practice Guidance for</w:t>
            </w: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br/>
              <w:t xml:space="preserve">Development Co-operation. </w:t>
            </w:r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OCDE, Paris.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A616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</w:pP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OCDE. 2009. Ensuring Environmental Compliance. Trends and Good Practices.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A616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</w:pP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OCDE. 2012. Meeting the water reform challenge. OECD Studies on Water, OECD Publishing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lastRenderedPageBreak/>
              <w:t xml:space="preserve">OMS. 2014. Burden of disease from Ambient Air Pollution for 2012. http://www.who.int/phe/health_topics/outdoorair/databases. </w:t>
            </w:r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Organización Mundial de la Salud.</w:t>
            </w:r>
          </w:p>
        </w:tc>
      </w:tr>
      <w:tr w:rsidR="00600B15" w:rsidRPr="00A616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Plan de Desarrollo Económico y Social (PDES) 2016-2020</w:t>
            </w:r>
          </w:p>
        </w:tc>
      </w:tr>
      <w:tr w:rsidR="00600B15" w:rsidRPr="00A616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Plan Sectorial de Desarrollo de Saneamiento Básico 2016-2020 (PSDSB 2016-2020)</w:t>
            </w:r>
          </w:p>
          <w:p w:rsidR="00A61615" w:rsidRPr="00600B15" w:rsidRDefault="00A61615" w:rsidP="00A616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Quiroga R.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Perazza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M.C., Corderi, 2016. Medio Ambiente y Biodiversidad. Prioridades para la conservación del capital natural y la competitividad de América Latina y el Caribe. 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Rodriguez-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Montellano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, A.M., 2013. Dinámica de Incendios forestales y quemas en Bolivia. Fundación Amigos de la Naturaleza. Serie de reportes temáticos, Departamento, Santa Cruz, Bolivia.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A616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Triana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, E. S., and S. Enriquez. 2007. A Comparative Analysis of Environmental Impact</w:t>
            </w: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br/>
              <w:t>Analysis Systems in Latin America. Annual Conference of the International</w:t>
            </w:r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br/>
              <w:t>Association for Impact Assessment (IAIA).</w:t>
            </w: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Wever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, L., M. Glaser, P. </w:t>
            </w:r>
            <w:proofErr w:type="spellStart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>Gorris</w:t>
            </w:r>
            <w:proofErr w:type="spellEnd"/>
            <w:r w:rsidRPr="00A61615">
              <w:rPr>
                <w:rFonts w:ascii="Arial" w:hAnsi="Arial"/>
                <w:color w:val="000000"/>
                <w:sz w:val="22"/>
                <w:szCs w:val="22"/>
                <w:lang w:eastAsia="es-ES_tradnl"/>
              </w:rPr>
              <w:t xml:space="preserve">, and D. Ferrol-Schulte. 2012. Decentralization and participation in integrated coastal management: Policy lessons from Brazil and Indonesia.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Ocean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&amp; </w:t>
            </w:r>
            <w:proofErr w:type="spellStart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>Coastal</w:t>
            </w:r>
            <w:proofErr w:type="spellEnd"/>
            <w:r w:rsidRPr="00600B15"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  <w:t xml:space="preserve"> Management 66:63-72.</w:t>
            </w:r>
          </w:p>
          <w:p w:rsid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</w:p>
          <w:p w:rsidR="00600B15" w:rsidRPr="00600B15" w:rsidRDefault="00600B15" w:rsidP="00600B15">
            <w:pPr>
              <w:tabs>
                <w:tab w:val="left" w:pos="142"/>
              </w:tabs>
              <w:ind w:left="709" w:hanging="567"/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</w:tr>
      <w:tr w:rsidR="00600B15" w:rsidRPr="00600B15" w:rsidTr="00E47046">
        <w:trPr>
          <w:trHeight w:val="2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15" w:rsidRPr="00600B15" w:rsidRDefault="00600B15" w:rsidP="00600B15">
            <w:pPr>
              <w:rPr>
                <w:rFonts w:ascii="Arial" w:hAnsi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</w:tr>
    </w:tbl>
    <w:p w:rsidR="00CC4437" w:rsidRPr="00CC4437" w:rsidRDefault="00CC4437" w:rsidP="00CC4437">
      <w:pPr>
        <w:rPr>
          <w:rFonts w:ascii="Times" w:hAnsi="Times"/>
          <w:sz w:val="20"/>
          <w:szCs w:val="20"/>
          <w:lang w:val="es-ES_tradnl" w:eastAsia="es-ES_tradnl"/>
        </w:rPr>
      </w:pPr>
    </w:p>
    <w:p w:rsidR="00CC4437" w:rsidRPr="00CC4437" w:rsidRDefault="00CC4437" w:rsidP="00CC4437">
      <w:pPr>
        <w:rPr>
          <w:rFonts w:ascii="Times" w:hAnsi="Times"/>
          <w:sz w:val="20"/>
          <w:szCs w:val="20"/>
          <w:lang w:val="es-ES_tradnl" w:eastAsia="es-ES_tradnl"/>
        </w:rPr>
      </w:pPr>
    </w:p>
    <w:p w:rsidR="00CC4437" w:rsidRDefault="00CC4437"/>
    <w:sectPr w:rsidR="00CC4437" w:rsidSect="00CC4437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EF"/>
    <w:rsid w:val="00036718"/>
    <w:rsid w:val="001124EF"/>
    <w:rsid w:val="00134CBD"/>
    <w:rsid w:val="00420571"/>
    <w:rsid w:val="00600B15"/>
    <w:rsid w:val="007762A7"/>
    <w:rsid w:val="00994E64"/>
    <w:rsid w:val="00A61615"/>
    <w:rsid w:val="00CC4437"/>
    <w:rsid w:val="00E47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22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1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22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1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13" Type="http://schemas.openxmlformats.org/officeDocument/2006/relationships/customXml" Target="../customXml/item6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digitalcommons.law.yale.edu/fss_papers/43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0D9D3CB368AF6E4091F98CE589307C8F" ma:contentTypeVersion="8" ma:contentTypeDescription="The base project type from which other project content types inherit their information." ma:contentTypeScope="" ma:versionID="e52109c555f8c17a2e0f6da6e81c910b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c4ae8e40f2965d50795c8bf0b96be334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Key_x0020_Document xmlns="cdc7663a-08f0-4737-9e8c-148ce897a09c">false</Key_x0020_Document>
    <Division_x0020_or_x0020_Unit xmlns="cdc7663a-08f0-4737-9e8c-148ce897a09c">CSD/RND</Division_x0020_or_x0020_Unit>
    <Other_x0020_Author xmlns="cdc7663a-08f0-4737-9e8c-148ce897a09c" xsi:nil="true"/>
    <IDBDocs_x0020_Number xmlns="cdc7663a-08f0-4737-9e8c-148ce897a09c">40807360</IDBDocs_x0020_Number>
    <Document_x0020_Author xmlns="cdc7663a-08f0-4737-9e8c-148ce897a09c" xsi:nil="true"/>
    <Operation_x0020_Type xmlns="cdc7663a-08f0-4737-9e8c-148ce897a09c" xsi:nil="true"/>
    <TaxCatchAll xmlns="cdc7663a-08f0-4737-9e8c-148ce897a09c">
      <Value>11</Value>
      <Value>10</Value>
    </TaxCatchAll>
    <Fiscal_x0020_Year_x0020_IDB xmlns="cdc7663a-08f0-4737-9e8c-148ce897a09c">2017</Fiscal_x0020_Year_x0020_IDB>
    <Project_x0020_Number xmlns="cdc7663a-08f0-4737-9e8c-148ce897a09c">BO-L1183</Project_x0020_Number>
    <Package_x0020_Code xmlns="cdc7663a-08f0-4737-9e8c-148ce897a09c" xsi:nil="true"/>
    <Migration_x0020_Info xmlns="cdc7663a-08f0-4737-9e8c-148ce897a09c">&lt;Data&gt;&lt;APPLICATION&gt;MS WORD&lt;/APPLICATION&gt;&lt;PD_OBJ_TYPE&gt;0&lt;/PD_OBJ_TYPE&gt;&lt;MAKERECORD&gt;N&lt;/MAKERECORD&gt;&lt;/Data&gt;</Migration_x0020_Info>
    <Approval_x0020_Number xmlns="cdc7663a-08f0-4737-9e8c-148ce897a09c" xsi:nil="true"/>
    <Business_x0020_Area xmlns="cdc7663a-08f0-4737-9e8c-148ce897a09c" xsi:nil="true"/>
    <SISCOR_x0020_Number xmlns="cdc7663a-08f0-4737-9e8c-148ce897a09c" xsi:nil="true"/>
    <Identifier xmlns="cdc7663a-08f0-4737-9e8c-148ce897a09c" xsi:nil="true"/>
    <Document_x0020_Language_x0020_IDB xmlns="cdc7663a-08f0-4737-9e8c-148ce897a09c" xsi:nil="true"/>
    <Phase xmlns="cdc7663a-08f0-4737-9e8c-148ce897a09c" xsi:nil="true"/>
    <Access_x0020_to_x0020_Information_x00a0_Policy xmlns="cdc7663a-08f0-4737-9e8c-148ce897a09c">Confidential</Access_x0020_to_x0020_Information_x00a0_Policy>
    <b26cdb1da78c4bb4b1c1bac2f6ac5911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b26cdb1da78c4bb4b1c1bac2f6ac5911>
    <ic46d7e087fd4a108fb86518ca413cc6 xmlns="cdc7663a-08f0-4737-9e8c-148ce897a09c">
      <Terms xmlns="http://schemas.microsoft.com/office/infopath/2007/PartnerControls"/>
    </ic46d7e087fd4a108fb86518ca413cc6>
    <From_x003a_ xmlns="cdc7663a-08f0-4737-9e8c-148ce897a09c" xsi:nil="true"/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e46fe2894295491da65140ffd2369f49>
    <b2ec7cfb18674cb8803df6b262e8b107 xmlns="cdc7663a-08f0-4737-9e8c-148ce897a09c">
      <Terms xmlns="http://schemas.microsoft.com/office/infopath/2007/PartnerControls"/>
    </b2ec7cfb18674cb8803df6b262e8b107>
    <g511464f9e53401d84b16fa9b379a574 xmlns="cdc7663a-08f0-4737-9e8c-148ce897a09c">
      <Terms xmlns="http://schemas.microsoft.com/office/infopath/2007/PartnerControls"/>
    </g511464f9e53401d84b16fa9b379a574>
    <To_x003a_ xmlns="cdc7663a-08f0-4737-9e8c-148ce897a09c" xsi:nil="true"/>
    <nddeef1749674d76abdbe4b239a70bc6 xmlns="cdc7663a-08f0-4737-9e8c-148ce897a09c">
      <Terms xmlns="http://schemas.microsoft.com/office/infopath/2007/PartnerControls"/>
    </nddeef1749674d76abdbe4b239a70bc6>
  </documentManagement>
</p:properties>
</file>

<file path=customXml/item6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Props1.xml><?xml version="1.0" encoding="utf-8"?>
<ds:datastoreItem xmlns:ds="http://schemas.openxmlformats.org/officeDocument/2006/customXml" ds:itemID="{68CB07FE-C239-4E7E-B3E5-4D29B1100742}"/>
</file>

<file path=customXml/itemProps2.xml><?xml version="1.0" encoding="utf-8"?>
<ds:datastoreItem xmlns:ds="http://schemas.openxmlformats.org/officeDocument/2006/customXml" ds:itemID="{C7FBEA8C-A82F-46A8-B5C9-2F45E78DA250}"/>
</file>

<file path=customXml/itemProps3.xml><?xml version="1.0" encoding="utf-8"?>
<ds:datastoreItem xmlns:ds="http://schemas.openxmlformats.org/officeDocument/2006/customXml" ds:itemID="{C7A5E1E2-83B4-4371-BCFD-51198FC9A644}"/>
</file>

<file path=customXml/itemProps4.xml><?xml version="1.0" encoding="utf-8"?>
<ds:datastoreItem xmlns:ds="http://schemas.openxmlformats.org/officeDocument/2006/customXml" ds:itemID="{C1F3DB10-D476-4967-B72F-81A1D0C9F45E}"/>
</file>

<file path=customXml/itemProps5.xml><?xml version="1.0" encoding="utf-8"?>
<ds:datastoreItem xmlns:ds="http://schemas.openxmlformats.org/officeDocument/2006/customXml" ds:itemID="{A9E22327-08AC-4760-8986-48C4E6059CF1}"/>
</file>

<file path=customXml/itemProps6.xml><?xml version="1.0" encoding="utf-8"?>
<ds:datastoreItem xmlns:ds="http://schemas.openxmlformats.org/officeDocument/2006/customXml" ds:itemID="{9BE621E7-F3C3-4A0C-A620-9D38CBD881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ReferenciasPODdef</dc:title>
  <dc:creator>Maria Vizeu</dc:creator>
  <cp:lastModifiedBy>IADB</cp:lastModifiedBy>
  <cp:revision>2</cp:revision>
  <dcterms:created xsi:type="dcterms:W3CDTF">2017-01-06T07:39:00Z</dcterms:created>
  <dcterms:modified xsi:type="dcterms:W3CDTF">2017-01-06T07:39:00Z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0x010100ACF722E9F6B0B149B0CD8BE2560A6672000D9D3CB368AF6E4091F98CE589307C8F</vt:lpwstr>
  </property>
  <property fmtid="{D5CDD505-2E9C-101B-9397-08002B2CF9AE}" pid="5" name="TaxKeywordTaxHTField">
    <vt:lpwstr/>
  </property>
  <property fmtid="{D5CDD505-2E9C-101B-9397-08002B2CF9AE}" pid="6" name="Series Operations IDB">
    <vt:lpwstr>-1;#Unclassified|a6dff32e-d477-44cd-a56b-85efe9e0a56c</vt:lpwstr>
  </property>
  <property fmtid="{D5CDD505-2E9C-101B-9397-08002B2CF9AE}" pid="7" name="Sub-Sector">
    <vt:lpwstr/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-1;#Unclassified|a6dff32e-d477-44cd-a56b-85efe9e0a56c</vt:lpwstr>
  </property>
  <property fmtid="{D5CDD505-2E9C-101B-9397-08002B2CF9AE}" pid="11" name="Sector IDB">
    <vt:lpwstr/>
  </property>
  <property fmtid="{D5CDD505-2E9C-101B-9397-08002B2CF9AE}" pid="12" name="Function Operations IDB">
    <vt:lpwstr>-1;#IDBDocs|cca77002-e150-4b2d-ab1f-1d7a7cdcae16</vt:lpwstr>
  </property>
  <property fmtid="{D5CDD505-2E9C-101B-9397-08002B2CF9AE}" pid="14" name="Publication_x0020_Type">
    <vt:lpwstr/>
  </property>
  <property fmtid="{D5CDD505-2E9C-101B-9397-08002B2CF9AE}" pid="15" name="Publishing_x0020_House">
    <vt:lpwstr/>
  </property>
  <property fmtid="{D5CDD505-2E9C-101B-9397-08002B2CF9AE}" pid="16" name="Abstract">
    <vt:lpwstr/>
  </property>
  <property fmtid="{D5CDD505-2E9C-101B-9397-08002B2CF9AE}" pid="17" name="Disclosure Activity">
    <vt:lpwstr/>
  </property>
  <property fmtid="{D5CDD505-2E9C-101B-9397-08002B2CF9AE}" pid="18" name="Function_x0020_Operations_x0020_IDB">
    <vt:lpwstr>-1;#IDBDocs|cca77002-e150-4b2d-ab1f-1d7a7cdcae16</vt:lpwstr>
  </property>
  <property fmtid="{D5CDD505-2E9C-101B-9397-08002B2CF9AE}" pid="19" name="Region">
    <vt:lpwstr/>
  </property>
  <property fmtid="{D5CDD505-2E9C-101B-9397-08002B2CF9AE}" pid="20" name="Disclosure_x0020_Activity">
    <vt:lpwstr/>
  </property>
  <property fmtid="{D5CDD505-2E9C-101B-9397-08002B2CF9AE}" pid="21" name="Fund_x0020_IDB">
    <vt:lpwstr/>
  </property>
  <property fmtid="{D5CDD505-2E9C-101B-9397-08002B2CF9AE}" pid="22" name="Webtopic">
    <vt:lpwstr/>
  </property>
  <property fmtid="{D5CDD505-2E9C-101B-9397-08002B2CF9AE}" pid="23" name="Publishing House">
    <vt:lpwstr/>
  </property>
  <property fmtid="{D5CDD505-2E9C-101B-9397-08002B2CF9AE}" pid="24" name="Disclosed">
    <vt:bool>false</vt:bool>
  </property>
  <property fmtid="{D5CDD505-2E9C-101B-9397-08002B2CF9AE}" pid="25" name="KP Topics">
    <vt:lpwstr/>
  </property>
  <property fmtid="{D5CDD505-2E9C-101B-9397-08002B2CF9AE}" pid="26" name="KP_x0020_Topics">
    <vt:lpwstr/>
  </property>
  <property fmtid="{D5CDD505-2E9C-101B-9397-08002B2CF9AE}" pid="27" name="Editor1">
    <vt:lpwstr/>
  </property>
  <property fmtid="{D5CDD505-2E9C-101B-9397-08002B2CF9AE}" pid="28" name="Sector_x0020_IDB">
    <vt:lpwstr/>
  </property>
  <property fmtid="{D5CDD505-2E9C-101B-9397-08002B2CF9AE}" pid="29" name="Publication Type">
    <vt:lpwstr/>
  </property>
</Properties>
</file>