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F3CD7" w14:textId="77777777" w:rsidR="00762337" w:rsidRPr="001C620F" w:rsidRDefault="00762337" w:rsidP="009E3A0B">
      <w:pPr>
        <w:spacing w:after="0" w:line="240" w:lineRule="auto"/>
        <w:jc w:val="center"/>
        <w:rPr>
          <w:rFonts w:ascii="Arial" w:hAnsi="Arial" w:cs="Arial"/>
          <w:b/>
          <w:bCs/>
          <w:smallCaps/>
          <w:sz w:val="24"/>
          <w:szCs w:val="20"/>
          <w:lang w:val="es-ES_tradnl"/>
        </w:rPr>
      </w:pPr>
      <w:r w:rsidRPr="001C620F">
        <w:rPr>
          <w:rFonts w:ascii="Arial" w:hAnsi="Arial" w:cs="Arial"/>
          <w:b/>
          <w:bCs/>
          <w:smallCaps/>
          <w:sz w:val="24"/>
          <w:szCs w:val="20"/>
          <w:lang w:val="es-ES_tradnl"/>
        </w:rPr>
        <w:t>Nicaragua</w:t>
      </w:r>
    </w:p>
    <w:p w14:paraId="79AF3CD8" w14:textId="77777777" w:rsidR="00762337" w:rsidRPr="001C620F" w:rsidRDefault="00762337" w:rsidP="009E3A0B">
      <w:pPr>
        <w:pStyle w:val="Newpage"/>
        <w:tabs>
          <w:tab w:val="clear" w:pos="1440"/>
          <w:tab w:val="clear" w:pos="3060"/>
        </w:tabs>
        <w:rPr>
          <w:rFonts w:ascii="Arial" w:hAnsi="Arial" w:cs="Arial"/>
          <w:b w:val="0"/>
          <w:lang w:val="es-ES_tradnl"/>
        </w:rPr>
      </w:pPr>
      <w:r w:rsidRPr="001C620F">
        <w:rPr>
          <w:rFonts w:ascii="Arial" w:hAnsi="Arial" w:cs="Arial"/>
          <w:bCs/>
          <w:lang w:val="es-ES_tradnl"/>
        </w:rPr>
        <w:t>Programa para fortalecer el sector eléctrico en Nicaragua I</w:t>
      </w:r>
      <w:r w:rsidR="00C67D91" w:rsidRPr="001C620F">
        <w:rPr>
          <w:rFonts w:ascii="Arial" w:hAnsi="Arial" w:cs="Arial"/>
          <w:bCs/>
          <w:lang w:val="es-ES_tradnl"/>
        </w:rPr>
        <w:t>I</w:t>
      </w:r>
      <w:r w:rsidRPr="001C620F">
        <w:rPr>
          <w:rFonts w:ascii="Arial" w:hAnsi="Arial" w:cs="Arial"/>
          <w:bCs/>
          <w:lang w:val="es-ES_tradnl"/>
        </w:rPr>
        <w:t>I</w:t>
      </w:r>
    </w:p>
    <w:p w14:paraId="79AF3CD9" w14:textId="3E94E4AC" w:rsidR="00762337" w:rsidRPr="00B074B0" w:rsidRDefault="00DB0F1A" w:rsidP="009E3A0B">
      <w:pPr>
        <w:pStyle w:val="Header"/>
        <w:spacing w:before="240" w:after="240"/>
        <w:jc w:val="center"/>
        <w:rPr>
          <w:rFonts w:ascii="Arial" w:hAnsi="Arial" w:cs="Arial"/>
          <w:b/>
          <w:bCs/>
          <w:smallCaps/>
          <w:sz w:val="20"/>
          <w:szCs w:val="20"/>
          <w:lang w:val="es-AR"/>
        </w:rPr>
      </w:pPr>
      <w:r>
        <w:rPr>
          <w:rFonts w:ascii="Arial" w:hAnsi="Arial" w:cs="Arial"/>
          <w:b/>
          <w:bCs/>
          <w:smallCaps/>
          <w:sz w:val="20"/>
          <w:szCs w:val="20"/>
          <w:lang w:val="es-AR"/>
        </w:rPr>
        <w:t>MATRIZ</w:t>
      </w:r>
      <w:r w:rsidRPr="00B074B0">
        <w:rPr>
          <w:rFonts w:ascii="Arial" w:hAnsi="Arial" w:cs="Arial"/>
          <w:b/>
          <w:bCs/>
          <w:smallCaps/>
          <w:sz w:val="20"/>
          <w:szCs w:val="20"/>
          <w:lang w:val="es-AR"/>
        </w:rPr>
        <w:t xml:space="preserve"> </w:t>
      </w:r>
      <w:r w:rsidR="001C620F">
        <w:rPr>
          <w:rFonts w:ascii="Arial" w:hAnsi="Arial" w:cs="Arial"/>
          <w:b/>
          <w:bCs/>
          <w:smallCaps/>
          <w:sz w:val="20"/>
          <w:szCs w:val="20"/>
          <w:lang w:val="es-AR"/>
        </w:rPr>
        <w:t>COMPARADA</w:t>
      </w:r>
    </w:p>
    <w:p w14:paraId="79AF3CDA" w14:textId="77777777" w:rsidR="00762337" w:rsidRPr="00B074B0" w:rsidRDefault="00762337" w:rsidP="009E3A0B">
      <w:pPr>
        <w:spacing w:line="240" w:lineRule="auto"/>
        <w:jc w:val="both"/>
        <w:rPr>
          <w:rFonts w:ascii="Arial" w:hAnsi="Arial" w:cs="Arial"/>
          <w:sz w:val="20"/>
          <w:szCs w:val="20"/>
          <w:lang w:val="es-AR"/>
        </w:rPr>
      </w:pPr>
      <w:r w:rsidRPr="00B074B0">
        <w:rPr>
          <w:rFonts w:ascii="Arial" w:hAnsi="Arial" w:cs="Arial"/>
          <w:sz w:val="20"/>
          <w:szCs w:val="20"/>
          <w:lang w:val="es-AR"/>
        </w:rPr>
        <w:t xml:space="preserve">La tabla a continuación presenta la comparación entre el texto de los </w:t>
      </w:r>
      <w:r w:rsidR="005B7197" w:rsidRPr="00B074B0">
        <w:rPr>
          <w:rFonts w:ascii="Arial" w:hAnsi="Arial" w:cs="Arial"/>
          <w:sz w:val="20"/>
          <w:szCs w:val="20"/>
          <w:lang w:val="es-AR"/>
        </w:rPr>
        <w:t>mecanismos activadores a</w:t>
      </w:r>
      <w:r w:rsidRPr="00B074B0">
        <w:rPr>
          <w:rFonts w:ascii="Arial" w:hAnsi="Arial" w:cs="Arial"/>
          <w:sz w:val="20"/>
          <w:szCs w:val="20"/>
          <w:lang w:val="es-AR"/>
        </w:rPr>
        <w:t xml:space="preserve">probados por el Directorio Ejecutivo dentro de la </w:t>
      </w:r>
      <w:r w:rsidR="00DF52EB" w:rsidRPr="00B074B0">
        <w:rPr>
          <w:rFonts w:ascii="Arial" w:hAnsi="Arial" w:cs="Arial"/>
          <w:sz w:val="20"/>
          <w:szCs w:val="20"/>
          <w:lang w:val="es-AR"/>
        </w:rPr>
        <w:t>M</w:t>
      </w:r>
      <w:r w:rsidRPr="00B074B0">
        <w:rPr>
          <w:rFonts w:ascii="Arial" w:hAnsi="Arial" w:cs="Arial"/>
          <w:sz w:val="20"/>
          <w:szCs w:val="20"/>
          <w:lang w:val="es-AR"/>
        </w:rPr>
        <w:t xml:space="preserve">atriz de </w:t>
      </w:r>
      <w:r w:rsidR="00DF52EB" w:rsidRPr="00B074B0">
        <w:rPr>
          <w:rFonts w:ascii="Arial" w:hAnsi="Arial" w:cs="Arial"/>
          <w:sz w:val="20"/>
          <w:szCs w:val="20"/>
          <w:lang w:val="es-AR"/>
        </w:rPr>
        <w:t>P</w:t>
      </w:r>
      <w:r w:rsidRPr="00B074B0">
        <w:rPr>
          <w:rFonts w:ascii="Arial" w:hAnsi="Arial" w:cs="Arial"/>
          <w:sz w:val="20"/>
          <w:szCs w:val="20"/>
          <w:lang w:val="es-AR"/>
        </w:rPr>
        <w:t xml:space="preserve">olíticas de la </w:t>
      </w:r>
      <w:r w:rsidR="00D146D7" w:rsidRPr="00B074B0">
        <w:rPr>
          <w:rFonts w:ascii="Arial" w:hAnsi="Arial" w:cs="Arial"/>
          <w:sz w:val="20"/>
          <w:szCs w:val="20"/>
          <w:lang w:val="es-AR"/>
        </w:rPr>
        <w:t xml:space="preserve">primera operación (NI-L1074 en 2013), en la </w:t>
      </w:r>
      <w:r w:rsidR="006618FD" w:rsidRPr="00B074B0">
        <w:rPr>
          <w:rFonts w:ascii="Arial" w:hAnsi="Arial" w:cs="Arial"/>
          <w:sz w:val="20"/>
          <w:szCs w:val="20"/>
          <w:lang w:val="es-AR"/>
        </w:rPr>
        <w:t xml:space="preserve">segunda </w:t>
      </w:r>
      <w:r w:rsidRPr="00B074B0">
        <w:rPr>
          <w:rFonts w:ascii="Arial" w:hAnsi="Arial" w:cs="Arial"/>
          <w:sz w:val="20"/>
          <w:szCs w:val="20"/>
          <w:lang w:val="es-AR"/>
        </w:rPr>
        <w:t xml:space="preserve">operación </w:t>
      </w:r>
      <w:r w:rsidR="00D146D7" w:rsidRPr="00B074B0">
        <w:rPr>
          <w:rFonts w:ascii="Arial" w:hAnsi="Arial" w:cs="Arial"/>
          <w:sz w:val="20"/>
          <w:szCs w:val="20"/>
          <w:lang w:val="es-AR"/>
        </w:rPr>
        <w:t>(</w:t>
      </w:r>
      <w:r w:rsidRPr="00B074B0">
        <w:rPr>
          <w:rFonts w:ascii="Arial" w:hAnsi="Arial" w:cs="Arial"/>
          <w:sz w:val="20"/>
          <w:szCs w:val="20"/>
          <w:lang w:val="es-AR"/>
        </w:rPr>
        <w:t>NI-L10</w:t>
      </w:r>
      <w:r w:rsidR="00C67D91" w:rsidRPr="00B074B0">
        <w:rPr>
          <w:rFonts w:ascii="Arial" w:hAnsi="Arial" w:cs="Arial"/>
          <w:sz w:val="20"/>
          <w:szCs w:val="20"/>
          <w:lang w:val="es-AR"/>
        </w:rPr>
        <w:t>89</w:t>
      </w:r>
      <w:r w:rsidR="00D146D7" w:rsidRPr="00B074B0">
        <w:rPr>
          <w:rFonts w:ascii="Arial" w:hAnsi="Arial" w:cs="Arial"/>
          <w:sz w:val="20"/>
          <w:szCs w:val="20"/>
          <w:lang w:val="es-AR"/>
        </w:rPr>
        <w:t xml:space="preserve"> en 2015)</w:t>
      </w:r>
      <w:r w:rsidRPr="00B074B0">
        <w:rPr>
          <w:rFonts w:ascii="Arial" w:hAnsi="Arial" w:cs="Arial"/>
          <w:sz w:val="20"/>
          <w:szCs w:val="20"/>
          <w:lang w:val="es-AR"/>
        </w:rPr>
        <w:t>, y la redacción de l</w:t>
      </w:r>
      <w:r w:rsidR="00DF52EB" w:rsidRPr="00B074B0">
        <w:rPr>
          <w:rFonts w:ascii="Arial" w:hAnsi="Arial" w:cs="Arial"/>
          <w:sz w:val="20"/>
          <w:szCs w:val="20"/>
          <w:lang w:val="es-AR"/>
        </w:rPr>
        <w:t>o</w:t>
      </w:r>
      <w:r w:rsidRPr="00B074B0">
        <w:rPr>
          <w:rFonts w:ascii="Arial" w:hAnsi="Arial" w:cs="Arial"/>
          <w:sz w:val="20"/>
          <w:szCs w:val="20"/>
          <w:lang w:val="es-AR"/>
        </w:rPr>
        <w:t xml:space="preserve">s </w:t>
      </w:r>
      <w:r w:rsidR="00DF52EB" w:rsidRPr="00B074B0">
        <w:rPr>
          <w:rFonts w:ascii="Arial" w:hAnsi="Arial" w:cs="Arial"/>
          <w:sz w:val="20"/>
          <w:szCs w:val="20"/>
          <w:lang w:val="es-AR"/>
        </w:rPr>
        <w:t>Compromisos de</w:t>
      </w:r>
      <w:r w:rsidRPr="00B074B0">
        <w:rPr>
          <w:rFonts w:ascii="Arial" w:hAnsi="Arial" w:cs="Arial"/>
          <w:sz w:val="20"/>
          <w:szCs w:val="20"/>
          <w:lang w:val="es-AR"/>
        </w:rPr>
        <w:t xml:space="preserve"> la </w:t>
      </w:r>
      <w:r w:rsidR="00DF52EB" w:rsidRPr="00B074B0">
        <w:rPr>
          <w:rFonts w:ascii="Arial" w:hAnsi="Arial" w:cs="Arial"/>
          <w:sz w:val="20"/>
          <w:szCs w:val="20"/>
          <w:lang w:val="es-AR"/>
        </w:rPr>
        <w:t>M</w:t>
      </w:r>
      <w:r w:rsidRPr="00B074B0">
        <w:rPr>
          <w:rFonts w:ascii="Arial" w:hAnsi="Arial" w:cs="Arial"/>
          <w:sz w:val="20"/>
          <w:szCs w:val="20"/>
          <w:lang w:val="es-AR"/>
        </w:rPr>
        <w:t xml:space="preserve">atriz de </w:t>
      </w:r>
      <w:r w:rsidR="00DF52EB" w:rsidRPr="00B074B0">
        <w:rPr>
          <w:rFonts w:ascii="Arial" w:hAnsi="Arial" w:cs="Arial"/>
          <w:sz w:val="20"/>
          <w:szCs w:val="20"/>
          <w:lang w:val="es-AR"/>
        </w:rPr>
        <w:t xml:space="preserve">Política de la operación </w:t>
      </w:r>
      <w:r w:rsidR="006618FD" w:rsidRPr="00B074B0">
        <w:rPr>
          <w:rFonts w:ascii="Arial" w:hAnsi="Arial" w:cs="Arial"/>
          <w:sz w:val="20"/>
          <w:szCs w:val="20"/>
          <w:lang w:val="es-AR"/>
        </w:rPr>
        <w:t>NI-L1144</w:t>
      </w:r>
      <w:r w:rsidR="00D146D7" w:rsidRPr="00B074B0">
        <w:rPr>
          <w:rFonts w:ascii="Arial" w:hAnsi="Arial" w:cs="Arial"/>
          <w:sz w:val="20"/>
          <w:szCs w:val="20"/>
          <w:lang w:val="es-AR"/>
        </w:rPr>
        <w:t xml:space="preserve"> en 2017</w:t>
      </w:r>
      <w:r w:rsidRPr="00B074B0">
        <w:rPr>
          <w:rFonts w:ascii="Arial" w:hAnsi="Arial" w:cs="Arial"/>
          <w:sz w:val="20"/>
          <w:szCs w:val="20"/>
          <w:lang w:val="es-AR"/>
        </w:rPr>
        <w:t xml:space="preserve">, </w:t>
      </w:r>
      <w:r w:rsidR="006618FD" w:rsidRPr="00B074B0">
        <w:rPr>
          <w:rFonts w:ascii="Arial" w:hAnsi="Arial" w:cs="Arial"/>
          <w:sz w:val="20"/>
          <w:szCs w:val="20"/>
          <w:lang w:val="es-AR"/>
        </w:rPr>
        <w:t>tercera</w:t>
      </w:r>
      <w:r w:rsidRPr="00B074B0">
        <w:rPr>
          <w:rFonts w:ascii="Arial" w:hAnsi="Arial" w:cs="Arial"/>
          <w:sz w:val="20"/>
          <w:szCs w:val="20"/>
          <w:lang w:val="es-AR"/>
        </w:rPr>
        <w:t xml:space="preserve"> de la serie programática. </w:t>
      </w:r>
    </w:p>
    <w:p w14:paraId="79AF3CDB" w14:textId="77777777" w:rsidR="004F0184" w:rsidRPr="00B074B0" w:rsidRDefault="004F0184" w:rsidP="009E3A0B">
      <w:pPr>
        <w:spacing w:after="0" w:line="240" w:lineRule="auto"/>
        <w:jc w:val="center"/>
        <w:rPr>
          <w:rFonts w:ascii="Arial" w:hAnsi="Arial" w:cs="Arial"/>
          <w:b/>
          <w:sz w:val="20"/>
          <w:szCs w:val="20"/>
          <w:lang w:val="es-AR"/>
        </w:rPr>
      </w:pPr>
    </w:p>
    <w:tbl>
      <w:tblPr>
        <w:tblStyle w:val="TableGrid"/>
        <w:tblW w:w="4918" w:type="pct"/>
        <w:tblInd w:w="108" w:type="dxa"/>
        <w:tblLook w:val="04A0" w:firstRow="1" w:lastRow="0" w:firstColumn="1" w:lastColumn="0" w:noHBand="0" w:noVBand="1"/>
      </w:tblPr>
      <w:tblGrid>
        <w:gridCol w:w="1188"/>
        <w:gridCol w:w="11550"/>
      </w:tblGrid>
      <w:tr w:rsidR="00CB40DE" w:rsidRPr="000B05C5" w14:paraId="79AF3CDE" w14:textId="77777777" w:rsidTr="001840C4">
        <w:tc>
          <w:tcPr>
            <w:tcW w:w="1190" w:type="dxa"/>
            <w:shd w:val="clear" w:color="auto" w:fill="FFFFFF" w:themeFill="background1"/>
          </w:tcPr>
          <w:p w14:paraId="79AF3CDC" w14:textId="77777777" w:rsidR="00CB40DE" w:rsidRPr="00B074B0" w:rsidRDefault="00CB40DE" w:rsidP="009E3A0B">
            <w:pPr>
              <w:rPr>
                <w:rFonts w:ascii="Arial" w:hAnsi="Arial" w:cs="Arial"/>
                <w:b/>
                <w:color w:val="FFFFFF" w:themeColor="background1"/>
                <w:sz w:val="20"/>
                <w:szCs w:val="20"/>
                <w:lang w:val="es-ES_tradnl"/>
              </w:rPr>
            </w:pPr>
            <w:r w:rsidRPr="00B074B0">
              <w:rPr>
                <w:rFonts w:ascii="Arial" w:hAnsi="Arial" w:cs="Arial"/>
                <w:b/>
                <w:sz w:val="20"/>
                <w:szCs w:val="20"/>
                <w:lang w:val="es-ES_tradnl"/>
              </w:rPr>
              <w:t>Objetivo:</w:t>
            </w:r>
          </w:p>
        </w:tc>
        <w:tc>
          <w:tcPr>
            <w:tcW w:w="11770" w:type="dxa"/>
            <w:shd w:val="clear" w:color="auto" w:fill="FFFFFF" w:themeFill="background1"/>
          </w:tcPr>
          <w:p w14:paraId="79AF3CDD" w14:textId="77777777" w:rsidR="00CB40DE" w:rsidRPr="00B074B0" w:rsidRDefault="00CB40DE" w:rsidP="009E3A0B">
            <w:pPr>
              <w:rPr>
                <w:rFonts w:ascii="Arial" w:hAnsi="Arial" w:cs="Arial"/>
                <w:b/>
                <w:color w:val="FFFFFF" w:themeColor="background1"/>
                <w:sz w:val="20"/>
                <w:szCs w:val="20"/>
                <w:lang w:val="es-ES_tradnl"/>
              </w:rPr>
            </w:pPr>
            <w:r w:rsidRPr="00B074B0">
              <w:rPr>
                <w:rFonts w:ascii="Arial" w:hAnsi="Arial" w:cs="Arial"/>
                <w:sz w:val="20"/>
                <w:szCs w:val="20"/>
                <w:lang w:val="es-ES_tradnl"/>
              </w:rPr>
              <w:t>Apoyar al Gobierno de Nicaragua en la consolidación de un marco sectorial que garantice la sostenibilidad financiera, técnica y operativa del sector.</w:t>
            </w:r>
          </w:p>
        </w:tc>
      </w:tr>
    </w:tbl>
    <w:p w14:paraId="79AF3CDF" w14:textId="77777777" w:rsidR="004F0184" w:rsidRPr="00B074B0" w:rsidRDefault="004F0184" w:rsidP="009E3A0B">
      <w:pPr>
        <w:spacing w:after="0" w:line="240" w:lineRule="auto"/>
        <w:rPr>
          <w:rFonts w:ascii="Arial" w:hAnsi="Arial" w:cs="Arial"/>
          <w:sz w:val="20"/>
          <w:szCs w:val="20"/>
          <w:lang w:val="es-AR"/>
        </w:r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2962"/>
        <w:gridCol w:w="2964"/>
        <w:gridCol w:w="4083"/>
        <w:gridCol w:w="2941"/>
      </w:tblGrid>
      <w:tr w:rsidR="00FC6496" w:rsidRPr="00CD6FD1" w14:paraId="79AF3CE8" w14:textId="77777777" w:rsidTr="0069741A">
        <w:trPr>
          <w:tblHeader/>
        </w:trPr>
        <w:tc>
          <w:tcPr>
            <w:tcW w:w="2981" w:type="dxa"/>
            <w:shd w:val="clear" w:color="auto" w:fill="A6A6A6" w:themeFill="background1" w:themeFillShade="A6"/>
            <w:vAlign w:val="center"/>
          </w:tcPr>
          <w:p w14:paraId="79AF3CE0" w14:textId="77777777" w:rsidR="007323F8" w:rsidRPr="00B074B0" w:rsidRDefault="00B54394" w:rsidP="0069741A">
            <w:pPr>
              <w:jc w:val="center"/>
              <w:rPr>
                <w:rFonts w:ascii="Arial" w:hAnsi="Arial" w:cs="Arial"/>
                <w:b/>
                <w:bCs/>
                <w:sz w:val="20"/>
                <w:szCs w:val="20"/>
                <w:lang w:val="es-AR"/>
              </w:rPr>
            </w:pPr>
            <w:r w:rsidRPr="00B074B0">
              <w:rPr>
                <w:rFonts w:ascii="Arial" w:hAnsi="Arial" w:cs="Arial"/>
                <w:b/>
                <w:bCs/>
                <w:sz w:val="20"/>
                <w:szCs w:val="20"/>
                <w:lang w:val="es-AR"/>
              </w:rPr>
              <w:t>Mecanismos Activadores del Tercer programático (según Matriz de Política del</w:t>
            </w:r>
          </w:p>
          <w:p w14:paraId="79AF3CE1" w14:textId="77777777" w:rsidR="00FC6496" w:rsidRPr="00B074B0" w:rsidRDefault="007323F8" w:rsidP="0069741A">
            <w:pPr>
              <w:jc w:val="center"/>
              <w:rPr>
                <w:rFonts w:ascii="Arial" w:hAnsi="Arial" w:cs="Arial"/>
                <w:b/>
                <w:bCs/>
                <w:sz w:val="20"/>
                <w:szCs w:val="20"/>
                <w:lang w:val="es-AR"/>
              </w:rPr>
            </w:pPr>
            <w:r w:rsidRPr="00B074B0">
              <w:rPr>
                <w:rFonts w:ascii="Arial" w:hAnsi="Arial" w:cs="Arial"/>
                <w:b/>
                <w:bCs/>
                <w:sz w:val="20"/>
                <w:szCs w:val="20"/>
                <w:lang w:val="es-AR"/>
              </w:rPr>
              <w:t>NI-L1074 – (2013)</w:t>
            </w:r>
            <w:r w:rsidR="00B54394" w:rsidRPr="00B074B0">
              <w:rPr>
                <w:rFonts w:ascii="Arial" w:hAnsi="Arial" w:cs="Arial"/>
                <w:b/>
                <w:bCs/>
                <w:sz w:val="20"/>
                <w:szCs w:val="20"/>
                <w:lang w:val="es-AR"/>
              </w:rPr>
              <w:t>)</w:t>
            </w:r>
          </w:p>
        </w:tc>
        <w:tc>
          <w:tcPr>
            <w:tcW w:w="2982" w:type="dxa"/>
            <w:shd w:val="clear" w:color="auto" w:fill="A6A6A6" w:themeFill="background1" w:themeFillShade="A6"/>
            <w:vAlign w:val="center"/>
          </w:tcPr>
          <w:p w14:paraId="79AF3CE2" w14:textId="77777777" w:rsidR="007323F8" w:rsidRPr="00B074B0" w:rsidRDefault="00FC6496" w:rsidP="0069741A">
            <w:pPr>
              <w:jc w:val="center"/>
              <w:rPr>
                <w:rFonts w:ascii="Arial" w:hAnsi="Arial" w:cs="Arial"/>
                <w:b/>
                <w:bCs/>
                <w:sz w:val="20"/>
                <w:szCs w:val="20"/>
                <w:lang w:val="es-AR"/>
              </w:rPr>
            </w:pPr>
            <w:r w:rsidRPr="00B074B0">
              <w:rPr>
                <w:rFonts w:ascii="Arial" w:hAnsi="Arial" w:cs="Arial"/>
                <w:b/>
                <w:bCs/>
                <w:sz w:val="20"/>
                <w:szCs w:val="20"/>
                <w:lang w:val="es-AR"/>
              </w:rPr>
              <w:t>Mecanismos Activadores del Tercer programático (según Matriz de Política del</w:t>
            </w:r>
          </w:p>
          <w:p w14:paraId="79AF3CE3" w14:textId="77777777" w:rsidR="00FC6496" w:rsidRPr="00B074B0" w:rsidRDefault="00FC6496" w:rsidP="0069741A">
            <w:pPr>
              <w:jc w:val="center"/>
              <w:rPr>
                <w:rFonts w:ascii="Arial" w:hAnsi="Arial" w:cs="Arial"/>
                <w:b/>
                <w:sz w:val="20"/>
                <w:szCs w:val="20"/>
                <w:lang w:val="es-ES_tradnl"/>
              </w:rPr>
            </w:pPr>
            <w:r w:rsidRPr="00B074B0">
              <w:rPr>
                <w:rFonts w:ascii="Arial" w:hAnsi="Arial" w:cs="Arial"/>
                <w:b/>
                <w:bCs/>
                <w:sz w:val="20"/>
                <w:szCs w:val="20"/>
                <w:lang w:val="es-AR"/>
              </w:rPr>
              <w:t>NI-L1089</w:t>
            </w:r>
            <w:r w:rsidR="007323F8" w:rsidRPr="00B074B0">
              <w:rPr>
                <w:rFonts w:ascii="Arial" w:hAnsi="Arial" w:cs="Arial"/>
                <w:b/>
                <w:bCs/>
                <w:sz w:val="20"/>
                <w:szCs w:val="20"/>
                <w:lang w:val="es-AR"/>
              </w:rPr>
              <w:t xml:space="preserve"> - (2015)</w:t>
            </w:r>
            <w:r w:rsidRPr="00B074B0">
              <w:rPr>
                <w:rFonts w:ascii="Arial" w:hAnsi="Arial" w:cs="Arial"/>
                <w:b/>
                <w:bCs/>
                <w:sz w:val="20"/>
                <w:szCs w:val="20"/>
                <w:lang w:val="es-AR"/>
              </w:rPr>
              <w:t>)</w:t>
            </w:r>
          </w:p>
        </w:tc>
        <w:tc>
          <w:tcPr>
            <w:tcW w:w="4117" w:type="dxa"/>
            <w:shd w:val="clear" w:color="auto" w:fill="A6A6A6" w:themeFill="background1" w:themeFillShade="A6"/>
            <w:vAlign w:val="center"/>
          </w:tcPr>
          <w:p w14:paraId="79AF3CE4" w14:textId="77777777" w:rsidR="00FC6496" w:rsidRPr="00B074B0" w:rsidRDefault="00FC6496" w:rsidP="0069741A">
            <w:pPr>
              <w:jc w:val="center"/>
              <w:rPr>
                <w:rFonts w:ascii="Arial" w:hAnsi="Arial" w:cs="Arial"/>
                <w:b/>
                <w:bCs/>
                <w:sz w:val="20"/>
                <w:szCs w:val="20"/>
                <w:lang w:val="es-AR"/>
              </w:rPr>
            </w:pPr>
            <w:r w:rsidRPr="00B074B0">
              <w:rPr>
                <w:rFonts w:ascii="Arial" w:hAnsi="Arial" w:cs="Arial"/>
                <w:b/>
                <w:bCs/>
                <w:sz w:val="20"/>
                <w:szCs w:val="20"/>
                <w:lang w:val="es-AR"/>
              </w:rPr>
              <w:t>Compromisos Tercer programático</w:t>
            </w:r>
          </w:p>
          <w:p w14:paraId="79AF3CE5" w14:textId="77777777" w:rsidR="00FC6496" w:rsidRPr="00B074B0" w:rsidRDefault="00FC6496" w:rsidP="0069741A">
            <w:pPr>
              <w:jc w:val="center"/>
              <w:rPr>
                <w:rFonts w:ascii="Arial" w:hAnsi="Arial" w:cs="Arial"/>
                <w:b/>
                <w:bCs/>
                <w:sz w:val="20"/>
                <w:szCs w:val="20"/>
                <w:lang w:val="es-AR"/>
              </w:rPr>
            </w:pPr>
            <w:r w:rsidRPr="00B074B0">
              <w:rPr>
                <w:rFonts w:ascii="Arial" w:hAnsi="Arial" w:cs="Arial"/>
                <w:b/>
                <w:bCs/>
                <w:sz w:val="20"/>
                <w:szCs w:val="20"/>
                <w:lang w:val="es-AR"/>
              </w:rPr>
              <w:t>(según Matriz de Política del</w:t>
            </w:r>
          </w:p>
          <w:p w14:paraId="79AF3CE6" w14:textId="77777777" w:rsidR="00FC6496" w:rsidRPr="00B074B0" w:rsidRDefault="00FC6496" w:rsidP="0069741A">
            <w:pPr>
              <w:jc w:val="center"/>
              <w:rPr>
                <w:rFonts w:ascii="Arial" w:hAnsi="Arial" w:cs="Arial"/>
                <w:b/>
                <w:sz w:val="20"/>
                <w:szCs w:val="20"/>
                <w:lang w:val="es-ES_tradnl"/>
              </w:rPr>
            </w:pPr>
            <w:r w:rsidRPr="00B074B0">
              <w:rPr>
                <w:rFonts w:ascii="Arial" w:hAnsi="Arial" w:cs="Arial"/>
                <w:b/>
                <w:bCs/>
                <w:sz w:val="20"/>
                <w:szCs w:val="20"/>
                <w:lang w:val="es-AR"/>
              </w:rPr>
              <w:t>NI-L1144</w:t>
            </w:r>
            <w:r w:rsidR="007323F8" w:rsidRPr="00B074B0">
              <w:rPr>
                <w:rFonts w:ascii="Arial" w:hAnsi="Arial" w:cs="Arial"/>
                <w:b/>
                <w:bCs/>
                <w:sz w:val="20"/>
                <w:szCs w:val="20"/>
                <w:lang w:val="es-AR"/>
              </w:rPr>
              <w:t xml:space="preserve"> – (2017)</w:t>
            </w:r>
            <w:r w:rsidRPr="00B074B0">
              <w:rPr>
                <w:rFonts w:ascii="Arial" w:hAnsi="Arial" w:cs="Arial"/>
                <w:b/>
                <w:bCs/>
                <w:sz w:val="20"/>
                <w:szCs w:val="20"/>
                <w:lang w:val="es-AR"/>
              </w:rPr>
              <w:t>)</w:t>
            </w:r>
          </w:p>
        </w:tc>
        <w:tc>
          <w:tcPr>
            <w:tcW w:w="2966" w:type="dxa"/>
            <w:shd w:val="clear" w:color="auto" w:fill="A6A6A6" w:themeFill="background1" w:themeFillShade="A6"/>
            <w:vAlign w:val="center"/>
          </w:tcPr>
          <w:p w14:paraId="79AF3CE7" w14:textId="0AA52F8D" w:rsidR="00FC6496" w:rsidRPr="00B074B0" w:rsidRDefault="00FC6496" w:rsidP="0069741A">
            <w:pPr>
              <w:jc w:val="center"/>
              <w:rPr>
                <w:rFonts w:ascii="Arial" w:hAnsi="Arial" w:cs="Arial"/>
                <w:b/>
                <w:sz w:val="20"/>
                <w:szCs w:val="20"/>
                <w:lang w:val="es-ES_tradnl"/>
              </w:rPr>
            </w:pPr>
            <w:r w:rsidRPr="00B074B0">
              <w:rPr>
                <w:rFonts w:ascii="Arial" w:hAnsi="Arial" w:cs="Arial"/>
                <w:b/>
                <w:sz w:val="20"/>
                <w:szCs w:val="20"/>
                <w:lang w:val="es-ES_tradnl"/>
              </w:rPr>
              <w:t>Comentario</w:t>
            </w:r>
            <w:r w:rsidR="0069741A" w:rsidRPr="00B074B0">
              <w:rPr>
                <w:rFonts w:ascii="Arial" w:hAnsi="Arial" w:cs="Arial"/>
                <w:b/>
                <w:sz w:val="20"/>
                <w:szCs w:val="20"/>
                <w:lang w:val="es-ES_tradnl"/>
              </w:rPr>
              <w:t>s</w:t>
            </w:r>
          </w:p>
        </w:tc>
      </w:tr>
      <w:tr w:rsidR="007323F8" w:rsidRPr="00B074B0" w14:paraId="79AF3CEA" w14:textId="77777777" w:rsidTr="005808BD">
        <w:tc>
          <w:tcPr>
            <w:tcW w:w="13046" w:type="dxa"/>
            <w:gridSpan w:val="4"/>
            <w:shd w:val="clear" w:color="auto" w:fill="B8CCE4" w:themeFill="accent1" w:themeFillTint="66"/>
          </w:tcPr>
          <w:p w14:paraId="79AF3CE9" w14:textId="77777777" w:rsidR="007323F8" w:rsidRPr="00B074B0" w:rsidRDefault="007323F8" w:rsidP="007323F8">
            <w:pPr>
              <w:pStyle w:val="ListParagraph"/>
              <w:numPr>
                <w:ilvl w:val="0"/>
                <w:numId w:val="36"/>
              </w:numPr>
              <w:rPr>
                <w:rFonts w:ascii="Arial" w:hAnsi="Arial" w:cs="Arial"/>
                <w:b/>
                <w:sz w:val="20"/>
                <w:szCs w:val="20"/>
                <w:lang w:val="es-ES_tradnl"/>
              </w:rPr>
            </w:pPr>
            <w:r w:rsidRPr="00B074B0">
              <w:rPr>
                <w:rFonts w:ascii="Arial" w:hAnsi="Arial" w:cs="Arial"/>
                <w:b/>
                <w:sz w:val="20"/>
                <w:szCs w:val="20"/>
                <w:lang w:val="es-ES_tradnl"/>
              </w:rPr>
              <w:t>Marco general de políticas macroeconómicas</w:t>
            </w:r>
          </w:p>
        </w:tc>
      </w:tr>
      <w:tr w:rsidR="007323F8" w:rsidRPr="000B05C5" w14:paraId="79AF3CEF" w14:textId="77777777" w:rsidTr="007323F8">
        <w:tc>
          <w:tcPr>
            <w:tcW w:w="2981" w:type="dxa"/>
            <w:shd w:val="clear" w:color="auto" w:fill="FFFFFF" w:themeFill="background1"/>
          </w:tcPr>
          <w:p w14:paraId="79AF3CEB"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3.1 Marco macroeconómico estable, conducente al logro de los objetivos del Programa.</w:t>
            </w:r>
          </w:p>
        </w:tc>
        <w:tc>
          <w:tcPr>
            <w:tcW w:w="2982" w:type="dxa"/>
            <w:shd w:val="clear" w:color="auto" w:fill="FFFFFF" w:themeFill="background1"/>
          </w:tcPr>
          <w:p w14:paraId="79AF3CEC"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3.1 Marco macroeconómico estable, conducente al logro de los objetivos del Programa.</w:t>
            </w:r>
          </w:p>
        </w:tc>
        <w:tc>
          <w:tcPr>
            <w:tcW w:w="4117" w:type="dxa"/>
          </w:tcPr>
          <w:p w14:paraId="79AF3CED"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3.1 Marco macroeconómico estable, conducente al logro de los objetivos del Programa y los lineamientos establecidos en la Carta de Política Sectorial.</w:t>
            </w:r>
          </w:p>
        </w:tc>
        <w:tc>
          <w:tcPr>
            <w:tcW w:w="2966" w:type="dxa"/>
          </w:tcPr>
          <w:p w14:paraId="79AF3CEE" w14:textId="2262210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 xml:space="preserve">Se </w:t>
            </w:r>
            <w:r w:rsidR="005F4AB1" w:rsidRPr="00B074B0">
              <w:rPr>
                <w:rFonts w:ascii="Arial" w:hAnsi="Arial" w:cs="Arial"/>
                <w:sz w:val="20"/>
                <w:szCs w:val="20"/>
                <w:lang w:val="es-ES_tradnl"/>
              </w:rPr>
              <w:t>modific</w:t>
            </w:r>
            <w:r w:rsidRPr="00B074B0">
              <w:rPr>
                <w:rFonts w:ascii="Arial" w:hAnsi="Arial" w:cs="Arial"/>
                <w:sz w:val="20"/>
                <w:szCs w:val="20"/>
                <w:lang w:val="es-ES_tradnl"/>
              </w:rPr>
              <w:t xml:space="preserve">ó </w:t>
            </w:r>
            <w:r w:rsidR="00D146D7" w:rsidRPr="00B074B0">
              <w:rPr>
                <w:rFonts w:ascii="Arial" w:hAnsi="Arial" w:cs="Arial"/>
                <w:sz w:val="20"/>
                <w:szCs w:val="20"/>
                <w:lang w:val="es-ES_tradnl"/>
              </w:rPr>
              <w:t>redacción</w:t>
            </w:r>
            <w:r w:rsidR="005F4AB1" w:rsidRPr="00B074B0">
              <w:rPr>
                <w:rFonts w:ascii="Arial" w:hAnsi="Arial" w:cs="Arial"/>
                <w:sz w:val="20"/>
                <w:szCs w:val="20"/>
                <w:lang w:val="es-ES_tradnl"/>
              </w:rPr>
              <w:t xml:space="preserve"> para hacer </w:t>
            </w:r>
            <w:r w:rsidR="00DB0F1A">
              <w:rPr>
                <w:rFonts w:ascii="Arial" w:hAnsi="Arial" w:cs="Arial"/>
                <w:sz w:val="20"/>
                <w:szCs w:val="20"/>
                <w:lang w:val="es-ES_tradnl"/>
              </w:rPr>
              <w:t>incluir</w:t>
            </w:r>
            <w:r w:rsidR="00DB0F1A" w:rsidRPr="00B074B0">
              <w:rPr>
                <w:rFonts w:ascii="Arial" w:hAnsi="Arial" w:cs="Arial"/>
                <w:sz w:val="20"/>
                <w:szCs w:val="20"/>
                <w:lang w:val="es-ES_tradnl"/>
              </w:rPr>
              <w:t xml:space="preserve"> </w:t>
            </w:r>
            <w:r w:rsidRPr="00B074B0">
              <w:rPr>
                <w:rFonts w:ascii="Arial" w:hAnsi="Arial" w:cs="Arial"/>
                <w:sz w:val="20"/>
                <w:szCs w:val="20"/>
                <w:lang w:val="es-ES_tradnl"/>
              </w:rPr>
              <w:t>la Carta de Política Sectorial.</w:t>
            </w:r>
          </w:p>
        </w:tc>
      </w:tr>
      <w:tr w:rsidR="007323F8" w:rsidRPr="000B05C5" w14:paraId="79AF3CF1" w14:textId="77777777" w:rsidTr="00827771">
        <w:tc>
          <w:tcPr>
            <w:tcW w:w="13046" w:type="dxa"/>
            <w:gridSpan w:val="4"/>
            <w:shd w:val="clear" w:color="auto" w:fill="B8CCE4" w:themeFill="accent1" w:themeFillTint="66"/>
          </w:tcPr>
          <w:p w14:paraId="79AF3CF0" w14:textId="77777777" w:rsidR="007323F8" w:rsidRPr="00B074B0" w:rsidRDefault="007323F8" w:rsidP="007323F8">
            <w:pPr>
              <w:ind w:left="720"/>
              <w:rPr>
                <w:rFonts w:ascii="Arial" w:hAnsi="Arial" w:cs="Arial"/>
                <w:b/>
                <w:sz w:val="20"/>
                <w:szCs w:val="20"/>
                <w:lang w:val="es-ES_tradnl"/>
              </w:rPr>
            </w:pPr>
            <w:r w:rsidRPr="00B074B0">
              <w:rPr>
                <w:rFonts w:ascii="Arial" w:hAnsi="Arial" w:cs="Arial"/>
                <w:b/>
                <w:sz w:val="20"/>
                <w:szCs w:val="20"/>
                <w:lang w:val="es-ES_tradnl"/>
              </w:rPr>
              <w:t>II. Sostenibilidad financiera del sector eléctrico</w:t>
            </w:r>
          </w:p>
        </w:tc>
      </w:tr>
      <w:tr w:rsidR="007323F8" w:rsidRPr="000B05C5" w14:paraId="79AF3CFB" w14:textId="77777777" w:rsidTr="007323F8">
        <w:tc>
          <w:tcPr>
            <w:tcW w:w="2981" w:type="dxa"/>
            <w:shd w:val="clear" w:color="auto" w:fill="FFFFFF" w:themeFill="background1"/>
          </w:tcPr>
          <w:p w14:paraId="79AF3CF2" w14:textId="77777777" w:rsidR="007323F8" w:rsidRPr="00B074B0" w:rsidRDefault="007323F8" w:rsidP="007323F8">
            <w:pPr>
              <w:rPr>
                <w:rFonts w:ascii="Arial" w:hAnsi="Arial" w:cs="Arial"/>
                <w:sz w:val="20"/>
                <w:szCs w:val="20"/>
                <w:lang w:val="es-ES_tradnl"/>
              </w:rPr>
            </w:pPr>
            <w:r w:rsidRPr="00B074B0">
              <w:rPr>
                <w:rFonts w:ascii="Arial" w:hAnsi="Arial" w:cs="Arial"/>
                <w:sz w:val="20"/>
                <w:szCs w:val="20"/>
                <w:lang w:val="es-ES_tradnl"/>
              </w:rPr>
              <w:t>3.2 Haber confirmado que todas las medidas contempladas en la Ley No. 839 vienen siendo implementadas satisfactoriamente.</w:t>
            </w:r>
          </w:p>
          <w:p w14:paraId="79AF3CF3" w14:textId="77777777" w:rsidR="007323F8" w:rsidRPr="00B074B0" w:rsidRDefault="007323F8" w:rsidP="007323F8">
            <w:pPr>
              <w:jc w:val="both"/>
              <w:rPr>
                <w:rFonts w:ascii="Arial" w:hAnsi="Arial" w:cs="Arial"/>
                <w:sz w:val="20"/>
                <w:szCs w:val="20"/>
                <w:lang w:val="es-ES_tradnl"/>
              </w:rPr>
            </w:pPr>
          </w:p>
        </w:tc>
        <w:tc>
          <w:tcPr>
            <w:tcW w:w="2982" w:type="dxa"/>
            <w:shd w:val="clear" w:color="auto" w:fill="FFFFFF" w:themeFill="background1"/>
          </w:tcPr>
          <w:p w14:paraId="79AF3CF4" w14:textId="77777777" w:rsidR="007323F8" w:rsidRPr="00B074B0" w:rsidRDefault="007323F8" w:rsidP="007323F8">
            <w:pPr>
              <w:rPr>
                <w:rFonts w:ascii="Arial" w:hAnsi="Arial" w:cs="Arial"/>
                <w:sz w:val="20"/>
                <w:szCs w:val="20"/>
                <w:lang w:val="es-ES_tradnl"/>
              </w:rPr>
            </w:pPr>
            <w:r w:rsidRPr="00B074B0">
              <w:rPr>
                <w:rFonts w:ascii="Arial" w:hAnsi="Arial" w:cs="Arial"/>
                <w:sz w:val="20"/>
                <w:szCs w:val="20"/>
                <w:lang w:val="es-ES_tradnl"/>
              </w:rPr>
              <w:t>3.2 Haber confirmado que todas las medidas contempladas en la Ley No. 839 vienen siendo implementadas satisfactoriamente.</w:t>
            </w:r>
          </w:p>
          <w:p w14:paraId="79AF3CF5" w14:textId="77777777" w:rsidR="007323F8" w:rsidRPr="00B074B0" w:rsidRDefault="007323F8" w:rsidP="007323F8">
            <w:pPr>
              <w:jc w:val="both"/>
              <w:rPr>
                <w:rFonts w:ascii="Arial" w:hAnsi="Arial" w:cs="Arial"/>
                <w:sz w:val="20"/>
                <w:szCs w:val="20"/>
                <w:lang w:val="es-ES_tradnl"/>
              </w:rPr>
            </w:pPr>
          </w:p>
        </w:tc>
        <w:tc>
          <w:tcPr>
            <w:tcW w:w="4117" w:type="dxa"/>
          </w:tcPr>
          <w:p w14:paraId="79AF3CF6" w14:textId="77777777" w:rsidR="007323F8" w:rsidRPr="00B074B0" w:rsidRDefault="007323F8" w:rsidP="007323F8">
            <w:pPr>
              <w:ind w:left="47" w:right="90"/>
              <w:jc w:val="both"/>
              <w:rPr>
                <w:rFonts w:ascii="Arial" w:hAnsi="Arial" w:cs="Arial"/>
                <w:sz w:val="20"/>
                <w:szCs w:val="20"/>
                <w:lang w:val="es-ES_tradnl"/>
              </w:rPr>
            </w:pPr>
            <w:r w:rsidRPr="00B074B0">
              <w:rPr>
                <w:rFonts w:ascii="Arial" w:hAnsi="Arial" w:cs="Arial"/>
                <w:sz w:val="20"/>
                <w:szCs w:val="20"/>
                <w:lang w:val="es-ES_tradnl"/>
              </w:rPr>
              <w:t>3.2 Continuar implementado satisfactoriamente las acciones regulatorias de ordenamiento y equilibrio del sector que permiten recuperar la sostenibilidad financiera del sector eléctrico a nivel de distribución (medidas contempladas en la Ley No. 839) y para este efecto:</w:t>
            </w:r>
          </w:p>
          <w:p w14:paraId="79AF3CF7" w14:textId="77777777" w:rsidR="007323F8" w:rsidRPr="00B074B0" w:rsidRDefault="007323F8" w:rsidP="007323F8">
            <w:pPr>
              <w:jc w:val="both"/>
              <w:rPr>
                <w:rFonts w:ascii="Arial" w:hAnsi="Arial" w:cs="Arial"/>
                <w:sz w:val="20"/>
                <w:szCs w:val="20"/>
                <w:lang w:val="es-ES_tradnl"/>
              </w:rPr>
            </w:pPr>
          </w:p>
          <w:p w14:paraId="79AF3CF8" w14:textId="77777777" w:rsidR="007323F8" w:rsidRPr="00B074B0" w:rsidRDefault="007323F8" w:rsidP="007323F8">
            <w:pPr>
              <w:pStyle w:val="ListParagraph"/>
              <w:numPr>
                <w:ilvl w:val="0"/>
                <w:numId w:val="39"/>
              </w:numPr>
              <w:autoSpaceDE w:val="0"/>
              <w:autoSpaceDN w:val="0"/>
              <w:adjustRightInd w:val="0"/>
              <w:rPr>
                <w:rFonts w:ascii="Arial" w:hAnsi="Arial" w:cs="Arial"/>
                <w:sz w:val="20"/>
                <w:szCs w:val="20"/>
                <w:lang w:val="es-ES_tradnl"/>
              </w:rPr>
            </w:pPr>
            <w:r w:rsidRPr="00B074B0">
              <w:rPr>
                <w:rFonts w:ascii="Arial" w:hAnsi="Arial" w:cs="Arial"/>
                <w:sz w:val="20"/>
                <w:szCs w:val="20"/>
                <w:lang w:val="es-ES_tradnl"/>
              </w:rPr>
              <w:t xml:space="preserve">Aplicar la modificación del Factor de Expansión de Pérdidas (FEP) reconocido en tarifas de 1,15 a 1.14; en el marco de la continuidad al proceso de ajuste desde 1,13 (vigente en 2013) a 1,16 y reducción gradual a 1,14 en 5 años contados a partir del año 2013, a </w:t>
            </w:r>
            <w:r w:rsidRPr="00B074B0">
              <w:rPr>
                <w:rFonts w:ascii="Arial" w:hAnsi="Arial" w:cs="Arial"/>
                <w:sz w:val="20"/>
                <w:szCs w:val="20"/>
                <w:lang w:val="es-ES_tradnl"/>
              </w:rPr>
              <w:lastRenderedPageBreak/>
              <w:t>fin de facilitar la recuperación financiera de la distribuidora y darle los incentivos para gestionar la reducción de pérdidas en los próximos años.</w:t>
            </w:r>
          </w:p>
        </w:tc>
        <w:tc>
          <w:tcPr>
            <w:tcW w:w="2966" w:type="dxa"/>
            <w:vMerge w:val="restart"/>
          </w:tcPr>
          <w:p w14:paraId="79AF3CF9" w14:textId="21ECB4B6" w:rsidR="007323F8" w:rsidRPr="00B074B0" w:rsidRDefault="00DB0F1A" w:rsidP="007323F8">
            <w:pPr>
              <w:jc w:val="both"/>
              <w:rPr>
                <w:rFonts w:ascii="Arial" w:hAnsi="Arial" w:cs="Arial"/>
                <w:sz w:val="20"/>
                <w:szCs w:val="20"/>
                <w:lang w:val="es-ES_tradnl"/>
              </w:rPr>
            </w:pPr>
            <w:r>
              <w:rPr>
                <w:rFonts w:ascii="Arial" w:hAnsi="Arial" w:cs="Arial"/>
                <w:sz w:val="20"/>
                <w:szCs w:val="20"/>
                <w:lang w:val="es-ES_tradnl"/>
              </w:rPr>
              <w:lastRenderedPageBreak/>
              <w:t xml:space="preserve">Se incluyen </w:t>
            </w:r>
            <w:r w:rsidR="00D146D7" w:rsidRPr="00B074B0">
              <w:rPr>
                <w:rFonts w:ascii="Arial" w:hAnsi="Arial" w:cs="Arial"/>
                <w:sz w:val="20"/>
                <w:szCs w:val="20"/>
                <w:lang w:val="es-ES_tradnl"/>
              </w:rPr>
              <w:t>en forma</w:t>
            </w:r>
            <w:r w:rsidR="005F4AB1" w:rsidRPr="00B074B0">
              <w:rPr>
                <w:rFonts w:ascii="Arial" w:hAnsi="Arial" w:cs="Arial"/>
                <w:sz w:val="20"/>
                <w:szCs w:val="20"/>
                <w:lang w:val="es-ES_tradnl"/>
              </w:rPr>
              <w:t xml:space="preserve"> explícita las medidas contempladas</w:t>
            </w:r>
            <w:r w:rsidR="007323F8" w:rsidRPr="00B074B0">
              <w:rPr>
                <w:rFonts w:ascii="Arial" w:hAnsi="Arial" w:cs="Arial"/>
                <w:sz w:val="20"/>
                <w:szCs w:val="20"/>
                <w:lang w:val="es-ES_tradnl"/>
              </w:rPr>
              <w:t xml:space="preserve"> </w:t>
            </w:r>
            <w:r w:rsidR="00D146D7" w:rsidRPr="00B074B0">
              <w:rPr>
                <w:rFonts w:ascii="Arial" w:hAnsi="Arial" w:cs="Arial"/>
                <w:sz w:val="20"/>
                <w:szCs w:val="20"/>
                <w:lang w:val="es-ES_tradnl"/>
              </w:rPr>
              <w:t xml:space="preserve">en </w:t>
            </w:r>
            <w:r w:rsidR="007323F8" w:rsidRPr="00B074B0">
              <w:rPr>
                <w:rFonts w:ascii="Arial" w:hAnsi="Arial" w:cs="Arial"/>
                <w:sz w:val="20"/>
                <w:szCs w:val="20"/>
                <w:lang w:val="es-ES_tradnl"/>
              </w:rPr>
              <w:t xml:space="preserve">los incisos de </w:t>
            </w:r>
            <w:r w:rsidR="009A4AF3" w:rsidRPr="00B074B0">
              <w:rPr>
                <w:rFonts w:ascii="Arial" w:hAnsi="Arial" w:cs="Arial"/>
                <w:sz w:val="20"/>
                <w:szCs w:val="20"/>
                <w:lang w:val="es-ES_tradnl"/>
              </w:rPr>
              <w:t xml:space="preserve">la </w:t>
            </w:r>
            <w:r w:rsidR="007323F8" w:rsidRPr="00B074B0">
              <w:rPr>
                <w:rFonts w:ascii="Arial" w:hAnsi="Arial" w:cs="Arial"/>
                <w:sz w:val="20"/>
                <w:szCs w:val="20"/>
                <w:lang w:val="es-ES_tradnl"/>
              </w:rPr>
              <w:t>Ley 839 a que se hacía referencia</w:t>
            </w:r>
            <w:r w:rsidR="00D146D7" w:rsidRPr="00B074B0">
              <w:rPr>
                <w:rFonts w:ascii="Arial" w:hAnsi="Arial" w:cs="Arial"/>
                <w:sz w:val="20"/>
                <w:szCs w:val="20"/>
                <w:lang w:val="es-ES_tradnl"/>
              </w:rPr>
              <w:t xml:space="preserve"> en la condición</w:t>
            </w:r>
            <w:r w:rsidR="007323F8" w:rsidRPr="00B074B0">
              <w:rPr>
                <w:rFonts w:ascii="Arial" w:hAnsi="Arial" w:cs="Arial"/>
                <w:sz w:val="20"/>
                <w:szCs w:val="20"/>
                <w:lang w:val="es-ES_tradnl"/>
              </w:rPr>
              <w:t>.</w:t>
            </w:r>
          </w:p>
          <w:p w14:paraId="2B7C7F81" w14:textId="77777777" w:rsidR="007323F8" w:rsidRDefault="007323F8" w:rsidP="007323F8">
            <w:pPr>
              <w:jc w:val="both"/>
              <w:rPr>
                <w:rFonts w:ascii="Arial" w:hAnsi="Arial" w:cs="Arial"/>
                <w:sz w:val="20"/>
                <w:szCs w:val="20"/>
                <w:lang w:val="es-ES_tradnl"/>
              </w:rPr>
            </w:pPr>
          </w:p>
          <w:p w14:paraId="79AF3CFA" w14:textId="4566D5DD" w:rsidR="00DB0F1A" w:rsidRPr="00B074B0" w:rsidRDefault="00DB0F1A" w:rsidP="007323F8">
            <w:pPr>
              <w:jc w:val="both"/>
              <w:rPr>
                <w:rFonts w:ascii="Arial" w:hAnsi="Arial" w:cs="Arial"/>
                <w:sz w:val="20"/>
                <w:szCs w:val="20"/>
                <w:lang w:val="es-ES_tradnl"/>
              </w:rPr>
            </w:pPr>
            <w:r w:rsidRPr="001C620F">
              <w:rPr>
                <w:rFonts w:ascii="Arial" w:hAnsi="Arial" w:cs="Arial"/>
                <w:sz w:val="20"/>
                <w:szCs w:val="20"/>
                <w:lang w:val="es-ES_tradnl"/>
              </w:rPr>
              <w:t>Se modifica redacción para reforzar que se trata de una continuidad en las acciones que permiten ir consolidando la reforma</w:t>
            </w:r>
          </w:p>
        </w:tc>
      </w:tr>
      <w:tr w:rsidR="007323F8" w:rsidRPr="000B05C5" w14:paraId="79AF3D00" w14:textId="77777777" w:rsidTr="007323F8">
        <w:tc>
          <w:tcPr>
            <w:tcW w:w="2981" w:type="dxa"/>
            <w:shd w:val="clear" w:color="auto" w:fill="FFFFFF" w:themeFill="background1"/>
          </w:tcPr>
          <w:p w14:paraId="79AF3CFC" w14:textId="77777777" w:rsidR="007323F8" w:rsidRPr="00B074B0" w:rsidRDefault="007323F8" w:rsidP="007323F8">
            <w:pPr>
              <w:jc w:val="both"/>
              <w:rPr>
                <w:rFonts w:ascii="Arial" w:hAnsi="Arial" w:cs="Arial"/>
                <w:sz w:val="20"/>
                <w:szCs w:val="20"/>
                <w:lang w:val="es-ES_tradnl"/>
              </w:rPr>
            </w:pPr>
          </w:p>
        </w:tc>
        <w:tc>
          <w:tcPr>
            <w:tcW w:w="2982" w:type="dxa"/>
            <w:shd w:val="clear" w:color="auto" w:fill="FFFFFF" w:themeFill="background1"/>
          </w:tcPr>
          <w:p w14:paraId="79AF3CFD" w14:textId="77777777" w:rsidR="007323F8" w:rsidRPr="00B074B0" w:rsidRDefault="007323F8" w:rsidP="007323F8">
            <w:pPr>
              <w:jc w:val="both"/>
              <w:rPr>
                <w:rFonts w:ascii="Arial" w:hAnsi="Arial" w:cs="Arial"/>
                <w:sz w:val="20"/>
                <w:szCs w:val="20"/>
                <w:lang w:val="es-ES_tradnl"/>
              </w:rPr>
            </w:pPr>
          </w:p>
        </w:tc>
        <w:tc>
          <w:tcPr>
            <w:tcW w:w="4117" w:type="dxa"/>
          </w:tcPr>
          <w:p w14:paraId="79AF3CFE" w14:textId="003A2BCD" w:rsidR="007323F8" w:rsidRPr="00B074B0" w:rsidRDefault="000B05C5" w:rsidP="007323F8">
            <w:pPr>
              <w:pStyle w:val="ListParagraph"/>
              <w:numPr>
                <w:ilvl w:val="0"/>
                <w:numId w:val="39"/>
              </w:numPr>
              <w:jc w:val="both"/>
              <w:rPr>
                <w:rFonts w:ascii="Arial" w:hAnsi="Arial" w:cs="Arial"/>
                <w:sz w:val="20"/>
                <w:szCs w:val="20"/>
                <w:lang w:val="es-ES_tradnl"/>
              </w:rPr>
            </w:pPr>
            <w:r>
              <w:rPr>
                <w:rFonts w:ascii="Arial" w:hAnsi="Arial" w:cs="Arial"/>
                <w:sz w:val="20"/>
                <w:szCs w:val="20"/>
                <w:lang w:val="es-ES_tradnl"/>
              </w:rPr>
              <w:t xml:space="preserve">Mantener </w:t>
            </w:r>
            <w:r w:rsidR="007323F8" w:rsidRPr="00B074B0">
              <w:rPr>
                <w:rFonts w:ascii="Arial" w:hAnsi="Arial" w:cs="Arial"/>
                <w:sz w:val="20"/>
                <w:szCs w:val="20"/>
                <w:lang w:val="es-ES_tradnl"/>
              </w:rPr>
              <w:t>el subsidio de los asentamientos en 2% de la energía vendida valorada al precio medio de compra.</w:t>
            </w:r>
          </w:p>
        </w:tc>
        <w:tc>
          <w:tcPr>
            <w:tcW w:w="2966" w:type="dxa"/>
            <w:vMerge/>
          </w:tcPr>
          <w:p w14:paraId="79AF3CFF" w14:textId="77777777" w:rsidR="007323F8" w:rsidRPr="00B074B0" w:rsidRDefault="007323F8" w:rsidP="007323F8">
            <w:pPr>
              <w:jc w:val="both"/>
              <w:rPr>
                <w:rFonts w:ascii="Arial" w:hAnsi="Arial" w:cs="Arial"/>
                <w:sz w:val="20"/>
                <w:szCs w:val="20"/>
                <w:lang w:val="es-ES_tradnl"/>
              </w:rPr>
            </w:pPr>
          </w:p>
        </w:tc>
      </w:tr>
      <w:tr w:rsidR="007323F8" w:rsidRPr="000B05C5" w14:paraId="79AF3D05" w14:textId="77777777" w:rsidTr="007323F8">
        <w:tc>
          <w:tcPr>
            <w:tcW w:w="2981" w:type="dxa"/>
            <w:shd w:val="clear" w:color="auto" w:fill="FFFFFF" w:themeFill="background1"/>
          </w:tcPr>
          <w:p w14:paraId="79AF3D01" w14:textId="77777777" w:rsidR="007323F8" w:rsidRPr="00B074B0" w:rsidRDefault="007323F8" w:rsidP="007323F8">
            <w:pPr>
              <w:jc w:val="both"/>
              <w:rPr>
                <w:rFonts w:ascii="Arial" w:hAnsi="Arial" w:cs="Arial"/>
                <w:sz w:val="20"/>
                <w:szCs w:val="20"/>
                <w:lang w:val="es-ES_tradnl"/>
              </w:rPr>
            </w:pPr>
          </w:p>
        </w:tc>
        <w:tc>
          <w:tcPr>
            <w:tcW w:w="2982" w:type="dxa"/>
            <w:shd w:val="clear" w:color="auto" w:fill="FFFFFF" w:themeFill="background1"/>
          </w:tcPr>
          <w:p w14:paraId="79AF3D02" w14:textId="77777777" w:rsidR="007323F8" w:rsidRPr="00B074B0" w:rsidRDefault="007323F8" w:rsidP="007323F8">
            <w:pPr>
              <w:jc w:val="both"/>
              <w:rPr>
                <w:rFonts w:ascii="Arial" w:hAnsi="Arial" w:cs="Arial"/>
                <w:sz w:val="20"/>
                <w:szCs w:val="20"/>
                <w:lang w:val="es-ES_tradnl"/>
              </w:rPr>
            </w:pPr>
          </w:p>
        </w:tc>
        <w:tc>
          <w:tcPr>
            <w:tcW w:w="4117" w:type="dxa"/>
          </w:tcPr>
          <w:p w14:paraId="79AF3D03" w14:textId="2577A392" w:rsidR="007323F8" w:rsidRPr="00B074B0" w:rsidRDefault="000B05C5" w:rsidP="007323F8">
            <w:pPr>
              <w:pStyle w:val="ListParagraph"/>
              <w:numPr>
                <w:ilvl w:val="0"/>
                <w:numId w:val="39"/>
              </w:numPr>
              <w:jc w:val="both"/>
              <w:rPr>
                <w:rFonts w:ascii="Arial" w:hAnsi="Arial" w:cs="Arial"/>
                <w:sz w:val="20"/>
                <w:szCs w:val="20"/>
                <w:lang w:val="es-ES_tradnl"/>
              </w:rPr>
            </w:pPr>
            <w:r>
              <w:rPr>
                <w:rFonts w:ascii="Arial" w:hAnsi="Arial" w:cs="Arial"/>
                <w:sz w:val="20"/>
                <w:szCs w:val="20"/>
                <w:lang w:val="es-ES_tradnl"/>
              </w:rPr>
              <w:t>E</w:t>
            </w:r>
            <w:r w:rsidRPr="003B0397">
              <w:rPr>
                <w:rFonts w:ascii="Arial" w:hAnsi="Arial" w:cs="Arial"/>
                <w:sz w:val="20"/>
                <w:szCs w:val="20"/>
                <w:lang w:val="es-ES_tradnl"/>
              </w:rPr>
              <w:t xml:space="preserve">mitir los títulos de deuda que permitirán incluir </w:t>
            </w:r>
            <w:r>
              <w:rPr>
                <w:rFonts w:ascii="Arial" w:hAnsi="Arial" w:cs="Arial"/>
                <w:sz w:val="20"/>
                <w:szCs w:val="20"/>
                <w:lang w:val="es-ES_tradnl"/>
              </w:rPr>
              <w:t>los</w:t>
            </w:r>
            <w:r w:rsidRPr="003B0397">
              <w:rPr>
                <w:rFonts w:ascii="Arial" w:hAnsi="Arial" w:cs="Arial"/>
                <w:sz w:val="20"/>
                <w:szCs w:val="20"/>
                <w:lang w:val="es-ES_tradnl"/>
              </w:rPr>
              <w:t xml:space="preserve"> costos financieros </w:t>
            </w:r>
            <w:r>
              <w:rPr>
                <w:rFonts w:ascii="Arial" w:hAnsi="Arial" w:cs="Arial"/>
                <w:sz w:val="20"/>
                <w:szCs w:val="20"/>
                <w:lang w:val="es-ES_tradnl"/>
              </w:rPr>
              <w:t xml:space="preserve">por retraso de pago a los generadores en el período 2009-2013 </w:t>
            </w:r>
            <w:r w:rsidRPr="003B0397">
              <w:rPr>
                <w:rFonts w:ascii="Arial" w:hAnsi="Arial" w:cs="Arial"/>
                <w:sz w:val="20"/>
                <w:szCs w:val="20"/>
                <w:lang w:val="es-ES_tradnl"/>
              </w:rPr>
              <w:t>y los intereses corrientes en la base de cálculo de la tarifa a nivel de distribución hasta el efectivo pago de las deudas generadas en dicho período, de acuerdo con el numeral 5 del Artículo 113 de la Ley 272</w:t>
            </w:r>
            <w:r>
              <w:rPr>
                <w:rFonts w:ascii="Arial" w:hAnsi="Arial" w:cs="Arial"/>
                <w:sz w:val="20"/>
                <w:szCs w:val="20"/>
                <w:lang w:val="es-ES_tradnl"/>
              </w:rPr>
              <w:t>, manteniendo los términos de la conciliación realizada por parte de los generadores y distribuidoras (DISNORTE y DISSUR)</w:t>
            </w:r>
            <w:r w:rsidR="007323F8" w:rsidRPr="00B074B0">
              <w:rPr>
                <w:rFonts w:ascii="Arial" w:hAnsi="Arial" w:cs="Arial"/>
                <w:sz w:val="20"/>
                <w:szCs w:val="20"/>
                <w:lang w:val="es-ES_tradnl"/>
              </w:rPr>
              <w:t>.</w:t>
            </w:r>
          </w:p>
        </w:tc>
        <w:tc>
          <w:tcPr>
            <w:tcW w:w="2966" w:type="dxa"/>
            <w:vMerge/>
          </w:tcPr>
          <w:p w14:paraId="79AF3D04" w14:textId="77777777" w:rsidR="007323F8" w:rsidRPr="00B074B0" w:rsidRDefault="007323F8" w:rsidP="007323F8">
            <w:pPr>
              <w:jc w:val="both"/>
              <w:rPr>
                <w:rFonts w:ascii="Arial" w:hAnsi="Arial" w:cs="Arial"/>
                <w:sz w:val="20"/>
                <w:szCs w:val="20"/>
                <w:lang w:val="es-ES_tradnl"/>
              </w:rPr>
            </w:pPr>
          </w:p>
        </w:tc>
      </w:tr>
      <w:tr w:rsidR="007323F8" w:rsidRPr="000B05C5" w14:paraId="79AF3D0A" w14:textId="77777777" w:rsidTr="007323F8">
        <w:tc>
          <w:tcPr>
            <w:tcW w:w="2981" w:type="dxa"/>
            <w:shd w:val="clear" w:color="auto" w:fill="FFFFFF" w:themeFill="background1"/>
          </w:tcPr>
          <w:p w14:paraId="79AF3D06" w14:textId="77777777" w:rsidR="007323F8" w:rsidRPr="00B074B0" w:rsidRDefault="007323F8" w:rsidP="007323F8">
            <w:pPr>
              <w:jc w:val="both"/>
              <w:rPr>
                <w:rFonts w:ascii="Arial" w:hAnsi="Arial" w:cs="Arial"/>
                <w:sz w:val="20"/>
                <w:szCs w:val="20"/>
                <w:lang w:val="es-CO"/>
              </w:rPr>
            </w:pPr>
          </w:p>
        </w:tc>
        <w:tc>
          <w:tcPr>
            <w:tcW w:w="2982" w:type="dxa"/>
            <w:shd w:val="clear" w:color="auto" w:fill="FFFFFF" w:themeFill="background1"/>
          </w:tcPr>
          <w:p w14:paraId="79AF3D07" w14:textId="77777777" w:rsidR="007323F8" w:rsidRPr="00B074B0" w:rsidRDefault="007323F8" w:rsidP="007323F8">
            <w:pPr>
              <w:jc w:val="both"/>
              <w:rPr>
                <w:rFonts w:ascii="Arial" w:hAnsi="Arial" w:cs="Arial"/>
                <w:sz w:val="20"/>
                <w:szCs w:val="20"/>
                <w:lang w:val="es-CO"/>
              </w:rPr>
            </w:pPr>
          </w:p>
        </w:tc>
        <w:tc>
          <w:tcPr>
            <w:tcW w:w="4117" w:type="dxa"/>
          </w:tcPr>
          <w:p w14:paraId="79AF3D08" w14:textId="77777777" w:rsidR="007323F8" w:rsidRPr="00B074B0" w:rsidRDefault="007323F8" w:rsidP="007323F8">
            <w:pPr>
              <w:pStyle w:val="ListParagraph"/>
              <w:numPr>
                <w:ilvl w:val="0"/>
                <w:numId w:val="39"/>
              </w:numPr>
              <w:jc w:val="both"/>
              <w:rPr>
                <w:rFonts w:ascii="Arial" w:hAnsi="Arial" w:cs="Arial"/>
                <w:sz w:val="20"/>
                <w:szCs w:val="20"/>
                <w:lang w:val="es-ES_tradnl"/>
              </w:rPr>
            </w:pPr>
            <w:r w:rsidRPr="00B074B0">
              <w:rPr>
                <w:rFonts w:ascii="Arial" w:hAnsi="Arial" w:cs="Arial"/>
                <w:sz w:val="20"/>
                <w:szCs w:val="20"/>
                <w:lang w:val="es-ES_tradnl"/>
              </w:rPr>
              <w:t>Continuar aplicando las disposiciones Anti-Fraude contenidas en la Ley No. 661 “Ley para la Distribución y el uso responsable del servicio público de energía eléctrica” que penaliza el hurto de energía a todos los clientes, consumidores y usuarios del servicio eléctrico.</w:t>
            </w:r>
          </w:p>
        </w:tc>
        <w:tc>
          <w:tcPr>
            <w:tcW w:w="2966" w:type="dxa"/>
            <w:vMerge/>
          </w:tcPr>
          <w:p w14:paraId="79AF3D09" w14:textId="77777777" w:rsidR="007323F8" w:rsidRPr="00B074B0" w:rsidRDefault="007323F8" w:rsidP="007323F8">
            <w:pPr>
              <w:jc w:val="both"/>
              <w:rPr>
                <w:rFonts w:ascii="Arial" w:hAnsi="Arial" w:cs="Arial"/>
                <w:sz w:val="20"/>
                <w:szCs w:val="20"/>
                <w:lang w:val="es-ES_tradnl"/>
              </w:rPr>
            </w:pPr>
          </w:p>
        </w:tc>
      </w:tr>
      <w:tr w:rsidR="007323F8" w:rsidRPr="000B05C5" w14:paraId="79AF3D0F" w14:textId="77777777" w:rsidTr="007323F8">
        <w:tc>
          <w:tcPr>
            <w:tcW w:w="2981" w:type="dxa"/>
            <w:shd w:val="clear" w:color="auto" w:fill="FFFFFF" w:themeFill="background1"/>
          </w:tcPr>
          <w:p w14:paraId="79AF3D0B" w14:textId="77777777" w:rsidR="007323F8" w:rsidRPr="00B074B0" w:rsidRDefault="007323F8" w:rsidP="007323F8">
            <w:pPr>
              <w:jc w:val="both"/>
              <w:rPr>
                <w:rFonts w:ascii="Arial" w:hAnsi="Arial" w:cs="Arial"/>
                <w:sz w:val="20"/>
                <w:szCs w:val="20"/>
                <w:lang w:val="es-ES_tradnl"/>
              </w:rPr>
            </w:pPr>
          </w:p>
        </w:tc>
        <w:tc>
          <w:tcPr>
            <w:tcW w:w="2982" w:type="dxa"/>
            <w:shd w:val="clear" w:color="auto" w:fill="FFFFFF" w:themeFill="background1"/>
          </w:tcPr>
          <w:p w14:paraId="79AF3D0C" w14:textId="77777777" w:rsidR="007323F8" w:rsidRPr="00B074B0" w:rsidRDefault="007323F8" w:rsidP="007323F8">
            <w:pPr>
              <w:jc w:val="both"/>
              <w:rPr>
                <w:rFonts w:ascii="Arial" w:hAnsi="Arial" w:cs="Arial"/>
                <w:sz w:val="20"/>
                <w:szCs w:val="20"/>
                <w:lang w:val="es-ES_tradnl"/>
              </w:rPr>
            </w:pPr>
          </w:p>
        </w:tc>
        <w:tc>
          <w:tcPr>
            <w:tcW w:w="4117" w:type="dxa"/>
          </w:tcPr>
          <w:p w14:paraId="79AF3D0D" w14:textId="029654E9" w:rsidR="007323F8" w:rsidRPr="00B074B0" w:rsidRDefault="00ED3073" w:rsidP="007323F8">
            <w:pPr>
              <w:pStyle w:val="ListParagraph"/>
              <w:numPr>
                <w:ilvl w:val="0"/>
                <w:numId w:val="39"/>
              </w:numPr>
              <w:jc w:val="both"/>
              <w:rPr>
                <w:rFonts w:ascii="Arial" w:hAnsi="Arial" w:cs="Arial"/>
                <w:sz w:val="20"/>
                <w:szCs w:val="20"/>
                <w:lang w:val="es-ES_tradnl"/>
              </w:rPr>
            </w:pPr>
            <w:r>
              <w:rPr>
                <w:rFonts w:ascii="Arial" w:hAnsi="Arial" w:cs="Arial"/>
                <w:sz w:val="20"/>
                <w:szCs w:val="20"/>
                <w:lang w:val="es-ES_tradnl"/>
              </w:rPr>
              <w:t>Continuar implementando</w:t>
            </w:r>
            <w:r w:rsidRPr="00B074B0">
              <w:rPr>
                <w:rFonts w:ascii="Arial" w:hAnsi="Arial" w:cs="Arial"/>
                <w:sz w:val="20"/>
                <w:szCs w:val="20"/>
                <w:lang w:val="es-ES_tradnl"/>
              </w:rPr>
              <w:t xml:space="preserve"> </w:t>
            </w:r>
            <w:r w:rsidR="007323F8" w:rsidRPr="00B074B0">
              <w:rPr>
                <w:rFonts w:ascii="Arial" w:hAnsi="Arial" w:cs="Arial"/>
                <w:sz w:val="20"/>
                <w:szCs w:val="20"/>
                <w:lang w:val="es-ES_tradnl"/>
              </w:rPr>
              <w:t>el acuerdo con las distribuidoras (DISNORTE y DISSUR) ejecutando el plan de inversiones por la suma de US$75 millones en un período de 5 años (2013- 2018) para mejorar la calidad y el control de suministro eléctrico, ampliar la cobertura y contribuir a reducir pérdidas</w:t>
            </w:r>
            <w:r w:rsidR="009A4AF3" w:rsidRPr="00B074B0">
              <w:rPr>
                <w:rFonts w:ascii="Arial" w:hAnsi="Arial" w:cs="Arial"/>
                <w:sz w:val="20"/>
                <w:szCs w:val="20"/>
                <w:lang w:val="es-ES_tradnl"/>
              </w:rPr>
              <w:t>.</w:t>
            </w:r>
          </w:p>
        </w:tc>
        <w:tc>
          <w:tcPr>
            <w:tcW w:w="2966" w:type="dxa"/>
            <w:vMerge/>
          </w:tcPr>
          <w:p w14:paraId="79AF3D0E" w14:textId="77777777" w:rsidR="007323F8" w:rsidRPr="00B074B0" w:rsidRDefault="007323F8" w:rsidP="007323F8">
            <w:pPr>
              <w:jc w:val="both"/>
              <w:rPr>
                <w:rFonts w:ascii="Arial" w:hAnsi="Arial" w:cs="Arial"/>
                <w:sz w:val="20"/>
                <w:szCs w:val="20"/>
                <w:lang w:val="es-ES_tradnl"/>
              </w:rPr>
            </w:pPr>
          </w:p>
        </w:tc>
      </w:tr>
      <w:tr w:rsidR="007323F8" w:rsidRPr="000B05C5" w14:paraId="79AF3D14" w14:textId="77777777" w:rsidTr="007323F8">
        <w:tc>
          <w:tcPr>
            <w:tcW w:w="2981" w:type="dxa"/>
            <w:shd w:val="clear" w:color="auto" w:fill="FFFFFF" w:themeFill="background1"/>
          </w:tcPr>
          <w:p w14:paraId="79AF3D10"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3.3 Haber realizado revisiones periódicas de tarifa y emitido, por parte del INE, en los casos que sean necesarios, las correspondientes resoluciones de ajustes tarifarios para la actualización del costo de abastecimiento, transmisión y distribución.</w:t>
            </w:r>
          </w:p>
        </w:tc>
        <w:tc>
          <w:tcPr>
            <w:tcW w:w="2982" w:type="dxa"/>
            <w:shd w:val="clear" w:color="auto" w:fill="FFFFFF" w:themeFill="background1"/>
          </w:tcPr>
          <w:p w14:paraId="79AF3D11"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3.3 Haber realizado revisiones periódicas de tarifa y emitido, por parte del INE, en los casos que sean necesarios, las correspondientes resoluciones de ajustes tarifarios para la actualización del costo de abastecimiento, transmisión y distribución.</w:t>
            </w:r>
          </w:p>
        </w:tc>
        <w:tc>
          <w:tcPr>
            <w:tcW w:w="4117" w:type="dxa"/>
          </w:tcPr>
          <w:p w14:paraId="79AF3D12"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3.3 Realizar las revisiones periódicas de la tarifa en el sector eléctrico y que se hayan emitido por parte del INE, las correspondientes resoluciones de ajuste tarifario para la actualización del costo de abastecimiento, transmisión y distribución, que permiten mantener el precio promedio de venta al consumidor igual al precio promedio de venta indicativo, con lo que se asegura que el precio de energía compensa el 100% de los costos de abastecimiento, transmisión y distribución.</w:t>
            </w:r>
          </w:p>
        </w:tc>
        <w:tc>
          <w:tcPr>
            <w:tcW w:w="2966" w:type="dxa"/>
          </w:tcPr>
          <w:p w14:paraId="79AF3D13" w14:textId="32EE7685" w:rsidR="007323F8" w:rsidRPr="00B074B0" w:rsidRDefault="00BE2D89" w:rsidP="007323F8">
            <w:pPr>
              <w:jc w:val="both"/>
              <w:rPr>
                <w:rFonts w:ascii="Arial" w:hAnsi="Arial" w:cs="Arial"/>
                <w:sz w:val="20"/>
                <w:szCs w:val="20"/>
                <w:lang w:val="es-ES_tradnl"/>
              </w:rPr>
            </w:pPr>
            <w:r>
              <w:rPr>
                <w:rFonts w:ascii="Arial" w:hAnsi="Arial" w:cs="Arial"/>
                <w:sz w:val="20"/>
                <w:szCs w:val="20"/>
                <w:lang w:val="es-ES_tradnl"/>
              </w:rPr>
              <w:t>No hay cambios, solo se</w:t>
            </w:r>
            <w:r w:rsidR="00D146D7" w:rsidRPr="00B074B0">
              <w:rPr>
                <w:rFonts w:ascii="Arial" w:hAnsi="Arial" w:cs="Arial"/>
                <w:sz w:val="20"/>
                <w:szCs w:val="20"/>
                <w:lang w:val="es-ES_tradnl"/>
              </w:rPr>
              <w:t xml:space="preserve"> modificó redacción </w:t>
            </w:r>
            <w:r w:rsidR="007323F8" w:rsidRPr="00B074B0">
              <w:rPr>
                <w:rFonts w:ascii="Arial" w:hAnsi="Arial" w:cs="Arial"/>
                <w:sz w:val="20"/>
                <w:szCs w:val="20"/>
                <w:lang w:val="es-ES_tradnl"/>
              </w:rPr>
              <w:t xml:space="preserve">para especificar con más detalle la condición de política. </w:t>
            </w:r>
          </w:p>
        </w:tc>
      </w:tr>
      <w:tr w:rsidR="007323F8" w:rsidRPr="000B05C5" w14:paraId="79AF3D19" w14:textId="77777777" w:rsidTr="007323F8">
        <w:tc>
          <w:tcPr>
            <w:tcW w:w="2981" w:type="dxa"/>
            <w:shd w:val="clear" w:color="auto" w:fill="FFFFFF" w:themeFill="background1"/>
          </w:tcPr>
          <w:p w14:paraId="79AF3D15"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3.4 Haber aprobado por parte del Gabinete Económico las medidas de ajustes sobre los subsidios del sector eléctrico.</w:t>
            </w:r>
          </w:p>
        </w:tc>
        <w:tc>
          <w:tcPr>
            <w:tcW w:w="2982" w:type="dxa"/>
            <w:shd w:val="clear" w:color="auto" w:fill="FFFFFF" w:themeFill="background1"/>
          </w:tcPr>
          <w:p w14:paraId="79AF3D16"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3.4 Haber aprobado por parte del Gabinete Económico las medidas de ajustes sobre los subsidios del sector eléctrico.</w:t>
            </w:r>
          </w:p>
        </w:tc>
        <w:tc>
          <w:tcPr>
            <w:tcW w:w="4117" w:type="dxa"/>
          </w:tcPr>
          <w:p w14:paraId="79AF3D17" w14:textId="3CB1EE70"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 xml:space="preserve">3.4 Aprobar por el Gabinete </w:t>
            </w:r>
            <w:r w:rsidR="001D5BB0" w:rsidRPr="00B074B0">
              <w:rPr>
                <w:rFonts w:ascii="Arial" w:hAnsi="Arial" w:cs="Arial"/>
                <w:sz w:val="20"/>
                <w:szCs w:val="20"/>
                <w:lang w:val="es-ES_tradnl"/>
              </w:rPr>
              <w:t xml:space="preserve">de Energía </w:t>
            </w:r>
            <w:r w:rsidR="00ED3073">
              <w:rPr>
                <w:rFonts w:ascii="Arial" w:hAnsi="Arial" w:cs="Arial"/>
                <w:sz w:val="20"/>
                <w:szCs w:val="20"/>
                <w:lang w:val="es-ES_tradnl"/>
              </w:rPr>
              <w:t xml:space="preserve">y el Gabinete Económico </w:t>
            </w:r>
            <w:r w:rsidRPr="00B074B0">
              <w:rPr>
                <w:rFonts w:ascii="Arial" w:hAnsi="Arial" w:cs="Arial"/>
                <w:sz w:val="20"/>
                <w:szCs w:val="20"/>
                <w:lang w:val="es-ES_tradnl"/>
              </w:rPr>
              <w:t>la propuesta de medidas de ajuste sobre los subsidios del sector eléctrico que le fueron remitidas por el MHCP y remitir a la Presidencia juntamente con las metas a alcanzar, las acciones y el cronograma para su implementación</w:t>
            </w:r>
            <w:r w:rsidR="00815E5C" w:rsidRPr="00B074B0">
              <w:rPr>
                <w:rFonts w:ascii="Arial" w:hAnsi="Arial" w:cs="Arial"/>
                <w:sz w:val="20"/>
                <w:szCs w:val="20"/>
                <w:lang w:val="es-ES_tradnl"/>
              </w:rPr>
              <w:t>.</w:t>
            </w:r>
            <w:r w:rsidRPr="00B074B0">
              <w:rPr>
                <w:rFonts w:ascii="Arial" w:hAnsi="Arial" w:cs="Arial"/>
                <w:sz w:val="20"/>
                <w:szCs w:val="20"/>
                <w:lang w:val="es-ES_tradnl"/>
              </w:rPr>
              <w:t xml:space="preserve"> El marco referencial de la propuesta incluirá, entre otros, lo siguientes: : (i) un periodo de ajuste que inicia en el año 2018 y concluye en el 2022; (ii) se elimina la base de subsidios con referencia a tarifas históricas y se pasa a determinar los subsidios como un porcentaje de la tarifa plena en vigencia; (iii) hasta el final del periodo de ajuste, año 2022, el subsidio social para el segmento de consumo igual o menor a 150 kWh/mes, actualmente subsidiado en una proporción superior al 50% de la tarifa plena, no será superior a los siguientes porcentajes de la tarifa plena vigente: 50% para los primeros 50 kWh, 45% para los siguientes 50 kWh y 25% para los últimos 50 kWh; (iv) hasta el cuarto año del periodo de ajuste, año 2021, el segmento de consumo mayor a 150 kWh/mes, actualmente subsidiado en un rango de 53% a 100% en materia de Impuesto al Valor Agregado (IVA), elimina por completo dicho subsidio; y (v) hasta el final del periodo de ajuste, año 2022, el subsidio al segmento de jubilados actualmente definido en un 50% de la tarifa eléctrica para los primeros 150 kWh consumidos, no será superior a 25% para los consumos hasta 300 kWh y se elimina para los consumos mayores a 300 kWh.</w:t>
            </w:r>
          </w:p>
        </w:tc>
        <w:tc>
          <w:tcPr>
            <w:tcW w:w="2966" w:type="dxa"/>
          </w:tcPr>
          <w:p w14:paraId="79AF3D18" w14:textId="102C88CC" w:rsidR="007323F8" w:rsidRPr="00B074B0" w:rsidRDefault="00BE2D89" w:rsidP="007323F8">
            <w:pPr>
              <w:jc w:val="both"/>
              <w:rPr>
                <w:rFonts w:ascii="Arial" w:hAnsi="Arial" w:cs="Arial"/>
                <w:sz w:val="20"/>
                <w:szCs w:val="20"/>
                <w:lang w:val="es-ES_tradnl"/>
              </w:rPr>
            </w:pPr>
            <w:r>
              <w:rPr>
                <w:rFonts w:ascii="Arial" w:hAnsi="Arial" w:cs="Arial"/>
                <w:sz w:val="20"/>
                <w:szCs w:val="20"/>
                <w:lang w:val="es-ES_tradnl"/>
              </w:rPr>
              <w:t>s</w:t>
            </w:r>
            <w:r w:rsidR="00D146D7" w:rsidRPr="00B074B0">
              <w:rPr>
                <w:rFonts w:ascii="Arial" w:hAnsi="Arial" w:cs="Arial"/>
                <w:sz w:val="20"/>
                <w:szCs w:val="20"/>
                <w:lang w:val="es-ES_tradnl"/>
              </w:rPr>
              <w:t>e modificó</w:t>
            </w:r>
            <w:r w:rsidR="00F13760">
              <w:rPr>
                <w:rFonts w:ascii="Arial" w:hAnsi="Arial" w:cs="Arial"/>
                <w:sz w:val="20"/>
                <w:szCs w:val="20"/>
                <w:lang w:val="es-ES_tradnl"/>
              </w:rPr>
              <w:t xml:space="preserve"> para reflejar que dicha aprobación se realizó tanto por el Gabinete de Energía como el Gabinete Económico.</w:t>
            </w:r>
            <w:r w:rsidR="00D146D7" w:rsidRPr="00B074B0">
              <w:rPr>
                <w:rFonts w:ascii="Arial" w:hAnsi="Arial" w:cs="Arial"/>
                <w:sz w:val="20"/>
                <w:szCs w:val="20"/>
                <w:lang w:val="es-ES_tradnl"/>
              </w:rPr>
              <w:t xml:space="preserve"> </w:t>
            </w:r>
            <w:r w:rsidR="00F13760">
              <w:rPr>
                <w:rFonts w:ascii="Arial" w:hAnsi="Arial" w:cs="Arial"/>
                <w:sz w:val="20"/>
                <w:szCs w:val="20"/>
                <w:lang w:val="es-ES_tradnl"/>
              </w:rPr>
              <w:t xml:space="preserve">Se modificó la </w:t>
            </w:r>
            <w:r w:rsidR="00D146D7" w:rsidRPr="00B074B0">
              <w:rPr>
                <w:rFonts w:ascii="Arial" w:hAnsi="Arial" w:cs="Arial"/>
                <w:sz w:val="20"/>
                <w:szCs w:val="20"/>
                <w:lang w:val="es-ES_tradnl"/>
              </w:rPr>
              <w:t xml:space="preserve">redacción </w:t>
            </w:r>
            <w:r w:rsidR="005F4AB1" w:rsidRPr="00B074B0">
              <w:rPr>
                <w:rFonts w:ascii="Arial" w:hAnsi="Arial" w:cs="Arial"/>
                <w:sz w:val="20"/>
                <w:szCs w:val="20"/>
                <w:lang w:val="es-ES_tradnl"/>
              </w:rPr>
              <w:t>para especificar con más detalle la condición de política</w:t>
            </w:r>
            <w:r w:rsidR="001D5BB0" w:rsidRPr="00B074B0">
              <w:rPr>
                <w:rFonts w:ascii="Arial" w:hAnsi="Arial" w:cs="Arial"/>
                <w:sz w:val="20"/>
                <w:szCs w:val="20"/>
                <w:lang w:val="es-ES_tradnl"/>
              </w:rPr>
              <w:t xml:space="preserve"> </w:t>
            </w:r>
          </w:p>
        </w:tc>
      </w:tr>
      <w:tr w:rsidR="007323F8" w:rsidRPr="000B05C5" w14:paraId="79AF3D1B" w14:textId="77777777" w:rsidTr="009A544A">
        <w:tc>
          <w:tcPr>
            <w:tcW w:w="13046" w:type="dxa"/>
            <w:gridSpan w:val="4"/>
            <w:shd w:val="clear" w:color="auto" w:fill="B8CCE4" w:themeFill="accent1" w:themeFillTint="66"/>
          </w:tcPr>
          <w:p w14:paraId="79AF3D1A" w14:textId="77777777" w:rsidR="007323F8" w:rsidRPr="00B074B0" w:rsidDel="00C921DA" w:rsidRDefault="007323F8" w:rsidP="007323F8">
            <w:pPr>
              <w:pStyle w:val="ListParagraph"/>
              <w:ind w:left="1080"/>
              <w:rPr>
                <w:rFonts w:ascii="Arial" w:hAnsi="Arial" w:cs="Arial"/>
                <w:b/>
                <w:sz w:val="20"/>
                <w:szCs w:val="20"/>
                <w:lang w:val="es-ES_tradnl"/>
              </w:rPr>
            </w:pPr>
            <w:r w:rsidRPr="00B074B0">
              <w:rPr>
                <w:rFonts w:ascii="Arial" w:hAnsi="Arial" w:cs="Arial"/>
                <w:b/>
                <w:sz w:val="20"/>
                <w:szCs w:val="20"/>
                <w:lang w:val="es-ES_tradnl"/>
              </w:rPr>
              <w:t>III. Transparencia de resultados en la gestión del sector</w:t>
            </w:r>
          </w:p>
        </w:tc>
      </w:tr>
      <w:tr w:rsidR="007323F8" w:rsidRPr="000B05C5" w14:paraId="79AF3D20" w14:textId="77777777" w:rsidTr="007323F8">
        <w:tc>
          <w:tcPr>
            <w:tcW w:w="2981" w:type="dxa"/>
            <w:shd w:val="clear" w:color="auto" w:fill="FFFFFF" w:themeFill="background1"/>
          </w:tcPr>
          <w:p w14:paraId="79AF3D1C"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3.5 Publicar por parte del INE los términos de financiamiento de la tarifa eléctrica con vigencia posterior a marzo de 2015.</w:t>
            </w:r>
          </w:p>
        </w:tc>
        <w:tc>
          <w:tcPr>
            <w:tcW w:w="2982" w:type="dxa"/>
            <w:shd w:val="clear" w:color="auto" w:fill="FFFFFF" w:themeFill="background1"/>
          </w:tcPr>
          <w:p w14:paraId="79AF3D1D"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3.5 Publicar por parte del INE los términos de financiamiento de la tarifa eléctrica con vigencia posterior a marzo de 2015.</w:t>
            </w:r>
          </w:p>
        </w:tc>
        <w:tc>
          <w:tcPr>
            <w:tcW w:w="4117" w:type="dxa"/>
          </w:tcPr>
          <w:p w14:paraId="79AF3D1E" w14:textId="77777777" w:rsidR="007323F8" w:rsidRPr="00B074B0" w:rsidDel="008B59B8" w:rsidRDefault="007323F8" w:rsidP="007323F8">
            <w:pPr>
              <w:jc w:val="both"/>
              <w:rPr>
                <w:rFonts w:ascii="Arial" w:hAnsi="Arial" w:cs="Arial"/>
                <w:sz w:val="20"/>
                <w:szCs w:val="20"/>
                <w:lang w:val="es-ES_tradnl"/>
              </w:rPr>
            </w:pPr>
            <w:r w:rsidRPr="00B074B0">
              <w:rPr>
                <w:rFonts w:ascii="Arial" w:hAnsi="Arial" w:cs="Arial"/>
                <w:sz w:val="20"/>
                <w:szCs w:val="20"/>
                <w:lang w:val="es-ES_tradnl"/>
              </w:rPr>
              <w:t>3.5 Publicar, en el sitio web del INE los contratos que el INE haya suscrito para el financiamiento de la tarifa eléctrica y su balance actualizado.</w:t>
            </w:r>
          </w:p>
        </w:tc>
        <w:tc>
          <w:tcPr>
            <w:tcW w:w="2966" w:type="dxa"/>
          </w:tcPr>
          <w:p w14:paraId="79AF3D1F" w14:textId="43083071" w:rsidR="007323F8" w:rsidRPr="00B074B0" w:rsidDel="00DD35B7" w:rsidRDefault="00BE2D89" w:rsidP="007323F8">
            <w:pPr>
              <w:jc w:val="both"/>
              <w:rPr>
                <w:rFonts w:ascii="Arial" w:hAnsi="Arial" w:cs="Arial"/>
                <w:sz w:val="20"/>
                <w:szCs w:val="20"/>
                <w:lang w:val="es-ES_tradnl"/>
              </w:rPr>
            </w:pPr>
            <w:r>
              <w:rPr>
                <w:rFonts w:ascii="Arial" w:hAnsi="Arial" w:cs="Arial"/>
                <w:sz w:val="20"/>
                <w:szCs w:val="20"/>
                <w:lang w:val="es-ES_tradnl"/>
              </w:rPr>
              <w:t>No hay cambios, solo s</w:t>
            </w:r>
            <w:r w:rsidR="00D146D7" w:rsidRPr="00B074B0">
              <w:rPr>
                <w:rFonts w:ascii="Arial" w:hAnsi="Arial" w:cs="Arial"/>
                <w:sz w:val="20"/>
                <w:szCs w:val="20"/>
                <w:lang w:val="es-ES_tradnl"/>
              </w:rPr>
              <w:t xml:space="preserve">e modificó redacción </w:t>
            </w:r>
            <w:r w:rsidR="005F4AB1" w:rsidRPr="00B074B0">
              <w:rPr>
                <w:rFonts w:ascii="Arial" w:hAnsi="Arial" w:cs="Arial"/>
                <w:sz w:val="20"/>
                <w:szCs w:val="20"/>
                <w:lang w:val="es-ES_tradnl"/>
              </w:rPr>
              <w:t>para especificar con más detalle la condición de política.</w:t>
            </w:r>
          </w:p>
        </w:tc>
      </w:tr>
      <w:tr w:rsidR="007323F8" w:rsidRPr="000B05C5" w14:paraId="79AF3D25" w14:textId="77777777" w:rsidTr="007323F8">
        <w:tc>
          <w:tcPr>
            <w:tcW w:w="2981" w:type="dxa"/>
            <w:shd w:val="clear" w:color="auto" w:fill="FFFFFF" w:themeFill="background1"/>
          </w:tcPr>
          <w:p w14:paraId="79AF3D21"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3.6 ENEL y ENATREL publican anualmente en sus respectivos sitios web, sus estados financieros auditados correspondientes a los años 2012</w:t>
            </w:r>
            <w:r w:rsidR="00362643" w:rsidRPr="00B074B0">
              <w:rPr>
                <w:rFonts w:ascii="Arial" w:hAnsi="Arial" w:cs="Arial"/>
                <w:sz w:val="20"/>
                <w:szCs w:val="20"/>
                <w:lang w:val="es-ES_tradnl"/>
              </w:rPr>
              <w:t>.</w:t>
            </w:r>
          </w:p>
        </w:tc>
        <w:tc>
          <w:tcPr>
            <w:tcW w:w="2982" w:type="dxa"/>
            <w:shd w:val="clear" w:color="auto" w:fill="FFFFFF" w:themeFill="background1"/>
          </w:tcPr>
          <w:p w14:paraId="79AF3D22"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3.6 ENEL y ENATREL publican anualmente en sus respectivos sitios web, sus estados financieros auditados correspondientes a los años 2012 y posteriores, con la aprobación de la Contraloría General de la República.</w:t>
            </w:r>
          </w:p>
        </w:tc>
        <w:tc>
          <w:tcPr>
            <w:tcW w:w="4117" w:type="dxa"/>
          </w:tcPr>
          <w:p w14:paraId="79AF3D23" w14:textId="77777777" w:rsidR="007323F8" w:rsidRPr="00B074B0" w:rsidRDefault="007323F8" w:rsidP="007323F8">
            <w:pPr>
              <w:ind w:left="59" w:right="47"/>
              <w:jc w:val="both"/>
              <w:rPr>
                <w:rFonts w:ascii="Arial" w:hAnsi="Arial" w:cs="Arial"/>
                <w:sz w:val="20"/>
                <w:szCs w:val="20"/>
                <w:lang w:val="es-ES_tradnl"/>
              </w:rPr>
            </w:pPr>
            <w:r w:rsidRPr="00B074B0">
              <w:rPr>
                <w:rFonts w:ascii="Arial" w:hAnsi="Arial" w:cs="Arial"/>
                <w:sz w:val="20"/>
                <w:szCs w:val="20"/>
                <w:lang w:val="es-ES_tradnl"/>
              </w:rPr>
              <w:t>3.6 Publicar en el sitio web de la Empresa Nicaragüense de Electricidad (ENEL), sus Estados Financieros auditados por auditores independientes y aprobados por la Contraloría General de la República (CGR), correspondientes a cada año del periodo 2012 hasta el año inmediatamente anterior de aquel en que se realice el desembolso.</w:t>
            </w:r>
          </w:p>
        </w:tc>
        <w:tc>
          <w:tcPr>
            <w:tcW w:w="2966" w:type="dxa"/>
          </w:tcPr>
          <w:p w14:paraId="79AF3D24" w14:textId="6E278507" w:rsidR="007323F8" w:rsidRPr="00B074B0" w:rsidRDefault="00BE2D89" w:rsidP="007323F8">
            <w:pPr>
              <w:jc w:val="both"/>
              <w:rPr>
                <w:rFonts w:ascii="Arial" w:hAnsi="Arial" w:cs="Arial"/>
                <w:sz w:val="20"/>
                <w:szCs w:val="20"/>
                <w:lang w:val="es-ES_tradnl"/>
              </w:rPr>
            </w:pPr>
            <w:r>
              <w:rPr>
                <w:rFonts w:ascii="Arial" w:hAnsi="Arial" w:cs="Arial"/>
                <w:sz w:val="20"/>
                <w:szCs w:val="20"/>
                <w:lang w:val="es-ES_tradnl"/>
              </w:rPr>
              <w:t>No hay cambios, solo s</w:t>
            </w:r>
            <w:r w:rsidR="00D146D7" w:rsidRPr="00B074B0">
              <w:rPr>
                <w:rFonts w:ascii="Arial" w:hAnsi="Arial" w:cs="Arial"/>
                <w:sz w:val="20"/>
                <w:szCs w:val="20"/>
                <w:lang w:val="es-ES_tradnl"/>
              </w:rPr>
              <w:t xml:space="preserve">e modificó </w:t>
            </w:r>
            <w:r w:rsidR="007323F8" w:rsidRPr="00B074B0">
              <w:rPr>
                <w:rFonts w:ascii="Arial" w:hAnsi="Arial" w:cs="Arial"/>
                <w:sz w:val="20"/>
                <w:szCs w:val="20"/>
                <w:lang w:val="es-ES_tradnl"/>
              </w:rPr>
              <w:t xml:space="preserve">para </w:t>
            </w:r>
            <w:r w:rsidR="00815E5C" w:rsidRPr="00B074B0">
              <w:rPr>
                <w:rFonts w:ascii="Arial" w:hAnsi="Arial" w:cs="Arial"/>
                <w:sz w:val="20"/>
                <w:szCs w:val="20"/>
                <w:lang w:val="es-ES_tradnl"/>
              </w:rPr>
              <w:t xml:space="preserve">definir </w:t>
            </w:r>
            <w:r w:rsidR="007323F8" w:rsidRPr="00B074B0">
              <w:rPr>
                <w:rFonts w:ascii="Arial" w:hAnsi="Arial" w:cs="Arial"/>
                <w:sz w:val="20"/>
                <w:szCs w:val="20"/>
                <w:lang w:val="es-ES_tradnl"/>
              </w:rPr>
              <w:t xml:space="preserve">los compromisos de ENEL y ENATREL </w:t>
            </w:r>
            <w:r w:rsidR="00D146D7" w:rsidRPr="00B074B0">
              <w:rPr>
                <w:rFonts w:ascii="Arial" w:hAnsi="Arial" w:cs="Arial"/>
                <w:sz w:val="20"/>
                <w:szCs w:val="20"/>
                <w:lang w:val="es-ES_tradnl"/>
              </w:rPr>
              <w:t xml:space="preserve">en </w:t>
            </w:r>
            <w:r w:rsidR="00F13760">
              <w:rPr>
                <w:rFonts w:ascii="Arial" w:hAnsi="Arial" w:cs="Arial"/>
                <w:sz w:val="20"/>
                <w:szCs w:val="20"/>
                <w:lang w:val="es-ES_tradnl"/>
              </w:rPr>
              <w:t>condiciones</w:t>
            </w:r>
            <w:r w:rsidR="00F13760" w:rsidRPr="00B074B0">
              <w:rPr>
                <w:rFonts w:ascii="Arial" w:hAnsi="Arial" w:cs="Arial"/>
                <w:sz w:val="20"/>
                <w:szCs w:val="20"/>
                <w:lang w:val="es-ES_tradnl"/>
              </w:rPr>
              <w:t xml:space="preserve"> </w:t>
            </w:r>
            <w:r w:rsidR="00D146D7" w:rsidRPr="00B074B0">
              <w:rPr>
                <w:rFonts w:ascii="Arial" w:hAnsi="Arial" w:cs="Arial"/>
                <w:sz w:val="20"/>
                <w:szCs w:val="20"/>
                <w:lang w:val="es-ES_tradnl"/>
              </w:rPr>
              <w:t xml:space="preserve">separadas 3.6 y 3.7. </w:t>
            </w:r>
            <w:r>
              <w:rPr>
                <w:rFonts w:ascii="Arial" w:hAnsi="Arial" w:cs="Arial"/>
                <w:sz w:val="20"/>
                <w:szCs w:val="20"/>
                <w:lang w:val="es-ES_tradnl"/>
              </w:rPr>
              <w:t>D</w:t>
            </w:r>
            <w:r w:rsidR="00D146D7" w:rsidRPr="00B074B0">
              <w:rPr>
                <w:rFonts w:ascii="Arial" w:hAnsi="Arial" w:cs="Arial"/>
                <w:sz w:val="20"/>
                <w:szCs w:val="20"/>
                <w:lang w:val="es-ES_tradnl"/>
              </w:rPr>
              <w:t xml:space="preserve">esde el segundo PBP se incluyó </w:t>
            </w:r>
            <w:r w:rsidR="007323F8" w:rsidRPr="00B074B0">
              <w:rPr>
                <w:rFonts w:ascii="Arial" w:hAnsi="Arial" w:cs="Arial"/>
                <w:sz w:val="20"/>
                <w:szCs w:val="20"/>
                <w:lang w:val="es-ES_tradnl"/>
              </w:rPr>
              <w:t xml:space="preserve">la </w:t>
            </w:r>
            <w:r w:rsidR="00D146D7" w:rsidRPr="00B074B0">
              <w:rPr>
                <w:rFonts w:ascii="Arial" w:hAnsi="Arial" w:cs="Arial"/>
                <w:sz w:val="20"/>
                <w:szCs w:val="20"/>
                <w:lang w:val="es-ES_tradnl"/>
              </w:rPr>
              <w:t>aprobación de la CGR</w:t>
            </w:r>
            <w:r w:rsidR="007323F8" w:rsidRPr="00B074B0">
              <w:rPr>
                <w:rFonts w:ascii="Arial" w:hAnsi="Arial" w:cs="Arial"/>
                <w:sz w:val="20"/>
                <w:szCs w:val="20"/>
                <w:lang w:val="es-ES_tradnl"/>
              </w:rPr>
              <w:t>.</w:t>
            </w:r>
          </w:p>
        </w:tc>
      </w:tr>
      <w:tr w:rsidR="007323F8" w:rsidRPr="000B05C5" w14:paraId="79AF3D2A" w14:textId="77777777" w:rsidTr="007323F8">
        <w:tc>
          <w:tcPr>
            <w:tcW w:w="2981" w:type="dxa"/>
            <w:shd w:val="clear" w:color="auto" w:fill="FFFFFF" w:themeFill="background1"/>
          </w:tcPr>
          <w:p w14:paraId="79AF3D26" w14:textId="77777777" w:rsidR="007323F8" w:rsidRPr="00B074B0" w:rsidRDefault="007323F8" w:rsidP="007323F8">
            <w:pPr>
              <w:jc w:val="both"/>
              <w:rPr>
                <w:rFonts w:ascii="Arial" w:hAnsi="Arial" w:cs="Arial"/>
                <w:sz w:val="20"/>
                <w:szCs w:val="20"/>
                <w:lang w:val="es-ES_tradnl"/>
              </w:rPr>
            </w:pPr>
          </w:p>
        </w:tc>
        <w:tc>
          <w:tcPr>
            <w:tcW w:w="2982" w:type="dxa"/>
            <w:shd w:val="clear" w:color="auto" w:fill="FFFFFF" w:themeFill="background1"/>
          </w:tcPr>
          <w:p w14:paraId="79AF3D27" w14:textId="77777777" w:rsidR="007323F8" w:rsidRPr="00B074B0" w:rsidRDefault="007323F8" w:rsidP="007323F8">
            <w:pPr>
              <w:jc w:val="both"/>
              <w:rPr>
                <w:rFonts w:ascii="Arial" w:hAnsi="Arial" w:cs="Arial"/>
                <w:sz w:val="20"/>
                <w:szCs w:val="20"/>
                <w:lang w:val="es-ES_tradnl"/>
              </w:rPr>
            </w:pPr>
          </w:p>
        </w:tc>
        <w:tc>
          <w:tcPr>
            <w:tcW w:w="4117" w:type="dxa"/>
          </w:tcPr>
          <w:p w14:paraId="79AF3D28"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3.7 Publicar en el sitio web de la Empresa Nacional de Transmisión Eléctrica (ENATREL), sus Estados Financieros auditados por auditores independientes y aprobados por la CGR, correspondientes a cada año del periodo 2012 hasta el año inmediatamente anterior de aquel en que se realice el desembolso</w:t>
            </w:r>
          </w:p>
        </w:tc>
        <w:tc>
          <w:tcPr>
            <w:tcW w:w="2966" w:type="dxa"/>
          </w:tcPr>
          <w:p w14:paraId="79AF3D29" w14:textId="74DE5FC4" w:rsidR="007323F8" w:rsidRPr="00B074B0" w:rsidRDefault="00BE2D89" w:rsidP="007323F8">
            <w:pPr>
              <w:jc w:val="both"/>
              <w:rPr>
                <w:rFonts w:ascii="Arial" w:hAnsi="Arial" w:cs="Arial"/>
                <w:sz w:val="20"/>
                <w:szCs w:val="20"/>
                <w:lang w:val="es-ES_tradnl"/>
              </w:rPr>
            </w:pPr>
            <w:r>
              <w:rPr>
                <w:rFonts w:ascii="Arial" w:hAnsi="Arial" w:cs="Arial"/>
                <w:sz w:val="20"/>
                <w:szCs w:val="20"/>
                <w:lang w:val="es-ES_tradnl"/>
              </w:rPr>
              <w:t xml:space="preserve">No hay cambios. La condición es </w:t>
            </w:r>
            <w:r w:rsidR="00D146D7" w:rsidRPr="00B074B0">
              <w:rPr>
                <w:rFonts w:ascii="Arial" w:hAnsi="Arial" w:cs="Arial"/>
                <w:sz w:val="20"/>
                <w:szCs w:val="20"/>
                <w:lang w:val="es-ES_tradnl"/>
              </w:rPr>
              <w:t xml:space="preserve">nueva del tercer PBP resultado de la separación de la </w:t>
            </w:r>
            <w:r w:rsidR="00F13760">
              <w:rPr>
                <w:rFonts w:ascii="Arial" w:hAnsi="Arial" w:cs="Arial"/>
                <w:sz w:val="20"/>
                <w:szCs w:val="20"/>
                <w:lang w:val="es-ES_tradnl"/>
              </w:rPr>
              <w:t xml:space="preserve">condición </w:t>
            </w:r>
            <w:r w:rsidR="00D146D7" w:rsidRPr="00B074B0">
              <w:rPr>
                <w:rFonts w:ascii="Arial" w:hAnsi="Arial" w:cs="Arial"/>
                <w:sz w:val="20"/>
                <w:szCs w:val="20"/>
                <w:lang w:val="es-ES_tradnl"/>
              </w:rPr>
              <w:t>anterior</w:t>
            </w:r>
            <w:r w:rsidR="007323F8" w:rsidRPr="00B074B0">
              <w:rPr>
                <w:rFonts w:ascii="Arial" w:hAnsi="Arial" w:cs="Arial"/>
                <w:sz w:val="20"/>
                <w:szCs w:val="20"/>
                <w:lang w:val="es-ES_tradnl"/>
              </w:rPr>
              <w:t>.</w:t>
            </w:r>
          </w:p>
        </w:tc>
      </w:tr>
      <w:tr w:rsidR="007323F8" w:rsidRPr="00BE2D89" w14:paraId="79AF3D2F" w14:textId="77777777" w:rsidTr="007323F8">
        <w:tc>
          <w:tcPr>
            <w:tcW w:w="2981" w:type="dxa"/>
            <w:shd w:val="clear" w:color="auto" w:fill="FFFFFF" w:themeFill="background1"/>
          </w:tcPr>
          <w:p w14:paraId="79AF3D2B"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3.7 El INE publica anualmente el Índice de Recuperación de Efectivo (índice combinado), Índice de pérdidas, e Índice de cobro según sea suministrado por DISNORTE y DISSUR.</w:t>
            </w:r>
          </w:p>
        </w:tc>
        <w:tc>
          <w:tcPr>
            <w:tcW w:w="2982" w:type="dxa"/>
            <w:shd w:val="clear" w:color="auto" w:fill="FFFFFF" w:themeFill="background1"/>
          </w:tcPr>
          <w:p w14:paraId="79AF3D2C"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3.7 El INE publica anualmente el Índice de Recuperación de Efectivo (índice combinado), Índice de pérdidas, e Índice de cobro según sea suministrado por DISNORTE y DISSUR.</w:t>
            </w:r>
          </w:p>
        </w:tc>
        <w:tc>
          <w:tcPr>
            <w:tcW w:w="4117" w:type="dxa"/>
          </w:tcPr>
          <w:p w14:paraId="79AF3D2D"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3.8 Publicar anualmente, por parte del INE, el Índice de Recuperación de Efectivo (índice combinado), Índice de Pérdidas, e Índice de Cobro según sea suministrado por DISNORTE y DISSUR.</w:t>
            </w:r>
          </w:p>
        </w:tc>
        <w:tc>
          <w:tcPr>
            <w:tcW w:w="2966" w:type="dxa"/>
          </w:tcPr>
          <w:p w14:paraId="79AF3D2E" w14:textId="65329B55" w:rsidR="007323F8" w:rsidRPr="00B074B0" w:rsidRDefault="00BE2D89" w:rsidP="007323F8">
            <w:pPr>
              <w:jc w:val="both"/>
              <w:rPr>
                <w:rFonts w:ascii="Arial" w:hAnsi="Arial" w:cs="Arial"/>
                <w:sz w:val="20"/>
                <w:szCs w:val="20"/>
                <w:lang w:val="es-ES_tradnl"/>
              </w:rPr>
            </w:pPr>
            <w:r>
              <w:rPr>
                <w:rFonts w:ascii="Arial" w:hAnsi="Arial" w:cs="Arial"/>
                <w:sz w:val="20"/>
                <w:szCs w:val="20"/>
                <w:lang w:val="es-ES_tradnl"/>
              </w:rPr>
              <w:t>No hay cambios, solo s</w:t>
            </w:r>
            <w:r w:rsidR="00D146D7" w:rsidRPr="00B074B0">
              <w:rPr>
                <w:rFonts w:ascii="Arial" w:hAnsi="Arial" w:cs="Arial"/>
                <w:sz w:val="20"/>
                <w:szCs w:val="20"/>
                <w:lang w:val="es-ES_tradnl"/>
              </w:rPr>
              <w:t xml:space="preserve">e modificó redacción </w:t>
            </w:r>
            <w:r w:rsidR="007323F8" w:rsidRPr="00B074B0">
              <w:rPr>
                <w:rFonts w:ascii="Arial" w:hAnsi="Arial" w:cs="Arial"/>
                <w:sz w:val="20"/>
                <w:szCs w:val="20"/>
                <w:lang w:val="es-ES_tradnl"/>
              </w:rPr>
              <w:t>para especificar con más detalle la condición de política.</w:t>
            </w:r>
            <w:r w:rsidR="00D146D7" w:rsidRPr="00B074B0">
              <w:rPr>
                <w:rFonts w:ascii="Arial" w:hAnsi="Arial" w:cs="Arial"/>
                <w:sz w:val="20"/>
                <w:szCs w:val="20"/>
                <w:lang w:val="es-ES_tradnl"/>
              </w:rPr>
              <w:t xml:space="preserve"> Se ajustó numeración.</w:t>
            </w:r>
          </w:p>
        </w:tc>
      </w:tr>
      <w:tr w:rsidR="007323F8" w:rsidRPr="00BE2D89" w14:paraId="79AF3D34" w14:textId="77777777" w:rsidTr="007323F8">
        <w:tc>
          <w:tcPr>
            <w:tcW w:w="2981" w:type="dxa"/>
            <w:shd w:val="clear" w:color="auto" w:fill="FFFFFF" w:themeFill="background1"/>
          </w:tcPr>
          <w:p w14:paraId="79AF3D30" w14:textId="77777777" w:rsidR="007323F8" w:rsidRPr="00B074B0" w:rsidDel="008B59B8" w:rsidRDefault="007323F8" w:rsidP="007323F8">
            <w:pPr>
              <w:jc w:val="both"/>
              <w:rPr>
                <w:rFonts w:ascii="Arial" w:hAnsi="Arial" w:cs="Arial"/>
                <w:sz w:val="20"/>
                <w:szCs w:val="20"/>
                <w:lang w:val="es-ES_tradnl"/>
              </w:rPr>
            </w:pPr>
            <w:r w:rsidRPr="00B074B0">
              <w:rPr>
                <w:rFonts w:ascii="Arial" w:hAnsi="Arial" w:cs="Arial"/>
                <w:sz w:val="20"/>
                <w:szCs w:val="20"/>
                <w:lang w:val="es-ES_tradnl"/>
              </w:rPr>
              <w:t>3.8 El INE ha dado continuidad a la publicación mensual de los desvíos de costos mayoristas.</w:t>
            </w:r>
          </w:p>
        </w:tc>
        <w:tc>
          <w:tcPr>
            <w:tcW w:w="2982" w:type="dxa"/>
            <w:shd w:val="clear" w:color="auto" w:fill="FFFFFF" w:themeFill="background1"/>
          </w:tcPr>
          <w:p w14:paraId="79AF3D31" w14:textId="77777777" w:rsidR="007323F8" w:rsidRPr="00B074B0" w:rsidDel="008B59B8" w:rsidRDefault="007323F8" w:rsidP="007323F8">
            <w:pPr>
              <w:jc w:val="both"/>
              <w:rPr>
                <w:rFonts w:ascii="Arial" w:hAnsi="Arial" w:cs="Arial"/>
                <w:sz w:val="20"/>
                <w:szCs w:val="20"/>
                <w:lang w:val="es-ES_tradnl"/>
              </w:rPr>
            </w:pPr>
            <w:r w:rsidRPr="00B074B0">
              <w:rPr>
                <w:rFonts w:ascii="Arial" w:hAnsi="Arial" w:cs="Arial"/>
                <w:sz w:val="20"/>
                <w:szCs w:val="20"/>
                <w:lang w:val="es-ES_tradnl"/>
              </w:rPr>
              <w:t>3.8 El INE ha dado continuidad a la publicación mensual de los desvíos de costos mayoristas.</w:t>
            </w:r>
          </w:p>
        </w:tc>
        <w:tc>
          <w:tcPr>
            <w:tcW w:w="4117" w:type="dxa"/>
          </w:tcPr>
          <w:p w14:paraId="79AF3D32" w14:textId="77777777" w:rsidR="007323F8" w:rsidRPr="00B074B0" w:rsidDel="008B59B8" w:rsidRDefault="007323F8" w:rsidP="007323F8">
            <w:pPr>
              <w:ind w:left="90"/>
              <w:jc w:val="both"/>
              <w:rPr>
                <w:rFonts w:ascii="Arial" w:hAnsi="Arial" w:cs="Arial"/>
                <w:sz w:val="20"/>
                <w:szCs w:val="20"/>
                <w:lang w:val="es-ES_tradnl"/>
              </w:rPr>
            </w:pPr>
            <w:r w:rsidRPr="00B074B0">
              <w:rPr>
                <w:rFonts w:ascii="Arial" w:hAnsi="Arial" w:cs="Arial"/>
                <w:sz w:val="20"/>
                <w:szCs w:val="20"/>
                <w:lang w:val="es-ES_tradnl"/>
              </w:rPr>
              <w:t>3.9 Publicar, por parte del INE, los desvíos de costos mayoristas – que reflejan la diferencia entre el precio de compra de electricidad real y el precio reconocido en tarifa – para el periodo 2013 hasta el año inmediatamente anterior a aquel en que se realice el desembolso.</w:t>
            </w:r>
          </w:p>
        </w:tc>
        <w:tc>
          <w:tcPr>
            <w:tcW w:w="2966" w:type="dxa"/>
          </w:tcPr>
          <w:p w14:paraId="79AF3D33" w14:textId="12ECA404" w:rsidR="007323F8" w:rsidRPr="00B074B0" w:rsidRDefault="00BE2D89" w:rsidP="007323F8">
            <w:pPr>
              <w:jc w:val="both"/>
              <w:rPr>
                <w:rFonts w:ascii="Arial" w:hAnsi="Arial" w:cs="Arial"/>
                <w:sz w:val="20"/>
                <w:szCs w:val="20"/>
                <w:lang w:val="es-ES_tradnl"/>
              </w:rPr>
            </w:pPr>
            <w:r>
              <w:rPr>
                <w:rFonts w:ascii="Arial" w:hAnsi="Arial" w:cs="Arial"/>
                <w:sz w:val="20"/>
                <w:szCs w:val="20"/>
                <w:lang w:val="es-ES_tradnl"/>
              </w:rPr>
              <w:t>No hay cambios, solo s</w:t>
            </w:r>
            <w:r w:rsidR="00D146D7" w:rsidRPr="00B074B0">
              <w:rPr>
                <w:rFonts w:ascii="Arial" w:hAnsi="Arial" w:cs="Arial"/>
                <w:sz w:val="20"/>
                <w:szCs w:val="20"/>
                <w:lang w:val="es-ES_tradnl"/>
              </w:rPr>
              <w:t xml:space="preserve">e modificó redacción </w:t>
            </w:r>
            <w:r w:rsidR="007323F8" w:rsidRPr="00B074B0">
              <w:rPr>
                <w:rFonts w:ascii="Arial" w:hAnsi="Arial" w:cs="Arial"/>
                <w:sz w:val="20"/>
                <w:szCs w:val="20"/>
                <w:lang w:val="es-ES_tradnl"/>
              </w:rPr>
              <w:t>para especificar con más detalle la condición de política.</w:t>
            </w:r>
            <w:r w:rsidR="00D146D7" w:rsidRPr="00B074B0">
              <w:rPr>
                <w:rFonts w:ascii="Arial" w:hAnsi="Arial" w:cs="Arial"/>
                <w:sz w:val="20"/>
                <w:szCs w:val="20"/>
                <w:lang w:val="es-ES_tradnl"/>
              </w:rPr>
              <w:t xml:space="preserve"> Se ajustó numeración.</w:t>
            </w:r>
          </w:p>
        </w:tc>
      </w:tr>
      <w:tr w:rsidR="007323F8" w:rsidRPr="000B05C5" w14:paraId="79AF3D36" w14:textId="77777777" w:rsidTr="00D6157A">
        <w:tc>
          <w:tcPr>
            <w:tcW w:w="13046" w:type="dxa"/>
            <w:gridSpan w:val="4"/>
            <w:shd w:val="clear" w:color="auto" w:fill="B8CCE4" w:themeFill="accent1" w:themeFillTint="66"/>
          </w:tcPr>
          <w:p w14:paraId="79AF3D35" w14:textId="77777777" w:rsidR="007323F8" w:rsidRPr="00B074B0" w:rsidRDefault="007323F8" w:rsidP="007323F8">
            <w:pPr>
              <w:pStyle w:val="ListParagraph"/>
              <w:ind w:left="1080"/>
              <w:rPr>
                <w:rFonts w:ascii="Arial" w:hAnsi="Arial" w:cs="Arial"/>
                <w:b/>
                <w:sz w:val="20"/>
                <w:szCs w:val="20"/>
                <w:lang w:val="es-ES_tradnl"/>
              </w:rPr>
            </w:pPr>
            <w:r w:rsidRPr="00B074B0">
              <w:rPr>
                <w:rFonts w:ascii="Arial" w:hAnsi="Arial" w:cs="Arial"/>
                <w:b/>
                <w:sz w:val="20"/>
                <w:szCs w:val="20"/>
                <w:lang w:val="es-ES_tradnl"/>
              </w:rPr>
              <w:t>IV. Matriz energética sostenible, fomento de energías renovables, inversión privada y eficiencia energética</w:t>
            </w:r>
          </w:p>
        </w:tc>
      </w:tr>
      <w:tr w:rsidR="007323F8" w:rsidRPr="00BE2D89" w14:paraId="79AF3D3B" w14:textId="77777777" w:rsidTr="007323F8">
        <w:tc>
          <w:tcPr>
            <w:tcW w:w="2981" w:type="dxa"/>
            <w:shd w:val="clear" w:color="auto" w:fill="FFFFFF" w:themeFill="background1"/>
          </w:tcPr>
          <w:p w14:paraId="79AF3D37" w14:textId="77777777" w:rsidR="007323F8" w:rsidRPr="00B074B0" w:rsidRDefault="00362643" w:rsidP="007323F8">
            <w:pPr>
              <w:jc w:val="both"/>
              <w:rPr>
                <w:rFonts w:ascii="Arial" w:hAnsi="Arial" w:cs="Arial"/>
                <w:sz w:val="20"/>
                <w:szCs w:val="20"/>
                <w:lang w:val="es-ES_tradnl"/>
              </w:rPr>
            </w:pPr>
            <w:r w:rsidRPr="00B074B0">
              <w:rPr>
                <w:rFonts w:ascii="Arial" w:hAnsi="Arial" w:cs="Arial"/>
                <w:sz w:val="20"/>
                <w:szCs w:val="20"/>
                <w:lang w:val="es-ES_tradnl"/>
              </w:rPr>
              <w:t>3.9 El Gabinete de Energía ha aprobado las acciones para mejorar los procesos en la contratación de energía y potencia en el mercado mayorista como estímulo a la inversión privada.</w:t>
            </w:r>
          </w:p>
        </w:tc>
        <w:tc>
          <w:tcPr>
            <w:tcW w:w="2982" w:type="dxa"/>
            <w:shd w:val="clear" w:color="auto" w:fill="FFFFFF" w:themeFill="background1"/>
          </w:tcPr>
          <w:p w14:paraId="79AF3D38"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3.9 Aprobación por el Gabinete de Energía de las acciones para mejorar los procesos en la contratación de energía y potencia en el mercado mayorista como estímulo a la inversión privada.</w:t>
            </w:r>
          </w:p>
        </w:tc>
        <w:tc>
          <w:tcPr>
            <w:tcW w:w="4117" w:type="dxa"/>
          </w:tcPr>
          <w:p w14:paraId="79AF3D39" w14:textId="77777777" w:rsidR="007323F8" w:rsidRPr="00B074B0" w:rsidDel="00A23DF1" w:rsidRDefault="007323F8" w:rsidP="007323F8">
            <w:pPr>
              <w:ind w:left="90"/>
              <w:jc w:val="both"/>
              <w:rPr>
                <w:rFonts w:ascii="Arial" w:hAnsi="Arial" w:cs="Arial"/>
                <w:sz w:val="20"/>
                <w:szCs w:val="20"/>
                <w:lang w:val="es-ES_tradnl"/>
              </w:rPr>
            </w:pPr>
            <w:r w:rsidRPr="00B074B0">
              <w:rPr>
                <w:rFonts w:ascii="Arial" w:hAnsi="Arial" w:cs="Arial"/>
                <w:sz w:val="20"/>
                <w:szCs w:val="20"/>
                <w:lang w:val="es-ES_tradnl"/>
              </w:rPr>
              <w:t>3.10 Aprobar por el Gabinete de Energía las acciones para mejorar los procesos en la contratación de energía y potencia en el mercado mayorista como estímulo a la inversión privada  que le fue presentada por el MEM incluyendo, entre otros: (i) la planeación integral del sistema para construir una matriz eléctrica eficiente; (ii) la introducción oportuna de procesos competitivos para asegurar la renovación de la generación más costosa e ineficiente; (iii) la definición de facilidades para la competencia en proyectos de recursos renovables con mayor riesgo de inversión; y (iv) la introducción de condiciones de participación en el mercado eléctrico regional.</w:t>
            </w:r>
          </w:p>
        </w:tc>
        <w:tc>
          <w:tcPr>
            <w:tcW w:w="2966" w:type="dxa"/>
          </w:tcPr>
          <w:p w14:paraId="79AF3D3A" w14:textId="3C1AD0F9" w:rsidR="007323F8" w:rsidRPr="00B074B0" w:rsidRDefault="00BE2D89" w:rsidP="007323F8">
            <w:pPr>
              <w:jc w:val="both"/>
              <w:rPr>
                <w:rFonts w:ascii="Arial" w:hAnsi="Arial" w:cs="Arial"/>
                <w:sz w:val="20"/>
                <w:szCs w:val="20"/>
                <w:lang w:val="es-ES_tradnl"/>
              </w:rPr>
            </w:pPr>
            <w:r>
              <w:rPr>
                <w:rFonts w:ascii="Arial" w:hAnsi="Arial" w:cs="Arial"/>
                <w:sz w:val="20"/>
                <w:szCs w:val="20"/>
                <w:lang w:val="es-ES_tradnl"/>
              </w:rPr>
              <w:t>No hay cambios, solo s</w:t>
            </w:r>
            <w:r w:rsidR="00D146D7" w:rsidRPr="00B074B0">
              <w:rPr>
                <w:rFonts w:ascii="Arial" w:hAnsi="Arial" w:cs="Arial"/>
                <w:sz w:val="20"/>
                <w:szCs w:val="20"/>
                <w:lang w:val="es-ES_tradnl"/>
              </w:rPr>
              <w:t xml:space="preserve">e modificó redacción </w:t>
            </w:r>
            <w:r w:rsidR="007323F8" w:rsidRPr="00B074B0">
              <w:rPr>
                <w:rFonts w:ascii="Arial" w:hAnsi="Arial" w:cs="Arial"/>
                <w:sz w:val="20"/>
                <w:szCs w:val="20"/>
                <w:lang w:val="es-ES_tradnl"/>
              </w:rPr>
              <w:t>para especificar con más detalle la condición de política.</w:t>
            </w:r>
            <w:r w:rsidR="00D146D7" w:rsidRPr="00B074B0">
              <w:rPr>
                <w:rFonts w:ascii="Arial" w:hAnsi="Arial" w:cs="Arial"/>
                <w:sz w:val="20"/>
                <w:szCs w:val="20"/>
                <w:lang w:val="es-ES_tradnl"/>
              </w:rPr>
              <w:t xml:space="preserve"> Se ajustó numeración.</w:t>
            </w:r>
          </w:p>
        </w:tc>
      </w:tr>
      <w:tr w:rsidR="007323F8" w:rsidRPr="00BE2D89" w14:paraId="79AF3D46" w14:textId="77777777" w:rsidTr="007323F8">
        <w:tc>
          <w:tcPr>
            <w:tcW w:w="2981" w:type="dxa"/>
            <w:shd w:val="clear" w:color="auto" w:fill="FFFFFF" w:themeFill="background1"/>
          </w:tcPr>
          <w:p w14:paraId="79AF3D3C" w14:textId="77777777" w:rsidR="007323F8" w:rsidRPr="00B074B0" w:rsidRDefault="00362643" w:rsidP="007323F8">
            <w:pPr>
              <w:jc w:val="both"/>
              <w:rPr>
                <w:rFonts w:ascii="Arial" w:hAnsi="Arial" w:cs="Arial"/>
                <w:sz w:val="20"/>
                <w:szCs w:val="20"/>
                <w:lang w:val="es-ES_tradnl"/>
              </w:rPr>
            </w:pPr>
            <w:r w:rsidRPr="00B074B0">
              <w:rPr>
                <w:rFonts w:ascii="Arial" w:hAnsi="Arial" w:cs="Arial"/>
                <w:sz w:val="20"/>
                <w:szCs w:val="20"/>
                <w:lang w:val="es-ES_tradnl"/>
              </w:rPr>
              <w:t>3.10 El MEM ha elaborado y aprobado la revisión bi-anual del Plan Indicativo de Expansión, que incluya los proyectos de generación basados en recursos renovables e incorpore los criterios de calidad y seguridad operativa del sistema.</w:t>
            </w:r>
          </w:p>
        </w:tc>
        <w:tc>
          <w:tcPr>
            <w:tcW w:w="2982" w:type="dxa"/>
            <w:shd w:val="clear" w:color="auto" w:fill="FFFFFF" w:themeFill="background1"/>
          </w:tcPr>
          <w:p w14:paraId="79AF3D3D" w14:textId="77777777" w:rsidR="009D1CDC" w:rsidRPr="00B074B0" w:rsidRDefault="009D1CDC" w:rsidP="009D1CDC">
            <w:pPr>
              <w:autoSpaceDE w:val="0"/>
              <w:autoSpaceDN w:val="0"/>
              <w:adjustRightInd w:val="0"/>
              <w:rPr>
                <w:rFonts w:ascii="Arial" w:hAnsi="Arial" w:cs="Arial"/>
                <w:sz w:val="20"/>
                <w:szCs w:val="20"/>
                <w:lang w:val="es-ES_tradnl"/>
              </w:rPr>
            </w:pPr>
            <w:r w:rsidRPr="00B074B0">
              <w:rPr>
                <w:rFonts w:ascii="Arial" w:hAnsi="Arial" w:cs="Arial"/>
                <w:sz w:val="20"/>
                <w:szCs w:val="20"/>
                <w:lang w:val="es-ES_tradnl"/>
              </w:rPr>
              <w:t>3.10 Elaborar y aprobar por parte</w:t>
            </w:r>
          </w:p>
          <w:p w14:paraId="79AF3D3E" w14:textId="77777777" w:rsidR="009D1CDC" w:rsidRPr="00B074B0" w:rsidRDefault="009D1CDC" w:rsidP="009D1CDC">
            <w:pPr>
              <w:autoSpaceDE w:val="0"/>
              <w:autoSpaceDN w:val="0"/>
              <w:adjustRightInd w:val="0"/>
              <w:rPr>
                <w:rFonts w:ascii="Arial" w:hAnsi="Arial" w:cs="Arial"/>
                <w:sz w:val="20"/>
                <w:szCs w:val="20"/>
                <w:lang w:val="es-ES_tradnl"/>
              </w:rPr>
            </w:pPr>
            <w:r w:rsidRPr="00B074B0">
              <w:rPr>
                <w:rFonts w:ascii="Arial" w:hAnsi="Arial" w:cs="Arial"/>
                <w:sz w:val="20"/>
                <w:szCs w:val="20"/>
                <w:lang w:val="es-ES_tradnl"/>
              </w:rPr>
              <w:t>del MEM la revisión bi-anual del</w:t>
            </w:r>
          </w:p>
          <w:p w14:paraId="79AF3D3F" w14:textId="77777777" w:rsidR="009D1CDC" w:rsidRPr="00B074B0" w:rsidRDefault="009D1CDC" w:rsidP="009D1CDC">
            <w:pPr>
              <w:autoSpaceDE w:val="0"/>
              <w:autoSpaceDN w:val="0"/>
              <w:adjustRightInd w:val="0"/>
              <w:rPr>
                <w:rFonts w:ascii="Arial" w:hAnsi="Arial" w:cs="Arial"/>
                <w:sz w:val="20"/>
                <w:szCs w:val="20"/>
                <w:lang w:val="es-ES_tradnl"/>
              </w:rPr>
            </w:pPr>
            <w:r w:rsidRPr="00B074B0">
              <w:rPr>
                <w:rFonts w:ascii="Arial" w:hAnsi="Arial" w:cs="Arial"/>
                <w:sz w:val="20"/>
                <w:szCs w:val="20"/>
                <w:lang w:val="es-ES_tradnl"/>
              </w:rPr>
              <w:t>Plan Indicativo de Expansión, que</w:t>
            </w:r>
          </w:p>
          <w:p w14:paraId="79AF3D40" w14:textId="77777777" w:rsidR="009D1CDC" w:rsidRPr="00B074B0" w:rsidRDefault="009D1CDC" w:rsidP="009D1CDC">
            <w:pPr>
              <w:autoSpaceDE w:val="0"/>
              <w:autoSpaceDN w:val="0"/>
              <w:adjustRightInd w:val="0"/>
              <w:rPr>
                <w:rFonts w:ascii="Arial" w:hAnsi="Arial" w:cs="Arial"/>
                <w:sz w:val="20"/>
                <w:szCs w:val="20"/>
                <w:lang w:val="es-ES_tradnl"/>
              </w:rPr>
            </w:pPr>
            <w:r w:rsidRPr="00B074B0">
              <w:rPr>
                <w:rFonts w:ascii="Arial" w:hAnsi="Arial" w:cs="Arial"/>
                <w:sz w:val="20"/>
                <w:szCs w:val="20"/>
                <w:lang w:val="es-ES_tradnl"/>
              </w:rPr>
              <w:t>incluya los proyectos de generación</w:t>
            </w:r>
          </w:p>
          <w:p w14:paraId="79AF3D41" w14:textId="77777777" w:rsidR="009D1CDC" w:rsidRPr="00B074B0" w:rsidRDefault="009D1CDC" w:rsidP="009D1CDC">
            <w:pPr>
              <w:autoSpaceDE w:val="0"/>
              <w:autoSpaceDN w:val="0"/>
              <w:adjustRightInd w:val="0"/>
              <w:rPr>
                <w:rFonts w:ascii="Arial" w:hAnsi="Arial" w:cs="Arial"/>
                <w:sz w:val="20"/>
                <w:szCs w:val="20"/>
                <w:lang w:val="es-ES_tradnl"/>
              </w:rPr>
            </w:pPr>
            <w:r w:rsidRPr="00B074B0">
              <w:rPr>
                <w:rFonts w:ascii="Arial" w:hAnsi="Arial" w:cs="Arial"/>
                <w:sz w:val="20"/>
                <w:szCs w:val="20"/>
                <w:lang w:val="es-ES_tradnl"/>
              </w:rPr>
              <w:t>basados en recursos renovables e</w:t>
            </w:r>
          </w:p>
          <w:p w14:paraId="79AF3D42" w14:textId="77777777" w:rsidR="009D1CDC" w:rsidRPr="00B074B0" w:rsidRDefault="009D1CDC" w:rsidP="009D1CDC">
            <w:pPr>
              <w:autoSpaceDE w:val="0"/>
              <w:autoSpaceDN w:val="0"/>
              <w:adjustRightInd w:val="0"/>
              <w:rPr>
                <w:rFonts w:ascii="Arial" w:hAnsi="Arial" w:cs="Arial"/>
                <w:sz w:val="20"/>
                <w:szCs w:val="20"/>
                <w:lang w:val="es-ES_tradnl"/>
              </w:rPr>
            </w:pPr>
            <w:r w:rsidRPr="00B074B0">
              <w:rPr>
                <w:rFonts w:ascii="Arial" w:hAnsi="Arial" w:cs="Arial"/>
                <w:sz w:val="20"/>
                <w:szCs w:val="20"/>
                <w:lang w:val="es-ES_tradnl"/>
              </w:rPr>
              <w:t>incorpore los criterios de calidad y</w:t>
            </w:r>
          </w:p>
          <w:p w14:paraId="79AF3D43" w14:textId="77777777" w:rsidR="007323F8" w:rsidRPr="00B074B0" w:rsidRDefault="009D1CDC" w:rsidP="009D1CDC">
            <w:pPr>
              <w:jc w:val="both"/>
              <w:rPr>
                <w:rFonts w:ascii="Arial" w:hAnsi="Arial" w:cs="Arial"/>
                <w:sz w:val="20"/>
                <w:szCs w:val="20"/>
                <w:lang w:val="es-ES_tradnl"/>
              </w:rPr>
            </w:pPr>
            <w:r w:rsidRPr="00B074B0">
              <w:rPr>
                <w:rFonts w:ascii="Arial" w:hAnsi="Arial" w:cs="Arial"/>
                <w:sz w:val="20"/>
                <w:szCs w:val="20"/>
              </w:rPr>
              <w:t>seguridad operativa del sistema.</w:t>
            </w:r>
          </w:p>
        </w:tc>
        <w:tc>
          <w:tcPr>
            <w:tcW w:w="4117" w:type="dxa"/>
          </w:tcPr>
          <w:p w14:paraId="79AF3D44" w14:textId="77777777" w:rsidR="007323F8" w:rsidRPr="00B074B0" w:rsidDel="00A23DF1" w:rsidRDefault="007323F8" w:rsidP="007323F8">
            <w:pPr>
              <w:ind w:left="90"/>
              <w:jc w:val="both"/>
              <w:rPr>
                <w:rFonts w:ascii="Arial" w:hAnsi="Arial" w:cs="Arial"/>
                <w:sz w:val="20"/>
                <w:szCs w:val="20"/>
                <w:lang w:val="es-ES_tradnl"/>
              </w:rPr>
            </w:pPr>
            <w:r w:rsidRPr="00B074B0">
              <w:rPr>
                <w:rFonts w:ascii="Arial" w:hAnsi="Arial" w:cs="Arial"/>
                <w:sz w:val="20"/>
                <w:szCs w:val="20"/>
                <w:lang w:val="es-ES_tradnl"/>
              </w:rPr>
              <w:t>3.11 Aprobar por el MEM, como resultado de una revisión bi-anual</w:t>
            </w:r>
            <w:r w:rsidR="00212540" w:rsidRPr="00B074B0">
              <w:rPr>
                <w:rFonts w:ascii="Arial" w:hAnsi="Arial" w:cs="Arial"/>
                <w:sz w:val="20"/>
                <w:szCs w:val="20"/>
                <w:lang w:val="es-ES_tradnl"/>
              </w:rPr>
              <w:t>,</w:t>
            </w:r>
            <w:r w:rsidRPr="00B074B0">
              <w:rPr>
                <w:rFonts w:ascii="Arial" w:hAnsi="Arial" w:cs="Arial"/>
                <w:sz w:val="20"/>
                <w:szCs w:val="20"/>
                <w:lang w:val="es-ES_tradnl"/>
              </w:rPr>
              <w:t xml:space="preserve"> el Plan Indicativo de Expansión de la Generación. El Plan o los planes aprobados deberán incluir los proyectos de generación basados en recursos renovables y haberse elaborado con base en la metodología de seguridad operativa definida por ENATREL-CNDC con ocasión de la segunda operación bajo esta serie programática.</w:t>
            </w:r>
          </w:p>
        </w:tc>
        <w:tc>
          <w:tcPr>
            <w:tcW w:w="2966" w:type="dxa"/>
          </w:tcPr>
          <w:p w14:paraId="79AF3D45" w14:textId="7EF559CF" w:rsidR="007323F8" w:rsidRPr="00B074B0" w:rsidRDefault="00BE2D89" w:rsidP="007323F8">
            <w:pPr>
              <w:jc w:val="both"/>
              <w:rPr>
                <w:rFonts w:ascii="Arial" w:hAnsi="Arial" w:cs="Arial"/>
                <w:sz w:val="20"/>
                <w:szCs w:val="20"/>
                <w:lang w:val="es-ES_tradnl"/>
              </w:rPr>
            </w:pPr>
            <w:r>
              <w:rPr>
                <w:rFonts w:ascii="Arial" w:hAnsi="Arial" w:cs="Arial"/>
                <w:sz w:val="20"/>
                <w:szCs w:val="20"/>
                <w:lang w:val="es-ES_tradnl"/>
              </w:rPr>
              <w:t>No hay cambios, solo s</w:t>
            </w:r>
            <w:r w:rsidR="00212540" w:rsidRPr="00B074B0">
              <w:rPr>
                <w:rFonts w:ascii="Arial" w:hAnsi="Arial" w:cs="Arial"/>
                <w:sz w:val="20"/>
                <w:szCs w:val="20"/>
                <w:lang w:val="es-ES_tradnl"/>
              </w:rPr>
              <w:t>e modificó redacción para especificar con más detalle la condición de política.</w:t>
            </w:r>
            <w:r w:rsidR="00D146D7" w:rsidRPr="00B074B0">
              <w:rPr>
                <w:rFonts w:ascii="Arial" w:hAnsi="Arial" w:cs="Arial"/>
                <w:sz w:val="20"/>
                <w:szCs w:val="20"/>
                <w:lang w:val="es-ES_tradnl"/>
              </w:rPr>
              <w:t xml:space="preserve"> Se ajustó numeración.</w:t>
            </w:r>
          </w:p>
        </w:tc>
      </w:tr>
      <w:tr w:rsidR="007323F8" w:rsidRPr="008D640C" w14:paraId="79AF3D4B" w14:textId="77777777" w:rsidTr="007323F8">
        <w:tc>
          <w:tcPr>
            <w:tcW w:w="2981" w:type="dxa"/>
            <w:shd w:val="clear" w:color="auto" w:fill="FFFFFF" w:themeFill="background1"/>
          </w:tcPr>
          <w:p w14:paraId="79AF3D47" w14:textId="77777777" w:rsidR="007323F8" w:rsidRPr="00B074B0" w:rsidRDefault="00362643" w:rsidP="007323F8">
            <w:pPr>
              <w:jc w:val="both"/>
              <w:rPr>
                <w:rFonts w:ascii="Arial" w:hAnsi="Arial" w:cs="Arial"/>
                <w:sz w:val="20"/>
                <w:szCs w:val="20"/>
                <w:lang w:val="es-ES_tradnl"/>
              </w:rPr>
            </w:pPr>
            <w:r w:rsidRPr="00B074B0">
              <w:rPr>
                <w:rFonts w:ascii="Arial" w:hAnsi="Arial" w:cs="Arial"/>
                <w:sz w:val="20"/>
                <w:szCs w:val="20"/>
                <w:lang w:val="es-ES_tradnl"/>
              </w:rPr>
              <w:t>Haber elaborado y aprobado por parte del ENATREL-CNDC la evaluación con base al estudio de seguridad operativa para el año 2015 al fin de analizar la incorporación de nuevos proyectos de energía renovable en el Plan Indicativo de Expansión.</w:t>
            </w:r>
          </w:p>
        </w:tc>
        <w:tc>
          <w:tcPr>
            <w:tcW w:w="2982" w:type="dxa"/>
            <w:shd w:val="clear" w:color="auto" w:fill="FFFFFF" w:themeFill="background1"/>
          </w:tcPr>
          <w:p w14:paraId="79AF3D48"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3.11 Aprobación por parte del ENATREL-CNDC de la evaluación con base al estudio de seguridad operativa para el 2015 al fin de analizar la incorporación de nuevos proyectos de energía renovable en el Plan Indicativo de Expansión.</w:t>
            </w:r>
          </w:p>
        </w:tc>
        <w:tc>
          <w:tcPr>
            <w:tcW w:w="4117" w:type="dxa"/>
          </w:tcPr>
          <w:p w14:paraId="79AF3D49" w14:textId="6E554AE5" w:rsidR="007323F8" w:rsidRPr="00B074B0" w:rsidRDefault="007323F8" w:rsidP="007323F8">
            <w:pPr>
              <w:ind w:left="90"/>
              <w:jc w:val="both"/>
              <w:rPr>
                <w:rFonts w:ascii="Arial" w:hAnsi="Arial" w:cs="Arial"/>
                <w:sz w:val="20"/>
                <w:szCs w:val="20"/>
                <w:lang w:val="es-ES_tradnl"/>
              </w:rPr>
            </w:pPr>
            <w:r w:rsidRPr="00B074B0">
              <w:rPr>
                <w:rFonts w:ascii="Arial" w:hAnsi="Arial" w:cs="Arial"/>
                <w:sz w:val="20"/>
                <w:szCs w:val="20"/>
                <w:lang w:val="es-ES_tradnl"/>
              </w:rPr>
              <w:t>3.12 Confirmar por el Centro Nacional de Despacho de Carga dependiente de la Empresa Nacional de Transmisión</w:t>
            </w:r>
            <w:r w:rsidR="000B05C5">
              <w:rPr>
                <w:rFonts w:ascii="Arial" w:hAnsi="Arial" w:cs="Arial"/>
                <w:sz w:val="20"/>
                <w:szCs w:val="20"/>
                <w:lang w:val="es-ES_tradnl"/>
              </w:rPr>
              <w:t xml:space="preserve"> Eléctrica</w:t>
            </w:r>
            <w:r w:rsidRPr="00B074B0">
              <w:rPr>
                <w:rFonts w:ascii="Arial" w:hAnsi="Arial" w:cs="Arial"/>
                <w:sz w:val="20"/>
                <w:szCs w:val="20"/>
                <w:lang w:val="es-ES_tradnl"/>
              </w:rPr>
              <w:t xml:space="preserve"> (ENATREL-CNDC), que con base en la metodología de seguridad operativa aprobada como condición de la segunda operación, los Planes Indicativos de Expansión de Generación y Transmisión 2017-2026 garantizarían el cumplimiento de los criterios de calidad, seguridad y desempeño.</w:t>
            </w:r>
          </w:p>
        </w:tc>
        <w:tc>
          <w:tcPr>
            <w:tcW w:w="2966" w:type="dxa"/>
          </w:tcPr>
          <w:p w14:paraId="79AF3D4A" w14:textId="391C2B2A" w:rsidR="007323F8" w:rsidRPr="00B074B0" w:rsidRDefault="00D146D7" w:rsidP="007323F8">
            <w:pPr>
              <w:jc w:val="both"/>
              <w:rPr>
                <w:rFonts w:ascii="Arial" w:hAnsi="Arial" w:cs="Arial"/>
                <w:sz w:val="20"/>
                <w:szCs w:val="20"/>
                <w:lang w:val="es-ES_tradnl"/>
              </w:rPr>
            </w:pPr>
            <w:r w:rsidRPr="00B074B0">
              <w:rPr>
                <w:rFonts w:ascii="Arial" w:hAnsi="Arial" w:cs="Arial"/>
                <w:sz w:val="20"/>
                <w:szCs w:val="20"/>
                <w:lang w:val="es-ES_tradnl"/>
              </w:rPr>
              <w:t xml:space="preserve"> </w:t>
            </w:r>
            <w:r w:rsidR="008D640C">
              <w:rPr>
                <w:rFonts w:ascii="Arial" w:hAnsi="Arial" w:cs="Arial"/>
                <w:sz w:val="20"/>
                <w:szCs w:val="20"/>
                <w:lang w:val="es-ES_tradnl"/>
              </w:rPr>
              <w:t>No hay cambios, solo s</w:t>
            </w:r>
            <w:r w:rsidR="007323F8" w:rsidRPr="00B074B0">
              <w:rPr>
                <w:rFonts w:ascii="Arial" w:hAnsi="Arial" w:cs="Arial"/>
                <w:sz w:val="20"/>
                <w:szCs w:val="20"/>
                <w:lang w:val="es-ES_tradnl"/>
              </w:rPr>
              <w:t>e modificó la redacción para especificar con más detalle la condición de política.</w:t>
            </w:r>
            <w:r w:rsidR="0015278A" w:rsidRPr="00B074B0">
              <w:rPr>
                <w:rFonts w:ascii="Arial" w:hAnsi="Arial" w:cs="Arial"/>
                <w:sz w:val="20"/>
                <w:szCs w:val="20"/>
                <w:lang w:val="es-ES_tradnl"/>
              </w:rPr>
              <w:t xml:space="preserve"> </w:t>
            </w:r>
            <w:r w:rsidR="00837A97" w:rsidRPr="00B074B0">
              <w:rPr>
                <w:rFonts w:ascii="Arial" w:hAnsi="Arial" w:cs="Arial"/>
                <w:sz w:val="20"/>
                <w:szCs w:val="20"/>
                <w:lang w:val="es-ES_tradnl"/>
              </w:rPr>
              <w:t>Se ajustó la numeración.</w:t>
            </w:r>
          </w:p>
        </w:tc>
      </w:tr>
      <w:tr w:rsidR="007323F8" w:rsidRPr="00A1310B" w14:paraId="79AF3D50" w14:textId="77777777" w:rsidTr="007323F8">
        <w:tc>
          <w:tcPr>
            <w:tcW w:w="2981" w:type="dxa"/>
            <w:shd w:val="clear" w:color="auto" w:fill="FFFFFF" w:themeFill="background1"/>
          </w:tcPr>
          <w:p w14:paraId="79AF3D4C" w14:textId="77777777" w:rsidR="007323F8" w:rsidRPr="00B074B0" w:rsidRDefault="007323F8" w:rsidP="007323F8">
            <w:pPr>
              <w:jc w:val="both"/>
              <w:rPr>
                <w:rFonts w:ascii="Arial" w:hAnsi="Arial" w:cs="Arial"/>
                <w:sz w:val="20"/>
                <w:szCs w:val="20"/>
                <w:lang w:val="es-ES_tradnl"/>
              </w:rPr>
            </w:pPr>
          </w:p>
        </w:tc>
        <w:tc>
          <w:tcPr>
            <w:tcW w:w="2982" w:type="dxa"/>
            <w:shd w:val="clear" w:color="auto" w:fill="FFFFFF" w:themeFill="background1"/>
          </w:tcPr>
          <w:p w14:paraId="79AF3D4D"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3.12 Haber aprobado por parte del MEM y puesto en vigencia una normativa para generación eléctrica distribuida en el país.</w:t>
            </w:r>
          </w:p>
        </w:tc>
        <w:tc>
          <w:tcPr>
            <w:tcW w:w="4117" w:type="dxa"/>
          </w:tcPr>
          <w:p w14:paraId="79AF3D4E" w14:textId="47602029" w:rsidR="007323F8" w:rsidRPr="00B074B0" w:rsidRDefault="007323F8" w:rsidP="007323F8">
            <w:pPr>
              <w:ind w:left="90"/>
              <w:jc w:val="both"/>
              <w:rPr>
                <w:rFonts w:ascii="Arial" w:hAnsi="Arial" w:cs="Arial"/>
                <w:sz w:val="20"/>
                <w:szCs w:val="20"/>
                <w:lang w:val="es-ES_tradnl"/>
              </w:rPr>
            </w:pPr>
            <w:r w:rsidRPr="00B074B0">
              <w:rPr>
                <w:rFonts w:ascii="Arial" w:hAnsi="Arial" w:cs="Arial"/>
                <w:sz w:val="20"/>
                <w:szCs w:val="20"/>
                <w:lang w:val="es-ES_tradnl"/>
              </w:rPr>
              <w:t xml:space="preserve">3.13 Aprobar </w:t>
            </w:r>
            <w:r w:rsidR="000B05C5">
              <w:rPr>
                <w:rFonts w:ascii="Arial" w:hAnsi="Arial" w:cs="Arial"/>
                <w:sz w:val="20"/>
                <w:szCs w:val="20"/>
                <w:lang w:val="es-ES_tradnl"/>
              </w:rPr>
              <w:t xml:space="preserve">por parte de la Asamblea Nacional </w:t>
            </w:r>
            <w:r w:rsidRPr="00B074B0">
              <w:rPr>
                <w:rFonts w:ascii="Arial" w:hAnsi="Arial" w:cs="Arial"/>
                <w:sz w:val="20"/>
                <w:szCs w:val="20"/>
                <w:lang w:val="es-ES_tradnl"/>
              </w:rPr>
              <w:t>las modificaciones necesarias a la Ley de la Industria Eléctrica que viabilice la aprobación de la normativa para generación eléctrica distribuida en el país y aprobar por el MEM dicha normativa. El alcance de la normativa incluirá, entre otros: (i) los niveles de potencia, (ii) los mecanismos de compra y venta de energía, y (iii) los mecanismos de remuneración.</w:t>
            </w:r>
          </w:p>
        </w:tc>
        <w:tc>
          <w:tcPr>
            <w:tcW w:w="2966" w:type="dxa"/>
          </w:tcPr>
          <w:p w14:paraId="79AF3D4F" w14:textId="110C096F" w:rsidR="007323F8" w:rsidRPr="00B074B0" w:rsidRDefault="002C72CA" w:rsidP="007323F8">
            <w:pPr>
              <w:jc w:val="both"/>
              <w:rPr>
                <w:rFonts w:ascii="Arial" w:hAnsi="Arial" w:cs="Arial"/>
                <w:sz w:val="20"/>
                <w:szCs w:val="20"/>
                <w:lang w:val="es-ES_tradnl"/>
              </w:rPr>
            </w:pPr>
            <w:r w:rsidRPr="00B074B0">
              <w:rPr>
                <w:rFonts w:ascii="Arial" w:hAnsi="Arial" w:cs="Arial"/>
                <w:sz w:val="20"/>
                <w:szCs w:val="20"/>
                <w:lang w:val="es-ES_tradnl"/>
              </w:rPr>
              <w:t>S</w:t>
            </w:r>
            <w:r w:rsidR="007323F8" w:rsidRPr="00B074B0">
              <w:rPr>
                <w:rFonts w:ascii="Arial" w:hAnsi="Arial" w:cs="Arial"/>
                <w:sz w:val="20"/>
                <w:szCs w:val="20"/>
                <w:lang w:val="es-ES_tradnl"/>
              </w:rPr>
              <w:t xml:space="preserve">e modificó </w:t>
            </w:r>
            <w:r w:rsidR="001C620F" w:rsidRPr="00B074B0">
              <w:rPr>
                <w:rFonts w:ascii="Arial" w:hAnsi="Arial" w:cs="Arial"/>
                <w:sz w:val="20"/>
                <w:szCs w:val="20"/>
                <w:lang w:val="es-ES_tradnl"/>
              </w:rPr>
              <w:t xml:space="preserve">para </w:t>
            </w:r>
            <w:r w:rsidR="001C620F">
              <w:rPr>
                <w:rFonts w:ascii="Arial" w:hAnsi="Arial" w:cs="Arial"/>
                <w:sz w:val="20"/>
                <w:szCs w:val="20"/>
                <w:lang w:val="es-ES_tradnl"/>
              </w:rPr>
              <w:t>reflejar</w:t>
            </w:r>
            <w:r w:rsidR="008D640C">
              <w:rPr>
                <w:rFonts w:ascii="Arial" w:hAnsi="Arial" w:cs="Arial"/>
                <w:sz w:val="20"/>
                <w:szCs w:val="20"/>
                <w:lang w:val="es-ES_tradnl"/>
              </w:rPr>
              <w:t xml:space="preserve"> la</w:t>
            </w:r>
            <w:bookmarkStart w:id="0" w:name="_GoBack"/>
            <w:bookmarkEnd w:id="0"/>
            <w:r w:rsidRPr="00B074B0">
              <w:rPr>
                <w:rFonts w:ascii="Arial" w:hAnsi="Arial" w:cs="Arial"/>
                <w:sz w:val="20"/>
                <w:szCs w:val="20"/>
                <w:lang w:val="es-ES_tradnl"/>
              </w:rPr>
              <w:t xml:space="preserve"> aproba</w:t>
            </w:r>
            <w:r w:rsidR="008D640C">
              <w:rPr>
                <w:rFonts w:ascii="Arial" w:hAnsi="Arial" w:cs="Arial"/>
                <w:sz w:val="20"/>
                <w:szCs w:val="20"/>
                <w:lang w:val="es-ES_tradnl"/>
              </w:rPr>
              <w:t>ción de</w:t>
            </w:r>
            <w:r w:rsidRPr="00B074B0">
              <w:rPr>
                <w:rFonts w:ascii="Arial" w:hAnsi="Arial" w:cs="Arial"/>
                <w:sz w:val="20"/>
                <w:szCs w:val="20"/>
                <w:lang w:val="es-ES_tradnl"/>
              </w:rPr>
              <w:t xml:space="preserve">la </w:t>
            </w:r>
            <w:r w:rsidR="00F13760">
              <w:rPr>
                <w:rFonts w:ascii="Arial" w:hAnsi="Arial" w:cs="Arial"/>
                <w:sz w:val="20"/>
                <w:szCs w:val="20"/>
                <w:lang w:val="es-ES_tradnl"/>
              </w:rPr>
              <w:t>reforma</w:t>
            </w:r>
            <w:r w:rsidR="00F13760" w:rsidRPr="00B074B0">
              <w:rPr>
                <w:rFonts w:ascii="Arial" w:hAnsi="Arial" w:cs="Arial"/>
                <w:sz w:val="20"/>
                <w:szCs w:val="20"/>
                <w:lang w:val="es-ES_tradnl"/>
              </w:rPr>
              <w:t xml:space="preserve"> </w:t>
            </w:r>
            <w:r w:rsidRPr="00B074B0">
              <w:rPr>
                <w:rFonts w:ascii="Arial" w:hAnsi="Arial" w:cs="Arial"/>
                <w:sz w:val="20"/>
                <w:szCs w:val="20"/>
                <w:lang w:val="es-ES_tradnl"/>
              </w:rPr>
              <w:t>a la</w:t>
            </w:r>
            <w:r w:rsidR="007323F8" w:rsidRPr="00B074B0">
              <w:rPr>
                <w:rFonts w:ascii="Arial" w:hAnsi="Arial" w:cs="Arial"/>
                <w:sz w:val="20"/>
                <w:szCs w:val="20"/>
                <w:lang w:val="es-ES_tradnl"/>
              </w:rPr>
              <w:t xml:space="preserve"> Ley de la Industria Eléctrica</w:t>
            </w:r>
            <w:r w:rsidR="00A1310B">
              <w:rPr>
                <w:rFonts w:ascii="Arial" w:hAnsi="Arial" w:cs="Arial"/>
                <w:sz w:val="20"/>
                <w:szCs w:val="20"/>
                <w:lang w:val="es-ES_tradnl"/>
              </w:rPr>
              <w:t xml:space="preserve"> que se identificó como necesaria para dar la base legal a la normativa desarrollada</w:t>
            </w:r>
            <w:r w:rsidR="00CA3AE3" w:rsidRPr="00B074B0">
              <w:rPr>
                <w:rFonts w:ascii="Arial" w:hAnsi="Arial" w:cs="Arial"/>
                <w:sz w:val="20"/>
                <w:szCs w:val="20"/>
                <w:lang w:val="es-ES_tradnl"/>
              </w:rPr>
              <w:t xml:space="preserve">. </w:t>
            </w:r>
            <w:r w:rsidR="00D146D7" w:rsidRPr="00B074B0">
              <w:rPr>
                <w:rFonts w:ascii="Arial" w:hAnsi="Arial" w:cs="Arial"/>
                <w:sz w:val="20"/>
                <w:szCs w:val="20"/>
                <w:lang w:val="es-ES_tradnl"/>
              </w:rPr>
              <w:t xml:space="preserve">Esta condición </w:t>
            </w:r>
            <w:r w:rsidRPr="00B074B0">
              <w:rPr>
                <w:rFonts w:ascii="Arial" w:hAnsi="Arial" w:cs="Arial"/>
                <w:sz w:val="20"/>
                <w:szCs w:val="20"/>
                <w:lang w:val="es-ES_tradnl"/>
              </w:rPr>
              <w:t>se estableció inicialmente como compromiso del</w:t>
            </w:r>
            <w:r w:rsidR="00D146D7" w:rsidRPr="00B074B0">
              <w:rPr>
                <w:rFonts w:ascii="Arial" w:hAnsi="Arial" w:cs="Arial"/>
                <w:sz w:val="20"/>
                <w:szCs w:val="20"/>
                <w:lang w:val="es-ES_tradnl"/>
              </w:rPr>
              <w:t xml:space="preserve"> segundo PBP, </w:t>
            </w:r>
            <w:r w:rsidR="00A1310B">
              <w:rPr>
                <w:rFonts w:ascii="Arial" w:hAnsi="Arial" w:cs="Arial"/>
                <w:sz w:val="20"/>
                <w:szCs w:val="20"/>
                <w:lang w:val="es-ES_tradnl"/>
              </w:rPr>
              <w:t>y se</w:t>
            </w:r>
            <w:r w:rsidR="00D146D7" w:rsidRPr="00B074B0">
              <w:rPr>
                <w:rFonts w:ascii="Arial" w:hAnsi="Arial" w:cs="Arial"/>
                <w:sz w:val="20"/>
                <w:szCs w:val="20"/>
                <w:lang w:val="es-ES_tradnl"/>
              </w:rPr>
              <w:t xml:space="preserve"> </w:t>
            </w:r>
            <w:r w:rsidR="0069741A" w:rsidRPr="00B074B0">
              <w:rPr>
                <w:rFonts w:ascii="Arial" w:hAnsi="Arial" w:cs="Arial"/>
                <w:sz w:val="20"/>
                <w:szCs w:val="20"/>
                <w:lang w:val="es-ES_tradnl"/>
              </w:rPr>
              <w:t>traslad</w:t>
            </w:r>
            <w:r w:rsidR="00A1310B">
              <w:rPr>
                <w:rFonts w:ascii="Arial" w:hAnsi="Arial" w:cs="Arial"/>
                <w:sz w:val="20"/>
                <w:szCs w:val="20"/>
                <w:lang w:val="es-ES_tradnl"/>
              </w:rPr>
              <w:t>ó</w:t>
            </w:r>
            <w:r w:rsidR="0069741A" w:rsidRPr="00B074B0">
              <w:rPr>
                <w:rFonts w:ascii="Arial" w:hAnsi="Arial" w:cs="Arial"/>
                <w:sz w:val="20"/>
                <w:szCs w:val="20"/>
                <w:lang w:val="es-ES_tradnl"/>
              </w:rPr>
              <w:t xml:space="preserve"> al</w:t>
            </w:r>
            <w:r w:rsidR="00D146D7" w:rsidRPr="00B074B0">
              <w:rPr>
                <w:rFonts w:ascii="Arial" w:hAnsi="Arial" w:cs="Arial"/>
                <w:sz w:val="20"/>
                <w:szCs w:val="20"/>
                <w:lang w:val="es-ES_tradnl"/>
              </w:rPr>
              <w:t xml:space="preserve"> tercer PBP</w:t>
            </w:r>
            <w:r w:rsidR="0069741A" w:rsidRPr="00B074B0">
              <w:rPr>
                <w:rFonts w:ascii="Arial" w:hAnsi="Arial" w:cs="Arial"/>
                <w:sz w:val="20"/>
                <w:szCs w:val="20"/>
                <w:lang w:val="es-ES_tradnl"/>
              </w:rPr>
              <w:t>.</w:t>
            </w:r>
            <w:r w:rsidR="00D146D7" w:rsidRPr="00B074B0">
              <w:rPr>
                <w:rFonts w:ascii="Arial" w:hAnsi="Arial" w:cs="Arial"/>
                <w:sz w:val="20"/>
                <w:szCs w:val="20"/>
                <w:lang w:val="es-ES_tradnl"/>
              </w:rPr>
              <w:t xml:space="preserve"> </w:t>
            </w:r>
            <w:r w:rsidRPr="00B074B0">
              <w:rPr>
                <w:rFonts w:ascii="Arial" w:hAnsi="Arial" w:cs="Arial"/>
                <w:sz w:val="20"/>
                <w:szCs w:val="20"/>
                <w:lang w:val="es-ES_tradnl"/>
              </w:rPr>
              <w:t>Se ajustó la numeración.</w:t>
            </w:r>
          </w:p>
        </w:tc>
      </w:tr>
      <w:tr w:rsidR="007323F8" w:rsidRPr="000B05C5" w14:paraId="79AF3D55" w14:textId="77777777" w:rsidTr="007323F8">
        <w:tc>
          <w:tcPr>
            <w:tcW w:w="2981" w:type="dxa"/>
            <w:shd w:val="clear" w:color="auto" w:fill="FFFFFF" w:themeFill="background1"/>
          </w:tcPr>
          <w:p w14:paraId="79AF3D51" w14:textId="77777777" w:rsidR="007323F8" w:rsidRPr="00B074B0" w:rsidRDefault="00362643" w:rsidP="007323F8">
            <w:pPr>
              <w:jc w:val="both"/>
              <w:rPr>
                <w:rFonts w:ascii="Arial" w:hAnsi="Arial" w:cs="Arial"/>
                <w:sz w:val="20"/>
                <w:szCs w:val="20"/>
                <w:lang w:val="es-ES_tradnl"/>
              </w:rPr>
            </w:pPr>
            <w:r w:rsidRPr="00B074B0">
              <w:rPr>
                <w:rFonts w:ascii="Arial" w:hAnsi="Arial" w:cs="Arial"/>
                <w:sz w:val="20"/>
                <w:szCs w:val="20"/>
                <w:lang w:val="es-ES_tradnl"/>
              </w:rPr>
              <w:t>3.11 El Gabinete de Energía ha aprobado la propuesta de ley de Eficiencia Energética y la misma se ha remitido como iniciativa de ley a la Asamblea Nacional.</w:t>
            </w:r>
          </w:p>
        </w:tc>
        <w:tc>
          <w:tcPr>
            <w:tcW w:w="2982" w:type="dxa"/>
            <w:shd w:val="clear" w:color="auto" w:fill="FFFFFF" w:themeFill="background1"/>
          </w:tcPr>
          <w:p w14:paraId="79AF3D52"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3.14 El Gabinete de Energía ha aprobado la propuesta de ley de Eficiencia Energética y la misma se ha remitido como iniciativa de ley a la Asamblea Nacional.</w:t>
            </w:r>
          </w:p>
        </w:tc>
        <w:tc>
          <w:tcPr>
            <w:tcW w:w="4117" w:type="dxa"/>
          </w:tcPr>
          <w:p w14:paraId="79AF3D53" w14:textId="77777777" w:rsidR="007323F8" w:rsidRPr="00B074B0" w:rsidRDefault="007323F8" w:rsidP="007323F8">
            <w:pPr>
              <w:ind w:left="90"/>
              <w:jc w:val="both"/>
              <w:rPr>
                <w:rFonts w:ascii="Arial" w:hAnsi="Arial" w:cs="Arial"/>
                <w:sz w:val="20"/>
                <w:szCs w:val="20"/>
                <w:lang w:val="es-ES_tradnl"/>
              </w:rPr>
            </w:pPr>
            <w:r w:rsidRPr="00B074B0">
              <w:rPr>
                <w:rFonts w:ascii="Arial" w:hAnsi="Arial" w:cs="Arial"/>
                <w:sz w:val="20"/>
                <w:szCs w:val="20"/>
                <w:lang w:val="es-ES_tradnl"/>
              </w:rPr>
              <w:t>3.14 Aprobar por el Gabinete de Energía la propuesta de Ley de Eficiencia Energética, que establecerá el marco legal y regulatorio conteniendo mecanismos institucionales y financieros para incentivar la eficiencia energética, y que la misma se haya remitido como iniciativa de Ley a la Asamblea Nacional.</w:t>
            </w:r>
          </w:p>
        </w:tc>
        <w:tc>
          <w:tcPr>
            <w:tcW w:w="2966" w:type="dxa"/>
          </w:tcPr>
          <w:p w14:paraId="4450DE4B" w14:textId="2F4D9D05" w:rsidR="00F13760" w:rsidRDefault="007323F8" w:rsidP="007323F8">
            <w:pPr>
              <w:jc w:val="both"/>
              <w:rPr>
                <w:rFonts w:ascii="Arial" w:hAnsi="Arial" w:cs="Arial"/>
                <w:sz w:val="20"/>
                <w:szCs w:val="20"/>
                <w:lang w:val="es-ES_tradnl"/>
              </w:rPr>
            </w:pPr>
            <w:r w:rsidRPr="00B074B0">
              <w:rPr>
                <w:rFonts w:ascii="Arial" w:hAnsi="Arial" w:cs="Arial"/>
                <w:sz w:val="20"/>
                <w:szCs w:val="20"/>
                <w:lang w:val="es-ES_tradnl"/>
              </w:rPr>
              <w:t>Se modificó para especificar con más detalle la condición de política.</w:t>
            </w:r>
            <w:r w:rsidR="0069741A" w:rsidRPr="00B074B0">
              <w:rPr>
                <w:rFonts w:ascii="Arial" w:hAnsi="Arial" w:cs="Arial"/>
                <w:sz w:val="20"/>
                <w:szCs w:val="20"/>
                <w:lang w:val="es-ES_tradnl"/>
              </w:rPr>
              <w:t xml:space="preserve"> </w:t>
            </w:r>
          </w:p>
          <w:p w14:paraId="1CF4AB38" w14:textId="77777777" w:rsidR="00F13760" w:rsidRDefault="00F13760" w:rsidP="007323F8">
            <w:pPr>
              <w:jc w:val="both"/>
              <w:rPr>
                <w:rFonts w:ascii="Arial" w:hAnsi="Arial" w:cs="Arial"/>
                <w:sz w:val="20"/>
                <w:szCs w:val="20"/>
                <w:lang w:val="es-ES_tradnl"/>
              </w:rPr>
            </w:pPr>
          </w:p>
          <w:p w14:paraId="79AF3D54" w14:textId="355BC72C" w:rsidR="007323F8" w:rsidRPr="00B074B0" w:rsidRDefault="00076248" w:rsidP="007323F8">
            <w:pPr>
              <w:jc w:val="both"/>
              <w:rPr>
                <w:rFonts w:ascii="Arial" w:hAnsi="Arial" w:cs="Arial"/>
                <w:sz w:val="20"/>
                <w:szCs w:val="20"/>
                <w:lang w:val="es-ES_tradnl"/>
              </w:rPr>
            </w:pPr>
            <w:r w:rsidRPr="00B074B0">
              <w:rPr>
                <w:rFonts w:ascii="Arial" w:hAnsi="Arial" w:cs="Arial"/>
                <w:sz w:val="20"/>
                <w:szCs w:val="20"/>
                <w:lang w:val="es-ES_tradnl"/>
              </w:rPr>
              <w:t>Se ha dado un paso adicional en este compromiso porque l</w:t>
            </w:r>
            <w:r w:rsidR="0069741A" w:rsidRPr="00B074B0">
              <w:rPr>
                <w:rFonts w:ascii="Arial" w:hAnsi="Arial" w:cs="Arial"/>
                <w:sz w:val="20"/>
                <w:szCs w:val="20"/>
                <w:lang w:val="es-ES_tradnl"/>
              </w:rPr>
              <w:t xml:space="preserve">a </w:t>
            </w:r>
            <w:r w:rsidR="00EA582B" w:rsidRPr="00B074B0">
              <w:rPr>
                <w:rFonts w:ascii="Arial" w:hAnsi="Arial" w:cs="Arial"/>
                <w:sz w:val="20"/>
                <w:szCs w:val="20"/>
                <w:lang w:val="es-ES_tradnl"/>
              </w:rPr>
              <w:t xml:space="preserve">iniciativa </w:t>
            </w:r>
            <w:r w:rsidRPr="00B074B0">
              <w:rPr>
                <w:rFonts w:ascii="Arial" w:hAnsi="Arial" w:cs="Arial"/>
                <w:sz w:val="20"/>
                <w:szCs w:val="20"/>
                <w:lang w:val="es-ES_tradnl"/>
              </w:rPr>
              <w:t>ha alcanzado</w:t>
            </w:r>
            <w:r w:rsidR="00BB1B48" w:rsidRPr="00B074B0">
              <w:rPr>
                <w:rFonts w:ascii="Arial" w:hAnsi="Arial" w:cs="Arial"/>
                <w:sz w:val="20"/>
                <w:szCs w:val="20"/>
                <w:lang w:val="es-ES_tradnl"/>
              </w:rPr>
              <w:t xml:space="preserve"> el</w:t>
            </w:r>
            <w:r w:rsidR="00EA582B" w:rsidRPr="00B074B0">
              <w:rPr>
                <w:rFonts w:ascii="Arial" w:hAnsi="Arial" w:cs="Arial"/>
                <w:sz w:val="20"/>
                <w:szCs w:val="20"/>
                <w:lang w:val="es-ES_tradnl"/>
              </w:rPr>
              <w:t xml:space="preserve"> carácter de </w:t>
            </w:r>
            <w:r w:rsidR="0069741A" w:rsidRPr="00B074B0">
              <w:rPr>
                <w:rFonts w:ascii="Arial" w:hAnsi="Arial" w:cs="Arial"/>
                <w:sz w:val="20"/>
                <w:szCs w:val="20"/>
                <w:lang w:val="es-ES_tradnl"/>
              </w:rPr>
              <w:t xml:space="preserve">Ley </w:t>
            </w:r>
            <w:r w:rsidRPr="00B074B0">
              <w:rPr>
                <w:rFonts w:ascii="Arial" w:hAnsi="Arial" w:cs="Arial"/>
                <w:sz w:val="20"/>
                <w:szCs w:val="20"/>
                <w:lang w:val="es-ES_tradnl"/>
              </w:rPr>
              <w:t>al haber sido</w:t>
            </w:r>
            <w:r w:rsidR="0069741A" w:rsidRPr="00B074B0">
              <w:rPr>
                <w:rFonts w:ascii="Arial" w:hAnsi="Arial" w:cs="Arial"/>
                <w:sz w:val="20"/>
                <w:szCs w:val="20"/>
                <w:lang w:val="es-ES_tradnl"/>
              </w:rPr>
              <w:t xml:space="preserve"> aprobada por la Asamblea Nacional.</w:t>
            </w:r>
          </w:p>
        </w:tc>
      </w:tr>
      <w:tr w:rsidR="007323F8" w:rsidRPr="000B05C5" w14:paraId="79AF3D5A" w14:textId="77777777" w:rsidTr="007323F8">
        <w:tc>
          <w:tcPr>
            <w:tcW w:w="2981" w:type="dxa"/>
            <w:shd w:val="clear" w:color="auto" w:fill="FFFFFF" w:themeFill="background1"/>
          </w:tcPr>
          <w:p w14:paraId="79AF3D56" w14:textId="77777777" w:rsidR="007323F8" w:rsidRPr="00B074B0" w:rsidRDefault="00362643" w:rsidP="007323F8">
            <w:pPr>
              <w:jc w:val="both"/>
              <w:rPr>
                <w:rFonts w:ascii="Arial" w:hAnsi="Arial" w:cs="Arial"/>
                <w:sz w:val="20"/>
                <w:szCs w:val="20"/>
                <w:lang w:val="es-ES_tradnl"/>
              </w:rPr>
            </w:pPr>
            <w:r w:rsidRPr="00B074B0">
              <w:rPr>
                <w:rFonts w:ascii="Arial" w:hAnsi="Arial" w:cs="Arial"/>
                <w:sz w:val="20"/>
                <w:szCs w:val="20"/>
                <w:lang w:val="es-ES_tradnl"/>
              </w:rPr>
              <w:t>3.12 El Gabinete de Energía ha aprobado el Programa Nacional de Eficiencia Energética.</w:t>
            </w:r>
          </w:p>
        </w:tc>
        <w:tc>
          <w:tcPr>
            <w:tcW w:w="2982" w:type="dxa"/>
            <w:shd w:val="clear" w:color="auto" w:fill="FFFFFF" w:themeFill="background1"/>
          </w:tcPr>
          <w:p w14:paraId="79AF3D57" w14:textId="77777777" w:rsidR="007323F8" w:rsidRPr="00B074B0" w:rsidRDefault="007323F8" w:rsidP="007323F8">
            <w:pPr>
              <w:jc w:val="both"/>
              <w:rPr>
                <w:rFonts w:ascii="Arial" w:hAnsi="Arial" w:cs="Arial"/>
                <w:sz w:val="20"/>
                <w:szCs w:val="20"/>
                <w:lang w:val="es-ES_tradnl"/>
              </w:rPr>
            </w:pPr>
            <w:r w:rsidRPr="00B074B0">
              <w:rPr>
                <w:rFonts w:ascii="Arial" w:hAnsi="Arial" w:cs="Arial"/>
                <w:sz w:val="20"/>
                <w:szCs w:val="20"/>
                <w:lang w:val="es-ES_tradnl"/>
              </w:rPr>
              <w:t>3.15 El Gabinete de Energía ha aprobado el Programa Nacional de Eficiencia Energética.</w:t>
            </w:r>
          </w:p>
        </w:tc>
        <w:tc>
          <w:tcPr>
            <w:tcW w:w="4117" w:type="dxa"/>
          </w:tcPr>
          <w:p w14:paraId="79AF3D58" w14:textId="77777777" w:rsidR="007323F8" w:rsidRPr="00B074B0" w:rsidRDefault="007323F8" w:rsidP="007323F8">
            <w:pPr>
              <w:ind w:left="90"/>
              <w:jc w:val="both"/>
              <w:rPr>
                <w:rFonts w:ascii="Arial" w:hAnsi="Arial" w:cs="Arial"/>
                <w:sz w:val="20"/>
                <w:szCs w:val="20"/>
                <w:highlight w:val="green"/>
                <w:lang w:val="es-ES_tradnl"/>
              </w:rPr>
            </w:pPr>
            <w:r w:rsidRPr="00B074B0">
              <w:rPr>
                <w:rFonts w:ascii="Arial" w:hAnsi="Arial" w:cs="Arial"/>
                <w:sz w:val="20"/>
                <w:szCs w:val="20"/>
                <w:lang w:val="es-ES_tradnl"/>
              </w:rPr>
              <w:t>3.15 Aprobar por el Gabinete de Energía el Programa Nacional de Eficiencia Energética remitido por el MEM, que contenga, entre otros, objetivos y metas de eficiencia energética, las responsabilidades, funciones y roles de los actores relevantes del sector, así como los mecanismos institucionales y de financiamiento necesarios.</w:t>
            </w:r>
          </w:p>
        </w:tc>
        <w:tc>
          <w:tcPr>
            <w:tcW w:w="2966" w:type="dxa"/>
          </w:tcPr>
          <w:p w14:paraId="79AF3D59" w14:textId="63545C49" w:rsidR="007323F8" w:rsidRPr="00B074B0" w:rsidRDefault="007A4D14" w:rsidP="007323F8">
            <w:pPr>
              <w:jc w:val="both"/>
              <w:rPr>
                <w:rFonts w:ascii="Arial" w:hAnsi="Arial" w:cs="Arial"/>
                <w:sz w:val="20"/>
                <w:szCs w:val="20"/>
                <w:lang w:val="es-ES_tradnl"/>
              </w:rPr>
            </w:pPr>
            <w:r>
              <w:rPr>
                <w:rFonts w:ascii="Arial" w:hAnsi="Arial" w:cs="Arial"/>
                <w:sz w:val="20"/>
                <w:szCs w:val="20"/>
                <w:lang w:val="es-ES_tradnl"/>
              </w:rPr>
              <w:t>No hay cambios, solo s</w:t>
            </w:r>
            <w:r w:rsidR="007323F8" w:rsidRPr="00B074B0">
              <w:rPr>
                <w:rFonts w:ascii="Arial" w:hAnsi="Arial" w:cs="Arial"/>
                <w:sz w:val="20"/>
                <w:szCs w:val="20"/>
                <w:lang w:val="es-ES_tradnl"/>
              </w:rPr>
              <w:t>e modificó para especificar con más detalle la condición de política.</w:t>
            </w:r>
          </w:p>
        </w:tc>
      </w:tr>
      <w:tr w:rsidR="007323F8" w:rsidRPr="000B05C5" w14:paraId="79AF3D5C" w14:textId="77777777" w:rsidTr="000D6371">
        <w:tc>
          <w:tcPr>
            <w:tcW w:w="13046" w:type="dxa"/>
            <w:gridSpan w:val="4"/>
            <w:shd w:val="clear" w:color="auto" w:fill="B8CCE4" w:themeFill="accent1" w:themeFillTint="66"/>
          </w:tcPr>
          <w:p w14:paraId="79AF3D5B" w14:textId="77777777" w:rsidR="007323F8" w:rsidRPr="00B074B0" w:rsidRDefault="007323F8" w:rsidP="007323F8">
            <w:pPr>
              <w:pStyle w:val="ListParagraph"/>
              <w:ind w:left="1080"/>
              <w:rPr>
                <w:rFonts w:ascii="Arial" w:hAnsi="Arial" w:cs="Arial"/>
                <w:b/>
                <w:sz w:val="20"/>
                <w:szCs w:val="20"/>
                <w:lang w:val="es-ES_tradnl"/>
              </w:rPr>
            </w:pPr>
            <w:r w:rsidRPr="00B074B0">
              <w:rPr>
                <w:rFonts w:ascii="Arial" w:hAnsi="Arial" w:cs="Arial"/>
                <w:b/>
                <w:sz w:val="20"/>
                <w:szCs w:val="20"/>
                <w:lang w:val="es-ES_tradnl"/>
              </w:rPr>
              <w:t>V. Impulso a la Integración regional del sector eléctrico</w:t>
            </w:r>
          </w:p>
        </w:tc>
      </w:tr>
      <w:tr w:rsidR="007323F8" w:rsidRPr="000B05C5" w14:paraId="79AF3D64" w14:textId="77777777" w:rsidTr="007323F8">
        <w:tc>
          <w:tcPr>
            <w:tcW w:w="2981" w:type="dxa"/>
            <w:shd w:val="clear" w:color="auto" w:fill="FFFFFF" w:themeFill="background1"/>
          </w:tcPr>
          <w:p w14:paraId="79AF3D5D" w14:textId="77777777" w:rsidR="00362643" w:rsidRPr="00B074B0" w:rsidRDefault="00362643" w:rsidP="00362643">
            <w:pPr>
              <w:rPr>
                <w:rFonts w:ascii="Arial" w:hAnsi="Arial" w:cs="Arial"/>
                <w:sz w:val="20"/>
                <w:szCs w:val="20"/>
                <w:lang w:val="es-ES_tradnl"/>
              </w:rPr>
            </w:pPr>
            <w:r w:rsidRPr="00B074B0">
              <w:rPr>
                <w:rFonts w:ascii="Arial" w:hAnsi="Arial" w:cs="Arial"/>
                <w:sz w:val="20"/>
                <w:szCs w:val="20"/>
                <w:lang w:val="es-ES_tradnl"/>
              </w:rPr>
              <w:t>3.13 Se han realizado los ajustes a las regulaciones y normativas nacionales que, como resultado de las evaluaciones periódicas que realiza la CRIE, resulten necesarios para mantener la adecuada integración de Nicaragua con la regulación regional del sector y para garantizar que la línea SIEPAC mantiene su capacidad de transmisión para el sistema regional.</w:t>
            </w:r>
          </w:p>
          <w:p w14:paraId="79AF3D5E" w14:textId="77777777" w:rsidR="00362643" w:rsidRPr="00B074B0" w:rsidRDefault="00362643" w:rsidP="00362643">
            <w:pPr>
              <w:rPr>
                <w:rFonts w:ascii="Arial" w:hAnsi="Arial" w:cs="Arial"/>
                <w:sz w:val="20"/>
                <w:szCs w:val="20"/>
                <w:lang w:val="es-ES_tradnl"/>
              </w:rPr>
            </w:pPr>
          </w:p>
          <w:p w14:paraId="79AF3D5F" w14:textId="77777777" w:rsidR="007323F8" w:rsidRPr="00B074B0" w:rsidRDefault="007323F8" w:rsidP="007323F8">
            <w:pPr>
              <w:rPr>
                <w:rFonts w:ascii="Arial" w:hAnsi="Arial" w:cs="Arial"/>
                <w:sz w:val="20"/>
                <w:szCs w:val="20"/>
                <w:lang w:val="es-ES_tradnl"/>
              </w:rPr>
            </w:pPr>
          </w:p>
        </w:tc>
        <w:tc>
          <w:tcPr>
            <w:tcW w:w="2982" w:type="dxa"/>
            <w:shd w:val="clear" w:color="auto" w:fill="FFFFFF" w:themeFill="background1"/>
          </w:tcPr>
          <w:p w14:paraId="79AF3D60" w14:textId="77777777" w:rsidR="007323F8" w:rsidRPr="00B074B0" w:rsidRDefault="007323F8" w:rsidP="007323F8">
            <w:pPr>
              <w:rPr>
                <w:rFonts w:ascii="Arial" w:hAnsi="Arial" w:cs="Arial"/>
                <w:sz w:val="20"/>
                <w:szCs w:val="20"/>
                <w:lang w:val="es-ES_tradnl"/>
              </w:rPr>
            </w:pPr>
            <w:r w:rsidRPr="00B074B0">
              <w:rPr>
                <w:rFonts w:ascii="Arial" w:hAnsi="Arial" w:cs="Arial"/>
                <w:sz w:val="20"/>
                <w:szCs w:val="20"/>
                <w:lang w:val="es-ES_tradnl"/>
              </w:rPr>
              <w:t>3.16 Se han realizado los ajustes a las regulaciones y normativas nacionales que, como resultado de las evaluaciones periódicas que realiza la CRIE, resulten necesarios para mantener la adecuada integración de Nicaragua con la regulación regional del sector y para garantizar que la línea SIEPAC mantiene su capacidad de transmisión para el sistema regional.</w:t>
            </w:r>
          </w:p>
        </w:tc>
        <w:tc>
          <w:tcPr>
            <w:tcW w:w="4117" w:type="dxa"/>
          </w:tcPr>
          <w:p w14:paraId="79AF3D61" w14:textId="77777777" w:rsidR="007323F8" w:rsidRPr="00B074B0" w:rsidRDefault="007323F8" w:rsidP="007323F8">
            <w:pPr>
              <w:ind w:left="90"/>
              <w:jc w:val="both"/>
              <w:rPr>
                <w:rFonts w:ascii="Arial" w:hAnsi="Arial" w:cs="Arial"/>
                <w:sz w:val="20"/>
                <w:szCs w:val="20"/>
                <w:lang w:val="es-ES_tradnl"/>
              </w:rPr>
            </w:pPr>
            <w:r w:rsidRPr="00B074B0">
              <w:rPr>
                <w:rFonts w:ascii="Arial" w:hAnsi="Arial" w:cs="Arial"/>
                <w:sz w:val="20"/>
                <w:szCs w:val="20"/>
                <w:lang w:val="es-ES_tradnl"/>
              </w:rPr>
              <w:t>3.16 Realizar los ajustes a las regulaciones y normativas nacionales que, como resultado de las evaluaciones periódicas que realiza la Comisión Regional de Interconexión Eléctrica (CRIE), resulten necesarios para mantener la adecuada integración de Nicaragua con la regulación regional del sector y para garantizar que la línea del Sistema de Interconexión Eléctrica para los Países de América Central (SIEPAC) mantiene su capacidad de transmisión para el sistema regional.</w:t>
            </w:r>
          </w:p>
        </w:tc>
        <w:tc>
          <w:tcPr>
            <w:tcW w:w="2966" w:type="dxa"/>
          </w:tcPr>
          <w:p w14:paraId="79AF3D62" w14:textId="6F3CB9A6" w:rsidR="007323F8" w:rsidRPr="00B074B0" w:rsidRDefault="007A4D14" w:rsidP="007323F8">
            <w:pPr>
              <w:jc w:val="both"/>
              <w:rPr>
                <w:rFonts w:ascii="Arial" w:hAnsi="Arial" w:cs="Arial"/>
                <w:sz w:val="20"/>
                <w:szCs w:val="20"/>
                <w:lang w:val="es-ES_tradnl"/>
              </w:rPr>
            </w:pPr>
            <w:r>
              <w:rPr>
                <w:rFonts w:ascii="Arial" w:hAnsi="Arial" w:cs="Arial"/>
                <w:sz w:val="20"/>
                <w:szCs w:val="20"/>
                <w:lang w:val="es-ES_tradnl"/>
              </w:rPr>
              <w:t>No hay cambios, solo s</w:t>
            </w:r>
            <w:r w:rsidR="007323F8" w:rsidRPr="00B074B0">
              <w:rPr>
                <w:rFonts w:ascii="Arial" w:hAnsi="Arial" w:cs="Arial"/>
                <w:sz w:val="20"/>
                <w:szCs w:val="20"/>
                <w:lang w:val="es-ES_tradnl"/>
              </w:rPr>
              <w:t xml:space="preserve">e modificó </w:t>
            </w:r>
            <w:r>
              <w:rPr>
                <w:rFonts w:ascii="Arial" w:hAnsi="Arial" w:cs="Arial"/>
                <w:sz w:val="20"/>
                <w:szCs w:val="20"/>
                <w:lang w:val="es-ES_tradnl"/>
              </w:rPr>
              <w:t xml:space="preserve">la redacción </w:t>
            </w:r>
            <w:r w:rsidR="007323F8" w:rsidRPr="00B074B0">
              <w:rPr>
                <w:rFonts w:ascii="Arial" w:hAnsi="Arial" w:cs="Arial"/>
                <w:sz w:val="20"/>
                <w:szCs w:val="20"/>
                <w:lang w:val="es-ES_tradnl"/>
              </w:rPr>
              <w:t>para especificar con más detalle la condición de política.</w:t>
            </w:r>
            <w:r w:rsidR="0069741A" w:rsidRPr="00B074B0">
              <w:rPr>
                <w:rFonts w:ascii="Arial" w:hAnsi="Arial" w:cs="Arial"/>
                <w:sz w:val="20"/>
                <w:szCs w:val="20"/>
                <w:lang w:val="es-ES_tradnl"/>
              </w:rPr>
              <w:t xml:space="preserve"> Es de anotar que para el tercer PBP no resultó necesario hacer ningún ajuste a la regulación nacional.</w:t>
            </w:r>
          </w:p>
          <w:p w14:paraId="79AF3D63" w14:textId="77777777" w:rsidR="007323F8" w:rsidRPr="00B074B0" w:rsidRDefault="007323F8" w:rsidP="007323F8">
            <w:pPr>
              <w:jc w:val="both"/>
              <w:rPr>
                <w:rFonts w:ascii="Arial" w:hAnsi="Arial" w:cs="Arial"/>
                <w:sz w:val="20"/>
                <w:szCs w:val="20"/>
                <w:lang w:val="es-ES_tradnl"/>
              </w:rPr>
            </w:pPr>
          </w:p>
        </w:tc>
      </w:tr>
    </w:tbl>
    <w:p w14:paraId="79AF3D65" w14:textId="77777777" w:rsidR="00CB2378" w:rsidRPr="00B074B0" w:rsidRDefault="00CB2378" w:rsidP="009E3A0B">
      <w:pPr>
        <w:spacing w:after="0" w:line="240" w:lineRule="auto"/>
        <w:rPr>
          <w:rFonts w:ascii="Arial" w:hAnsi="Arial" w:cs="Arial"/>
          <w:b/>
          <w:sz w:val="20"/>
          <w:szCs w:val="20"/>
          <w:lang w:val="es-ES_tradnl"/>
        </w:rPr>
      </w:pPr>
    </w:p>
    <w:sectPr w:rsidR="00CB2378" w:rsidRPr="00B074B0" w:rsidSect="008510A6">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F3D68" w14:textId="77777777" w:rsidR="0075312C" w:rsidRDefault="0075312C" w:rsidP="00906537">
      <w:pPr>
        <w:spacing w:after="0" w:line="240" w:lineRule="auto"/>
      </w:pPr>
      <w:r>
        <w:separator/>
      </w:r>
    </w:p>
  </w:endnote>
  <w:endnote w:type="continuationSeparator" w:id="0">
    <w:p w14:paraId="79AF3D69" w14:textId="77777777" w:rsidR="0075312C" w:rsidRDefault="0075312C" w:rsidP="0090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F3D66" w14:textId="77777777" w:rsidR="0075312C" w:rsidRDefault="0075312C" w:rsidP="00906537">
      <w:pPr>
        <w:spacing w:after="0" w:line="240" w:lineRule="auto"/>
      </w:pPr>
      <w:r>
        <w:separator/>
      </w:r>
    </w:p>
  </w:footnote>
  <w:footnote w:type="continuationSeparator" w:id="0">
    <w:p w14:paraId="79AF3D67" w14:textId="77777777" w:rsidR="0075312C" w:rsidRDefault="0075312C" w:rsidP="0090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F3D6A" w14:textId="77777777" w:rsidR="00072290" w:rsidRPr="00AC310E" w:rsidRDefault="00AC310E" w:rsidP="00AC310E">
    <w:pPr>
      <w:pStyle w:val="Header"/>
      <w:jc w:val="right"/>
      <w:rPr>
        <w:rFonts w:ascii="Times New Roman" w:hAnsi="Times New Roman" w:cs="Times New Roman"/>
        <w:sz w:val="18"/>
        <w:lang w:val="es-ES_tradnl"/>
      </w:rPr>
    </w:pPr>
    <w:r>
      <w:rPr>
        <w:rFonts w:ascii="Times New Roman" w:hAnsi="Times New Roman" w:cs="Times New Roman"/>
        <w:sz w:val="18"/>
        <w:lang w:val="es-ES_tradnl"/>
      </w:rPr>
      <w:t>NI-L1144</w:t>
    </w:r>
    <w:r w:rsidR="00167687">
      <w:rPr>
        <w:rFonts w:ascii="Times New Roman" w:hAnsi="Times New Roman" w:cs="Times New Roman"/>
        <w:sz w:val="18"/>
        <w:lang w:val="es-ES_tradnl"/>
      </w:rPr>
      <w:t xml:space="preserve"> </w:t>
    </w:r>
  </w:p>
  <w:p w14:paraId="79AF3D6B" w14:textId="58E666D7" w:rsidR="00072290" w:rsidRPr="00547E15" w:rsidRDefault="00072290" w:rsidP="00072290">
    <w:pPr>
      <w:pStyle w:val="Header"/>
      <w:jc w:val="right"/>
      <w:rPr>
        <w:rFonts w:ascii="Times New Roman" w:hAnsi="Times New Roman" w:cs="Times New Roman"/>
        <w:sz w:val="18"/>
        <w:lang w:val="es-ES_tradnl"/>
      </w:rPr>
    </w:pPr>
    <w:r w:rsidRPr="00547E15">
      <w:rPr>
        <w:rFonts w:ascii="Times New Roman" w:hAnsi="Times New Roman" w:cs="Times New Roman"/>
        <w:sz w:val="18"/>
        <w:lang w:val="es-ES_tradnl"/>
      </w:rPr>
      <w:t xml:space="preserve">Página </w:t>
    </w:r>
    <w:r w:rsidRPr="00547E15">
      <w:rPr>
        <w:rFonts w:ascii="Times New Roman" w:hAnsi="Times New Roman" w:cs="Times New Roman"/>
        <w:sz w:val="18"/>
        <w:lang w:val="es-ES_tradnl"/>
      </w:rPr>
      <w:fldChar w:fldCharType="begin"/>
    </w:r>
    <w:r w:rsidRPr="00547E15">
      <w:rPr>
        <w:rFonts w:ascii="Times New Roman" w:hAnsi="Times New Roman" w:cs="Times New Roman"/>
        <w:sz w:val="18"/>
        <w:lang w:val="es-ES_tradnl"/>
      </w:rPr>
      <w:instrText xml:space="preserve"> PAGE   \* MERGEFORMAT </w:instrText>
    </w:r>
    <w:r w:rsidRPr="00547E15">
      <w:rPr>
        <w:rFonts w:ascii="Times New Roman" w:hAnsi="Times New Roman" w:cs="Times New Roman"/>
        <w:sz w:val="18"/>
        <w:lang w:val="es-ES_tradnl"/>
      </w:rPr>
      <w:fldChar w:fldCharType="separate"/>
    </w:r>
    <w:r w:rsidR="00A564E3">
      <w:rPr>
        <w:rFonts w:ascii="Times New Roman" w:hAnsi="Times New Roman" w:cs="Times New Roman"/>
        <w:noProof/>
        <w:sz w:val="18"/>
        <w:lang w:val="es-ES_tradnl"/>
      </w:rPr>
      <w:t>1</w:t>
    </w:r>
    <w:r w:rsidRPr="00547E15">
      <w:rPr>
        <w:rFonts w:ascii="Times New Roman" w:hAnsi="Times New Roman" w:cs="Times New Roman"/>
        <w:noProof/>
        <w:sz w:val="18"/>
        <w:lang w:val="es-ES_tradnl"/>
      </w:rPr>
      <w:fldChar w:fldCharType="end"/>
    </w:r>
    <w:r w:rsidRPr="00547E15">
      <w:rPr>
        <w:rFonts w:ascii="Times New Roman" w:hAnsi="Times New Roman" w:cs="Times New Roman"/>
        <w:noProof/>
        <w:sz w:val="18"/>
        <w:lang w:val="es-ES_tradnl"/>
      </w:rPr>
      <w:t xml:space="preserve"> de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B44"/>
    <w:multiLevelType w:val="hybridMultilevel"/>
    <w:tmpl w:val="60FE7286"/>
    <w:lvl w:ilvl="0" w:tplc="16889F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37681"/>
    <w:multiLevelType w:val="hybridMultilevel"/>
    <w:tmpl w:val="1668F51C"/>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FD3540"/>
    <w:multiLevelType w:val="hybridMultilevel"/>
    <w:tmpl w:val="96FCECB2"/>
    <w:lvl w:ilvl="0" w:tplc="7FDEEF08">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3" w15:restartNumberingAfterBreak="0">
    <w:nsid w:val="07450798"/>
    <w:multiLevelType w:val="hybridMultilevel"/>
    <w:tmpl w:val="3F5E5F0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2F12A1"/>
    <w:multiLevelType w:val="hybridMultilevel"/>
    <w:tmpl w:val="D6F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5679A"/>
    <w:multiLevelType w:val="hybridMultilevel"/>
    <w:tmpl w:val="FBB4D2C6"/>
    <w:lvl w:ilvl="0" w:tplc="2B362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F146D"/>
    <w:multiLevelType w:val="hybridMultilevel"/>
    <w:tmpl w:val="B5120388"/>
    <w:lvl w:ilvl="0" w:tplc="343A215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DF3705"/>
    <w:multiLevelType w:val="multilevel"/>
    <w:tmpl w:val="9046589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465F8"/>
    <w:multiLevelType w:val="hybridMultilevel"/>
    <w:tmpl w:val="412A532C"/>
    <w:lvl w:ilvl="0" w:tplc="343A21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F318B"/>
    <w:multiLevelType w:val="multilevel"/>
    <w:tmpl w:val="9046589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797EA5"/>
    <w:multiLevelType w:val="hybridMultilevel"/>
    <w:tmpl w:val="C32CED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776784"/>
    <w:multiLevelType w:val="hybridMultilevel"/>
    <w:tmpl w:val="FF4CA3C8"/>
    <w:lvl w:ilvl="0" w:tplc="19588CF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2BF27EC"/>
    <w:multiLevelType w:val="hybridMultilevel"/>
    <w:tmpl w:val="5B52E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24265"/>
    <w:multiLevelType w:val="hybridMultilevel"/>
    <w:tmpl w:val="CE70443C"/>
    <w:lvl w:ilvl="0" w:tplc="343A215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2B53EC"/>
    <w:multiLevelType w:val="multilevel"/>
    <w:tmpl w:val="B57E49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7876C4"/>
    <w:multiLevelType w:val="hybridMultilevel"/>
    <w:tmpl w:val="1124DDC6"/>
    <w:lvl w:ilvl="0" w:tplc="75B87F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A64B69"/>
    <w:multiLevelType w:val="hybridMultilevel"/>
    <w:tmpl w:val="4F7009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C53A5"/>
    <w:multiLevelType w:val="multilevel"/>
    <w:tmpl w:val="36BC2D0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BE927CA"/>
    <w:multiLevelType w:val="multilevel"/>
    <w:tmpl w:val="39B8A8E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0787B1E"/>
    <w:multiLevelType w:val="hybridMultilevel"/>
    <w:tmpl w:val="3800BF68"/>
    <w:lvl w:ilvl="0" w:tplc="5D1207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577B62"/>
    <w:multiLevelType w:val="multilevel"/>
    <w:tmpl w:val="7D90594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2706C03"/>
    <w:multiLevelType w:val="hybridMultilevel"/>
    <w:tmpl w:val="7D9672D4"/>
    <w:lvl w:ilvl="0" w:tplc="008EA6FC">
      <w:start w:val="1"/>
      <w:numFmt w:val="upp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B35221"/>
    <w:multiLevelType w:val="hybridMultilevel"/>
    <w:tmpl w:val="F3885D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F026E"/>
    <w:multiLevelType w:val="hybridMultilevel"/>
    <w:tmpl w:val="B404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46594"/>
    <w:multiLevelType w:val="multilevel"/>
    <w:tmpl w:val="412A532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154F2B"/>
    <w:multiLevelType w:val="hybridMultilevel"/>
    <w:tmpl w:val="BAFCE85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53365C"/>
    <w:multiLevelType w:val="hybridMultilevel"/>
    <w:tmpl w:val="4FE8FF74"/>
    <w:lvl w:ilvl="0" w:tplc="16889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45D39"/>
    <w:multiLevelType w:val="hybridMultilevel"/>
    <w:tmpl w:val="2A12756A"/>
    <w:lvl w:ilvl="0" w:tplc="343A215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F54AA6"/>
    <w:multiLevelType w:val="hybridMultilevel"/>
    <w:tmpl w:val="F384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94AD0"/>
    <w:multiLevelType w:val="hybridMultilevel"/>
    <w:tmpl w:val="A8961424"/>
    <w:lvl w:ilvl="0" w:tplc="04090001">
      <w:start w:val="1"/>
      <w:numFmt w:val="bullet"/>
      <w:lvlText w:val=""/>
      <w:lvlJc w:val="left"/>
      <w:pPr>
        <w:ind w:left="90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63B850C2"/>
    <w:multiLevelType w:val="hybridMultilevel"/>
    <w:tmpl w:val="1B46936A"/>
    <w:lvl w:ilvl="0" w:tplc="080A0001">
      <w:start w:val="1"/>
      <w:numFmt w:val="bullet"/>
      <w:lvlText w:val=""/>
      <w:lvlJc w:val="left"/>
      <w:pPr>
        <w:ind w:left="90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666E4DAE"/>
    <w:multiLevelType w:val="multilevel"/>
    <w:tmpl w:val="C32CED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6F21DB8"/>
    <w:multiLevelType w:val="hybridMultilevel"/>
    <w:tmpl w:val="0354E730"/>
    <w:lvl w:ilvl="0" w:tplc="CBCE12B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A021A79"/>
    <w:multiLevelType w:val="hybridMultilevel"/>
    <w:tmpl w:val="BA1E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17C29"/>
    <w:multiLevelType w:val="multilevel"/>
    <w:tmpl w:val="FB7C91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AD4A2D"/>
    <w:multiLevelType w:val="hybridMultilevel"/>
    <w:tmpl w:val="FC90B92E"/>
    <w:lvl w:ilvl="0" w:tplc="6DDC100C">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D07D1C"/>
    <w:multiLevelType w:val="hybridMultilevel"/>
    <w:tmpl w:val="041E2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DF51BD"/>
    <w:multiLevelType w:val="hybridMultilevel"/>
    <w:tmpl w:val="B7BC4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7"/>
  </w:num>
  <w:num w:numId="4">
    <w:abstractNumId w:val="6"/>
  </w:num>
  <w:num w:numId="5">
    <w:abstractNumId w:val="9"/>
  </w:num>
  <w:num w:numId="6">
    <w:abstractNumId w:val="27"/>
  </w:num>
  <w:num w:numId="7">
    <w:abstractNumId w:val="24"/>
  </w:num>
  <w:num w:numId="8">
    <w:abstractNumId w:val="13"/>
  </w:num>
  <w:num w:numId="9">
    <w:abstractNumId w:val="10"/>
  </w:num>
  <w:num w:numId="10">
    <w:abstractNumId w:val="1"/>
  </w:num>
  <w:num w:numId="11">
    <w:abstractNumId w:val="31"/>
  </w:num>
  <w:num w:numId="12">
    <w:abstractNumId w:val="25"/>
  </w:num>
  <w:num w:numId="13">
    <w:abstractNumId w:val="36"/>
  </w:num>
  <w:num w:numId="14">
    <w:abstractNumId w:val="22"/>
  </w:num>
  <w:num w:numId="15">
    <w:abstractNumId w:val="37"/>
  </w:num>
  <w:num w:numId="16">
    <w:abstractNumId w:val="12"/>
  </w:num>
  <w:num w:numId="17">
    <w:abstractNumId w:val="23"/>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0"/>
  </w:num>
  <w:num w:numId="21">
    <w:abstractNumId w:val="26"/>
  </w:num>
  <w:num w:numId="22">
    <w:abstractNumId w:val="29"/>
  </w:num>
  <w:num w:numId="23">
    <w:abstractNumId w:val="33"/>
  </w:num>
  <w:num w:numId="24">
    <w:abstractNumId w:val="4"/>
  </w:num>
  <w:num w:numId="25">
    <w:abstractNumId w:val="3"/>
  </w:num>
  <w:num w:numId="26">
    <w:abstractNumId w:val="21"/>
  </w:num>
  <w:num w:numId="27">
    <w:abstractNumId w:val="15"/>
  </w:num>
  <w:num w:numId="28">
    <w:abstractNumId w:val="0"/>
  </w:num>
  <w:num w:numId="29">
    <w:abstractNumId w:val="18"/>
  </w:num>
  <w:num w:numId="30">
    <w:abstractNumId w:val="17"/>
  </w:num>
  <w:num w:numId="31">
    <w:abstractNumId w:val="20"/>
  </w:num>
  <w:num w:numId="32">
    <w:abstractNumId w:val="35"/>
  </w:num>
  <w:num w:numId="33">
    <w:abstractNumId w:val="32"/>
  </w:num>
  <w:num w:numId="34">
    <w:abstractNumId w:val="11"/>
  </w:num>
  <w:num w:numId="35">
    <w:abstractNumId w:val="28"/>
  </w:num>
  <w:num w:numId="36">
    <w:abstractNumId w:val="19"/>
  </w:num>
  <w:num w:numId="37">
    <w:abstractNumId w:val="14"/>
  </w:num>
  <w:num w:numId="38">
    <w:abstractNumId w:val="3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E8"/>
    <w:rsid w:val="00001D79"/>
    <w:rsid w:val="00002E3E"/>
    <w:rsid w:val="0000447D"/>
    <w:rsid w:val="0000688A"/>
    <w:rsid w:val="00007DB4"/>
    <w:rsid w:val="00011B8E"/>
    <w:rsid w:val="00013072"/>
    <w:rsid w:val="00014126"/>
    <w:rsid w:val="00014457"/>
    <w:rsid w:val="00014E0F"/>
    <w:rsid w:val="00015D90"/>
    <w:rsid w:val="00025DA5"/>
    <w:rsid w:val="000300F5"/>
    <w:rsid w:val="00030836"/>
    <w:rsid w:val="00031D82"/>
    <w:rsid w:val="00033864"/>
    <w:rsid w:val="00037737"/>
    <w:rsid w:val="00040BBB"/>
    <w:rsid w:val="00042157"/>
    <w:rsid w:val="000421CE"/>
    <w:rsid w:val="00045C1B"/>
    <w:rsid w:val="00045F0B"/>
    <w:rsid w:val="000473D3"/>
    <w:rsid w:val="000474AC"/>
    <w:rsid w:val="00050C3E"/>
    <w:rsid w:val="00053279"/>
    <w:rsid w:val="000537E5"/>
    <w:rsid w:val="000538AC"/>
    <w:rsid w:val="00053A97"/>
    <w:rsid w:val="0005552E"/>
    <w:rsid w:val="00055B8C"/>
    <w:rsid w:val="00056A30"/>
    <w:rsid w:val="000603CE"/>
    <w:rsid w:val="00063C37"/>
    <w:rsid w:val="00065658"/>
    <w:rsid w:val="00072290"/>
    <w:rsid w:val="000735A0"/>
    <w:rsid w:val="00076248"/>
    <w:rsid w:val="00076A30"/>
    <w:rsid w:val="00083AAD"/>
    <w:rsid w:val="000928F3"/>
    <w:rsid w:val="00092BFA"/>
    <w:rsid w:val="000A0A1A"/>
    <w:rsid w:val="000A0AD7"/>
    <w:rsid w:val="000A134F"/>
    <w:rsid w:val="000A2F28"/>
    <w:rsid w:val="000B05C5"/>
    <w:rsid w:val="000B161D"/>
    <w:rsid w:val="000B297C"/>
    <w:rsid w:val="000B6DF1"/>
    <w:rsid w:val="000D00A5"/>
    <w:rsid w:val="000D0205"/>
    <w:rsid w:val="000D0475"/>
    <w:rsid w:val="000D0C62"/>
    <w:rsid w:val="000D5887"/>
    <w:rsid w:val="000E2110"/>
    <w:rsid w:val="000E2A16"/>
    <w:rsid w:val="000F1B2B"/>
    <w:rsid w:val="000F22B3"/>
    <w:rsid w:val="000F25D3"/>
    <w:rsid w:val="000F6587"/>
    <w:rsid w:val="000F68A0"/>
    <w:rsid w:val="000F72AC"/>
    <w:rsid w:val="0010049D"/>
    <w:rsid w:val="001062B2"/>
    <w:rsid w:val="001062D1"/>
    <w:rsid w:val="00111C33"/>
    <w:rsid w:val="00112005"/>
    <w:rsid w:val="0011414A"/>
    <w:rsid w:val="00115DF9"/>
    <w:rsid w:val="0012108E"/>
    <w:rsid w:val="001227DC"/>
    <w:rsid w:val="0012407B"/>
    <w:rsid w:val="00124278"/>
    <w:rsid w:val="00125BB7"/>
    <w:rsid w:val="00131440"/>
    <w:rsid w:val="0013521D"/>
    <w:rsid w:val="00135B7D"/>
    <w:rsid w:val="00140E31"/>
    <w:rsid w:val="00145D4D"/>
    <w:rsid w:val="00152666"/>
    <w:rsid w:val="0015278A"/>
    <w:rsid w:val="00155862"/>
    <w:rsid w:val="00156166"/>
    <w:rsid w:val="00162D3F"/>
    <w:rsid w:val="00162E9B"/>
    <w:rsid w:val="001634DC"/>
    <w:rsid w:val="00163BCA"/>
    <w:rsid w:val="00163D70"/>
    <w:rsid w:val="00165158"/>
    <w:rsid w:val="00165A4D"/>
    <w:rsid w:val="00167687"/>
    <w:rsid w:val="00170F68"/>
    <w:rsid w:val="00171903"/>
    <w:rsid w:val="00174358"/>
    <w:rsid w:val="00177FD7"/>
    <w:rsid w:val="00182F8E"/>
    <w:rsid w:val="001840C4"/>
    <w:rsid w:val="00186794"/>
    <w:rsid w:val="001916CC"/>
    <w:rsid w:val="00191ED2"/>
    <w:rsid w:val="001A3473"/>
    <w:rsid w:val="001A3B79"/>
    <w:rsid w:val="001A4242"/>
    <w:rsid w:val="001A631B"/>
    <w:rsid w:val="001C17FE"/>
    <w:rsid w:val="001C4078"/>
    <w:rsid w:val="001C620F"/>
    <w:rsid w:val="001D37BE"/>
    <w:rsid w:val="001D5BB0"/>
    <w:rsid w:val="001E1D9E"/>
    <w:rsid w:val="001E404C"/>
    <w:rsid w:val="001E5940"/>
    <w:rsid w:val="001F0E2A"/>
    <w:rsid w:val="001F4775"/>
    <w:rsid w:val="001F4FD9"/>
    <w:rsid w:val="001F5E0B"/>
    <w:rsid w:val="001F71B9"/>
    <w:rsid w:val="00204265"/>
    <w:rsid w:val="00204502"/>
    <w:rsid w:val="00205835"/>
    <w:rsid w:val="00210A52"/>
    <w:rsid w:val="0021181D"/>
    <w:rsid w:val="00212540"/>
    <w:rsid w:val="00213BF0"/>
    <w:rsid w:val="00223427"/>
    <w:rsid w:val="00230B52"/>
    <w:rsid w:val="00231E86"/>
    <w:rsid w:val="0023410E"/>
    <w:rsid w:val="0023458F"/>
    <w:rsid w:val="00235E74"/>
    <w:rsid w:val="00240EF8"/>
    <w:rsid w:val="0024248B"/>
    <w:rsid w:val="0024434A"/>
    <w:rsid w:val="00246644"/>
    <w:rsid w:val="002479DD"/>
    <w:rsid w:val="00252C69"/>
    <w:rsid w:val="00254B07"/>
    <w:rsid w:val="00254CF6"/>
    <w:rsid w:val="002618E5"/>
    <w:rsid w:val="002628FE"/>
    <w:rsid w:val="00270F3E"/>
    <w:rsid w:val="00273CCC"/>
    <w:rsid w:val="00275408"/>
    <w:rsid w:val="0027578B"/>
    <w:rsid w:val="00275A6E"/>
    <w:rsid w:val="00281834"/>
    <w:rsid w:val="00282079"/>
    <w:rsid w:val="002828A4"/>
    <w:rsid w:val="00283020"/>
    <w:rsid w:val="00292990"/>
    <w:rsid w:val="00293302"/>
    <w:rsid w:val="00297630"/>
    <w:rsid w:val="002A3D10"/>
    <w:rsid w:val="002A4652"/>
    <w:rsid w:val="002B0C92"/>
    <w:rsid w:val="002B1CD0"/>
    <w:rsid w:val="002B25E8"/>
    <w:rsid w:val="002B2B79"/>
    <w:rsid w:val="002B2C56"/>
    <w:rsid w:val="002B332E"/>
    <w:rsid w:val="002C400D"/>
    <w:rsid w:val="002C52AC"/>
    <w:rsid w:val="002C578C"/>
    <w:rsid w:val="002C582C"/>
    <w:rsid w:val="002C6C5F"/>
    <w:rsid w:val="002C72CA"/>
    <w:rsid w:val="002D3E85"/>
    <w:rsid w:val="002D5CF7"/>
    <w:rsid w:val="002E2B44"/>
    <w:rsid w:val="002E3BCE"/>
    <w:rsid w:val="002E484A"/>
    <w:rsid w:val="002E74F0"/>
    <w:rsid w:val="002E7DCA"/>
    <w:rsid w:val="002F03D7"/>
    <w:rsid w:val="002F2680"/>
    <w:rsid w:val="002F29EB"/>
    <w:rsid w:val="002F76FC"/>
    <w:rsid w:val="003003CF"/>
    <w:rsid w:val="003022A7"/>
    <w:rsid w:val="0030438E"/>
    <w:rsid w:val="00304A3B"/>
    <w:rsid w:val="00305352"/>
    <w:rsid w:val="003054FE"/>
    <w:rsid w:val="003059D7"/>
    <w:rsid w:val="00306DFF"/>
    <w:rsid w:val="003076DB"/>
    <w:rsid w:val="0031416A"/>
    <w:rsid w:val="00315DE7"/>
    <w:rsid w:val="00317507"/>
    <w:rsid w:val="00322149"/>
    <w:rsid w:val="0032345F"/>
    <w:rsid w:val="00324263"/>
    <w:rsid w:val="00325C92"/>
    <w:rsid w:val="0032676A"/>
    <w:rsid w:val="00333703"/>
    <w:rsid w:val="00336940"/>
    <w:rsid w:val="00336CD6"/>
    <w:rsid w:val="00337963"/>
    <w:rsid w:val="00341927"/>
    <w:rsid w:val="00341972"/>
    <w:rsid w:val="00343D2B"/>
    <w:rsid w:val="00347146"/>
    <w:rsid w:val="00352F02"/>
    <w:rsid w:val="003538A0"/>
    <w:rsid w:val="00354982"/>
    <w:rsid w:val="003553C6"/>
    <w:rsid w:val="00355784"/>
    <w:rsid w:val="00360418"/>
    <w:rsid w:val="003605C7"/>
    <w:rsid w:val="00361C82"/>
    <w:rsid w:val="00362643"/>
    <w:rsid w:val="00364311"/>
    <w:rsid w:val="00364AD0"/>
    <w:rsid w:val="0036673C"/>
    <w:rsid w:val="00371DAE"/>
    <w:rsid w:val="00374806"/>
    <w:rsid w:val="00374D39"/>
    <w:rsid w:val="0037626F"/>
    <w:rsid w:val="003774F6"/>
    <w:rsid w:val="003802D7"/>
    <w:rsid w:val="00380C2A"/>
    <w:rsid w:val="003829BE"/>
    <w:rsid w:val="00384BA0"/>
    <w:rsid w:val="00385277"/>
    <w:rsid w:val="00387198"/>
    <w:rsid w:val="00393095"/>
    <w:rsid w:val="00393A61"/>
    <w:rsid w:val="00395900"/>
    <w:rsid w:val="00397275"/>
    <w:rsid w:val="003A1AE8"/>
    <w:rsid w:val="003A2C30"/>
    <w:rsid w:val="003A36B9"/>
    <w:rsid w:val="003A4284"/>
    <w:rsid w:val="003A5099"/>
    <w:rsid w:val="003A50DC"/>
    <w:rsid w:val="003B1FAE"/>
    <w:rsid w:val="003B23BD"/>
    <w:rsid w:val="003B2513"/>
    <w:rsid w:val="003B3024"/>
    <w:rsid w:val="003B32AF"/>
    <w:rsid w:val="003B535F"/>
    <w:rsid w:val="003B5D0B"/>
    <w:rsid w:val="003C118C"/>
    <w:rsid w:val="003D0707"/>
    <w:rsid w:val="003D147E"/>
    <w:rsid w:val="003D6356"/>
    <w:rsid w:val="003D732F"/>
    <w:rsid w:val="003E2E25"/>
    <w:rsid w:val="003E3B22"/>
    <w:rsid w:val="003E3E31"/>
    <w:rsid w:val="003E6836"/>
    <w:rsid w:val="003F2203"/>
    <w:rsid w:val="003F29D0"/>
    <w:rsid w:val="003F2A38"/>
    <w:rsid w:val="003F3C85"/>
    <w:rsid w:val="003F616B"/>
    <w:rsid w:val="003F6568"/>
    <w:rsid w:val="003F7342"/>
    <w:rsid w:val="004002FF"/>
    <w:rsid w:val="004013B4"/>
    <w:rsid w:val="00403B94"/>
    <w:rsid w:val="004063DE"/>
    <w:rsid w:val="00410EB5"/>
    <w:rsid w:val="0041188F"/>
    <w:rsid w:val="00414F7B"/>
    <w:rsid w:val="00415713"/>
    <w:rsid w:val="00417F0B"/>
    <w:rsid w:val="00432A02"/>
    <w:rsid w:val="00432A3B"/>
    <w:rsid w:val="004378E4"/>
    <w:rsid w:val="00440E4B"/>
    <w:rsid w:val="004416CF"/>
    <w:rsid w:val="004528DE"/>
    <w:rsid w:val="00452E88"/>
    <w:rsid w:val="00453FE9"/>
    <w:rsid w:val="00460F75"/>
    <w:rsid w:val="00461643"/>
    <w:rsid w:val="004635FF"/>
    <w:rsid w:val="00463FEF"/>
    <w:rsid w:val="004662D4"/>
    <w:rsid w:val="004716A8"/>
    <w:rsid w:val="0047740A"/>
    <w:rsid w:val="0048548B"/>
    <w:rsid w:val="00486090"/>
    <w:rsid w:val="004906B8"/>
    <w:rsid w:val="00493BAE"/>
    <w:rsid w:val="00495360"/>
    <w:rsid w:val="00495672"/>
    <w:rsid w:val="00496024"/>
    <w:rsid w:val="00497FB4"/>
    <w:rsid w:val="004A41BA"/>
    <w:rsid w:val="004A5338"/>
    <w:rsid w:val="004A6AE3"/>
    <w:rsid w:val="004B0183"/>
    <w:rsid w:val="004B1E21"/>
    <w:rsid w:val="004B259D"/>
    <w:rsid w:val="004B3946"/>
    <w:rsid w:val="004B481B"/>
    <w:rsid w:val="004B623B"/>
    <w:rsid w:val="004C05F1"/>
    <w:rsid w:val="004C595B"/>
    <w:rsid w:val="004D5AA1"/>
    <w:rsid w:val="004E2696"/>
    <w:rsid w:val="004E32A6"/>
    <w:rsid w:val="004E3EB4"/>
    <w:rsid w:val="004E6D44"/>
    <w:rsid w:val="004F0184"/>
    <w:rsid w:val="004F04D6"/>
    <w:rsid w:val="004F10F1"/>
    <w:rsid w:val="004F29D9"/>
    <w:rsid w:val="004F7595"/>
    <w:rsid w:val="004F7ED2"/>
    <w:rsid w:val="00500673"/>
    <w:rsid w:val="005020FF"/>
    <w:rsid w:val="005032EC"/>
    <w:rsid w:val="00505307"/>
    <w:rsid w:val="00510D03"/>
    <w:rsid w:val="00511934"/>
    <w:rsid w:val="00523FD2"/>
    <w:rsid w:val="0052452F"/>
    <w:rsid w:val="00525D1A"/>
    <w:rsid w:val="00527C7A"/>
    <w:rsid w:val="00527F91"/>
    <w:rsid w:val="005304FD"/>
    <w:rsid w:val="00530DAA"/>
    <w:rsid w:val="00531A3C"/>
    <w:rsid w:val="0053243C"/>
    <w:rsid w:val="00533A86"/>
    <w:rsid w:val="00533CC2"/>
    <w:rsid w:val="00536A70"/>
    <w:rsid w:val="00536E5A"/>
    <w:rsid w:val="00540096"/>
    <w:rsid w:val="00540B0E"/>
    <w:rsid w:val="005417D0"/>
    <w:rsid w:val="00542A16"/>
    <w:rsid w:val="0054567A"/>
    <w:rsid w:val="00547C35"/>
    <w:rsid w:val="00547E15"/>
    <w:rsid w:val="00552A51"/>
    <w:rsid w:val="00552B79"/>
    <w:rsid w:val="005538EF"/>
    <w:rsid w:val="00553CA1"/>
    <w:rsid w:val="005554B7"/>
    <w:rsid w:val="0055745A"/>
    <w:rsid w:val="005601A6"/>
    <w:rsid w:val="00560209"/>
    <w:rsid w:val="00560E0E"/>
    <w:rsid w:val="00561D8E"/>
    <w:rsid w:val="00563293"/>
    <w:rsid w:val="0056559C"/>
    <w:rsid w:val="0056593F"/>
    <w:rsid w:val="00567372"/>
    <w:rsid w:val="00575FD7"/>
    <w:rsid w:val="005774BB"/>
    <w:rsid w:val="00581A12"/>
    <w:rsid w:val="005867AE"/>
    <w:rsid w:val="00586BD7"/>
    <w:rsid w:val="00591060"/>
    <w:rsid w:val="00591751"/>
    <w:rsid w:val="00593BA1"/>
    <w:rsid w:val="0059756D"/>
    <w:rsid w:val="005A1844"/>
    <w:rsid w:val="005A4F5F"/>
    <w:rsid w:val="005A595B"/>
    <w:rsid w:val="005A6EF5"/>
    <w:rsid w:val="005B25AF"/>
    <w:rsid w:val="005B3547"/>
    <w:rsid w:val="005B457A"/>
    <w:rsid w:val="005B49AE"/>
    <w:rsid w:val="005B7197"/>
    <w:rsid w:val="005B7410"/>
    <w:rsid w:val="005B7477"/>
    <w:rsid w:val="005C0EA9"/>
    <w:rsid w:val="005C150E"/>
    <w:rsid w:val="005C22FD"/>
    <w:rsid w:val="005C551C"/>
    <w:rsid w:val="005C7BD0"/>
    <w:rsid w:val="005D1EFA"/>
    <w:rsid w:val="005D2C19"/>
    <w:rsid w:val="005D340C"/>
    <w:rsid w:val="005D400C"/>
    <w:rsid w:val="005D4F78"/>
    <w:rsid w:val="005D5DC4"/>
    <w:rsid w:val="005D7AAE"/>
    <w:rsid w:val="005E38CF"/>
    <w:rsid w:val="005F0DB7"/>
    <w:rsid w:val="005F410C"/>
    <w:rsid w:val="005F4AB1"/>
    <w:rsid w:val="005F6242"/>
    <w:rsid w:val="00600033"/>
    <w:rsid w:val="006006B7"/>
    <w:rsid w:val="00601202"/>
    <w:rsid w:val="006031E7"/>
    <w:rsid w:val="00603E6C"/>
    <w:rsid w:val="0060710F"/>
    <w:rsid w:val="006159C3"/>
    <w:rsid w:val="00620355"/>
    <w:rsid w:val="006237BC"/>
    <w:rsid w:val="00625E06"/>
    <w:rsid w:val="006260C8"/>
    <w:rsid w:val="00635F31"/>
    <w:rsid w:val="00635F65"/>
    <w:rsid w:val="006376A0"/>
    <w:rsid w:val="00637E41"/>
    <w:rsid w:val="00640B13"/>
    <w:rsid w:val="00641E4E"/>
    <w:rsid w:val="00642206"/>
    <w:rsid w:val="00644331"/>
    <w:rsid w:val="00645FB5"/>
    <w:rsid w:val="006464CE"/>
    <w:rsid w:val="00651856"/>
    <w:rsid w:val="00653C6F"/>
    <w:rsid w:val="00656C3F"/>
    <w:rsid w:val="0065779C"/>
    <w:rsid w:val="00660820"/>
    <w:rsid w:val="006618FD"/>
    <w:rsid w:val="00662540"/>
    <w:rsid w:val="006644CD"/>
    <w:rsid w:val="00665B2C"/>
    <w:rsid w:val="00670E7E"/>
    <w:rsid w:val="00671C00"/>
    <w:rsid w:val="006745A7"/>
    <w:rsid w:val="006860DB"/>
    <w:rsid w:val="00687A66"/>
    <w:rsid w:val="006927D9"/>
    <w:rsid w:val="00694179"/>
    <w:rsid w:val="00694B78"/>
    <w:rsid w:val="00695013"/>
    <w:rsid w:val="00695BF0"/>
    <w:rsid w:val="0069741A"/>
    <w:rsid w:val="00697A24"/>
    <w:rsid w:val="006A4690"/>
    <w:rsid w:val="006A52B6"/>
    <w:rsid w:val="006A586A"/>
    <w:rsid w:val="006A6597"/>
    <w:rsid w:val="006B03E0"/>
    <w:rsid w:val="006B26C2"/>
    <w:rsid w:val="006B3508"/>
    <w:rsid w:val="006B666D"/>
    <w:rsid w:val="006B6979"/>
    <w:rsid w:val="006B7D74"/>
    <w:rsid w:val="006D2171"/>
    <w:rsid w:val="006D4172"/>
    <w:rsid w:val="006D4AEC"/>
    <w:rsid w:val="006D636B"/>
    <w:rsid w:val="006E0468"/>
    <w:rsid w:val="006E0977"/>
    <w:rsid w:val="006E4E62"/>
    <w:rsid w:val="006E501D"/>
    <w:rsid w:val="006E50BE"/>
    <w:rsid w:val="006E6867"/>
    <w:rsid w:val="006F1ABF"/>
    <w:rsid w:val="006F1FCF"/>
    <w:rsid w:val="006F2C99"/>
    <w:rsid w:val="006F5C1B"/>
    <w:rsid w:val="00700CFF"/>
    <w:rsid w:val="007041E7"/>
    <w:rsid w:val="0070454A"/>
    <w:rsid w:val="00704F52"/>
    <w:rsid w:val="00710EF8"/>
    <w:rsid w:val="00711424"/>
    <w:rsid w:val="00713F36"/>
    <w:rsid w:val="00720653"/>
    <w:rsid w:val="007209FF"/>
    <w:rsid w:val="007229B5"/>
    <w:rsid w:val="007233AB"/>
    <w:rsid w:val="00723D5B"/>
    <w:rsid w:val="00725CD5"/>
    <w:rsid w:val="0073056E"/>
    <w:rsid w:val="00731700"/>
    <w:rsid w:val="007323F8"/>
    <w:rsid w:val="00735563"/>
    <w:rsid w:val="00735B35"/>
    <w:rsid w:val="0073675B"/>
    <w:rsid w:val="00737FD4"/>
    <w:rsid w:val="0074014F"/>
    <w:rsid w:val="007418A4"/>
    <w:rsid w:val="00742782"/>
    <w:rsid w:val="00743D3B"/>
    <w:rsid w:val="00743D64"/>
    <w:rsid w:val="0074680F"/>
    <w:rsid w:val="00750040"/>
    <w:rsid w:val="0075050B"/>
    <w:rsid w:val="00750A7A"/>
    <w:rsid w:val="00750BEF"/>
    <w:rsid w:val="0075312C"/>
    <w:rsid w:val="007531D3"/>
    <w:rsid w:val="00753532"/>
    <w:rsid w:val="007535F8"/>
    <w:rsid w:val="0076073D"/>
    <w:rsid w:val="007608D4"/>
    <w:rsid w:val="00762337"/>
    <w:rsid w:val="00762C46"/>
    <w:rsid w:val="00763B87"/>
    <w:rsid w:val="00773252"/>
    <w:rsid w:val="00773DE3"/>
    <w:rsid w:val="0077733C"/>
    <w:rsid w:val="007829CD"/>
    <w:rsid w:val="00783417"/>
    <w:rsid w:val="007839AC"/>
    <w:rsid w:val="00785DCC"/>
    <w:rsid w:val="00793354"/>
    <w:rsid w:val="00794B35"/>
    <w:rsid w:val="0079619B"/>
    <w:rsid w:val="00797194"/>
    <w:rsid w:val="007A2346"/>
    <w:rsid w:val="007A2956"/>
    <w:rsid w:val="007A419D"/>
    <w:rsid w:val="007A4D14"/>
    <w:rsid w:val="007A5EB6"/>
    <w:rsid w:val="007A74C2"/>
    <w:rsid w:val="007B1149"/>
    <w:rsid w:val="007B2993"/>
    <w:rsid w:val="007B3476"/>
    <w:rsid w:val="007B7066"/>
    <w:rsid w:val="007C03E7"/>
    <w:rsid w:val="007C0BBA"/>
    <w:rsid w:val="007C5820"/>
    <w:rsid w:val="007D1A90"/>
    <w:rsid w:val="007D4767"/>
    <w:rsid w:val="007E2416"/>
    <w:rsid w:val="007E6EA6"/>
    <w:rsid w:val="007E7461"/>
    <w:rsid w:val="007F0C86"/>
    <w:rsid w:val="007F7555"/>
    <w:rsid w:val="00801085"/>
    <w:rsid w:val="00801EA6"/>
    <w:rsid w:val="00805FA8"/>
    <w:rsid w:val="00806884"/>
    <w:rsid w:val="00810A0F"/>
    <w:rsid w:val="0081461E"/>
    <w:rsid w:val="00815891"/>
    <w:rsid w:val="00815E5C"/>
    <w:rsid w:val="00817FD1"/>
    <w:rsid w:val="00820F2F"/>
    <w:rsid w:val="008268D5"/>
    <w:rsid w:val="008279E9"/>
    <w:rsid w:val="00831AD4"/>
    <w:rsid w:val="00832DA5"/>
    <w:rsid w:val="00836315"/>
    <w:rsid w:val="00837A97"/>
    <w:rsid w:val="008510A6"/>
    <w:rsid w:val="008511DE"/>
    <w:rsid w:val="00852730"/>
    <w:rsid w:val="0085781D"/>
    <w:rsid w:val="00861D34"/>
    <w:rsid w:val="00863752"/>
    <w:rsid w:val="0086426C"/>
    <w:rsid w:val="00864580"/>
    <w:rsid w:val="008652BC"/>
    <w:rsid w:val="00867863"/>
    <w:rsid w:val="0087038C"/>
    <w:rsid w:val="008720DE"/>
    <w:rsid w:val="00873C43"/>
    <w:rsid w:val="00874696"/>
    <w:rsid w:val="00874AD0"/>
    <w:rsid w:val="0087639D"/>
    <w:rsid w:val="00877D54"/>
    <w:rsid w:val="0088109D"/>
    <w:rsid w:val="00884E89"/>
    <w:rsid w:val="00885660"/>
    <w:rsid w:val="0088765D"/>
    <w:rsid w:val="00890B9D"/>
    <w:rsid w:val="0089194F"/>
    <w:rsid w:val="00893B43"/>
    <w:rsid w:val="00896CF4"/>
    <w:rsid w:val="0089700D"/>
    <w:rsid w:val="008A2784"/>
    <w:rsid w:val="008A6758"/>
    <w:rsid w:val="008B5640"/>
    <w:rsid w:val="008B574B"/>
    <w:rsid w:val="008B59B8"/>
    <w:rsid w:val="008C0606"/>
    <w:rsid w:val="008C0880"/>
    <w:rsid w:val="008C6BE8"/>
    <w:rsid w:val="008D08A8"/>
    <w:rsid w:val="008D0D7A"/>
    <w:rsid w:val="008D262B"/>
    <w:rsid w:val="008D640C"/>
    <w:rsid w:val="008E5D49"/>
    <w:rsid w:val="008F4761"/>
    <w:rsid w:val="008F6AC2"/>
    <w:rsid w:val="0090066A"/>
    <w:rsid w:val="00903236"/>
    <w:rsid w:val="00906537"/>
    <w:rsid w:val="00906CF1"/>
    <w:rsid w:val="009108E7"/>
    <w:rsid w:val="00915A4B"/>
    <w:rsid w:val="00917D0A"/>
    <w:rsid w:val="009230A0"/>
    <w:rsid w:val="0092317E"/>
    <w:rsid w:val="00924228"/>
    <w:rsid w:val="0092623E"/>
    <w:rsid w:val="00931B75"/>
    <w:rsid w:val="00936C72"/>
    <w:rsid w:val="00940CF2"/>
    <w:rsid w:val="009441D3"/>
    <w:rsid w:val="009459C6"/>
    <w:rsid w:val="0094626F"/>
    <w:rsid w:val="00947AAC"/>
    <w:rsid w:val="009504A4"/>
    <w:rsid w:val="009543EF"/>
    <w:rsid w:val="00956E8D"/>
    <w:rsid w:val="00957626"/>
    <w:rsid w:val="00957E32"/>
    <w:rsid w:val="00960E40"/>
    <w:rsid w:val="009611F1"/>
    <w:rsid w:val="009643C6"/>
    <w:rsid w:val="00965D3D"/>
    <w:rsid w:val="00972774"/>
    <w:rsid w:val="0097634F"/>
    <w:rsid w:val="00976AB4"/>
    <w:rsid w:val="009815CF"/>
    <w:rsid w:val="00981B4C"/>
    <w:rsid w:val="00984FF9"/>
    <w:rsid w:val="00994074"/>
    <w:rsid w:val="00996B77"/>
    <w:rsid w:val="009A4AF3"/>
    <w:rsid w:val="009B0CF8"/>
    <w:rsid w:val="009B1C67"/>
    <w:rsid w:val="009B28F7"/>
    <w:rsid w:val="009C0032"/>
    <w:rsid w:val="009C20B5"/>
    <w:rsid w:val="009C437A"/>
    <w:rsid w:val="009C465D"/>
    <w:rsid w:val="009C6625"/>
    <w:rsid w:val="009D038C"/>
    <w:rsid w:val="009D0478"/>
    <w:rsid w:val="009D0490"/>
    <w:rsid w:val="009D1C91"/>
    <w:rsid w:val="009D1CDC"/>
    <w:rsid w:val="009D249D"/>
    <w:rsid w:val="009D76D5"/>
    <w:rsid w:val="009D7BCD"/>
    <w:rsid w:val="009E093C"/>
    <w:rsid w:val="009E1356"/>
    <w:rsid w:val="009E3A0B"/>
    <w:rsid w:val="009E7DEC"/>
    <w:rsid w:val="009F6FBB"/>
    <w:rsid w:val="00A045A6"/>
    <w:rsid w:val="00A048FB"/>
    <w:rsid w:val="00A05B39"/>
    <w:rsid w:val="00A06687"/>
    <w:rsid w:val="00A1310B"/>
    <w:rsid w:val="00A164AE"/>
    <w:rsid w:val="00A166E0"/>
    <w:rsid w:val="00A1790C"/>
    <w:rsid w:val="00A20A36"/>
    <w:rsid w:val="00A20D50"/>
    <w:rsid w:val="00A23557"/>
    <w:rsid w:val="00A23DF1"/>
    <w:rsid w:val="00A24814"/>
    <w:rsid w:val="00A27A4D"/>
    <w:rsid w:val="00A345CE"/>
    <w:rsid w:val="00A36608"/>
    <w:rsid w:val="00A4256D"/>
    <w:rsid w:val="00A44A8E"/>
    <w:rsid w:val="00A5247A"/>
    <w:rsid w:val="00A52575"/>
    <w:rsid w:val="00A564E3"/>
    <w:rsid w:val="00A65A89"/>
    <w:rsid w:val="00A72692"/>
    <w:rsid w:val="00A75A7D"/>
    <w:rsid w:val="00A913B0"/>
    <w:rsid w:val="00A92F05"/>
    <w:rsid w:val="00A94618"/>
    <w:rsid w:val="00A9757A"/>
    <w:rsid w:val="00AA19E3"/>
    <w:rsid w:val="00AA3AAD"/>
    <w:rsid w:val="00AA7BD1"/>
    <w:rsid w:val="00AB112B"/>
    <w:rsid w:val="00AB2338"/>
    <w:rsid w:val="00AB3ACB"/>
    <w:rsid w:val="00AB4A59"/>
    <w:rsid w:val="00AB6049"/>
    <w:rsid w:val="00AB7862"/>
    <w:rsid w:val="00AC310E"/>
    <w:rsid w:val="00AC4459"/>
    <w:rsid w:val="00AC4705"/>
    <w:rsid w:val="00AC4CAC"/>
    <w:rsid w:val="00AC6E0D"/>
    <w:rsid w:val="00AC7192"/>
    <w:rsid w:val="00AD1074"/>
    <w:rsid w:val="00AD19EF"/>
    <w:rsid w:val="00AD2CE1"/>
    <w:rsid w:val="00AD30D0"/>
    <w:rsid w:val="00AD3458"/>
    <w:rsid w:val="00AD3975"/>
    <w:rsid w:val="00AD4FEC"/>
    <w:rsid w:val="00AD537B"/>
    <w:rsid w:val="00AD6767"/>
    <w:rsid w:val="00AE14D3"/>
    <w:rsid w:val="00AF0E3A"/>
    <w:rsid w:val="00AF2F01"/>
    <w:rsid w:val="00AF533A"/>
    <w:rsid w:val="00AF5719"/>
    <w:rsid w:val="00AF7B28"/>
    <w:rsid w:val="00B00CF8"/>
    <w:rsid w:val="00B02531"/>
    <w:rsid w:val="00B02853"/>
    <w:rsid w:val="00B06FCB"/>
    <w:rsid w:val="00B074B0"/>
    <w:rsid w:val="00B1222D"/>
    <w:rsid w:val="00B13259"/>
    <w:rsid w:val="00B13557"/>
    <w:rsid w:val="00B1543E"/>
    <w:rsid w:val="00B22887"/>
    <w:rsid w:val="00B2369B"/>
    <w:rsid w:val="00B32EC0"/>
    <w:rsid w:val="00B361F0"/>
    <w:rsid w:val="00B378ED"/>
    <w:rsid w:val="00B468AF"/>
    <w:rsid w:val="00B514F7"/>
    <w:rsid w:val="00B5336A"/>
    <w:rsid w:val="00B54394"/>
    <w:rsid w:val="00B54784"/>
    <w:rsid w:val="00B54877"/>
    <w:rsid w:val="00B57193"/>
    <w:rsid w:val="00B62FD2"/>
    <w:rsid w:val="00B76FAD"/>
    <w:rsid w:val="00B809A0"/>
    <w:rsid w:val="00B81D00"/>
    <w:rsid w:val="00B86E67"/>
    <w:rsid w:val="00B877C6"/>
    <w:rsid w:val="00B930D6"/>
    <w:rsid w:val="00B948C2"/>
    <w:rsid w:val="00BA4AA8"/>
    <w:rsid w:val="00BA506D"/>
    <w:rsid w:val="00BA61D9"/>
    <w:rsid w:val="00BA77EB"/>
    <w:rsid w:val="00BB0060"/>
    <w:rsid w:val="00BB1B48"/>
    <w:rsid w:val="00BB470C"/>
    <w:rsid w:val="00BB5B61"/>
    <w:rsid w:val="00BB5D8F"/>
    <w:rsid w:val="00BB6AD1"/>
    <w:rsid w:val="00BC07A9"/>
    <w:rsid w:val="00BC2435"/>
    <w:rsid w:val="00BC2C79"/>
    <w:rsid w:val="00BD0C16"/>
    <w:rsid w:val="00BD3EE2"/>
    <w:rsid w:val="00BD6568"/>
    <w:rsid w:val="00BE0074"/>
    <w:rsid w:val="00BE1336"/>
    <w:rsid w:val="00BE1C6A"/>
    <w:rsid w:val="00BE2440"/>
    <w:rsid w:val="00BE2D89"/>
    <w:rsid w:val="00BF3557"/>
    <w:rsid w:val="00BF64D8"/>
    <w:rsid w:val="00BF6F3F"/>
    <w:rsid w:val="00C05638"/>
    <w:rsid w:val="00C06F13"/>
    <w:rsid w:val="00C1099F"/>
    <w:rsid w:val="00C11E32"/>
    <w:rsid w:val="00C122A8"/>
    <w:rsid w:val="00C1386F"/>
    <w:rsid w:val="00C14738"/>
    <w:rsid w:val="00C17420"/>
    <w:rsid w:val="00C20A03"/>
    <w:rsid w:val="00C22389"/>
    <w:rsid w:val="00C30D2B"/>
    <w:rsid w:val="00C32B46"/>
    <w:rsid w:val="00C339AA"/>
    <w:rsid w:val="00C3522A"/>
    <w:rsid w:val="00C353D8"/>
    <w:rsid w:val="00C36C10"/>
    <w:rsid w:val="00C37987"/>
    <w:rsid w:val="00C424B2"/>
    <w:rsid w:val="00C45013"/>
    <w:rsid w:val="00C47396"/>
    <w:rsid w:val="00C50751"/>
    <w:rsid w:val="00C51B05"/>
    <w:rsid w:val="00C52962"/>
    <w:rsid w:val="00C57D9C"/>
    <w:rsid w:val="00C6471B"/>
    <w:rsid w:val="00C647C1"/>
    <w:rsid w:val="00C654AB"/>
    <w:rsid w:val="00C67D91"/>
    <w:rsid w:val="00C747FD"/>
    <w:rsid w:val="00C874BE"/>
    <w:rsid w:val="00C909BD"/>
    <w:rsid w:val="00C90B98"/>
    <w:rsid w:val="00C91598"/>
    <w:rsid w:val="00C921DA"/>
    <w:rsid w:val="00C9521A"/>
    <w:rsid w:val="00C9584C"/>
    <w:rsid w:val="00CA3AE3"/>
    <w:rsid w:val="00CB12DC"/>
    <w:rsid w:val="00CB2378"/>
    <w:rsid w:val="00CB3C5F"/>
    <w:rsid w:val="00CB40DE"/>
    <w:rsid w:val="00CB4346"/>
    <w:rsid w:val="00CB478D"/>
    <w:rsid w:val="00CB562A"/>
    <w:rsid w:val="00CB7B42"/>
    <w:rsid w:val="00CC1316"/>
    <w:rsid w:val="00CC1849"/>
    <w:rsid w:val="00CC2365"/>
    <w:rsid w:val="00CC3FAE"/>
    <w:rsid w:val="00CC458A"/>
    <w:rsid w:val="00CC69E3"/>
    <w:rsid w:val="00CC77E9"/>
    <w:rsid w:val="00CD15D3"/>
    <w:rsid w:val="00CD3F44"/>
    <w:rsid w:val="00CD5460"/>
    <w:rsid w:val="00CD6FD1"/>
    <w:rsid w:val="00CE19C2"/>
    <w:rsid w:val="00CE1C2D"/>
    <w:rsid w:val="00CE42A6"/>
    <w:rsid w:val="00CE4A6D"/>
    <w:rsid w:val="00CE5048"/>
    <w:rsid w:val="00CE7108"/>
    <w:rsid w:val="00CE74FA"/>
    <w:rsid w:val="00CF00D8"/>
    <w:rsid w:val="00CF3701"/>
    <w:rsid w:val="00CF6A72"/>
    <w:rsid w:val="00D0190B"/>
    <w:rsid w:val="00D0371F"/>
    <w:rsid w:val="00D04E94"/>
    <w:rsid w:val="00D054C5"/>
    <w:rsid w:val="00D10489"/>
    <w:rsid w:val="00D10D07"/>
    <w:rsid w:val="00D13C7F"/>
    <w:rsid w:val="00D146D7"/>
    <w:rsid w:val="00D17C22"/>
    <w:rsid w:val="00D2187A"/>
    <w:rsid w:val="00D24366"/>
    <w:rsid w:val="00D2492B"/>
    <w:rsid w:val="00D267A1"/>
    <w:rsid w:val="00D2768D"/>
    <w:rsid w:val="00D3013B"/>
    <w:rsid w:val="00D3184F"/>
    <w:rsid w:val="00D31E45"/>
    <w:rsid w:val="00D414A7"/>
    <w:rsid w:val="00D42BCB"/>
    <w:rsid w:val="00D471FE"/>
    <w:rsid w:val="00D478F5"/>
    <w:rsid w:val="00D504B8"/>
    <w:rsid w:val="00D50A51"/>
    <w:rsid w:val="00D50C67"/>
    <w:rsid w:val="00D51588"/>
    <w:rsid w:val="00D56CF3"/>
    <w:rsid w:val="00D61C7D"/>
    <w:rsid w:val="00D64118"/>
    <w:rsid w:val="00D6497A"/>
    <w:rsid w:val="00D65B22"/>
    <w:rsid w:val="00D81C80"/>
    <w:rsid w:val="00D8349A"/>
    <w:rsid w:val="00D869E9"/>
    <w:rsid w:val="00D96B0E"/>
    <w:rsid w:val="00DA0C80"/>
    <w:rsid w:val="00DA1339"/>
    <w:rsid w:val="00DA37D4"/>
    <w:rsid w:val="00DA42A8"/>
    <w:rsid w:val="00DA5786"/>
    <w:rsid w:val="00DB0F1A"/>
    <w:rsid w:val="00DB10BD"/>
    <w:rsid w:val="00DB1839"/>
    <w:rsid w:val="00DB1D89"/>
    <w:rsid w:val="00DB2C0A"/>
    <w:rsid w:val="00DB468D"/>
    <w:rsid w:val="00DB5173"/>
    <w:rsid w:val="00DC0A99"/>
    <w:rsid w:val="00DC2201"/>
    <w:rsid w:val="00DC3E75"/>
    <w:rsid w:val="00DC4C63"/>
    <w:rsid w:val="00DC7145"/>
    <w:rsid w:val="00DC7AA6"/>
    <w:rsid w:val="00DD01AE"/>
    <w:rsid w:val="00DD02E1"/>
    <w:rsid w:val="00DD0656"/>
    <w:rsid w:val="00DD06D1"/>
    <w:rsid w:val="00DD17F2"/>
    <w:rsid w:val="00DD35B7"/>
    <w:rsid w:val="00DD4244"/>
    <w:rsid w:val="00DD785D"/>
    <w:rsid w:val="00DE0C95"/>
    <w:rsid w:val="00DE5118"/>
    <w:rsid w:val="00DE5BBC"/>
    <w:rsid w:val="00DF03ED"/>
    <w:rsid w:val="00DF52EB"/>
    <w:rsid w:val="00E02477"/>
    <w:rsid w:val="00E04E72"/>
    <w:rsid w:val="00E0606B"/>
    <w:rsid w:val="00E06B5E"/>
    <w:rsid w:val="00E07A1B"/>
    <w:rsid w:val="00E13AFB"/>
    <w:rsid w:val="00E15317"/>
    <w:rsid w:val="00E23587"/>
    <w:rsid w:val="00E26D8F"/>
    <w:rsid w:val="00E32C37"/>
    <w:rsid w:val="00E357C3"/>
    <w:rsid w:val="00E3786E"/>
    <w:rsid w:val="00E432DA"/>
    <w:rsid w:val="00E4418A"/>
    <w:rsid w:val="00E44B5D"/>
    <w:rsid w:val="00E50EF8"/>
    <w:rsid w:val="00E5766A"/>
    <w:rsid w:val="00E6063A"/>
    <w:rsid w:val="00E6095F"/>
    <w:rsid w:val="00E60C48"/>
    <w:rsid w:val="00E61176"/>
    <w:rsid w:val="00E64B30"/>
    <w:rsid w:val="00E65412"/>
    <w:rsid w:val="00E65D65"/>
    <w:rsid w:val="00E70CBC"/>
    <w:rsid w:val="00E744E7"/>
    <w:rsid w:val="00E80B20"/>
    <w:rsid w:val="00E81F34"/>
    <w:rsid w:val="00E83303"/>
    <w:rsid w:val="00E84C77"/>
    <w:rsid w:val="00E86EA4"/>
    <w:rsid w:val="00E86FEE"/>
    <w:rsid w:val="00E94A59"/>
    <w:rsid w:val="00EA2986"/>
    <w:rsid w:val="00EA303E"/>
    <w:rsid w:val="00EA4ACC"/>
    <w:rsid w:val="00EA582B"/>
    <w:rsid w:val="00EA7140"/>
    <w:rsid w:val="00EB2C5E"/>
    <w:rsid w:val="00EC0A6E"/>
    <w:rsid w:val="00EC0F35"/>
    <w:rsid w:val="00EC1433"/>
    <w:rsid w:val="00EC379C"/>
    <w:rsid w:val="00EC3C30"/>
    <w:rsid w:val="00EC64C1"/>
    <w:rsid w:val="00EC65CB"/>
    <w:rsid w:val="00EC76A9"/>
    <w:rsid w:val="00EC7EAB"/>
    <w:rsid w:val="00ED032D"/>
    <w:rsid w:val="00ED1A45"/>
    <w:rsid w:val="00ED3073"/>
    <w:rsid w:val="00ED436F"/>
    <w:rsid w:val="00ED6E23"/>
    <w:rsid w:val="00EE6F61"/>
    <w:rsid w:val="00EF02F5"/>
    <w:rsid w:val="00EF2DEE"/>
    <w:rsid w:val="00EF612B"/>
    <w:rsid w:val="00EF646A"/>
    <w:rsid w:val="00F05E18"/>
    <w:rsid w:val="00F05FD4"/>
    <w:rsid w:val="00F10CB3"/>
    <w:rsid w:val="00F13760"/>
    <w:rsid w:val="00F150B8"/>
    <w:rsid w:val="00F17710"/>
    <w:rsid w:val="00F30D53"/>
    <w:rsid w:val="00F30F53"/>
    <w:rsid w:val="00F468C3"/>
    <w:rsid w:val="00F50968"/>
    <w:rsid w:val="00F5604F"/>
    <w:rsid w:val="00F56753"/>
    <w:rsid w:val="00F57B6C"/>
    <w:rsid w:val="00F61CFD"/>
    <w:rsid w:val="00F61D7A"/>
    <w:rsid w:val="00F61EA9"/>
    <w:rsid w:val="00F6271B"/>
    <w:rsid w:val="00F7182C"/>
    <w:rsid w:val="00F74F28"/>
    <w:rsid w:val="00F84668"/>
    <w:rsid w:val="00F87336"/>
    <w:rsid w:val="00F90B3F"/>
    <w:rsid w:val="00F9368D"/>
    <w:rsid w:val="00F94581"/>
    <w:rsid w:val="00F9489F"/>
    <w:rsid w:val="00F95F7A"/>
    <w:rsid w:val="00F97628"/>
    <w:rsid w:val="00FA3491"/>
    <w:rsid w:val="00FA4FA4"/>
    <w:rsid w:val="00FA568B"/>
    <w:rsid w:val="00FA5DB3"/>
    <w:rsid w:val="00FA7280"/>
    <w:rsid w:val="00FB00C6"/>
    <w:rsid w:val="00FB0616"/>
    <w:rsid w:val="00FB2C3B"/>
    <w:rsid w:val="00FB2FB7"/>
    <w:rsid w:val="00FB44A3"/>
    <w:rsid w:val="00FB529B"/>
    <w:rsid w:val="00FB76EB"/>
    <w:rsid w:val="00FC5EA1"/>
    <w:rsid w:val="00FC6496"/>
    <w:rsid w:val="00FC6A8A"/>
    <w:rsid w:val="00FD17D6"/>
    <w:rsid w:val="00FD212C"/>
    <w:rsid w:val="00FD23AA"/>
    <w:rsid w:val="00FE0316"/>
    <w:rsid w:val="00FE0BDA"/>
    <w:rsid w:val="00FE112C"/>
    <w:rsid w:val="00FE4397"/>
    <w:rsid w:val="00FE7137"/>
    <w:rsid w:val="00FF122A"/>
    <w:rsid w:val="00FF57DE"/>
    <w:rsid w:val="00FF63FC"/>
    <w:rsid w:val="00FF648B"/>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9AF3CD7"/>
  <w15:docId w15:val="{3EE4AB3D-7A2C-4614-A32B-3BDF2D34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A6"/>
    <w:rPr>
      <w:rFonts w:ascii="Tahoma" w:hAnsi="Tahoma" w:cs="Tahoma"/>
      <w:sz w:val="16"/>
      <w:szCs w:val="16"/>
    </w:rPr>
  </w:style>
  <w:style w:type="paragraph" w:styleId="ListParagraph">
    <w:name w:val="List Paragraph"/>
    <w:basedOn w:val="Normal"/>
    <w:link w:val="ListParagraphChar"/>
    <w:uiPriority w:val="34"/>
    <w:qFormat/>
    <w:rsid w:val="006B03E0"/>
    <w:pPr>
      <w:ind w:left="720"/>
      <w:contextualSpacing/>
    </w:pPr>
  </w:style>
  <w:style w:type="paragraph" w:styleId="FootnoteText">
    <w:name w:val="footnote text"/>
    <w:basedOn w:val="Normal"/>
    <w:link w:val="FootnoteTextChar"/>
    <w:uiPriority w:val="99"/>
    <w:unhideWhenUsed/>
    <w:rsid w:val="00906537"/>
    <w:pPr>
      <w:spacing w:after="0" w:line="240" w:lineRule="auto"/>
    </w:pPr>
    <w:rPr>
      <w:sz w:val="24"/>
      <w:szCs w:val="24"/>
    </w:rPr>
  </w:style>
  <w:style w:type="character" w:customStyle="1" w:styleId="FootnoteTextChar">
    <w:name w:val="Footnote Text Char"/>
    <w:basedOn w:val="DefaultParagraphFont"/>
    <w:link w:val="FootnoteText"/>
    <w:uiPriority w:val="99"/>
    <w:rsid w:val="00906537"/>
    <w:rPr>
      <w:sz w:val="24"/>
      <w:szCs w:val="24"/>
    </w:rPr>
  </w:style>
  <w:style w:type="character" w:styleId="FootnoteReference">
    <w:name w:val="footnote reference"/>
    <w:basedOn w:val="DefaultParagraphFont"/>
    <w:uiPriority w:val="99"/>
    <w:unhideWhenUsed/>
    <w:rsid w:val="00906537"/>
    <w:rPr>
      <w:vertAlign w:val="superscript"/>
    </w:rPr>
  </w:style>
  <w:style w:type="character" w:styleId="CommentReference">
    <w:name w:val="annotation reference"/>
    <w:basedOn w:val="DefaultParagraphFont"/>
    <w:uiPriority w:val="99"/>
    <w:semiHidden/>
    <w:unhideWhenUsed/>
    <w:rsid w:val="008B59B8"/>
    <w:rPr>
      <w:sz w:val="16"/>
      <w:szCs w:val="16"/>
    </w:rPr>
  </w:style>
  <w:style w:type="paragraph" w:styleId="CommentText">
    <w:name w:val="annotation text"/>
    <w:basedOn w:val="Normal"/>
    <w:link w:val="CommentTextChar"/>
    <w:uiPriority w:val="99"/>
    <w:semiHidden/>
    <w:unhideWhenUsed/>
    <w:rsid w:val="008B59B8"/>
    <w:pPr>
      <w:spacing w:line="240" w:lineRule="auto"/>
    </w:pPr>
    <w:rPr>
      <w:sz w:val="20"/>
      <w:szCs w:val="20"/>
    </w:rPr>
  </w:style>
  <w:style w:type="character" w:customStyle="1" w:styleId="CommentTextChar">
    <w:name w:val="Comment Text Char"/>
    <w:basedOn w:val="DefaultParagraphFont"/>
    <w:link w:val="CommentText"/>
    <w:uiPriority w:val="99"/>
    <w:semiHidden/>
    <w:rsid w:val="008B59B8"/>
    <w:rPr>
      <w:sz w:val="20"/>
      <w:szCs w:val="20"/>
    </w:rPr>
  </w:style>
  <w:style w:type="paragraph" w:styleId="CommentSubject">
    <w:name w:val="annotation subject"/>
    <w:basedOn w:val="CommentText"/>
    <w:next w:val="CommentText"/>
    <w:link w:val="CommentSubjectChar"/>
    <w:uiPriority w:val="99"/>
    <w:semiHidden/>
    <w:unhideWhenUsed/>
    <w:rsid w:val="008B59B8"/>
    <w:rPr>
      <w:b/>
      <w:bCs/>
    </w:rPr>
  </w:style>
  <w:style w:type="character" w:customStyle="1" w:styleId="CommentSubjectChar">
    <w:name w:val="Comment Subject Char"/>
    <w:basedOn w:val="CommentTextChar"/>
    <w:link w:val="CommentSubject"/>
    <w:uiPriority w:val="99"/>
    <w:semiHidden/>
    <w:rsid w:val="008B59B8"/>
    <w:rPr>
      <w:b/>
      <w:bCs/>
      <w:sz w:val="20"/>
      <w:szCs w:val="20"/>
    </w:rPr>
  </w:style>
  <w:style w:type="paragraph" w:styleId="Header">
    <w:name w:val="header"/>
    <w:basedOn w:val="Normal"/>
    <w:link w:val="HeaderChar"/>
    <w:uiPriority w:val="99"/>
    <w:unhideWhenUsed/>
    <w:rsid w:val="00135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21D"/>
  </w:style>
  <w:style w:type="paragraph" w:styleId="Footer">
    <w:name w:val="footer"/>
    <w:basedOn w:val="Normal"/>
    <w:link w:val="FooterChar"/>
    <w:uiPriority w:val="99"/>
    <w:unhideWhenUsed/>
    <w:rsid w:val="00135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21D"/>
  </w:style>
  <w:style w:type="paragraph" w:styleId="Revision">
    <w:name w:val="Revision"/>
    <w:hidden/>
    <w:uiPriority w:val="99"/>
    <w:semiHidden/>
    <w:rsid w:val="000537E5"/>
    <w:pPr>
      <w:spacing w:after="0" w:line="240" w:lineRule="auto"/>
    </w:pPr>
  </w:style>
  <w:style w:type="paragraph" w:customStyle="1" w:styleId="Newpage">
    <w:name w:val="Newpage"/>
    <w:basedOn w:val="Normal"/>
    <w:rsid w:val="00762337"/>
    <w:pPr>
      <w:tabs>
        <w:tab w:val="left" w:pos="1440"/>
        <w:tab w:val="left" w:pos="3060"/>
      </w:tabs>
      <w:spacing w:after="0" w:line="240" w:lineRule="auto"/>
      <w:jc w:val="center"/>
    </w:pPr>
    <w:rPr>
      <w:rFonts w:ascii="Times New Roman" w:eastAsia="Times New Roman" w:hAnsi="Times New Roman" w:cs="Times New Roman"/>
      <w:b/>
      <w:smallCaps/>
      <w:sz w:val="24"/>
      <w:szCs w:val="20"/>
    </w:rPr>
  </w:style>
  <w:style w:type="character" w:customStyle="1" w:styleId="ListParagraphChar">
    <w:name w:val="List Paragraph Char"/>
    <w:basedOn w:val="DefaultParagraphFont"/>
    <w:link w:val="ListParagraph"/>
    <w:uiPriority w:val="34"/>
    <w:rsid w:val="004F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CA84F-2F13-49A4-97C5-CD851518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2511</Words>
  <Characters>14319</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hbaldivieso</dc:creator>
  <cp:lastModifiedBy>Baldivieso, Hector</cp:lastModifiedBy>
  <cp:revision>11</cp:revision>
  <cp:lastPrinted>2013-09-25T18:03:00Z</cp:lastPrinted>
  <dcterms:created xsi:type="dcterms:W3CDTF">2017-09-01T16:45:00Z</dcterms:created>
  <dcterms:modified xsi:type="dcterms:W3CDTF">2017-09-07T20:54:00Z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e61c6c06-7f9d-438c-8433-8a8b5d93e0ec</vt:lpwstr>
  </property>
</Properties>
</file>