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4E" w:rsidRPr="0091406B" w:rsidRDefault="00197F4E" w:rsidP="00401BA7">
      <w:pPr>
        <w:pStyle w:val="IntenseQuote"/>
        <w:spacing w:before="0" w:after="0" w:line="0" w:lineRule="atLeast"/>
        <w:ind w:right="0" w:hanging="936"/>
        <w:jc w:val="right"/>
        <w:rPr>
          <w:rFonts w:ascii="Arial" w:hAnsi="Arial" w:cs="Arial"/>
          <w:i w:val="0"/>
          <w:color w:val="002060"/>
          <w:szCs w:val="24"/>
          <w:lang w:val="es-ES"/>
        </w:rPr>
      </w:pPr>
      <w:bookmarkStart w:id="0" w:name="_top"/>
      <w:bookmarkEnd w:id="0"/>
    </w:p>
    <w:p w:rsidR="00401BA7" w:rsidRPr="0091406B" w:rsidRDefault="00197F4E" w:rsidP="00401BA7">
      <w:pPr>
        <w:pStyle w:val="IntenseQuote"/>
        <w:spacing w:before="0" w:after="0" w:line="0" w:lineRule="atLeast"/>
        <w:ind w:right="0" w:hanging="936"/>
        <w:jc w:val="right"/>
        <w:rPr>
          <w:rFonts w:ascii="Arial" w:hAnsi="Arial" w:cs="Arial"/>
          <w:i w:val="0"/>
          <w:color w:val="002060"/>
          <w:szCs w:val="24"/>
          <w:lang w:val="es-ES_tradnl"/>
        </w:rPr>
      </w:pPr>
      <w:r w:rsidRPr="0091406B">
        <w:rPr>
          <w:rFonts w:ascii="Arial" w:hAnsi="Arial" w:cs="Arial"/>
          <w:i w:val="0"/>
          <w:color w:val="002060"/>
          <w:szCs w:val="24"/>
          <w:lang w:val="es-ES"/>
        </w:rPr>
        <w:t>Programa para Fortalecer el Sector Eléctrico en Nicaragua</w:t>
      </w:r>
    </w:p>
    <w:p w:rsidR="00401BA7" w:rsidRPr="0091406B" w:rsidRDefault="00401BA7" w:rsidP="00401BA7">
      <w:pPr>
        <w:pStyle w:val="IntenseQuote"/>
        <w:spacing w:before="0" w:after="0" w:line="0" w:lineRule="atLeast"/>
        <w:ind w:right="0" w:hanging="936"/>
        <w:jc w:val="right"/>
        <w:rPr>
          <w:rFonts w:ascii="Arial" w:hAnsi="Arial" w:cs="Arial"/>
          <w:b w:val="0"/>
          <w:color w:val="002060"/>
          <w:szCs w:val="24"/>
          <w:lang w:val="es-ES"/>
        </w:rPr>
      </w:pPr>
      <w:r w:rsidRPr="0091406B">
        <w:rPr>
          <w:rFonts w:ascii="Arial" w:hAnsi="Arial" w:cs="Arial"/>
          <w:b w:val="0"/>
          <w:color w:val="002060"/>
          <w:szCs w:val="24"/>
          <w:lang w:val="es-ES"/>
        </w:rPr>
        <w:t xml:space="preserve">Anexo Técnico </w:t>
      </w:r>
      <w:r w:rsidR="00197F4E" w:rsidRPr="0091406B">
        <w:rPr>
          <w:rFonts w:ascii="Arial" w:hAnsi="Arial" w:cs="Arial"/>
          <w:b w:val="0"/>
          <w:color w:val="002060"/>
          <w:szCs w:val="24"/>
          <w:lang w:val="es-ES"/>
        </w:rPr>
        <w:t>NI</w:t>
      </w:r>
      <w:r w:rsidR="00161C1A" w:rsidRPr="0091406B">
        <w:rPr>
          <w:rFonts w:ascii="Arial" w:hAnsi="Arial" w:cs="Arial"/>
          <w:b w:val="0"/>
          <w:color w:val="002060"/>
          <w:szCs w:val="24"/>
          <w:lang w:val="es-ES"/>
        </w:rPr>
        <w:t>-L</w:t>
      </w:r>
      <w:r w:rsidR="00197F4E" w:rsidRPr="0091406B">
        <w:rPr>
          <w:rFonts w:ascii="Arial" w:hAnsi="Arial" w:cs="Arial"/>
          <w:b w:val="0"/>
          <w:color w:val="002060"/>
          <w:szCs w:val="24"/>
          <w:lang w:val="es-ES"/>
        </w:rPr>
        <w:t>1144</w:t>
      </w:r>
    </w:p>
    <w:p w:rsidR="00401BA7" w:rsidRPr="0091406B" w:rsidRDefault="00401BA7" w:rsidP="00401BA7">
      <w:pPr>
        <w:pStyle w:val="IntenseQuote"/>
        <w:spacing w:before="0" w:after="0" w:line="0" w:lineRule="atLeast"/>
        <w:ind w:right="0" w:hanging="936"/>
        <w:jc w:val="right"/>
        <w:rPr>
          <w:rFonts w:ascii="Arial" w:hAnsi="Arial" w:cs="Arial"/>
          <w:b w:val="0"/>
          <w:color w:val="002060"/>
          <w:szCs w:val="24"/>
          <w:lang w:val="es-ES"/>
        </w:rPr>
      </w:pPr>
      <w:r w:rsidRPr="0091406B">
        <w:rPr>
          <w:rFonts w:ascii="Arial" w:hAnsi="Arial" w:cs="Arial"/>
          <w:b w:val="0"/>
          <w:color w:val="002060"/>
          <w:szCs w:val="24"/>
          <w:lang w:val="es-ES"/>
        </w:rPr>
        <w:t>Integración Regional</w:t>
      </w:r>
    </w:p>
    <w:p w:rsidR="00401BA7" w:rsidRPr="0091406B" w:rsidRDefault="00401BA7" w:rsidP="00401BA7">
      <w:pPr>
        <w:spacing w:after="0" w:line="0" w:lineRule="atLeast"/>
        <w:ind w:hanging="936"/>
        <w:jc w:val="right"/>
        <w:rPr>
          <w:rFonts w:ascii="Arial" w:hAnsi="Arial" w:cs="Arial"/>
          <w:szCs w:val="24"/>
          <w:lang w:val="es-ES_tradnl"/>
        </w:rPr>
      </w:pPr>
    </w:p>
    <w:tbl>
      <w:tblPr>
        <w:tblStyle w:val="TableGrid"/>
        <w:tblW w:w="9450" w:type="dxa"/>
        <w:tblInd w:w="108" w:type="dxa"/>
        <w:tblLook w:val="04A0" w:firstRow="1" w:lastRow="0" w:firstColumn="1" w:lastColumn="0" w:noHBand="0" w:noVBand="1"/>
      </w:tblPr>
      <w:tblGrid>
        <w:gridCol w:w="9450"/>
      </w:tblGrid>
      <w:tr w:rsidR="00401BA7" w:rsidRPr="0091406B" w:rsidTr="00256889">
        <w:tc>
          <w:tcPr>
            <w:tcW w:w="9450" w:type="dxa"/>
          </w:tcPr>
          <w:p w:rsidR="00401BA7" w:rsidRPr="0091406B" w:rsidRDefault="00401BA7" w:rsidP="00161C1A">
            <w:pPr>
              <w:pStyle w:val="IntenseQuote"/>
              <w:pBdr>
                <w:bottom w:val="none" w:sz="0" w:space="0" w:color="auto"/>
              </w:pBdr>
              <w:spacing w:before="0" w:after="0" w:line="0" w:lineRule="atLeast"/>
              <w:ind w:right="0" w:hanging="936"/>
              <w:jc w:val="right"/>
              <w:rPr>
                <w:rFonts w:ascii="Arial" w:hAnsi="Arial" w:cs="Arial"/>
                <w:b w:val="0"/>
                <w:sz w:val="20"/>
                <w:szCs w:val="21"/>
                <w:lang w:val="es-ES"/>
              </w:rPr>
            </w:pPr>
            <w:r w:rsidRPr="0091406B">
              <w:rPr>
                <w:rFonts w:ascii="Arial" w:hAnsi="Arial" w:cs="Arial"/>
                <w:sz w:val="20"/>
                <w:szCs w:val="21"/>
                <w:lang w:val="es-ES"/>
              </w:rPr>
              <w:t>Resumen Ejecutivo</w:t>
            </w:r>
          </w:p>
          <w:p w:rsidR="00197F4E" w:rsidRPr="0091406B" w:rsidRDefault="00197F4E" w:rsidP="0022374A">
            <w:pPr>
              <w:pStyle w:val="ListParagraph"/>
              <w:spacing w:after="480" w:line="240" w:lineRule="auto"/>
              <w:ind w:left="0"/>
              <w:jc w:val="both"/>
              <w:rPr>
                <w:rFonts w:ascii="Arial" w:hAnsi="Arial" w:cs="Arial"/>
                <w:sz w:val="20"/>
                <w:lang w:val="es-ES"/>
              </w:rPr>
            </w:pPr>
            <w:r w:rsidRPr="0091406B">
              <w:rPr>
                <w:rFonts w:ascii="Arial" w:hAnsi="Arial" w:cs="Arial"/>
                <w:sz w:val="20"/>
                <w:lang w:val="es-ES"/>
              </w:rPr>
              <w:t xml:space="preserve">En Nicaragua, el costo del suministro de electricidad es el más alto de Centroamérica; en 2015 el precio medio regulado al usuario en Nicaragua fue US¢20,41/ kilovatio hora (kWh), muy superior al promedio de los restantes cinco países de Centroamericanos que alcanzó US¢17,98/kWh. Esta situación es explicada principalmente por el peso que tiene la generación térmica en la matriz de generación y por las elevadas pérdidas en el sistema, siendo ambos factores los segundos más altos de la región, solo superados por Honduras. </w:t>
            </w:r>
          </w:p>
          <w:p w:rsidR="00197F4E" w:rsidRPr="0091406B" w:rsidRDefault="00197F4E" w:rsidP="0022374A">
            <w:pPr>
              <w:pStyle w:val="ListParagraph"/>
              <w:spacing w:after="480" w:line="240" w:lineRule="auto"/>
              <w:ind w:left="0"/>
              <w:jc w:val="both"/>
              <w:rPr>
                <w:rFonts w:ascii="Arial" w:hAnsi="Arial" w:cs="Arial"/>
                <w:sz w:val="20"/>
                <w:lang w:val="es-ES"/>
              </w:rPr>
            </w:pPr>
          </w:p>
          <w:p w:rsidR="00E76C3F" w:rsidRPr="0091406B" w:rsidRDefault="00197F4E" w:rsidP="0022374A">
            <w:pPr>
              <w:pStyle w:val="ListParagraph"/>
              <w:spacing w:after="480" w:line="240" w:lineRule="auto"/>
              <w:ind w:left="0"/>
              <w:jc w:val="both"/>
              <w:rPr>
                <w:rFonts w:ascii="Arial" w:hAnsi="Arial" w:cs="Arial"/>
                <w:sz w:val="20"/>
                <w:lang w:val="es-ES_tradnl"/>
              </w:rPr>
            </w:pPr>
            <w:r w:rsidRPr="0091406B">
              <w:rPr>
                <w:rFonts w:ascii="Arial" w:hAnsi="Arial" w:cs="Arial"/>
                <w:sz w:val="20"/>
                <w:lang w:val="es-ES_tradnl"/>
              </w:rPr>
              <w:t xml:space="preserve">La integración energética regional representa para Nicaragua beneficios </w:t>
            </w:r>
            <w:r w:rsidR="00E76C3F" w:rsidRPr="0091406B">
              <w:rPr>
                <w:rFonts w:ascii="Arial" w:hAnsi="Arial" w:cs="Arial"/>
                <w:sz w:val="20"/>
                <w:lang w:val="es-ES_tradnl"/>
              </w:rPr>
              <w:t xml:space="preserve">importantes al permitirle </w:t>
            </w:r>
            <w:r w:rsidR="00E76C3F" w:rsidRPr="0091406B">
              <w:rPr>
                <w:rFonts w:ascii="Arial" w:hAnsi="Arial" w:cs="Arial"/>
                <w:sz w:val="20"/>
                <w:lang w:val="es-ES_tradnl"/>
              </w:rPr>
              <w:t>acceder a precios competitivos de energía en el mercado regional.</w:t>
            </w:r>
            <w:r w:rsidR="00E76C3F" w:rsidRPr="0091406B">
              <w:rPr>
                <w:rFonts w:ascii="Arial" w:hAnsi="Arial" w:cs="Arial"/>
                <w:sz w:val="20"/>
                <w:lang w:val="es-ES_tradnl"/>
              </w:rPr>
              <w:t xml:space="preserve"> </w:t>
            </w:r>
            <w:r w:rsidRPr="0091406B">
              <w:rPr>
                <w:rFonts w:ascii="Arial" w:hAnsi="Arial" w:cs="Arial"/>
                <w:sz w:val="20"/>
                <w:lang w:val="es-ES_tradnl"/>
              </w:rPr>
              <w:t xml:space="preserve">La integración de Nicaragua con los demás países centroamericanos, muy incipiente hasta 2015 debido a la suficiencia en la capacidad de abastecimiento interno y limitaciones en capacidad de exportación, con un volumen de exportaciones e importaciones que en conjunto alcanzaron el 1,3% de la energía neta generada en el SIN, ha empezado a mostrar un incremento paulatino, alcanzando 5,4% en 2016. </w:t>
            </w:r>
          </w:p>
          <w:p w:rsidR="00E76C3F" w:rsidRPr="0091406B" w:rsidRDefault="00E76C3F" w:rsidP="0022374A">
            <w:pPr>
              <w:pStyle w:val="ListParagraph"/>
              <w:spacing w:after="480" w:line="240" w:lineRule="auto"/>
              <w:ind w:left="0"/>
              <w:jc w:val="both"/>
              <w:rPr>
                <w:rFonts w:ascii="Arial" w:hAnsi="Arial" w:cs="Arial"/>
                <w:sz w:val="20"/>
                <w:lang w:val="es-ES_tradnl"/>
              </w:rPr>
            </w:pPr>
          </w:p>
          <w:p w:rsidR="00E76C3F" w:rsidRPr="0091406B" w:rsidRDefault="00401BA7" w:rsidP="0022374A">
            <w:pPr>
              <w:pStyle w:val="ListParagraph"/>
              <w:spacing w:after="0" w:line="240" w:lineRule="auto"/>
              <w:ind w:left="0"/>
              <w:jc w:val="both"/>
              <w:rPr>
                <w:rFonts w:ascii="Arial" w:hAnsi="Arial" w:cs="Arial"/>
                <w:sz w:val="20"/>
                <w:lang w:val="es-ES"/>
              </w:rPr>
            </w:pPr>
            <w:r w:rsidRPr="0091406B">
              <w:rPr>
                <w:rFonts w:ascii="Arial" w:hAnsi="Arial" w:cs="Arial"/>
                <w:sz w:val="20"/>
                <w:lang w:val="es-ES"/>
              </w:rPr>
              <w:t xml:space="preserve">Este documento explica como el </w:t>
            </w:r>
            <w:r w:rsidR="00E76C3F" w:rsidRPr="0091406B">
              <w:rPr>
                <w:rFonts w:ascii="Arial" w:hAnsi="Arial" w:cs="Arial"/>
                <w:sz w:val="20"/>
                <w:lang w:val="es-ES"/>
              </w:rPr>
              <w:t xml:space="preserve">Programa para Fortalecer el Sector Eléctrico en Nicaragua (Programa) </w:t>
            </w:r>
            <w:r w:rsidRPr="0091406B">
              <w:rPr>
                <w:rFonts w:ascii="Arial" w:hAnsi="Arial" w:cs="Arial"/>
                <w:sz w:val="20"/>
                <w:lang w:val="es-ES"/>
              </w:rPr>
              <w:t xml:space="preserve">apoya </w:t>
            </w:r>
            <w:r w:rsidR="001165AC" w:rsidRPr="0091406B">
              <w:rPr>
                <w:rFonts w:ascii="Arial" w:hAnsi="Arial" w:cs="Arial"/>
                <w:sz w:val="20"/>
                <w:lang w:val="es-ES"/>
              </w:rPr>
              <w:t xml:space="preserve">la integración económica </w:t>
            </w:r>
            <w:r w:rsidR="00E76C3F" w:rsidRPr="0091406B">
              <w:rPr>
                <w:rFonts w:ascii="Arial" w:hAnsi="Arial" w:cs="Arial"/>
                <w:sz w:val="20"/>
                <w:lang w:val="es-ES"/>
              </w:rPr>
              <w:t xml:space="preserve">regional </w:t>
            </w:r>
            <w:r w:rsidR="001165AC" w:rsidRPr="0091406B">
              <w:rPr>
                <w:rFonts w:ascii="Arial" w:hAnsi="Arial" w:cs="Arial"/>
                <w:sz w:val="20"/>
                <w:lang w:val="es-ES"/>
              </w:rPr>
              <w:t xml:space="preserve">de </w:t>
            </w:r>
            <w:r w:rsidR="00E76C3F" w:rsidRPr="0091406B">
              <w:rPr>
                <w:rFonts w:ascii="Arial" w:hAnsi="Arial" w:cs="Arial"/>
                <w:sz w:val="20"/>
                <w:lang w:val="es-ES"/>
              </w:rPr>
              <w:t>Nicaragua</w:t>
            </w:r>
            <w:r w:rsidRPr="0091406B">
              <w:rPr>
                <w:rFonts w:ascii="Arial" w:hAnsi="Arial" w:cs="Arial"/>
                <w:sz w:val="20"/>
                <w:lang w:val="es-ES"/>
              </w:rPr>
              <w:t xml:space="preserve"> por medio de </w:t>
            </w:r>
            <w:r w:rsidR="00E76C3F" w:rsidRPr="0091406B">
              <w:rPr>
                <w:rFonts w:ascii="Arial" w:hAnsi="Arial" w:cs="Arial"/>
                <w:sz w:val="20"/>
                <w:lang w:val="es-ES"/>
              </w:rPr>
              <w:t xml:space="preserve">una mayor inserción del sistema eléctrico de Nicaragua en el sistema eléctrico regional de Centro América (SIEPAC) y un incremento de la participación del sector eléctrico nacional en el Mercado Eléctrico Regional (MER). </w:t>
            </w:r>
            <w:r w:rsidR="002B6D43" w:rsidRPr="0091406B">
              <w:rPr>
                <w:rFonts w:ascii="Arial" w:hAnsi="Arial" w:cs="Arial"/>
                <w:sz w:val="20"/>
                <w:lang w:val="es-ES"/>
              </w:rPr>
              <w:t>Adicionalmente, el Programa apoyará la armonización del marco regulatorio nacional con las normas regionales para facilitar e impulsar la compra y venta de energía en el mercado eléctrico regional.</w:t>
            </w:r>
          </w:p>
          <w:p w:rsidR="005A3047" w:rsidRPr="0091406B" w:rsidRDefault="005A3047" w:rsidP="0022374A">
            <w:pPr>
              <w:pStyle w:val="ListParagraph"/>
              <w:spacing w:after="0" w:line="240" w:lineRule="auto"/>
              <w:ind w:left="0"/>
              <w:jc w:val="both"/>
              <w:rPr>
                <w:rFonts w:ascii="Arial" w:hAnsi="Arial" w:cs="Arial"/>
                <w:sz w:val="20"/>
                <w:lang w:val="es-ES"/>
              </w:rPr>
            </w:pPr>
          </w:p>
          <w:p w:rsidR="00401BA7" w:rsidRPr="0091406B" w:rsidRDefault="00401BA7" w:rsidP="0022374A">
            <w:pPr>
              <w:pStyle w:val="ListParagraph"/>
              <w:spacing w:after="0" w:line="240" w:lineRule="auto"/>
              <w:ind w:left="0"/>
              <w:jc w:val="both"/>
              <w:rPr>
                <w:rFonts w:ascii="Arial" w:hAnsi="Arial" w:cs="Arial"/>
                <w:sz w:val="20"/>
                <w:lang w:val="es-ES"/>
              </w:rPr>
            </w:pPr>
            <w:r w:rsidRPr="0091406B">
              <w:rPr>
                <w:rFonts w:ascii="Arial" w:hAnsi="Arial" w:cs="Arial"/>
                <w:sz w:val="20"/>
                <w:lang w:val="es-ES"/>
              </w:rPr>
              <w:t>Concretamente</w:t>
            </w:r>
            <w:r w:rsidR="00650A56" w:rsidRPr="0091406B">
              <w:rPr>
                <w:rFonts w:ascii="Arial" w:hAnsi="Arial" w:cs="Arial"/>
                <w:sz w:val="20"/>
                <w:lang w:val="es-ES"/>
              </w:rPr>
              <w:t>,</w:t>
            </w:r>
            <w:r w:rsidRPr="0091406B">
              <w:rPr>
                <w:rFonts w:ascii="Arial" w:hAnsi="Arial" w:cs="Arial"/>
                <w:sz w:val="20"/>
                <w:lang w:val="es-ES"/>
              </w:rPr>
              <w:t xml:space="preserve"> de acuerdo a</w:t>
            </w:r>
            <w:r w:rsidR="00131ADC" w:rsidRPr="0091406B">
              <w:rPr>
                <w:rFonts w:ascii="Arial" w:hAnsi="Arial" w:cs="Arial"/>
                <w:sz w:val="20"/>
                <w:lang w:val="es-ES"/>
              </w:rPr>
              <w:t xml:space="preserve"> la Matriz de Resultados de la o</w:t>
            </w:r>
            <w:r w:rsidRPr="0091406B">
              <w:rPr>
                <w:rFonts w:ascii="Arial" w:hAnsi="Arial" w:cs="Arial"/>
                <w:sz w:val="20"/>
                <w:lang w:val="es-ES"/>
              </w:rPr>
              <w:t xml:space="preserve">peración, las inversiones nacionales para mejorar la infraestructura </w:t>
            </w:r>
            <w:r w:rsidR="005A3047" w:rsidRPr="0091406B">
              <w:rPr>
                <w:rFonts w:ascii="Arial" w:hAnsi="Arial" w:cs="Arial"/>
                <w:sz w:val="20"/>
                <w:lang w:val="es-ES"/>
              </w:rPr>
              <w:t>energética</w:t>
            </w:r>
            <w:r w:rsidRPr="0091406B">
              <w:rPr>
                <w:rFonts w:ascii="Arial" w:hAnsi="Arial" w:cs="Arial"/>
                <w:sz w:val="20"/>
                <w:lang w:val="es-ES"/>
              </w:rPr>
              <w:t xml:space="preserve"> </w:t>
            </w:r>
            <w:r w:rsidR="003D1EE4" w:rsidRPr="0091406B">
              <w:rPr>
                <w:rFonts w:ascii="Arial" w:hAnsi="Arial" w:cs="Arial"/>
                <w:sz w:val="20"/>
                <w:lang w:val="es-ES"/>
              </w:rPr>
              <w:t>impactarán positivamente en la integración regional y global debido a</w:t>
            </w:r>
            <w:r w:rsidR="00527DA1">
              <w:rPr>
                <w:rFonts w:ascii="Arial" w:hAnsi="Arial" w:cs="Arial"/>
                <w:sz w:val="20"/>
                <w:lang w:val="es-ES"/>
              </w:rPr>
              <w:t xml:space="preserve">l incremento de los intercambios de energía de Nicaragua (tanto exportaciones como importaciones) a través del MER. </w:t>
            </w:r>
            <w:r w:rsidR="003D1EE4" w:rsidRPr="0091406B">
              <w:rPr>
                <w:rFonts w:ascii="Arial" w:hAnsi="Arial" w:cs="Arial"/>
                <w:sz w:val="20"/>
                <w:lang w:val="es-ES"/>
              </w:rPr>
              <w:t xml:space="preserve"> </w:t>
            </w:r>
          </w:p>
        </w:tc>
      </w:tr>
    </w:tbl>
    <w:p w:rsidR="00401BA7" w:rsidRPr="0091406B" w:rsidRDefault="00401BA7" w:rsidP="00401BA7">
      <w:pPr>
        <w:tabs>
          <w:tab w:val="left" w:pos="2085"/>
        </w:tabs>
        <w:spacing w:after="0" w:line="0" w:lineRule="atLeast"/>
        <w:jc w:val="both"/>
        <w:rPr>
          <w:rFonts w:ascii="Arial" w:hAnsi="Arial" w:cs="Arial"/>
          <w:szCs w:val="24"/>
          <w:lang w:val="es-ES_tradnl"/>
        </w:rPr>
      </w:pPr>
    </w:p>
    <w:p w:rsidR="006576F2" w:rsidRPr="0091406B" w:rsidRDefault="00E16F19" w:rsidP="006576F2">
      <w:pPr>
        <w:pStyle w:val="ListParagraph"/>
        <w:numPr>
          <w:ilvl w:val="0"/>
          <w:numId w:val="4"/>
        </w:numPr>
        <w:tabs>
          <w:tab w:val="left" w:pos="360"/>
          <w:tab w:val="left" w:pos="450"/>
        </w:tabs>
        <w:spacing w:line="240" w:lineRule="auto"/>
        <w:ind w:hanging="630"/>
        <w:jc w:val="both"/>
        <w:rPr>
          <w:rFonts w:ascii="Arial" w:hAnsi="Arial" w:cs="Arial"/>
          <w:b/>
          <w:color w:val="1F497D"/>
          <w:lang w:val="es-ES"/>
        </w:rPr>
      </w:pPr>
      <w:r w:rsidRPr="0091406B">
        <w:rPr>
          <w:rFonts w:ascii="Arial" w:hAnsi="Arial" w:cs="Arial"/>
          <w:b/>
          <w:color w:val="1F497D"/>
          <w:lang w:val="es-ES"/>
        </w:rPr>
        <w:t>Introducción.</w:t>
      </w:r>
    </w:p>
    <w:p w:rsidR="006576F2" w:rsidRPr="0091406B" w:rsidRDefault="006576F2" w:rsidP="006576F2">
      <w:pPr>
        <w:pStyle w:val="ListParagraph"/>
        <w:tabs>
          <w:tab w:val="left" w:pos="360"/>
          <w:tab w:val="left" w:pos="450"/>
        </w:tabs>
        <w:spacing w:line="240" w:lineRule="auto"/>
        <w:jc w:val="both"/>
        <w:rPr>
          <w:rFonts w:ascii="Arial" w:hAnsi="Arial" w:cs="Arial"/>
          <w:b/>
          <w:color w:val="1F497D"/>
          <w:lang w:val="es-ES"/>
        </w:rPr>
      </w:pPr>
    </w:p>
    <w:p w:rsidR="005A3047" w:rsidRPr="0091406B" w:rsidRDefault="00401BA7" w:rsidP="0091406B">
      <w:pPr>
        <w:pStyle w:val="ListParagraph"/>
        <w:numPr>
          <w:ilvl w:val="1"/>
          <w:numId w:val="9"/>
        </w:numPr>
        <w:tabs>
          <w:tab w:val="left" w:pos="270"/>
          <w:tab w:val="left" w:pos="2085"/>
        </w:tabs>
        <w:spacing w:after="0" w:line="0" w:lineRule="atLeast"/>
        <w:ind w:left="270" w:hanging="450"/>
        <w:jc w:val="both"/>
        <w:rPr>
          <w:rFonts w:ascii="Arial" w:hAnsi="Arial" w:cs="Arial"/>
          <w:szCs w:val="24"/>
          <w:lang w:val="es-ES"/>
        </w:rPr>
      </w:pPr>
      <w:r w:rsidRPr="0091406B">
        <w:rPr>
          <w:rFonts w:ascii="Arial" w:hAnsi="Arial" w:cs="Arial"/>
          <w:szCs w:val="24"/>
          <w:lang w:val="es-ES"/>
        </w:rPr>
        <w:t xml:space="preserve">Este documento analiza la operación </w:t>
      </w:r>
      <w:r w:rsidR="0091406B" w:rsidRPr="0091406B">
        <w:rPr>
          <w:rFonts w:ascii="Arial" w:hAnsi="Arial" w:cs="Arial"/>
          <w:szCs w:val="24"/>
          <w:lang w:val="es-ES"/>
        </w:rPr>
        <w:t>Programa para Fortalecer el Sector Eléctrico en Nicaragua</w:t>
      </w:r>
      <w:r w:rsidRPr="0091406B">
        <w:rPr>
          <w:rFonts w:ascii="Arial" w:hAnsi="Arial" w:cs="Arial"/>
          <w:szCs w:val="24"/>
          <w:lang w:val="es-ES"/>
        </w:rPr>
        <w:t xml:space="preserve"> (</w:t>
      </w:r>
      <w:r w:rsidR="0091406B" w:rsidRPr="0091406B">
        <w:rPr>
          <w:rFonts w:ascii="Arial" w:hAnsi="Arial" w:cs="Arial"/>
          <w:szCs w:val="24"/>
          <w:lang w:val="es-ES"/>
        </w:rPr>
        <w:t>NI</w:t>
      </w:r>
      <w:r w:rsidR="00786312" w:rsidRPr="0091406B">
        <w:rPr>
          <w:rFonts w:ascii="Arial" w:hAnsi="Arial" w:cs="Arial"/>
          <w:szCs w:val="24"/>
          <w:lang w:val="es-ES"/>
        </w:rPr>
        <w:t>-L114</w:t>
      </w:r>
      <w:r w:rsidR="0091406B" w:rsidRPr="0091406B">
        <w:rPr>
          <w:rFonts w:ascii="Arial" w:hAnsi="Arial" w:cs="Arial"/>
          <w:szCs w:val="24"/>
          <w:lang w:val="es-ES"/>
        </w:rPr>
        <w:t>4</w:t>
      </w:r>
      <w:r w:rsidRPr="0091406B">
        <w:rPr>
          <w:rFonts w:ascii="Arial" w:hAnsi="Arial" w:cs="Arial"/>
          <w:szCs w:val="24"/>
          <w:lang w:val="es-ES"/>
        </w:rPr>
        <w:t xml:space="preserve">), exponiendo los argumentos que explican </w:t>
      </w:r>
      <w:r w:rsidR="00E61AA2" w:rsidRPr="0091406B">
        <w:rPr>
          <w:rFonts w:ascii="Arial" w:hAnsi="Arial" w:cs="Arial"/>
          <w:szCs w:val="24"/>
          <w:lang w:val="es-ES"/>
        </w:rPr>
        <w:t>cómo el</w:t>
      </w:r>
      <w:r w:rsidRPr="0091406B">
        <w:rPr>
          <w:rFonts w:ascii="Arial" w:hAnsi="Arial" w:cs="Arial"/>
          <w:szCs w:val="24"/>
          <w:lang w:val="es-ES"/>
        </w:rPr>
        <w:t xml:space="preserve"> proyecto</w:t>
      </w:r>
      <w:r w:rsidR="00E61AA2" w:rsidRPr="0091406B">
        <w:rPr>
          <w:rFonts w:ascii="Arial" w:hAnsi="Arial" w:cs="Arial"/>
          <w:szCs w:val="24"/>
          <w:lang w:val="es-ES"/>
        </w:rPr>
        <w:t xml:space="preserve"> aporta</w:t>
      </w:r>
      <w:r w:rsidRPr="0091406B">
        <w:rPr>
          <w:rFonts w:ascii="Arial" w:hAnsi="Arial" w:cs="Arial"/>
          <w:szCs w:val="24"/>
          <w:lang w:val="es-ES"/>
        </w:rPr>
        <w:t xml:space="preserve"> a la integración económica de </w:t>
      </w:r>
      <w:r w:rsidR="0091406B" w:rsidRPr="0091406B">
        <w:rPr>
          <w:rFonts w:ascii="Arial" w:hAnsi="Arial" w:cs="Arial"/>
          <w:szCs w:val="24"/>
          <w:lang w:val="es-ES"/>
        </w:rPr>
        <w:t>Nicaragua</w:t>
      </w:r>
      <w:r w:rsidR="00E61AA2" w:rsidRPr="0091406B">
        <w:rPr>
          <w:rFonts w:ascii="Arial" w:hAnsi="Arial" w:cs="Arial"/>
          <w:szCs w:val="24"/>
          <w:lang w:val="es-ES"/>
        </w:rPr>
        <w:t xml:space="preserve"> a nivel regional y global</w:t>
      </w:r>
      <w:r w:rsidRPr="0091406B">
        <w:rPr>
          <w:rFonts w:ascii="Arial" w:hAnsi="Arial" w:cs="Arial"/>
          <w:szCs w:val="24"/>
          <w:lang w:val="es-ES"/>
        </w:rPr>
        <w:t xml:space="preserve">, validando por tanto su alineación con el desafío regional de Integración Económica planteado en la Estrategia Institucional del Banco (EIB) 2010-2020 (GN-2788-5). </w:t>
      </w:r>
    </w:p>
    <w:p w:rsidR="0091406B" w:rsidRPr="0091406B" w:rsidRDefault="0091406B" w:rsidP="0091406B">
      <w:pPr>
        <w:pStyle w:val="ListParagraph"/>
        <w:tabs>
          <w:tab w:val="left" w:pos="270"/>
          <w:tab w:val="left" w:pos="2085"/>
        </w:tabs>
        <w:spacing w:after="0" w:line="0" w:lineRule="atLeast"/>
        <w:ind w:left="360"/>
        <w:jc w:val="both"/>
        <w:rPr>
          <w:rFonts w:ascii="Arial" w:hAnsi="Arial" w:cs="Arial"/>
          <w:szCs w:val="24"/>
          <w:lang w:val="es-ES_tradnl"/>
        </w:rPr>
      </w:pPr>
    </w:p>
    <w:p w:rsidR="00266369" w:rsidRPr="0091406B" w:rsidRDefault="00E61AA2" w:rsidP="00731206">
      <w:pPr>
        <w:pStyle w:val="ListParagraph"/>
        <w:numPr>
          <w:ilvl w:val="1"/>
          <w:numId w:val="9"/>
        </w:numPr>
        <w:tabs>
          <w:tab w:val="left" w:pos="270"/>
          <w:tab w:val="left" w:pos="2085"/>
        </w:tabs>
        <w:spacing w:after="0" w:line="0" w:lineRule="atLeast"/>
        <w:ind w:left="270" w:hanging="450"/>
        <w:jc w:val="both"/>
        <w:rPr>
          <w:rFonts w:ascii="Arial" w:hAnsi="Arial" w:cs="Arial"/>
          <w:szCs w:val="24"/>
          <w:lang w:val="es-ES_tradnl"/>
        </w:rPr>
      </w:pPr>
      <w:r w:rsidRPr="0091406B">
        <w:rPr>
          <w:rFonts w:ascii="Arial" w:hAnsi="Arial" w:cs="Arial"/>
          <w:szCs w:val="24"/>
          <w:lang w:val="es-ES"/>
        </w:rPr>
        <w:t xml:space="preserve">El documento está organizado de la siguiente manera. </w:t>
      </w:r>
      <w:r w:rsidR="00266369" w:rsidRPr="0091406B">
        <w:rPr>
          <w:rFonts w:ascii="Arial" w:hAnsi="Arial" w:cs="Arial"/>
          <w:szCs w:val="24"/>
          <w:lang w:val="es-ES"/>
        </w:rPr>
        <w:t xml:space="preserve">En la sección número II, se describe el contexto </w:t>
      </w:r>
      <w:r w:rsidR="00527DA1" w:rsidRPr="0091406B">
        <w:rPr>
          <w:rFonts w:ascii="Arial" w:hAnsi="Arial" w:cs="Arial"/>
          <w:szCs w:val="24"/>
          <w:lang w:val="es-ES"/>
        </w:rPr>
        <w:t>regional,</w:t>
      </w:r>
      <w:r w:rsidR="00266369" w:rsidRPr="0091406B">
        <w:rPr>
          <w:rFonts w:ascii="Arial" w:hAnsi="Arial" w:cs="Arial"/>
          <w:szCs w:val="24"/>
          <w:lang w:val="es-ES"/>
        </w:rPr>
        <w:t xml:space="preserve"> </w:t>
      </w:r>
      <w:r w:rsidR="00527DA1">
        <w:rPr>
          <w:rFonts w:ascii="Arial" w:hAnsi="Arial" w:cs="Arial"/>
          <w:szCs w:val="24"/>
          <w:lang w:val="es-ES"/>
        </w:rPr>
        <w:t>así como el contexto nacional</w:t>
      </w:r>
      <w:r w:rsidR="00527DA1" w:rsidRPr="0091406B">
        <w:rPr>
          <w:rFonts w:ascii="Arial" w:hAnsi="Arial" w:cs="Arial"/>
          <w:szCs w:val="24"/>
          <w:lang w:val="es-ES"/>
        </w:rPr>
        <w:t xml:space="preserve"> </w:t>
      </w:r>
      <w:r w:rsidR="00266369" w:rsidRPr="0091406B">
        <w:rPr>
          <w:rFonts w:ascii="Arial" w:hAnsi="Arial" w:cs="Arial"/>
          <w:szCs w:val="24"/>
          <w:lang w:val="es-ES"/>
        </w:rPr>
        <w:t xml:space="preserve">en el marco del proceso de integración </w:t>
      </w:r>
      <w:r w:rsidR="005A3047" w:rsidRPr="0091406B">
        <w:rPr>
          <w:rFonts w:ascii="Arial" w:hAnsi="Arial" w:cs="Arial"/>
          <w:szCs w:val="24"/>
          <w:lang w:val="es-ES"/>
        </w:rPr>
        <w:t>energética en Centro América</w:t>
      </w:r>
      <w:r w:rsidR="00266369" w:rsidRPr="0091406B">
        <w:rPr>
          <w:rFonts w:ascii="Arial" w:hAnsi="Arial" w:cs="Arial"/>
          <w:szCs w:val="24"/>
          <w:lang w:val="es-ES"/>
        </w:rPr>
        <w:t>. En la sección número III se presentan los argumentos cualitativos y cuantitativos que demuestran que la operación contribuye a mejorar la integración física y económica del país. Finalmente, en la sección número IV se valida la alineación de la operación con el Desafío de Integración Económica de acuerdo con la EIB y con la Estrategia Sectorial del Banco de Apoyo a la Integración Competitiva, Regional y Global (GN-2564-4).</w:t>
      </w:r>
    </w:p>
    <w:p w:rsidR="006576F2" w:rsidRPr="0091406B" w:rsidRDefault="006576F2" w:rsidP="006576F2">
      <w:pPr>
        <w:pStyle w:val="ListParagraph"/>
        <w:rPr>
          <w:rFonts w:ascii="Arial" w:hAnsi="Arial" w:cs="Arial"/>
          <w:szCs w:val="24"/>
          <w:lang w:val="es-ES_tradnl"/>
        </w:rPr>
      </w:pPr>
    </w:p>
    <w:p w:rsidR="00527DA1" w:rsidRDefault="00527DA1">
      <w:pPr>
        <w:spacing w:after="160" w:line="259" w:lineRule="auto"/>
        <w:rPr>
          <w:rFonts w:ascii="Arial" w:hAnsi="Arial" w:cs="Arial"/>
          <w:szCs w:val="24"/>
          <w:lang w:val="es-ES_tradnl"/>
        </w:rPr>
      </w:pPr>
      <w:r>
        <w:rPr>
          <w:rFonts w:ascii="Arial" w:hAnsi="Arial" w:cs="Arial"/>
          <w:szCs w:val="24"/>
          <w:lang w:val="es-ES_tradnl"/>
        </w:rPr>
        <w:br w:type="page"/>
      </w:r>
    </w:p>
    <w:p w:rsidR="006576F2" w:rsidRPr="0091406B" w:rsidRDefault="006576F2" w:rsidP="006576F2">
      <w:pPr>
        <w:pStyle w:val="ListParagraph"/>
        <w:tabs>
          <w:tab w:val="left" w:pos="270"/>
          <w:tab w:val="left" w:pos="2085"/>
        </w:tabs>
        <w:spacing w:after="0" w:line="0" w:lineRule="atLeast"/>
        <w:ind w:left="270"/>
        <w:jc w:val="both"/>
        <w:rPr>
          <w:rFonts w:ascii="Arial" w:hAnsi="Arial" w:cs="Arial"/>
          <w:szCs w:val="24"/>
          <w:lang w:val="es-ES_tradnl"/>
        </w:rPr>
      </w:pPr>
    </w:p>
    <w:p w:rsidR="00E16F19" w:rsidRPr="0091406B" w:rsidRDefault="00E16F19" w:rsidP="00E16F19">
      <w:pPr>
        <w:pStyle w:val="ListParagraph"/>
        <w:numPr>
          <w:ilvl w:val="0"/>
          <w:numId w:val="4"/>
        </w:numPr>
        <w:tabs>
          <w:tab w:val="left" w:pos="360"/>
          <w:tab w:val="left" w:pos="450"/>
        </w:tabs>
        <w:spacing w:after="0" w:line="240" w:lineRule="auto"/>
        <w:ind w:hanging="630"/>
        <w:jc w:val="both"/>
        <w:rPr>
          <w:rFonts w:ascii="Arial" w:hAnsi="Arial" w:cs="Arial"/>
          <w:b/>
          <w:color w:val="1F497D"/>
          <w:szCs w:val="24"/>
          <w:lang w:val="es-ES"/>
        </w:rPr>
      </w:pPr>
      <w:r w:rsidRPr="0091406B">
        <w:rPr>
          <w:rFonts w:ascii="Arial" w:hAnsi="Arial" w:cs="Arial"/>
          <w:b/>
          <w:color w:val="1F497D"/>
          <w:szCs w:val="24"/>
          <w:lang w:val="es-ES"/>
        </w:rPr>
        <w:t>Infraestructura e Integración Económica</w:t>
      </w:r>
    </w:p>
    <w:p w:rsidR="003C0230" w:rsidRPr="0091406B" w:rsidRDefault="003C0230" w:rsidP="003C0230">
      <w:pPr>
        <w:tabs>
          <w:tab w:val="left" w:pos="360"/>
          <w:tab w:val="left" w:pos="450"/>
        </w:tabs>
        <w:spacing w:after="0" w:line="240" w:lineRule="auto"/>
        <w:jc w:val="both"/>
        <w:rPr>
          <w:rFonts w:ascii="Arial" w:hAnsi="Arial" w:cs="Arial"/>
          <w:b/>
          <w:color w:val="1F497D"/>
          <w:szCs w:val="24"/>
          <w:lang w:val="es-ES"/>
        </w:rPr>
      </w:pPr>
    </w:p>
    <w:p w:rsidR="003C0230" w:rsidRPr="0091406B" w:rsidRDefault="003C0230" w:rsidP="003C0230">
      <w:pPr>
        <w:pStyle w:val="ListParagraph"/>
        <w:tabs>
          <w:tab w:val="left" w:pos="270"/>
          <w:tab w:val="left" w:pos="360"/>
          <w:tab w:val="left" w:pos="450"/>
          <w:tab w:val="left" w:pos="2085"/>
        </w:tabs>
        <w:spacing w:after="0" w:line="240" w:lineRule="auto"/>
        <w:ind w:left="90"/>
        <w:jc w:val="both"/>
        <w:rPr>
          <w:rFonts w:ascii="Arial" w:hAnsi="Arial" w:cs="Arial"/>
          <w:szCs w:val="24"/>
          <w:lang w:val="es-ES"/>
        </w:rPr>
      </w:pPr>
      <w:r w:rsidRPr="0091406B">
        <w:rPr>
          <w:rFonts w:ascii="Arial" w:hAnsi="Arial" w:cs="Arial"/>
          <w:b/>
          <w:szCs w:val="24"/>
          <w:u w:val="single"/>
          <w:lang w:val="es-ES"/>
        </w:rPr>
        <w:t>Contexto Regional</w:t>
      </w:r>
    </w:p>
    <w:p w:rsidR="003C0230" w:rsidRPr="0091406B" w:rsidRDefault="003C0230" w:rsidP="003C0230">
      <w:pPr>
        <w:tabs>
          <w:tab w:val="left" w:pos="270"/>
          <w:tab w:val="left" w:pos="360"/>
          <w:tab w:val="left" w:pos="450"/>
          <w:tab w:val="left" w:pos="2085"/>
        </w:tabs>
        <w:spacing w:after="0" w:line="240" w:lineRule="auto"/>
        <w:jc w:val="both"/>
        <w:rPr>
          <w:rFonts w:ascii="Arial" w:hAnsi="Arial" w:cs="Arial"/>
          <w:szCs w:val="24"/>
          <w:lang w:val="es-ES"/>
        </w:rPr>
      </w:pPr>
    </w:p>
    <w:p w:rsidR="006576F2" w:rsidRPr="0091406B" w:rsidRDefault="006576F2" w:rsidP="006576F2">
      <w:pPr>
        <w:pStyle w:val="ListParagraph"/>
        <w:numPr>
          <w:ilvl w:val="0"/>
          <w:numId w:val="1"/>
        </w:numPr>
        <w:tabs>
          <w:tab w:val="left" w:pos="270"/>
          <w:tab w:val="left" w:pos="360"/>
          <w:tab w:val="left" w:pos="450"/>
          <w:tab w:val="left" w:pos="2085"/>
        </w:tabs>
        <w:spacing w:after="0" w:line="240" w:lineRule="auto"/>
        <w:jc w:val="both"/>
        <w:rPr>
          <w:rFonts w:ascii="Arial" w:hAnsi="Arial" w:cs="Arial"/>
          <w:vanish/>
          <w:szCs w:val="24"/>
          <w:lang w:val="es-ES"/>
        </w:rPr>
      </w:pPr>
    </w:p>
    <w:p w:rsidR="00F85905" w:rsidRDefault="00F85905" w:rsidP="00F85905">
      <w:pPr>
        <w:pStyle w:val="ListParagraph"/>
        <w:numPr>
          <w:ilvl w:val="1"/>
          <w:numId w:val="1"/>
        </w:numPr>
        <w:tabs>
          <w:tab w:val="left" w:pos="270"/>
          <w:tab w:val="left" w:pos="360"/>
          <w:tab w:val="left" w:pos="450"/>
          <w:tab w:val="left" w:pos="2085"/>
        </w:tabs>
        <w:spacing w:after="0" w:line="240" w:lineRule="auto"/>
        <w:ind w:left="90"/>
        <w:jc w:val="both"/>
        <w:rPr>
          <w:rFonts w:ascii="Arial" w:hAnsi="Arial" w:cs="Arial"/>
          <w:szCs w:val="24"/>
          <w:lang w:val="es-ES"/>
        </w:rPr>
      </w:pPr>
      <w:bookmarkStart w:id="1" w:name="_Hlk482623253"/>
      <w:bookmarkEnd w:id="1"/>
      <w:r w:rsidRPr="00F85905">
        <w:rPr>
          <w:rFonts w:ascii="Arial" w:hAnsi="Arial" w:cs="Arial"/>
          <w:szCs w:val="24"/>
          <w:lang w:val="es-ES"/>
        </w:rPr>
        <w:t>La interconexión eléctrica de los países de América Central ha sido promovida por varias décadas como un instrumento fundamental para lograr el aprovechamiento óptimo, racional y eficiente de los recursos energéticos del Istmo Centroamericano, y los beneficios que se derivan del desarrollo y operación coordinada de un sistema eléctrico interconectado.</w:t>
      </w:r>
    </w:p>
    <w:p w:rsidR="00F85905" w:rsidRDefault="00F85905" w:rsidP="00F85905">
      <w:pPr>
        <w:pStyle w:val="ListParagraph"/>
        <w:tabs>
          <w:tab w:val="left" w:pos="270"/>
          <w:tab w:val="left" w:pos="360"/>
          <w:tab w:val="left" w:pos="450"/>
          <w:tab w:val="left" w:pos="2085"/>
        </w:tabs>
        <w:spacing w:after="0" w:line="240" w:lineRule="auto"/>
        <w:ind w:left="90"/>
        <w:jc w:val="both"/>
        <w:rPr>
          <w:rFonts w:ascii="Arial" w:hAnsi="Arial" w:cs="Arial"/>
          <w:szCs w:val="24"/>
          <w:lang w:val="es-ES"/>
        </w:rPr>
      </w:pPr>
    </w:p>
    <w:p w:rsidR="00F85905" w:rsidRDefault="00F85905" w:rsidP="00F85905">
      <w:pPr>
        <w:pStyle w:val="ListParagraph"/>
        <w:numPr>
          <w:ilvl w:val="1"/>
          <w:numId w:val="1"/>
        </w:numPr>
        <w:tabs>
          <w:tab w:val="left" w:pos="270"/>
          <w:tab w:val="left" w:pos="360"/>
          <w:tab w:val="left" w:pos="450"/>
          <w:tab w:val="left" w:pos="2085"/>
        </w:tabs>
        <w:spacing w:after="0" w:line="240" w:lineRule="auto"/>
        <w:ind w:left="90"/>
        <w:jc w:val="both"/>
        <w:rPr>
          <w:rFonts w:ascii="Arial" w:hAnsi="Arial" w:cs="Arial"/>
          <w:szCs w:val="24"/>
          <w:lang w:val="es-ES"/>
        </w:rPr>
      </w:pPr>
      <w:r w:rsidRPr="00F85905">
        <w:rPr>
          <w:rFonts w:ascii="Arial" w:hAnsi="Arial" w:cs="Arial"/>
          <w:szCs w:val="24"/>
          <w:lang w:val="es-ES"/>
        </w:rPr>
        <w:t>Uno de los mayores avances en la integración eléctrica regional ha sido el diseño y ejecución del proyecto “Sistema de Interconexión Eléctrica de los Países de América Central” (SIEPAC), la construcción del primer sistema de transmisión regional y la puesta en marcha de un mercado eléctrico competitivo con participación de todos los países centroamericanos.</w:t>
      </w:r>
    </w:p>
    <w:p w:rsidR="00F85905" w:rsidRPr="00F85905" w:rsidRDefault="00F85905" w:rsidP="00F85905">
      <w:pPr>
        <w:pStyle w:val="ListParagraph"/>
        <w:rPr>
          <w:rFonts w:ascii="Arial" w:hAnsi="Arial" w:cs="Arial"/>
          <w:szCs w:val="24"/>
          <w:lang w:val="es-ES"/>
        </w:rPr>
      </w:pPr>
    </w:p>
    <w:p w:rsidR="002E4F28" w:rsidRPr="00F85905" w:rsidRDefault="00F85905" w:rsidP="00F85905">
      <w:pPr>
        <w:pStyle w:val="ListParagraph"/>
        <w:numPr>
          <w:ilvl w:val="1"/>
          <w:numId w:val="1"/>
        </w:numPr>
        <w:tabs>
          <w:tab w:val="left" w:pos="270"/>
          <w:tab w:val="left" w:pos="360"/>
          <w:tab w:val="left" w:pos="450"/>
          <w:tab w:val="left" w:pos="2085"/>
        </w:tabs>
        <w:spacing w:after="0" w:line="240" w:lineRule="auto"/>
        <w:ind w:left="90"/>
        <w:jc w:val="both"/>
        <w:rPr>
          <w:rFonts w:ascii="Arial" w:hAnsi="Arial" w:cs="Arial"/>
          <w:szCs w:val="24"/>
          <w:lang w:val="es-ES"/>
        </w:rPr>
      </w:pPr>
      <w:r w:rsidRPr="00F85905">
        <w:rPr>
          <w:rFonts w:ascii="Arial" w:hAnsi="Arial" w:cs="Arial"/>
          <w:szCs w:val="24"/>
          <w:lang w:val="es-ES"/>
        </w:rPr>
        <w:t>El SIEPAC dio lugar a la construcción de un sistema eléctrico de alto voltaje que conecta todos los países de Centroamérica (Guatemala, Honduras, El Salvador, Nicaragua, Costa Rica, y Panamá. Dio lugar además a la creación de un mercado eléctrico regional mayorista, el Mercado Eléctrico Regional (MER), como base normativa y legal para los intercambios regionales de energía y a la conformación de la Comisión Regional de Interconexión Eléctrica (CRIE) como un órgano regulatorio entre los países que conforman la red SIEPAC.</w:t>
      </w:r>
    </w:p>
    <w:p w:rsidR="00EF07FB" w:rsidRPr="0091406B" w:rsidRDefault="00EF07FB" w:rsidP="000F4BB8">
      <w:pPr>
        <w:spacing w:line="240" w:lineRule="auto"/>
        <w:ind w:left="360"/>
        <w:jc w:val="both"/>
        <w:rPr>
          <w:rFonts w:ascii="Arial" w:hAnsi="Arial" w:cs="Arial"/>
          <w:b/>
          <w:szCs w:val="24"/>
          <w:u w:val="single"/>
          <w:lang w:val="es-ES"/>
        </w:rPr>
      </w:pPr>
    </w:p>
    <w:p w:rsidR="000F4BB8" w:rsidRPr="0091406B" w:rsidRDefault="000F4BB8" w:rsidP="000F4BB8">
      <w:pPr>
        <w:spacing w:line="240" w:lineRule="auto"/>
        <w:ind w:left="360"/>
        <w:jc w:val="both"/>
        <w:rPr>
          <w:rFonts w:ascii="Arial" w:hAnsi="Arial" w:cs="Arial"/>
          <w:b/>
          <w:szCs w:val="24"/>
          <w:u w:val="single"/>
          <w:lang w:val="es-ES"/>
        </w:rPr>
      </w:pPr>
      <w:r w:rsidRPr="0091406B">
        <w:rPr>
          <w:rFonts w:ascii="Arial" w:hAnsi="Arial" w:cs="Arial"/>
          <w:b/>
          <w:szCs w:val="24"/>
          <w:u w:val="single"/>
          <w:lang w:val="es-ES"/>
        </w:rPr>
        <w:t>Contexto Nacional</w:t>
      </w:r>
    </w:p>
    <w:p w:rsidR="00A7720C" w:rsidRDefault="00A7720C" w:rsidP="00A71F47">
      <w:pPr>
        <w:pStyle w:val="ListParagraph"/>
        <w:numPr>
          <w:ilvl w:val="1"/>
          <w:numId w:val="1"/>
        </w:numPr>
        <w:tabs>
          <w:tab w:val="left" w:pos="270"/>
          <w:tab w:val="left" w:pos="360"/>
          <w:tab w:val="left" w:pos="450"/>
          <w:tab w:val="left" w:pos="2085"/>
        </w:tabs>
        <w:spacing w:after="0" w:line="240" w:lineRule="auto"/>
        <w:ind w:left="90"/>
        <w:jc w:val="both"/>
        <w:rPr>
          <w:rFonts w:ascii="Arial" w:hAnsi="Arial" w:cs="Arial"/>
          <w:szCs w:val="24"/>
          <w:lang w:val="es-ES"/>
        </w:rPr>
      </w:pPr>
      <w:r>
        <w:rPr>
          <w:rFonts w:ascii="Arial" w:hAnsi="Arial" w:cs="Arial"/>
          <w:szCs w:val="24"/>
          <w:lang w:val="es-ES"/>
        </w:rPr>
        <w:drawing>
          <wp:anchor distT="0" distB="0" distL="114300" distR="114300" simplePos="0" relativeHeight="251660288" behindDoc="0" locked="0" layoutInCell="1" allowOverlap="1" wp14:editId="6B41066C">
            <wp:simplePos x="0" y="0"/>
            <wp:positionH relativeFrom="margin">
              <wp:align>left</wp:align>
            </wp:positionH>
            <wp:positionV relativeFrom="paragraph">
              <wp:posOffset>925599</wp:posOffset>
            </wp:positionV>
            <wp:extent cx="5954395" cy="2498725"/>
            <wp:effectExtent l="0" t="0" r="8255" b="0"/>
            <wp:wrapTopAndBottom/>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395"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4"/>
          <w:lang w:val="es-ES"/>
        </w:rPr>
        <w:t>E</w:t>
      </w:r>
      <w:r w:rsidRPr="00A7720C">
        <w:rPr>
          <w:rFonts w:ascii="Arial" w:hAnsi="Arial" w:cs="Arial"/>
          <w:szCs w:val="24"/>
          <w:lang w:val="es-ES"/>
        </w:rPr>
        <w:t xml:space="preserve">ntre los principales desafíos que enfrenta el sistema eléctrico de Nicaragua se encuentran el alto costo de la electricidad generada, la falta de consolidación del marco sectorial para la inversión privada y su escasa participación en el mercado regional. Como se observa en la siguiente Gráfica, </w:t>
      </w:r>
      <w:r>
        <w:rPr>
          <w:rFonts w:ascii="Arial" w:hAnsi="Arial" w:cs="Arial"/>
          <w:szCs w:val="24"/>
          <w:lang w:val="es-ES"/>
        </w:rPr>
        <w:t xml:space="preserve">al cierre de 2014 </w:t>
      </w:r>
      <w:r w:rsidRPr="00A7720C">
        <w:rPr>
          <w:rFonts w:ascii="Arial" w:hAnsi="Arial" w:cs="Arial"/>
          <w:szCs w:val="24"/>
          <w:lang w:val="es-ES"/>
        </w:rPr>
        <w:t>la participación de Nicaragua</w:t>
      </w:r>
      <w:r>
        <w:rPr>
          <w:rFonts w:ascii="Arial" w:hAnsi="Arial" w:cs="Arial"/>
          <w:szCs w:val="24"/>
          <w:lang w:val="es-ES"/>
        </w:rPr>
        <w:t xml:space="preserve"> en el mercado regional equivalía</w:t>
      </w:r>
      <w:r w:rsidRPr="00A7720C">
        <w:rPr>
          <w:rFonts w:ascii="Arial" w:hAnsi="Arial" w:cs="Arial"/>
          <w:szCs w:val="24"/>
          <w:lang w:val="es-ES"/>
        </w:rPr>
        <w:t xml:space="preserve"> apenas al 3% del total de energía transada en dicho mercado.</w:t>
      </w:r>
    </w:p>
    <w:p w:rsidR="00A7720C" w:rsidRDefault="00A7720C" w:rsidP="00A7720C">
      <w:pPr>
        <w:pStyle w:val="ListParagraph"/>
        <w:tabs>
          <w:tab w:val="left" w:pos="270"/>
          <w:tab w:val="left" w:pos="360"/>
          <w:tab w:val="left" w:pos="450"/>
          <w:tab w:val="left" w:pos="2085"/>
        </w:tabs>
        <w:spacing w:after="0" w:line="0" w:lineRule="atLeast"/>
        <w:ind w:left="360"/>
        <w:jc w:val="both"/>
        <w:rPr>
          <w:rFonts w:ascii="Arial" w:hAnsi="Arial" w:cs="Arial"/>
          <w:szCs w:val="24"/>
          <w:lang w:val="es-ES"/>
        </w:rPr>
      </w:pPr>
    </w:p>
    <w:p w:rsidR="00A7720C" w:rsidRPr="00A7720C" w:rsidRDefault="00A7720C" w:rsidP="00A7720C">
      <w:pPr>
        <w:pStyle w:val="ListParagraph"/>
        <w:tabs>
          <w:tab w:val="left" w:pos="270"/>
          <w:tab w:val="left" w:pos="360"/>
          <w:tab w:val="left" w:pos="450"/>
          <w:tab w:val="left" w:pos="2085"/>
        </w:tabs>
        <w:spacing w:after="0" w:line="0" w:lineRule="atLeast"/>
        <w:ind w:left="360"/>
        <w:jc w:val="both"/>
        <w:rPr>
          <w:rFonts w:ascii="Arial" w:hAnsi="Arial" w:cs="Arial"/>
          <w:szCs w:val="24"/>
          <w:lang w:val="es-ES"/>
        </w:rPr>
      </w:pPr>
    </w:p>
    <w:p w:rsidR="00963EF1" w:rsidRDefault="00A7720C" w:rsidP="001B0BF8">
      <w:pPr>
        <w:pStyle w:val="ListParagraph"/>
        <w:numPr>
          <w:ilvl w:val="1"/>
          <w:numId w:val="1"/>
        </w:numPr>
        <w:tabs>
          <w:tab w:val="left" w:pos="270"/>
          <w:tab w:val="left" w:pos="360"/>
          <w:tab w:val="left" w:pos="450"/>
          <w:tab w:val="left" w:pos="2085"/>
        </w:tabs>
        <w:spacing w:after="0" w:line="0" w:lineRule="atLeast"/>
        <w:jc w:val="both"/>
        <w:rPr>
          <w:rFonts w:ascii="Arial" w:hAnsi="Arial" w:cs="Arial"/>
          <w:szCs w:val="24"/>
          <w:lang w:val="es-ES"/>
        </w:rPr>
      </w:pPr>
      <w:r w:rsidRPr="00963EF1">
        <w:rPr>
          <w:rFonts w:ascii="Arial" w:hAnsi="Arial" w:cs="Arial"/>
          <w:szCs w:val="24"/>
          <w:lang w:val="es-ES"/>
        </w:rPr>
        <w:t>D</w:t>
      </w:r>
      <w:r w:rsidRPr="00963EF1">
        <w:rPr>
          <w:rFonts w:ascii="Arial" w:hAnsi="Arial" w:cs="Arial"/>
          <w:szCs w:val="24"/>
          <w:lang w:val="es-ES"/>
        </w:rPr>
        <w:t xml:space="preserve">urante el período del 2012 al 2014, </w:t>
      </w:r>
      <w:r w:rsidRPr="00963EF1">
        <w:rPr>
          <w:rFonts w:ascii="Arial" w:hAnsi="Arial" w:cs="Arial"/>
          <w:szCs w:val="24"/>
          <w:lang w:val="es-ES"/>
        </w:rPr>
        <w:t>el gobierno aprobó</w:t>
      </w:r>
      <w:r w:rsidRPr="00963EF1">
        <w:rPr>
          <w:rFonts w:ascii="Arial" w:hAnsi="Arial" w:cs="Arial"/>
          <w:szCs w:val="24"/>
          <w:lang w:val="es-ES"/>
        </w:rPr>
        <w:t xml:space="preserve"> diferentes directrices como por ejemplo: </w:t>
      </w:r>
      <w:r w:rsidRPr="00963EF1">
        <w:rPr>
          <w:rFonts w:ascii="Arial" w:hAnsi="Arial" w:cs="Arial"/>
          <w:szCs w:val="24"/>
          <w:lang w:val="es-ES"/>
        </w:rPr>
        <w:t xml:space="preserve">(a) </w:t>
      </w:r>
      <w:r w:rsidRPr="00963EF1">
        <w:rPr>
          <w:rFonts w:ascii="Arial" w:hAnsi="Arial" w:cs="Arial"/>
          <w:szCs w:val="24"/>
          <w:lang w:val="es-ES"/>
        </w:rPr>
        <w:t>Modificación del Procedimiento de Detalle Complementario al Reglamento del MER para adecuar los sistemas de medición</w:t>
      </w:r>
      <w:r w:rsidRPr="00963EF1">
        <w:rPr>
          <w:rFonts w:ascii="Arial" w:hAnsi="Arial" w:cs="Arial"/>
          <w:szCs w:val="24"/>
          <w:lang w:val="es-ES"/>
        </w:rPr>
        <w:t xml:space="preserve"> comercial del sistema regional; (b) </w:t>
      </w:r>
      <w:r w:rsidRPr="00963EF1">
        <w:rPr>
          <w:rFonts w:ascii="Arial" w:hAnsi="Arial" w:cs="Arial"/>
          <w:szCs w:val="24"/>
          <w:lang w:val="es-ES"/>
        </w:rPr>
        <w:t>Modificaciones a la Normativa de Operación</w:t>
      </w:r>
      <w:r w:rsidRPr="00963EF1">
        <w:rPr>
          <w:rFonts w:ascii="Arial" w:hAnsi="Arial" w:cs="Arial"/>
          <w:szCs w:val="24"/>
          <w:lang w:val="es-ES"/>
        </w:rPr>
        <w:t xml:space="preserve">; (c) </w:t>
      </w:r>
      <w:r w:rsidRPr="00963EF1">
        <w:rPr>
          <w:rFonts w:ascii="Arial" w:hAnsi="Arial" w:cs="Arial"/>
          <w:szCs w:val="24"/>
          <w:lang w:val="es-ES"/>
        </w:rPr>
        <w:t>Metodología Transitoria de C</w:t>
      </w:r>
      <w:r w:rsidRPr="00963EF1">
        <w:rPr>
          <w:rFonts w:ascii="Arial" w:hAnsi="Arial" w:cs="Arial"/>
          <w:szCs w:val="24"/>
          <w:lang w:val="es-ES"/>
        </w:rPr>
        <w:t>á</w:t>
      </w:r>
      <w:r w:rsidRPr="00963EF1">
        <w:rPr>
          <w:rFonts w:ascii="Arial" w:hAnsi="Arial" w:cs="Arial"/>
          <w:szCs w:val="24"/>
          <w:lang w:val="es-ES"/>
        </w:rPr>
        <w:t>lculo, Conciliación, Facturación y Liquidación del Peaje, Cargo Variable de Transmisión y del Cargo Complementario de los Cargos por uso de la red de Transmisión Regional</w:t>
      </w:r>
      <w:r w:rsidRPr="00963EF1">
        <w:rPr>
          <w:rFonts w:ascii="Arial" w:hAnsi="Arial" w:cs="Arial"/>
          <w:szCs w:val="24"/>
          <w:lang w:val="es-ES"/>
        </w:rPr>
        <w:t xml:space="preserve">; (d) </w:t>
      </w:r>
      <w:r w:rsidRPr="00963EF1">
        <w:rPr>
          <w:rFonts w:ascii="Arial" w:hAnsi="Arial" w:cs="Arial"/>
          <w:szCs w:val="24"/>
          <w:lang w:val="es-ES"/>
        </w:rPr>
        <w:t>Procedimiento de Aplicación de los Contratos Regionales con Prioridad de Suministro y Derechos Firmes</w:t>
      </w:r>
      <w:r w:rsidRPr="00963EF1">
        <w:rPr>
          <w:rFonts w:ascii="Arial" w:hAnsi="Arial" w:cs="Arial"/>
          <w:szCs w:val="24"/>
          <w:lang w:val="es-ES"/>
        </w:rPr>
        <w:t xml:space="preserve">; y (e) </w:t>
      </w:r>
      <w:r w:rsidRPr="00963EF1">
        <w:rPr>
          <w:rFonts w:ascii="Arial" w:hAnsi="Arial" w:cs="Arial"/>
          <w:szCs w:val="24"/>
          <w:lang w:val="es-ES"/>
        </w:rPr>
        <w:t>Declaración oficial de la entrada en vigencia del Reglamento del MER y periodo de transición de tres meses</w:t>
      </w:r>
      <w:r w:rsidRPr="00963EF1">
        <w:rPr>
          <w:rFonts w:ascii="Arial" w:hAnsi="Arial" w:cs="Arial"/>
          <w:szCs w:val="24"/>
          <w:lang w:val="es-ES"/>
        </w:rPr>
        <w:t>.</w:t>
      </w:r>
      <w:r w:rsidR="00963EF1">
        <w:rPr>
          <w:rFonts w:ascii="Arial" w:hAnsi="Arial" w:cs="Arial"/>
          <w:szCs w:val="24"/>
          <w:lang w:val="es-ES"/>
        </w:rPr>
        <w:t xml:space="preserve"> </w:t>
      </w:r>
      <w:r w:rsidRPr="00963EF1">
        <w:rPr>
          <w:rFonts w:ascii="Arial" w:hAnsi="Arial" w:cs="Arial"/>
          <w:szCs w:val="24"/>
          <w:lang w:val="es-ES"/>
        </w:rPr>
        <w:t xml:space="preserve">Las anteriores disposiciones </w:t>
      </w:r>
      <w:r w:rsidR="00963EF1" w:rsidRPr="00963EF1">
        <w:rPr>
          <w:rFonts w:ascii="Arial" w:hAnsi="Arial" w:cs="Arial"/>
          <w:szCs w:val="24"/>
          <w:lang w:val="es-ES"/>
        </w:rPr>
        <w:t xml:space="preserve">fueron </w:t>
      </w:r>
      <w:r w:rsidRPr="00963EF1">
        <w:rPr>
          <w:rFonts w:ascii="Arial" w:hAnsi="Arial" w:cs="Arial"/>
          <w:szCs w:val="24"/>
          <w:lang w:val="es-ES"/>
        </w:rPr>
        <w:t xml:space="preserve">complementadas mediante el presente programa, </w:t>
      </w:r>
      <w:r w:rsidR="00963EF1" w:rsidRPr="00963EF1">
        <w:rPr>
          <w:rFonts w:ascii="Arial" w:hAnsi="Arial" w:cs="Arial"/>
          <w:szCs w:val="24"/>
          <w:lang w:val="es-ES"/>
        </w:rPr>
        <w:t>permitiendo</w:t>
      </w:r>
      <w:r w:rsidRPr="00963EF1">
        <w:rPr>
          <w:rFonts w:ascii="Arial" w:hAnsi="Arial" w:cs="Arial"/>
          <w:szCs w:val="24"/>
          <w:lang w:val="es-ES"/>
        </w:rPr>
        <w:t xml:space="preserve"> a Nicaragua adoptar normas y regulaciones necesarias para asegurar la interface entre la regulación nacional y la regulación regional del SIEPAC. </w:t>
      </w:r>
    </w:p>
    <w:p w:rsidR="00963EF1" w:rsidRDefault="00963EF1" w:rsidP="00963EF1">
      <w:pPr>
        <w:pStyle w:val="ListParagraph"/>
        <w:tabs>
          <w:tab w:val="left" w:pos="270"/>
          <w:tab w:val="left" w:pos="360"/>
          <w:tab w:val="left" w:pos="450"/>
          <w:tab w:val="left" w:pos="2085"/>
        </w:tabs>
        <w:spacing w:after="0" w:line="0" w:lineRule="atLeast"/>
        <w:ind w:left="360"/>
        <w:jc w:val="both"/>
        <w:rPr>
          <w:rFonts w:ascii="Arial" w:hAnsi="Arial" w:cs="Arial"/>
          <w:szCs w:val="24"/>
          <w:lang w:val="es-ES"/>
        </w:rPr>
      </w:pPr>
    </w:p>
    <w:p w:rsidR="00A7720C" w:rsidRPr="00963EF1" w:rsidRDefault="00963EF1" w:rsidP="001B0BF8">
      <w:pPr>
        <w:pStyle w:val="ListParagraph"/>
        <w:numPr>
          <w:ilvl w:val="1"/>
          <w:numId w:val="1"/>
        </w:numPr>
        <w:tabs>
          <w:tab w:val="left" w:pos="270"/>
          <w:tab w:val="left" w:pos="360"/>
          <w:tab w:val="left" w:pos="450"/>
          <w:tab w:val="left" w:pos="2085"/>
        </w:tabs>
        <w:spacing w:after="0" w:line="0" w:lineRule="atLeast"/>
        <w:jc w:val="both"/>
        <w:rPr>
          <w:rFonts w:ascii="Arial" w:hAnsi="Arial" w:cs="Arial"/>
          <w:szCs w:val="24"/>
          <w:lang w:val="es-ES"/>
        </w:rPr>
      </w:pPr>
      <w:r w:rsidRPr="00963EF1">
        <w:rPr>
          <w:rFonts w:ascii="Arial" w:hAnsi="Arial" w:cs="Arial"/>
          <w:szCs w:val="24"/>
          <w:lang w:val="es-ES"/>
        </w:rPr>
        <w:t>L</w:t>
      </w:r>
      <w:r w:rsidR="00A7720C" w:rsidRPr="00963EF1">
        <w:rPr>
          <w:rFonts w:ascii="Arial" w:hAnsi="Arial" w:cs="Arial"/>
          <w:szCs w:val="24"/>
          <w:lang w:val="es-ES"/>
        </w:rPr>
        <w:t xml:space="preserve">a profundización del marco regulatorio nacional </w:t>
      </w:r>
      <w:r>
        <w:rPr>
          <w:rFonts w:ascii="Arial" w:hAnsi="Arial" w:cs="Arial"/>
          <w:szCs w:val="24"/>
          <w:lang w:val="es-ES"/>
        </w:rPr>
        <w:t xml:space="preserve">ha tenido y </w:t>
      </w:r>
      <w:r w:rsidR="00A7720C" w:rsidRPr="00963EF1">
        <w:rPr>
          <w:rFonts w:ascii="Arial" w:hAnsi="Arial" w:cs="Arial"/>
          <w:szCs w:val="24"/>
          <w:lang w:val="es-ES"/>
        </w:rPr>
        <w:t>tendrá beneficios directos sobre la inserción del sistema eléctrico nacional en el sistema regional SIEPAC, sino que además la posibilidad de realizar transacciones de energía eléctrica (importaciones en el corto plazo y exportaciones en el largo plazo) implicará (i) menores tarifas de electricidad en Nicaragua  (menores costos de generación en el sistema regional comparados con los costos de la generación local altamente dependiente del precio de los hidrocarburos líquidos), (ii) mayores posibilidades de inversión privada (estabilidad en las reglas operativas y comerciales), y (iii) mayor sostenibilidad financiera de las empresas (menor dependencia del pago de subsidios y, por ende, menor dependencia de las finanzas públicas).</w:t>
      </w:r>
    </w:p>
    <w:p w:rsidR="00E65EF2" w:rsidRPr="0091406B" w:rsidRDefault="00E65EF2" w:rsidP="00A33627">
      <w:pPr>
        <w:pStyle w:val="ListParagraph"/>
        <w:tabs>
          <w:tab w:val="left" w:pos="270"/>
          <w:tab w:val="left" w:pos="360"/>
          <w:tab w:val="left" w:pos="450"/>
          <w:tab w:val="left" w:pos="2085"/>
        </w:tabs>
        <w:spacing w:after="0" w:line="0" w:lineRule="atLeast"/>
        <w:ind w:left="90"/>
        <w:jc w:val="both"/>
        <w:rPr>
          <w:rFonts w:ascii="Arial" w:hAnsi="Arial" w:cs="Arial"/>
          <w:szCs w:val="24"/>
          <w:lang w:val="es-ES_tradnl"/>
        </w:rPr>
      </w:pPr>
    </w:p>
    <w:p w:rsidR="0091406B" w:rsidRPr="0091406B" w:rsidRDefault="0091406B" w:rsidP="0091406B">
      <w:pPr>
        <w:pStyle w:val="ListParagraph"/>
        <w:tabs>
          <w:tab w:val="left" w:pos="270"/>
          <w:tab w:val="left" w:pos="360"/>
          <w:tab w:val="left" w:pos="450"/>
          <w:tab w:val="left" w:pos="2085"/>
        </w:tabs>
        <w:spacing w:after="0" w:line="0" w:lineRule="atLeast"/>
        <w:ind w:left="90"/>
        <w:jc w:val="both"/>
        <w:rPr>
          <w:rFonts w:ascii="Arial" w:hAnsi="Arial" w:cs="Arial"/>
          <w:szCs w:val="24"/>
          <w:lang w:val="es-ES_tradnl"/>
        </w:rPr>
      </w:pPr>
    </w:p>
    <w:p w:rsidR="003C0230" w:rsidRPr="0091406B" w:rsidRDefault="000F4BB8" w:rsidP="003C0230">
      <w:pPr>
        <w:tabs>
          <w:tab w:val="left" w:pos="360"/>
          <w:tab w:val="left" w:pos="450"/>
        </w:tabs>
        <w:spacing w:after="0" w:line="240" w:lineRule="auto"/>
        <w:jc w:val="both"/>
        <w:rPr>
          <w:rFonts w:ascii="Arial" w:hAnsi="Arial" w:cs="Arial"/>
          <w:b/>
          <w:color w:val="1F497D"/>
          <w:szCs w:val="24"/>
          <w:lang w:val="es-ES"/>
        </w:rPr>
      </w:pPr>
      <w:r w:rsidRPr="0091406B">
        <w:rPr>
          <w:rFonts w:ascii="Arial" w:hAnsi="Arial" w:cs="Arial"/>
          <w:b/>
          <w:color w:val="1F497D"/>
          <w:szCs w:val="24"/>
          <w:lang w:val="es-ES"/>
        </w:rPr>
        <w:t>III.</w:t>
      </w:r>
      <w:r w:rsidRPr="0091406B">
        <w:rPr>
          <w:rFonts w:ascii="Arial" w:hAnsi="Arial" w:cs="Arial"/>
          <w:b/>
          <w:color w:val="1F497D"/>
          <w:szCs w:val="24"/>
          <w:lang w:val="es-ES"/>
        </w:rPr>
        <w:tab/>
        <w:t>Aspectos generales de la operación en términos de integración regional</w:t>
      </w:r>
    </w:p>
    <w:p w:rsidR="00C81B2A" w:rsidRPr="0091406B" w:rsidRDefault="00C81B2A" w:rsidP="003C0230">
      <w:pPr>
        <w:tabs>
          <w:tab w:val="left" w:pos="360"/>
          <w:tab w:val="left" w:pos="450"/>
        </w:tabs>
        <w:spacing w:after="0" w:line="240" w:lineRule="auto"/>
        <w:jc w:val="both"/>
        <w:rPr>
          <w:rFonts w:ascii="Arial" w:hAnsi="Arial" w:cs="Arial"/>
          <w:b/>
          <w:color w:val="1F497D"/>
          <w:szCs w:val="24"/>
          <w:lang w:val="es-ES_tradnl"/>
        </w:rPr>
      </w:pPr>
    </w:p>
    <w:p w:rsidR="00716B77" w:rsidRPr="0091406B" w:rsidRDefault="00716B77" w:rsidP="00716B77">
      <w:pPr>
        <w:pStyle w:val="ListParagraph"/>
        <w:numPr>
          <w:ilvl w:val="0"/>
          <w:numId w:val="1"/>
        </w:numPr>
        <w:tabs>
          <w:tab w:val="left" w:pos="270"/>
          <w:tab w:val="left" w:pos="360"/>
          <w:tab w:val="left" w:pos="450"/>
          <w:tab w:val="left" w:pos="2085"/>
        </w:tabs>
        <w:spacing w:after="0" w:line="0" w:lineRule="atLeast"/>
        <w:jc w:val="both"/>
        <w:rPr>
          <w:rFonts w:ascii="Arial" w:hAnsi="Arial" w:cs="Arial"/>
          <w:vanish/>
          <w:szCs w:val="24"/>
          <w:lang w:val="es-ES_tradnl"/>
        </w:rPr>
      </w:pPr>
    </w:p>
    <w:p w:rsidR="0091406B" w:rsidRDefault="0091406B" w:rsidP="0091406B">
      <w:pPr>
        <w:pStyle w:val="ListParagraph"/>
        <w:numPr>
          <w:ilvl w:val="1"/>
          <w:numId w:val="1"/>
        </w:numPr>
        <w:tabs>
          <w:tab w:val="left" w:pos="270"/>
          <w:tab w:val="left" w:pos="360"/>
          <w:tab w:val="left" w:pos="450"/>
          <w:tab w:val="left" w:pos="2085"/>
        </w:tabs>
        <w:spacing w:after="0" w:line="0" w:lineRule="atLeast"/>
        <w:ind w:left="90"/>
        <w:jc w:val="both"/>
        <w:rPr>
          <w:rFonts w:ascii="Arial" w:hAnsi="Arial" w:cs="Arial"/>
          <w:lang w:val="es-ES_tradnl"/>
        </w:rPr>
      </w:pPr>
      <w:r w:rsidRPr="0091406B">
        <w:rPr>
          <w:rFonts w:ascii="Arial" w:hAnsi="Arial" w:cs="Arial"/>
          <w:lang w:val="es-ES_tradnl"/>
        </w:rPr>
        <w:t xml:space="preserve">El objetivo general del programa es apoyar al Gobierno de Nicaragua (GNI) en la consolidación de un marco sectorial que garantice la sostenibilidad financiera y operativa del sector. Esta es la tercera operación de una serie de tres operaciones de Préstamo Programático en Apoyo a Reformas de Políticas (PBP) cuyos objetivos específicos </w:t>
      </w:r>
      <w:r w:rsidR="0070168E">
        <w:rPr>
          <w:rFonts w:ascii="Arial" w:hAnsi="Arial" w:cs="Arial"/>
          <w:lang w:val="es-ES_tradnl"/>
        </w:rPr>
        <w:t xml:space="preserve">incluyen el de </w:t>
      </w:r>
      <w:r w:rsidR="0070168E" w:rsidRPr="00F33318">
        <w:rPr>
          <w:rFonts w:ascii="Arial" w:hAnsi="Arial" w:cs="Arial"/>
          <w:lang w:val="es-ES_tradnl"/>
        </w:rPr>
        <w:t>impulsar la integración regional del sector eléctrico</w:t>
      </w:r>
      <w:r w:rsidR="0070168E">
        <w:rPr>
          <w:rFonts w:ascii="Arial" w:hAnsi="Arial" w:cs="Arial"/>
          <w:lang w:val="es-ES_tradnl"/>
        </w:rPr>
        <w:t xml:space="preserve">. Otros objetivos específicos </w:t>
      </w:r>
      <w:r w:rsidRPr="0091406B">
        <w:rPr>
          <w:rFonts w:ascii="Arial" w:hAnsi="Arial" w:cs="Arial"/>
          <w:lang w:val="es-ES_tradnl"/>
        </w:rPr>
        <w:t xml:space="preserve">son: (i) estabilidad macroeconómica; (ii) garantizar la sostenibilidad financiera del sector eléctrico; (iii) mejorar la transparencia de los resultados en la gestión del sector; </w:t>
      </w:r>
      <w:r w:rsidR="0070168E">
        <w:rPr>
          <w:rFonts w:ascii="Arial" w:hAnsi="Arial" w:cs="Arial"/>
          <w:lang w:val="es-ES_tradnl"/>
        </w:rPr>
        <w:t xml:space="preserve">y </w:t>
      </w:r>
      <w:r w:rsidRPr="0091406B">
        <w:rPr>
          <w:rFonts w:ascii="Arial" w:hAnsi="Arial" w:cs="Arial"/>
          <w:lang w:val="es-ES_tradnl"/>
        </w:rPr>
        <w:t>(iv) promover una matriz energética sostenible, fomentando las energías renovables, la inversión privada y la eficiencia energética</w:t>
      </w:r>
      <w:r w:rsidR="0070168E">
        <w:rPr>
          <w:rFonts w:ascii="Arial" w:hAnsi="Arial" w:cs="Arial"/>
          <w:lang w:val="es-ES_tradnl"/>
        </w:rPr>
        <w:t>.</w:t>
      </w:r>
    </w:p>
    <w:p w:rsidR="0091406B" w:rsidRPr="0091406B" w:rsidRDefault="0091406B" w:rsidP="00F33318">
      <w:pPr>
        <w:pStyle w:val="ListParagraph"/>
        <w:tabs>
          <w:tab w:val="left" w:pos="270"/>
          <w:tab w:val="left" w:pos="360"/>
          <w:tab w:val="left" w:pos="450"/>
          <w:tab w:val="left" w:pos="2085"/>
        </w:tabs>
        <w:spacing w:after="0" w:line="0" w:lineRule="atLeast"/>
        <w:ind w:left="90"/>
        <w:jc w:val="both"/>
        <w:rPr>
          <w:rFonts w:ascii="Arial" w:hAnsi="Arial" w:cs="Arial"/>
          <w:lang w:val="es-ES_tradnl"/>
        </w:rPr>
      </w:pPr>
    </w:p>
    <w:p w:rsidR="0070168E" w:rsidRDefault="004F2854" w:rsidP="0070168E">
      <w:pPr>
        <w:pStyle w:val="ListParagraph"/>
        <w:numPr>
          <w:ilvl w:val="1"/>
          <w:numId w:val="1"/>
        </w:numPr>
        <w:tabs>
          <w:tab w:val="left" w:pos="270"/>
          <w:tab w:val="left" w:pos="360"/>
          <w:tab w:val="left" w:pos="450"/>
          <w:tab w:val="left" w:pos="2085"/>
        </w:tabs>
        <w:spacing w:after="0" w:line="0" w:lineRule="atLeast"/>
        <w:ind w:left="90"/>
        <w:jc w:val="both"/>
        <w:rPr>
          <w:rFonts w:ascii="Arial" w:hAnsi="Arial" w:cs="Arial"/>
          <w:lang w:val="es-ES_tradnl"/>
        </w:rPr>
      </w:pPr>
      <w:r>
        <w:rPr>
          <w:rFonts w:ascii="Arial" w:hAnsi="Arial" w:cs="Arial"/>
          <w:lang w:val="es-ES_tradnl"/>
        </w:rPr>
        <w:t xml:space="preserve">El </w:t>
      </w:r>
      <w:r w:rsidR="0091406B" w:rsidRPr="00F33318">
        <w:rPr>
          <w:rFonts w:ascii="Arial" w:hAnsi="Arial" w:cs="Arial"/>
          <w:lang w:val="es-ES_tradnl"/>
        </w:rPr>
        <w:t>Componente V</w:t>
      </w:r>
      <w:r w:rsidRPr="00F33318">
        <w:rPr>
          <w:rFonts w:ascii="Arial" w:hAnsi="Arial" w:cs="Arial"/>
          <w:lang w:val="es-ES_tradnl"/>
        </w:rPr>
        <w:t xml:space="preserve"> -</w:t>
      </w:r>
      <w:r w:rsidR="0091406B" w:rsidRPr="00F33318">
        <w:rPr>
          <w:rFonts w:ascii="Arial" w:hAnsi="Arial" w:cs="Arial"/>
          <w:lang w:val="es-ES_tradnl"/>
        </w:rPr>
        <w:t xml:space="preserve"> Impulso a la integración regional del sector eléctrico</w:t>
      </w:r>
      <w:r>
        <w:rPr>
          <w:rFonts w:ascii="Arial" w:hAnsi="Arial" w:cs="Arial"/>
          <w:lang w:val="es-ES_tradnl"/>
        </w:rPr>
        <w:t xml:space="preserve">, </w:t>
      </w:r>
      <w:r w:rsidR="0091406B" w:rsidRPr="0091406B">
        <w:rPr>
          <w:rFonts w:ascii="Arial" w:hAnsi="Arial" w:cs="Arial"/>
          <w:lang w:val="es-ES_tradnl"/>
        </w:rPr>
        <w:t xml:space="preserve">impulsará la integración eléctrica regional incrementando la participación del sector eléctrico nacional en el mercado eléctrico regional. En este componente, para esta tercera operación del PBP se busca avanzar en el proceso de armonización y adaptación de las regulaciones y normativas nacionales al marco regulatorio regional. En específico, realizar los ajustes a las regulaciones y normativas nacionales que, como resultado de las evaluaciones periódicas que realiza la Comisión Regional de Interconexión Eléctrica (CRIE), resulten necesarios para mantener la adecuada integración de Nicaragua con la regulación regional del sector y para garantizar que la línea del Sistema de Interconexión Eléctrica para los Países de América Central (SIEPAC) mantiene su capacidad de transmisión para el sistema regional. </w:t>
      </w:r>
    </w:p>
    <w:p w:rsidR="0070168E" w:rsidRPr="0070168E" w:rsidRDefault="0070168E" w:rsidP="00F33318">
      <w:pPr>
        <w:pStyle w:val="ListParagraph"/>
        <w:tabs>
          <w:tab w:val="left" w:pos="270"/>
          <w:tab w:val="left" w:pos="360"/>
          <w:tab w:val="left" w:pos="450"/>
          <w:tab w:val="left" w:pos="2085"/>
        </w:tabs>
        <w:spacing w:after="0" w:line="0" w:lineRule="atLeast"/>
        <w:ind w:left="90"/>
        <w:jc w:val="both"/>
        <w:rPr>
          <w:rFonts w:ascii="Arial" w:hAnsi="Arial" w:cs="Arial"/>
          <w:lang w:val="es-ES_tradnl"/>
        </w:rPr>
      </w:pPr>
    </w:p>
    <w:p w:rsidR="0070168E" w:rsidRDefault="004F2854" w:rsidP="0070168E">
      <w:pPr>
        <w:pStyle w:val="ListParagraph"/>
        <w:numPr>
          <w:ilvl w:val="1"/>
          <w:numId w:val="1"/>
        </w:numPr>
        <w:tabs>
          <w:tab w:val="left" w:pos="270"/>
          <w:tab w:val="left" w:pos="360"/>
          <w:tab w:val="left" w:pos="450"/>
          <w:tab w:val="left" w:pos="2085"/>
        </w:tabs>
        <w:spacing w:after="0" w:line="0" w:lineRule="atLeast"/>
        <w:ind w:left="90"/>
        <w:jc w:val="both"/>
        <w:rPr>
          <w:rFonts w:ascii="Arial" w:hAnsi="Arial" w:cs="Arial"/>
          <w:lang w:val="es-ES_tradnl"/>
        </w:rPr>
      </w:pPr>
      <w:r w:rsidRPr="0070168E">
        <w:rPr>
          <w:rFonts w:ascii="Arial" w:hAnsi="Arial" w:cs="Arial"/>
          <w:lang w:val="es-ES_tradnl"/>
        </w:rPr>
        <w:t xml:space="preserve">La Matriz de Resultados describe los resultados esperados y los indicadores asociados al </w:t>
      </w:r>
      <w:r w:rsidR="00F33318">
        <w:rPr>
          <w:rFonts w:ascii="Arial" w:hAnsi="Arial" w:cs="Arial"/>
          <w:lang w:val="es-ES_tradnl"/>
        </w:rPr>
        <w:t>P</w:t>
      </w:r>
      <w:r w:rsidRPr="0070168E">
        <w:rPr>
          <w:rFonts w:ascii="Arial" w:hAnsi="Arial" w:cs="Arial"/>
          <w:lang w:val="es-ES_tradnl"/>
        </w:rPr>
        <w:t xml:space="preserve">rograma, los cuales evalúan los progresos alcanzados a través de la implementación de las tres operaciones del PBP. El indicador asociado </w:t>
      </w:r>
      <w:r w:rsidR="00F33318">
        <w:rPr>
          <w:rFonts w:ascii="Arial" w:hAnsi="Arial" w:cs="Arial"/>
          <w:lang w:val="es-ES_tradnl"/>
        </w:rPr>
        <w:t xml:space="preserve">a integración regional </w:t>
      </w:r>
      <w:r w:rsidR="0070168E" w:rsidRPr="0070168E">
        <w:rPr>
          <w:rFonts w:ascii="Arial" w:hAnsi="Arial" w:cs="Arial"/>
          <w:lang w:val="es-ES_tradnl"/>
        </w:rPr>
        <w:t xml:space="preserve">es el </w:t>
      </w:r>
      <w:r w:rsidRPr="0070168E">
        <w:rPr>
          <w:rFonts w:ascii="Arial" w:hAnsi="Arial" w:cs="Arial"/>
          <w:lang w:val="es-ES_tradnl"/>
        </w:rPr>
        <w:t>incremento del intercambio eléctrico de Nicaragua en el MER</w:t>
      </w:r>
      <w:r w:rsidR="0070168E" w:rsidRPr="0070168E">
        <w:rPr>
          <w:rFonts w:ascii="Arial" w:hAnsi="Arial" w:cs="Arial"/>
          <w:lang w:val="es-ES_tradnl"/>
        </w:rPr>
        <w:t xml:space="preserve"> siendo la meta pasar de 55,049 MWh en 2015 a alcanzar 100,000 MWh en 2016.</w:t>
      </w:r>
    </w:p>
    <w:p w:rsidR="0070168E" w:rsidRPr="0070168E" w:rsidRDefault="0070168E" w:rsidP="00F33318">
      <w:pPr>
        <w:pStyle w:val="ListParagraph"/>
        <w:tabs>
          <w:tab w:val="left" w:pos="270"/>
          <w:tab w:val="left" w:pos="360"/>
          <w:tab w:val="left" w:pos="450"/>
          <w:tab w:val="left" w:pos="2085"/>
        </w:tabs>
        <w:spacing w:after="0" w:line="0" w:lineRule="atLeast"/>
        <w:ind w:left="90"/>
        <w:jc w:val="both"/>
        <w:rPr>
          <w:rFonts w:ascii="Arial" w:hAnsi="Arial" w:cs="Arial"/>
          <w:lang w:val="es-ES_tradnl"/>
        </w:rPr>
      </w:pPr>
    </w:p>
    <w:p w:rsidR="00C763FF" w:rsidRPr="00F33318" w:rsidRDefault="00C763FF" w:rsidP="00C763FF">
      <w:pPr>
        <w:pStyle w:val="ListParagraph"/>
        <w:numPr>
          <w:ilvl w:val="1"/>
          <w:numId w:val="1"/>
        </w:numPr>
        <w:tabs>
          <w:tab w:val="left" w:pos="270"/>
          <w:tab w:val="left" w:pos="360"/>
          <w:tab w:val="left" w:pos="450"/>
          <w:tab w:val="left" w:pos="2085"/>
        </w:tabs>
        <w:spacing w:after="0" w:line="0" w:lineRule="atLeast"/>
        <w:ind w:left="90"/>
        <w:jc w:val="both"/>
        <w:rPr>
          <w:rFonts w:ascii="Arial" w:hAnsi="Arial" w:cs="Arial"/>
          <w:lang w:val="es-ES_tradnl"/>
        </w:rPr>
      </w:pPr>
      <w:r>
        <w:rPr>
          <w:rFonts w:ascii="Arial" w:hAnsi="Arial" w:cs="Arial"/>
          <w:lang w:val="es-ES_tradnl"/>
        </w:rPr>
        <w:t>En cumplimiento de l</w:t>
      </w:r>
      <w:r w:rsidRPr="00F33318">
        <w:rPr>
          <w:rFonts w:ascii="Arial" w:hAnsi="Arial" w:cs="Arial"/>
          <w:lang w:val="es-ES_tradnl"/>
        </w:rPr>
        <w:t xml:space="preserve">os compromisos de política </w:t>
      </w:r>
      <w:r w:rsidR="0091406B" w:rsidRPr="0070168E">
        <w:rPr>
          <w:rFonts w:ascii="Arial" w:hAnsi="Arial" w:cs="Arial"/>
          <w:lang w:val="es-ES_tradnl"/>
        </w:rPr>
        <w:t xml:space="preserve">establecidos para </w:t>
      </w:r>
      <w:r w:rsidR="00F33318">
        <w:rPr>
          <w:rFonts w:ascii="Arial" w:hAnsi="Arial" w:cs="Arial"/>
          <w:lang w:val="es-ES_tradnl"/>
        </w:rPr>
        <w:t xml:space="preserve">los tres </w:t>
      </w:r>
      <w:r w:rsidR="0091406B" w:rsidRPr="0070168E">
        <w:rPr>
          <w:rFonts w:ascii="Arial" w:hAnsi="Arial" w:cs="Arial"/>
          <w:lang w:val="es-ES_tradnl"/>
        </w:rPr>
        <w:t>PBP</w:t>
      </w:r>
      <w:r w:rsidR="00F33318">
        <w:rPr>
          <w:rFonts w:ascii="Arial" w:hAnsi="Arial" w:cs="Arial"/>
          <w:lang w:val="es-ES_tradnl"/>
        </w:rPr>
        <w:t xml:space="preserve"> asociados a la dimensión de integración regional: (i)</w:t>
      </w:r>
      <w:r>
        <w:rPr>
          <w:rFonts w:ascii="Arial" w:hAnsi="Arial" w:cs="Arial"/>
          <w:lang w:val="es-ES_tradnl"/>
        </w:rPr>
        <w:t xml:space="preserve"> </w:t>
      </w:r>
      <w:r>
        <w:rPr>
          <w:rFonts w:ascii="Arial" w:hAnsi="Arial" w:cs="Arial"/>
          <w:lang w:val="es-ES_tradnl"/>
        </w:rPr>
        <w:t>se ha</w:t>
      </w:r>
      <w:r w:rsidR="00F33318">
        <w:rPr>
          <w:rFonts w:ascii="Arial" w:hAnsi="Arial" w:cs="Arial"/>
          <w:lang w:val="es-ES_tradnl"/>
        </w:rPr>
        <w:t xml:space="preserve"> </w:t>
      </w:r>
      <w:r>
        <w:rPr>
          <w:rFonts w:ascii="Arial" w:hAnsi="Arial" w:cs="Arial"/>
          <w:lang w:val="es-ES_tradnl"/>
        </w:rPr>
        <w:t>adoptado</w:t>
      </w:r>
      <w:r w:rsidR="00F33318" w:rsidRPr="00F33318">
        <w:rPr>
          <w:rFonts w:ascii="Arial" w:hAnsi="Arial" w:cs="Arial"/>
          <w:lang w:val="es-ES_tradnl"/>
        </w:rPr>
        <w:t xml:space="preserve"> la </w:t>
      </w:r>
      <w:r>
        <w:rPr>
          <w:rFonts w:ascii="Arial" w:hAnsi="Arial" w:cs="Arial"/>
          <w:lang w:val="es-ES_tradnl"/>
        </w:rPr>
        <w:t>n</w:t>
      </w:r>
      <w:r w:rsidR="00F33318" w:rsidRPr="00F33318">
        <w:rPr>
          <w:rFonts w:ascii="Arial" w:hAnsi="Arial" w:cs="Arial"/>
          <w:lang w:val="es-ES_tradnl"/>
        </w:rPr>
        <w:t xml:space="preserve">ormativa de </w:t>
      </w:r>
      <w:r>
        <w:rPr>
          <w:rFonts w:ascii="Arial" w:hAnsi="Arial" w:cs="Arial"/>
          <w:lang w:val="es-ES_tradnl"/>
        </w:rPr>
        <w:t>o</w:t>
      </w:r>
      <w:r w:rsidR="00F33318" w:rsidRPr="00F33318">
        <w:rPr>
          <w:rFonts w:ascii="Arial" w:hAnsi="Arial" w:cs="Arial"/>
          <w:lang w:val="es-ES_tradnl"/>
        </w:rPr>
        <w:t xml:space="preserve">peración que establece las reglas de carácter operativo del Sistema Interconectado nacional (SIN) y el Sistema Nacional de Transmisión (SNT), las reglas de carácter comercial del mercado eléctrico mayorista y las interfaces necesarias para armonizar la normativa nacional con la reglamentación regional, </w:t>
      </w:r>
      <w:r w:rsidR="00F33318">
        <w:rPr>
          <w:rFonts w:ascii="Arial" w:hAnsi="Arial" w:cs="Arial"/>
          <w:lang w:val="es-ES_tradnl"/>
        </w:rPr>
        <w:t>con el fin de</w:t>
      </w:r>
      <w:r w:rsidR="00F33318" w:rsidRPr="00F33318">
        <w:rPr>
          <w:rFonts w:ascii="Arial" w:hAnsi="Arial" w:cs="Arial"/>
          <w:lang w:val="es-ES_tradnl"/>
        </w:rPr>
        <w:t xml:space="preserve"> operar en forma coordinada con el Reglamento</w:t>
      </w:r>
      <w:r w:rsidR="00F33318">
        <w:rPr>
          <w:rFonts w:ascii="Arial" w:hAnsi="Arial" w:cs="Arial"/>
          <w:lang w:val="es-ES_tradnl"/>
        </w:rPr>
        <w:t xml:space="preserve"> del Mercado Eléctrico Regional; y (ii) </w:t>
      </w:r>
      <w:r>
        <w:rPr>
          <w:rFonts w:ascii="Arial" w:hAnsi="Arial" w:cs="Arial"/>
          <w:lang w:val="es-ES_tradnl"/>
        </w:rPr>
        <w:t xml:space="preserve">se </w:t>
      </w:r>
      <w:r w:rsidRPr="00F33318">
        <w:rPr>
          <w:rFonts w:ascii="Arial" w:hAnsi="Arial" w:cs="Arial"/>
          <w:lang w:val="es-ES_tradnl"/>
        </w:rPr>
        <w:t xml:space="preserve">han realizado los ajustes a las regulaciones y normativas nacionales que, como resultado de las evaluaciones periódicas que realiza la Comisión Regional de Interconexión Eléctrica (CRIE), </w:t>
      </w:r>
      <w:r>
        <w:rPr>
          <w:rFonts w:ascii="Arial" w:hAnsi="Arial" w:cs="Arial"/>
          <w:lang w:val="es-ES_tradnl"/>
        </w:rPr>
        <w:t xml:space="preserve">se identificaron como </w:t>
      </w:r>
      <w:r w:rsidRPr="00F33318">
        <w:rPr>
          <w:rFonts w:ascii="Arial" w:hAnsi="Arial" w:cs="Arial"/>
          <w:lang w:val="es-ES_tradnl"/>
        </w:rPr>
        <w:t>necesarios para mantener la adecuada integración de Nicaragua con la regulación regional del sector y para garantizar que la línea SIEPAC mantiene su capacidad de transmisión para el sistema regional.</w:t>
      </w:r>
    </w:p>
    <w:p w:rsidR="00CD2333" w:rsidRPr="0091406B" w:rsidRDefault="00CD2333" w:rsidP="00181BBF">
      <w:pPr>
        <w:pStyle w:val="ListParagraph"/>
        <w:tabs>
          <w:tab w:val="left" w:pos="270"/>
          <w:tab w:val="left" w:pos="360"/>
          <w:tab w:val="left" w:pos="450"/>
          <w:tab w:val="left" w:pos="2085"/>
        </w:tabs>
        <w:spacing w:after="0" w:line="0" w:lineRule="atLeast"/>
        <w:ind w:left="90"/>
        <w:jc w:val="both"/>
        <w:rPr>
          <w:rFonts w:ascii="Arial" w:hAnsi="Arial" w:cs="Arial"/>
          <w:szCs w:val="24"/>
          <w:lang w:val="es-ES_tradnl"/>
        </w:rPr>
      </w:pPr>
    </w:p>
    <w:p w:rsidR="00B00E16" w:rsidRPr="0091406B" w:rsidRDefault="00B00E16" w:rsidP="00B00E16">
      <w:pPr>
        <w:tabs>
          <w:tab w:val="left" w:pos="270"/>
          <w:tab w:val="left" w:pos="360"/>
          <w:tab w:val="left" w:pos="450"/>
          <w:tab w:val="left" w:pos="2085"/>
        </w:tabs>
        <w:spacing w:after="0" w:line="240" w:lineRule="auto"/>
        <w:jc w:val="both"/>
        <w:rPr>
          <w:rFonts w:ascii="Arial" w:hAnsi="Arial" w:cs="Arial"/>
          <w:szCs w:val="24"/>
          <w:lang w:val="es-ES_tradnl"/>
        </w:rPr>
      </w:pPr>
    </w:p>
    <w:p w:rsidR="00D5432A" w:rsidRPr="0091406B" w:rsidRDefault="00D5432A" w:rsidP="00D5432A">
      <w:pPr>
        <w:tabs>
          <w:tab w:val="left" w:pos="360"/>
          <w:tab w:val="left" w:pos="450"/>
        </w:tabs>
        <w:spacing w:after="0" w:line="240" w:lineRule="auto"/>
        <w:jc w:val="both"/>
        <w:rPr>
          <w:rFonts w:ascii="Arial" w:hAnsi="Arial" w:cs="Arial"/>
          <w:b/>
          <w:color w:val="1F497D"/>
          <w:szCs w:val="24"/>
          <w:lang w:val="es-ES"/>
        </w:rPr>
      </w:pPr>
      <w:r w:rsidRPr="0091406B">
        <w:rPr>
          <w:rFonts w:ascii="Arial" w:hAnsi="Arial" w:cs="Arial"/>
          <w:b/>
          <w:color w:val="1F497D"/>
          <w:szCs w:val="24"/>
          <w:lang w:val="es-ES"/>
        </w:rPr>
        <w:t>IV.</w:t>
      </w:r>
      <w:r w:rsidRPr="0091406B">
        <w:rPr>
          <w:rFonts w:ascii="Arial" w:hAnsi="Arial" w:cs="Arial"/>
          <w:b/>
          <w:color w:val="1F497D"/>
          <w:szCs w:val="24"/>
          <w:lang w:val="es-ES"/>
        </w:rPr>
        <w:tab/>
        <w:t>Validación de criterios en el marco de la estrategia de integración.</w:t>
      </w:r>
    </w:p>
    <w:p w:rsidR="00D5432A" w:rsidRPr="0091406B" w:rsidRDefault="00D5432A" w:rsidP="00D5432A">
      <w:pPr>
        <w:shd w:val="clear" w:color="auto" w:fill="FFFFFF"/>
        <w:tabs>
          <w:tab w:val="left" w:pos="270"/>
          <w:tab w:val="left" w:pos="360"/>
          <w:tab w:val="left" w:pos="450"/>
          <w:tab w:val="left" w:pos="2085"/>
        </w:tabs>
        <w:autoSpaceDE w:val="0"/>
        <w:autoSpaceDN w:val="0"/>
        <w:adjustRightInd w:val="0"/>
        <w:spacing w:after="0" w:line="240" w:lineRule="auto"/>
        <w:jc w:val="both"/>
        <w:rPr>
          <w:rFonts w:ascii="Arial" w:hAnsi="Arial" w:cs="Arial"/>
          <w:szCs w:val="24"/>
          <w:lang w:val="es-ES"/>
        </w:rPr>
      </w:pPr>
    </w:p>
    <w:p w:rsidR="00D5432A" w:rsidRPr="0091406B" w:rsidRDefault="00D5432A" w:rsidP="00D5432A">
      <w:pPr>
        <w:pStyle w:val="ListParagraph"/>
        <w:numPr>
          <w:ilvl w:val="0"/>
          <w:numId w:val="1"/>
        </w:numPr>
        <w:shd w:val="clear" w:color="auto" w:fill="FFFFFF"/>
        <w:tabs>
          <w:tab w:val="left" w:pos="270"/>
          <w:tab w:val="left" w:pos="360"/>
          <w:tab w:val="left" w:pos="450"/>
          <w:tab w:val="left" w:pos="2085"/>
        </w:tabs>
        <w:autoSpaceDE w:val="0"/>
        <w:autoSpaceDN w:val="0"/>
        <w:adjustRightInd w:val="0"/>
        <w:spacing w:after="0" w:line="240" w:lineRule="auto"/>
        <w:jc w:val="both"/>
        <w:rPr>
          <w:rFonts w:ascii="Arial" w:hAnsi="Arial" w:cs="Arial"/>
          <w:vanish/>
          <w:lang w:val="es-ES_tradnl"/>
        </w:rPr>
      </w:pPr>
    </w:p>
    <w:p w:rsidR="00A33627" w:rsidRDefault="001A1A15" w:rsidP="00A33627">
      <w:pPr>
        <w:pStyle w:val="ListParagraph"/>
        <w:numPr>
          <w:ilvl w:val="1"/>
          <w:numId w:val="1"/>
        </w:numPr>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Arial" w:hAnsi="Arial" w:cs="Arial"/>
          <w:lang w:val="es-ES_tradnl"/>
        </w:rPr>
      </w:pPr>
      <w:r w:rsidRPr="0091406B">
        <w:rPr>
          <w:rFonts w:ascii="Arial" w:hAnsi="Arial" w:cs="Arial"/>
          <w:lang w:val="es-ES_tradnl"/>
        </w:rPr>
        <w:t xml:space="preserve">Esta operación es consistente con la Actualización de la Estrategia Institucional (UIS) 2010-2020 (GN-2788-5) y se alinea con </w:t>
      </w:r>
      <w:r w:rsidR="00A33627" w:rsidRPr="00A33627">
        <w:rPr>
          <w:rFonts w:ascii="Arial" w:eastAsia="MS Mincho" w:hAnsi="Arial" w:cs="Arial"/>
          <w:bCs/>
          <w:lang w:val="es-ES_tradnl" w:eastAsia="ja-JP"/>
        </w:rPr>
        <w:t xml:space="preserve">el </w:t>
      </w:r>
      <w:r w:rsidR="00A33627" w:rsidRPr="00A33627">
        <w:rPr>
          <w:rFonts w:ascii="Arial" w:eastAsia="MS Mincho" w:hAnsi="Arial" w:cs="Arial"/>
          <w:b/>
          <w:bCs/>
          <w:i/>
          <w:lang w:val="es-ES_tradnl" w:eastAsia="ja-JP"/>
        </w:rPr>
        <w:t>Desafío Regional de Integración Económica</w:t>
      </w:r>
      <w:r w:rsidR="00A33627" w:rsidRPr="00A33627">
        <w:rPr>
          <w:rFonts w:ascii="Arial" w:eastAsia="MS Mincho" w:hAnsi="Arial" w:cs="Arial"/>
          <w:bCs/>
          <w:lang w:val="es-ES_tradnl" w:eastAsia="ja-JP"/>
        </w:rPr>
        <w:t xml:space="preserve"> </w:t>
      </w:r>
      <w:r w:rsidR="00A33627">
        <w:rPr>
          <w:rFonts w:ascii="Arial" w:eastAsia="MS Mincho" w:hAnsi="Arial" w:cs="Arial"/>
          <w:bCs/>
          <w:lang w:val="es-ES_tradnl" w:eastAsia="ja-JP"/>
        </w:rPr>
        <w:t xml:space="preserve">ya que </w:t>
      </w:r>
      <w:r w:rsidR="00A33627" w:rsidRPr="00A33627">
        <w:rPr>
          <w:rFonts w:ascii="Arial" w:hAnsi="Arial" w:cs="Arial"/>
          <w:lang w:val="es-ES_tradnl"/>
        </w:rPr>
        <w:t xml:space="preserve">busca la continuidad </w:t>
      </w:r>
      <w:r w:rsidR="00A33627">
        <w:rPr>
          <w:rFonts w:ascii="Arial" w:hAnsi="Arial" w:cs="Arial"/>
          <w:lang w:val="es-ES_tradnl"/>
        </w:rPr>
        <w:t xml:space="preserve">y profundización </w:t>
      </w:r>
      <w:r w:rsidR="00A33627" w:rsidRPr="00A33627">
        <w:rPr>
          <w:rFonts w:ascii="Arial" w:hAnsi="Arial" w:cs="Arial"/>
          <w:lang w:val="es-ES_tradnl"/>
        </w:rPr>
        <w:t xml:space="preserve">de las reformas institucionales y normativas del sector eléctrico que permitan alcanzar el objetivo de </w:t>
      </w:r>
      <w:r w:rsidR="00A33627" w:rsidRPr="00A33627">
        <w:rPr>
          <w:rFonts w:ascii="Arial" w:hAnsi="Arial" w:cs="Arial"/>
          <w:b/>
          <w:lang w:val="es-ES_tradnl"/>
        </w:rPr>
        <w:t>impulsar la integración regional del sector eléctrico</w:t>
      </w:r>
      <w:r w:rsidR="00A33627" w:rsidRPr="00A33627">
        <w:rPr>
          <w:rFonts w:ascii="Arial" w:hAnsi="Arial" w:cs="Arial"/>
          <w:lang w:val="es-ES_tradnl"/>
        </w:rPr>
        <w:t xml:space="preserve">. Esto mediante </w:t>
      </w:r>
      <w:r w:rsidR="00A33627">
        <w:rPr>
          <w:rFonts w:ascii="Arial" w:hAnsi="Arial" w:cs="Arial"/>
          <w:lang w:val="es-ES_tradnl"/>
        </w:rPr>
        <w:t>la aprobación</w:t>
      </w:r>
      <w:r w:rsidR="00A33627" w:rsidRPr="00A33627">
        <w:rPr>
          <w:rFonts w:ascii="Arial" w:hAnsi="Arial" w:cs="Arial"/>
          <w:lang w:val="es-ES_tradnl"/>
        </w:rPr>
        <w:t xml:space="preserve"> por </w:t>
      </w:r>
      <w:r w:rsidR="00A33627">
        <w:rPr>
          <w:rFonts w:ascii="Arial" w:hAnsi="Arial" w:cs="Arial"/>
          <w:lang w:val="es-ES_tradnl"/>
        </w:rPr>
        <w:t>parte d</w:t>
      </w:r>
      <w:r w:rsidR="00A33627" w:rsidRPr="00A33627">
        <w:rPr>
          <w:rFonts w:ascii="Arial" w:hAnsi="Arial" w:cs="Arial"/>
          <w:lang w:val="es-ES_tradnl"/>
        </w:rPr>
        <w:t xml:space="preserve">el Gabinete de Energía </w:t>
      </w:r>
      <w:r w:rsidR="00A33627">
        <w:rPr>
          <w:rFonts w:ascii="Arial" w:hAnsi="Arial" w:cs="Arial"/>
          <w:lang w:val="es-ES_tradnl"/>
        </w:rPr>
        <w:t xml:space="preserve">de </w:t>
      </w:r>
      <w:r w:rsidR="00A33627" w:rsidRPr="00A33627">
        <w:rPr>
          <w:rFonts w:ascii="Arial" w:hAnsi="Arial" w:cs="Arial"/>
          <w:lang w:val="es-ES_tradnl"/>
        </w:rPr>
        <w:t xml:space="preserve">acciones </w:t>
      </w:r>
      <w:r w:rsidR="00A33627">
        <w:rPr>
          <w:rFonts w:ascii="Arial" w:hAnsi="Arial" w:cs="Arial"/>
          <w:lang w:val="es-ES_tradnl"/>
        </w:rPr>
        <w:t xml:space="preserve">y medidas </w:t>
      </w:r>
      <w:r w:rsidR="00A33627" w:rsidRPr="00A33627">
        <w:rPr>
          <w:rFonts w:ascii="Arial" w:hAnsi="Arial" w:cs="Arial"/>
          <w:lang w:val="es-ES_tradnl"/>
        </w:rPr>
        <w:t>para mejorar los procesos en la contratación de energía y potencia en el mercado mayorista como estímulo a la inversión privada</w:t>
      </w:r>
      <w:r w:rsidR="00A33627">
        <w:rPr>
          <w:rFonts w:ascii="Arial" w:hAnsi="Arial" w:cs="Arial"/>
          <w:lang w:val="es-ES_tradnl"/>
        </w:rPr>
        <w:t>,</w:t>
      </w:r>
      <w:r w:rsidR="00A33627" w:rsidRPr="00A33627">
        <w:rPr>
          <w:rFonts w:ascii="Arial" w:hAnsi="Arial" w:cs="Arial"/>
          <w:lang w:val="es-ES_tradnl"/>
        </w:rPr>
        <w:t xml:space="preserve"> incluyendo la introducción de condiciones de participación en el mercado eléctrico regional</w:t>
      </w:r>
      <w:r w:rsidR="00A33627">
        <w:rPr>
          <w:rFonts w:ascii="Arial" w:hAnsi="Arial" w:cs="Arial"/>
          <w:lang w:val="es-ES_tradnl"/>
        </w:rPr>
        <w:t>.</w:t>
      </w:r>
      <w:r w:rsidR="00A33627" w:rsidRPr="00A33627">
        <w:rPr>
          <w:rFonts w:ascii="Arial" w:hAnsi="Arial" w:cs="Arial"/>
          <w:lang w:val="es-ES_tradnl"/>
        </w:rPr>
        <w:t xml:space="preserve"> </w:t>
      </w:r>
    </w:p>
    <w:p w:rsidR="00A33627" w:rsidRDefault="00A33627" w:rsidP="00A33627">
      <w:pPr>
        <w:pStyle w:val="ListParagraph"/>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Arial" w:hAnsi="Arial" w:cs="Arial"/>
          <w:lang w:val="es-ES_tradnl"/>
        </w:rPr>
      </w:pPr>
    </w:p>
    <w:p w:rsidR="00A33627" w:rsidRDefault="00A33627" w:rsidP="00A33627">
      <w:pPr>
        <w:pStyle w:val="ListParagraph"/>
        <w:numPr>
          <w:ilvl w:val="1"/>
          <w:numId w:val="1"/>
        </w:numPr>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Arial" w:eastAsia="MS Mincho" w:hAnsi="Arial" w:cs="Arial"/>
          <w:bCs/>
          <w:lang w:val="es-ES_tradnl" w:eastAsia="ja-JP"/>
        </w:rPr>
      </w:pPr>
      <w:r>
        <w:rPr>
          <w:rFonts w:ascii="Arial" w:eastAsia="MS Mincho" w:hAnsi="Arial" w:cs="Arial"/>
          <w:bCs/>
          <w:lang w:val="es-ES_tradnl" w:eastAsia="ja-JP"/>
        </w:rPr>
        <w:t>Los resultados que se derivan de la profundización del marco normativo y regulatorio, se reflejan en l</w:t>
      </w:r>
      <w:r w:rsidRPr="00A33627">
        <w:rPr>
          <w:rFonts w:ascii="Arial" w:eastAsia="MS Mincho" w:hAnsi="Arial" w:cs="Arial"/>
          <w:bCs/>
          <w:lang w:val="es-ES_tradnl" w:eastAsia="ja-JP"/>
        </w:rPr>
        <w:t xml:space="preserve">a Matriz de Resultados a través del indicador </w:t>
      </w:r>
      <w:r w:rsidRPr="00A33627">
        <w:rPr>
          <w:rFonts w:ascii="Arial" w:hAnsi="Arial" w:cs="Arial"/>
          <w:b/>
          <w:lang w:val="es-ES_tradnl"/>
        </w:rPr>
        <w:t>I</w:t>
      </w:r>
      <w:r w:rsidRPr="00A33627">
        <w:rPr>
          <w:rFonts w:ascii="Arial" w:hAnsi="Arial" w:cs="Arial"/>
          <w:b/>
          <w:lang w:val="es-ES_tradnl"/>
        </w:rPr>
        <w:t>ncremento del intercambio eléctrico de Nicaragua en el MER</w:t>
      </w:r>
      <w:r w:rsidRPr="00A33627">
        <w:rPr>
          <w:rFonts w:ascii="Arial" w:eastAsia="MS Mincho" w:hAnsi="Arial" w:cs="Arial"/>
          <w:bCs/>
          <w:lang w:val="es-ES_tradnl" w:eastAsia="ja-JP"/>
        </w:rPr>
        <w:t>.</w:t>
      </w:r>
    </w:p>
    <w:p w:rsidR="00F000F6" w:rsidRPr="00F000F6" w:rsidRDefault="00F000F6" w:rsidP="00F000F6">
      <w:pPr>
        <w:pStyle w:val="ListParagraph"/>
        <w:rPr>
          <w:rFonts w:ascii="Arial" w:eastAsia="MS Mincho" w:hAnsi="Arial" w:cs="Arial"/>
          <w:bCs/>
          <w:lang w:val="es-ES_tradnl" w:eastAsia="ja-JP"/>
        </w:rPr>
      </w:pPr>
    </w:p>
    <w:p w:rsidR="00F000F6" w:rsidRDefault="00F000F6" w:rsidP="00F000F6">
      <w:pPr>
        <w:pStyle w:val="ListParagraph"/>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Arial" w:eastAsia="MS Mincho" w:hAnsi="Arial" w:cs="Arial"/>
          <w:bCs/>
          <w:lang w:val="es-ES_tradnl" w:eastAsia="ja-JP"/>
        </w:rPr>
      </w:pPr>
      <w:r w:rsidRPr="00F000F6">
        <w:drawing>
          <wp:inline distT="0" distB="0" distL="0" distR="0" wp14:anchorId="30853C08" wp14:editId="5A5BA92F">
            <wp:extent cx="5943600" cy="1680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80810"/>
                    </a:xfrm>
                    <a:prstGeom prst="rect">
                      <a:avLst/>
                    </a:prstGeom>
                    <a:noFill/>
                    <a:ln>
                      <a:noFill/>
                    </a:ln>
                  </pic:spPr>
                </pic:pic>
              </a:graphicData>
            </a:graphic>
          </wp:inline>
        </w:drawing>
      </w:r>
    </w:p>
    <w:p w:rsidR="0060300B" w:rsidRDefault="001A1A15" w:rsidP="0060300B">
      <w:pPr>
        <w:pStyle w:val="ListParagraph"/>
        <w:numPr>
          <w:ilvl w:val="1"/>
          <w:numId w:val="1"/>
        </w:numPr>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Arial" w:hAnsi="Arial" w:cs="Arial"/>
          <w:lang w:val="es-ES_tradnl"/>
        </w:rPr>
      </w:pPr>
      <w:r w:rsidRPr="00A33627">
        <w:rPr>
          <w:rFonts w:ascii="Arial" w:hAnsi="Arial" w:cs="Arial"/>
          <w:lang w:val="es-ES_tradnl"/>
        </w:rPr>
        <w:t xml:space="preserve">Adicionalmente, el proyecto, contribuye </w:t>
      </w:r>
      <w:r w:rsidR="005E054E" w:rsidRPr="00A33627">
        <w:rPr>
          <w:rFonts w:ascii="Arial" w:hAnsi="Arial" w:cs="Arial"/>
          <w:lang w:val="es-ES_tradnl"/>
        </w:rPr>
        <w:t>con el Marco de Resultados Corporativo (CRF) a través del indicador vinculado con el Desafío Regional de Integración Económica reflejado en la Matriz de Resultados del Programa:</w:t>
      </w:r>
      <w:r w:rsidR="00A51FEA" w:rsidRPr="00A33627">
        <w:rPr>
          <w:rFonts w:ascii="Arial" w:hAnsi="Arial" w:cs="Arial"/>
          <w:lang w:val="es-ES_tradnl"/>
        </w:rPr>
        <w:t xml:space="preserve"> </w:t>
      </w:r>
      <w:r w:rsidR="005E054E" w:rsidRPr="00A33627">
        <w:rPr>
          <w:rFonts w:ascii="Arial" w:hAnsi="Arial" w:cs="Arial"/>
          <w:lang w:val="es-ES_tradnl"/>
        </w:rPr>
        <w:t>(i)</w:t>
      </w:r>
      <w:r w:rsidR="00A51FEA" w:rsidRPr="00A33627">
        <w:rPr>
          <w:rFonts w:ascii="Arial" w:hAnsi="Arial" w:cs="Arial"/>
          <w:lang w:val="es-ES_tradnl"/>
        </w:rPr>
        <w:t xml:space="preserve"> </w:t>
      </w:r>
      <w:r w:rsidR="00197F4E" w:rsidRPr="00A33627">
        <w:rPr>
          <w:rFonts w:ascii="Arial" w:hAnsi="Arial" w:cs="Arial"/>
          <w:lang w:val="es-ES_tradnl"/>
        </w:rPr>
        <w:t>[…].</w:t>
      </w:r>
      <w:r w:rsidR="005E054E" w:rsidRPr="00A33627">
        <w:rPr>
          <w:rFonts w:ascii="Arial" w:hAnsi="Arial" w:cs="Arial"/>
          <w:lang w:val="es-ES_tradnl"/>
        </w:rPr>
        <w:t xml:space="preserve"> </w:t>
      </w:r>
      <w:r w:rsidR="00197F4E" w:rsidRPr="00A33627">
        <w:rPr>
          <w:rFonts w:ascii="Arial" w:hAnsi="Arial" w:cs="Arial"/>
          <w:lang w:val="es-ES_tradnl"/>
        </w:rPr>
        <w:t xml:space="preserve">Lo anterior </w:t>
      </w:r>
      <w:r w:rsidR="005E054E" w:rsidRPr="00A33627">
        <w:rPr>
          <w:rFonts w:ascii="Arial" w:hAnsi="Arial" w:cs="Arial"/>
          <w:lang w:val="es-ES_tradnl"/>
        </w:rPr>
        <w:t>puesto que rehabilitará y mejorará un segmento de la red primaria Ruta No.</w:t>
      </w:r>
      <w:r w:rsidR="00A51FEA" w:rsidRPr="00A33627">
        <w:rPr>
          <w:rFonts w:ascii="Arial" w:hAnsi="Arial" w:cs="Arial"/>
          <w:lang w:val="es-ES_tradnl"/>
        </w:rPr>
        <w:t xml:space="preserve"> </w:t>
      </w:r>
      <w:r w:rsidR="005E054E" w:rsidRPr="00A33627">
        <w:rPr>
          <w:rFonts w:ascii="Arial" w:hAnsi="Arial" w:cs="Arial"/>
          <w:lang w:val="es-ES_tradnl"/>
        </w:rPr>
        <w:t>9, contribuyendo a la mejora de la cobertura, calidad y conectividad de la infraestructura de transporte y propiciando el desarrollo de la conectividad vial regional.</w:t>
      </w:r>
      <w:r w:rsidR="00650E20" w:rsidRPr="00A33627">
        <w:rPr>
          <w:rFonts w:ascii="Arial" w:hAnsi="Arial" w:cs="Arial"/>
          <w:lang w:val="es-ES_tradnl"/>
        </w:rPr>
        <w:t xml:space="preserve"> </w:t>
      </w:r>
    </w:p>
    <w:p w:rsidR="0060300B" w:rsidRPr="0060300B" w:rsidRDefault="0060300B" w:rsidP="0060300B">
      <w:pPr>
        <w:pStyle w:val="ListParagraph"/>
        <w:rPr>
          <w:rFonts w:ascii="Arial" w:hAnsi="Arial" w:cs="Arial"/>
          <w:lang w:val="es-ES_tradnl"/>
        </w:rPr>
      </w:pPr>
    </w:p>
    <w:p w:rsidR="0060300B" w:rsidRDefault="001A1A15" w:rsidP="0060300B">
      <w:pPr>
        <w:pStyle w:val="ListParagraph"/>
        <w:numPr>
          <w:ilvl w:val="1"/>
          <w:numId w:val="1"/>
        </w:numPr>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Arial" w:hAnsi="Arial" w:cs="Arial"/>
          <w:lang w:val="es-ES_tradnl"/>
        </w:rPr>
      </w:pPr>
      <w:r w:rsidRPr="0060300B">
        <w:rPr>
          <w:rFonts w:ascii="Arial" w:hAnsi="Arial" w:cs="Arial"/>
          <w:lang w:val="es-ES_tradnl"/>
        </w:rPr>
        <w:t xml:space="preserve">Asimismo, de acuerdo a la Estrategia Sectorial de Apoyo a la Integración Competitiva </w:t>
      </w:r>
      <w:r w:rsidR="001B3987" w:rsidRPr="0060300B">
        <w:rPr>
          <w:rFonts w:ascii="Arial" w:hAnsi="Arial" w:cs="Arial"/>
          <w:lang w:val="es-ES_tradnl"/>
        </w:rPr>
        <w:t xml:space="preserve">Regional y Global (GN-2565-4), </w:t>
      </w:r>
      <w:r w:rsidR="00821A99" w:rsidRPr="0060300B">
        <w:rPr>
          <w:rFonts w:ascii="Arial" w:eastAsia="MS Mincho" w:hAnsi="Arial" w:cs="Arial"/>
          <w:bCs/>
          <w:lang w:val="es-ES_tradnl" w:eastAsia="ja-JP"/>
        </w:rPr>
        <w:t>una operación de integración regional se clasifica como tal en la medida en la que atiende a uno de los cuatro criterios que no son mutuamente excluyentes entre sí: (i) Focalización multinacional</w:t>
      </w:r>
      <w:r w:rsidR="00821A99">
        <w:rPr>
          <w:rStyle w:val="FootnoteReference"/>
          <w:rFonts w:eastAsia="MS Mincho" w:cs="Arial"/>
          <w:bCs/>
          <w:lang w:val="es-ES_tradnl" w:eastAsia="ja-JP"/>
        </w:rPr>
        <w:footnoteReference w:id="1"/>
      </w:r>
      <w:r w:rsidR="00821A99" w:rsidRPr="0060300B">
        <w:rPr>
          <w:rFonts w:ascii="Arial" w:eastAsia="MS Mincho" w:hAnsi="Arial" w:cs="Arial"/>
          <w:bCs/>
          <w:lang w:val="es-ES_tradnl" w:eastAsia="ja-JP"/>
        </w:rPr>
        <w:t>; (ii) Subsidiariedad nacional</w:t>
      </w:r>
      <w:r w:rsidR="0060300B">
        <w:rPr>
          <w:rStyle w:val="FootnoteReference"/>
          <w:rFonts w:eastAsia="MS Mincho" w:cs="Arial"/>
          <w:bCs/>
          <w:lang w:val="es-ES_tradnl" w:eastAsia="ja-JP"/>
        </w:rPr>
        <w:footnoteReference w:id="2"/>
      </w:r>
      <w:r w:rsidR="00821A99" w:rsidRPr="0060300B">
        <w:rPr>
          <w:rFonts w:ascii="Arial" w:eastAsia="MS Mincho" w:hAnsi="Arial" w:cs="Arial"/>
          <w:bCs/>
          <w:lang w:val="es-ES_tradnl" w:eastAsia="ja-JP"/>
        </w:rPr>
        <w:t>; (iii) Adicionalidad regional</w:t>
      </w:r>
      <w:r w:rsidR="0060300B">
        <w:rPr>
          <w:rStyle w:val="FootnoteReference"/>
          <w:rFonts w:eastAsia="MS Mincho" w:cs="Arial"/>
          <w:bCs/>
          <w:lang w:val="es-ES_tradnl" w:eastAsia="ja-JP"/>
        </w:rPr>
        <w:footnoteReference w:id="3"/>
      </w:r>
      <w:r w:rsidR="00821A99" w:rsidRPr="0060300B">
        <w:rPr>
          <w:rFonts w:ascii="Arial" w:eastAsia="MS Mincho" w:hAnsi="Arial" w:cs="Arial"/>
          <w:bCs/>
          <w:lang w:val="es-ES_tradnl" w:eastAsia="ja-JP"/>
        </w:rPr>
        <w:t xml:space="preserve"> y; (iv) Compensación de fallas de coordinación</w:t>
      </w:r>
      <w:r w:rsidR="0060300B">
        <w:rPr>
          <w:rStyle w:val="FootnoteReference"/>
          <w:rFonts w:eastAsia="MS Mincho" w:cs="Arial"/>
          <w:bCs/>
          <w:lang w:val="es-ES_tradnl" w:eastAsia="ja-JP"/>
        </w:rPr>
        <w:footnoteReference w:id="4"/>
      </w:r>
      <w:r w:rsidR="00821A99" w:rsidRPr="0060300B">
        <w:rPr>
          <w:rFonts w:ascii="Arial" w:eastAsia="MS Mincho" w:hAnsi="Arial" w:cs="Arial"/>
          <w:bCs/>
          <w:lang w:val="es-ES_tradnl" w:eastAsia="ja-JP"/>
        </w:rPr>
        <w:t xml:space="preserve">. </w:t>
      </w:r>
      <w:r w:rsidR="00821A99" w:rsidRPr="0060300B">
        <w:rPr>
          <w:rFonts w:ascii="Arial" w:eastAsia="MS Mincho" w:hAnsi="Arial" w:cs="Arial"/>
          <w:bCs/>
          <w:lang w:val="es-ES_tradnl" w:eastAsia="ja-JP"/>
        </w:rPr>
        <w:t>L</w:t>
      </w:r>
      <w:r w:rsidRPr="0060300B">
        <w:rPr>
          <w:rFonts w:ascii="Arial" w:hAnsi="Arial" w:cs="Arial"/>
          <w:lang w:val="es-ES_tradnl"/>
        </w:rPr>
        <w:t xml:space="preserve">a presente operación cumple con el criterio de </w:t>
      </w:r>
      <w:r w:rsidR="001B3987" w:rsidRPr="0060300B">
        <w:rPr>
          <w:rFonts w:ascii="Arial" w:hAnsi="Arial" w:cs="Arial"/>
          <w:b/>
          <w:lang w:val="es-ES_tradnl"/>
        </w:rPr>
        <w:t>Focalización M</w:t>
      </w:r>
      <w:r w:rsidRPr="0060300B">
        <w:rPr>
          <w:rFonts w:ascii="Arial" w:hAnsi="Arial" w:cs="Arial"/>
          <w:b/>
          <w:lang w:val="es-ES_tradnl"/>
        </w:rPr>
        <w:t>ultinacional</w:t>
      </w:r>
      <w:r w:rsidRPr="0060300B">
        <w:rPr>
          <w:rFonts w:ascii="Arial" w:hAnsi="Arial" w:cs="Arial"/>
          <w:lang w:val="es-ES_tradnl"/>
        </w:rPr>
        <w:t xml:space="preserve">, ya que apoya una acción nacional orientada a </w:t>
      </w:r>
      <w:r w:rsidR="00821A99" w:rsidRPr="0060300B">
        <w:rPr>
          <w:rFonts w:ascii="Arial" w:hAnsi="Arial" w:cs="Arial"/>
          <w:lang w:val="es-ES_tradnl"/>
        </w:rPr>
        <w:t xml:space="preserve">facilitar una mayor inserción </w:t>
      </w:r>
      <w:r w:rsidR="0060300B" w:rsidRPr="0060300B">
        <w:rPr>
          <w:rFonts w:ascii="Arial" w:hAnsi="Arial" w:cs="Arial"/>
          <w:lang w:val="es-ES_tradnl"/>
        </w:rPr>
        <w:t xml:space="preserve">del sector eléctrico de Nicaragua en el mercado eléctrico regional Centroamericano (SIEPAC), </w:t>
      </w:r>
      <w:r w:rsidRPr="0060300B">
        <w:rPr>
          <w:rFonts w:ascii="Arial" w:hAnsi="Arial" w:cs="Arial"/>
          <w:lang w:val="es-ES_tradnl"/>
        </w:rPr>
        <w:t xml:space="preserve">un objetivo relacionado con mejorar la competitividad del </w:t>
      </w:r>
      <w:r w:rsidR="007453B7" w:rsidRPr="0060300B">
        <w:rPr>
          <w:rFonts w:ascii="Arial" w:hAnsi="Arial" w:cs="Arial"/>
          <w:lang w:val="es-ES_tradnl"/>
        </w:rPr>
        <w:t>país</w:t>
      </w:r>
      <w:r w:rsidR="005A7EB0" w:rsidRPr="0060300B">
        <w:rPr>
          <w:rFonts w:ascii="Arial" w:hAnsi="Arial" w:cs="Arial"/>
          <w:lang w:val="es-ES_tradnl"/>
        </w:rPr>
        <w:t xml:space="preserve"> a través de</w:t>
      </w:r>
      <w:r w:rsidR="00821A99" w:rsidRPr="0060300B">
        <w:rPr>
          <w:rFonts w:ascii="Arial" w:hAnsi="Arial" w:cs="Arial"/>
          <w:lang w:val="es-ES_tradnl"/>
        </w:rPr>
        <w:t>l acceso a mejores costos de electricidad</w:t>
      </w:r>
      <w:r w:rsidRPr="0060300B">
        <w:rPr>
          <w:rFonts w:ascii="Arial" w:hAnsi="Arial" w:cs="Arial"/>
          <w:lang w:val="es-ES_tradnl"/>
        </w:rPr>
        <w:t xml:space="preserve">. La operación también es consistente con el criterio de </w:t>
      </w:r>
      <w:r w:rsidRPr="0060300B">
        <w:rPr>
          <w:rFonts w:ascii="Arial" w:hAnsi="Arial" w:cs="Arial"/>
          <w:b/>
          <w:lang w:val="es-ES_tradnl"/>
        </w:rPr>
        <w:t xml:space="preserve">Adicionalidad Regional </w:t>
      </w:r>
      <w:r w:rsidRPr="0060300B">
        <w:rPr>
          <w:rFonts w:ascii="Arial" w:hAnsi="Arial" w:cs="Arial"/>
          <w:lang w:val="es-ES_tradnl"/>
        </w:rPr>
        <w:t>puesto que las intervenciones propuestas</w:t>
      </w:r>
      <w:r w:rsidR="00821A99" w:rsidRPr="0060300B">
        <w:rPr>
          <w:rFonts w:ascii="Arial" w:hAnsi="Arial" w:cs="Arial"/>
          <w:lang w:val="es-ES_tradnl"/>
        </w:rPr>
        <w:t xml:space="preserve"> en materia normativa y regulatoria</w:t>
      </w:r>
      <w:r w:rsidRPr="0060300B">
        <w:rPr>
          <w:rFonts w:ascii="Arial" w:hAnsi="Arial" w:cs="Arial"/>
          <w:lang w:val="es-ES_tradnl"/>
        </w:rPr>
        <w:t xml:space="preserve">, </w:t>
      </w:r>
      <w:r w:rsidR="0060300B" w:rsidRPr="0060300B">
        <w:rPr>
          <w:rFonts w:ascii="Arial" w:hAnsi="Arial" w:cs="Arial"/>
          <w:lang w:val="es-ES_tradnl"/>
        </w:rPr>
        <w:t>agregan valor justamente mediante la incorporación del objetivo de facilitar la participación de Nicaragua en el MER</w:t>
      </w:r>
      <w:r w:rsidR="00821A99" w:rsidRPr="0060300B">
        <w:rPr>
          <w:rFonts w:ascii="Arial" w:hAnsi="Arial" w:cs="Arial"/>
          <w:lang w:val="es-ES_tradnl"/>
        </w:rPr>
        <w:t xml:space="preserve">. Finalmente, </w:t>
      </w:r>
      <w:r w:rsidR="0060300B" w:rsidRPr="0060300B">
        <w:rPr>
          <w:rFonts w:ascii="Arial" w:hAnsi="Arial" w:cs="Arial"/>
          <w:lang w:val="es-ES_tradnl"/>
        </w:rPr>
        <w:t xml:space="preserve">cumple con el criterio de </w:t>
      </w:r>
      <w:r w:rsidR="0060300B" w:rsidRPr="0060300B">
        <w:rPr>
          <w:rFonts w:ascii="Arial" w:hAnsi="Arial" w:cs="Arial"/>
          <w:b/>
          <w:lang w:val="es-ES_tradnl"/>
        </w:rPr>
        <w:t>Subsidiaridad</w:t>
      </w:r>
      <w:r w:rsidR="0060300B" w:rsidRPr="0060300B">
        <w:rPr>
          <w:rFonts w:ascii="Arial" w:hAnsi="Arial" w:cs="Arial"/>
          <w:b/>
          <w:lang w:val="es-ES_tradnl"/>
        </w:rPr>
        <w:t xml:space="preserve"> </w:t>
      </w:r>
      <w:r w:rsidR="0060300B" w:rsidRPr="0060300B">
        <w:rPr>
          <w:rFonts w:ascii="Arial" w:hAnsi="Arial" w:cs="Arial"/>
          <w:b/>
          <w:lang w:val="es-ES_tradnl"/>
        </w:rPr>
        <w:t>N</w:t>
      </w:r>
      <w:r w:rsidR="0060300B" w:rsidRPr="0060300B">
        <w:rPr>
          <w:rFonts w:ascii="Arial" w:hAnsi="Arial" w:cs="Arial"/>
          <w:b/>
          <w:lang w:val="es-ES_tradnl"/>
        </w:rPr>
        <w:t>acional</w:t>
      </w:r>
      <w:r w:rsidR="0060300B" w:rsidRPr="0060300B">
        <w:rPr>
          <w:rFonts w:ascii="Arial" w:hAnsi="Arial" w:cs="Arial"/>
          <w:lang w:val="es-ES_tradnl"/>
        </w:rPr>
        <w:t xml:space="preserve">, ya que apoya </w:t>
      </w:r>
      <w:r w:rsidR="0060300B" w:rsidRPr="0060300B">
        <w:rPr>
          <w:rFonts w:ascii="Arial" w:hAnsi="Arial" w:cs="Arial"/>
          <w:lang w:val="es-ES_tradnl"/>
        </w:rPr>
        <w:t>reformas en el sector eléctrico con miras a mejor el acceso y facilitar la cooperación en el marco de la iniciativa regional SIEPAC.</w:t>
      </w:r>
    </w:p>
    <w:p w:rsidR="0060300B" w:rsidRDefault="0060300B" w:rsidP="0060300B">
      <w:pPr>
        <w:pStyle w:val="ListParagraph"/>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Arial" w:hAnsi="Arial" w:cs="Arial"/>
          <w:lang w:val="es-ES_tradnl"/>
        </w:rPr>
      </w:pPr>
    </w:p>
    <w:p w:rsidR="0060300B" w:rsidRPr="0060300B" w:rsidRDefault="0060300B" w:rsidP="0060300B">
      <w:pPr>
        <w:pStyle w:val="ListParagraph"/>
        <w:numPr>
          <w:ilvl w:val="1"/>
          <w:numId w:val="1"/>
        </w:numPr>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Arial" w:hAnsi="Arial" w:cs="Arial"/>
          <w:lang w:val="es-ES_tradnl"/>
        </w:rPr>
      </w:pPr>
      <w:r w:rsidRPr="0060300B">
        <w:rPr>
          <w:rFonts w:ascii="Arial" w:hAnsi="Arial" w:cs="Arial"/>
          <w:lang w:val="es-ES_tradnl"/>
        </w:rPr>
        <w:t xml:space="preserve">De otra parte, las actividades que apoyan la integración y cooperación regional, globales y regionales se pueden clasificar en tres grandes ámbitos principales: (i) Infraestructura; (ii) </w:t>
      </w:r>
      <w:bookmarkStart w:id="2" w:name="_Hlk488247600"/>
      <w:r w:rsidRPr="0060300B">
        <w:rPr>
          <w:rFonts w:ascii="Arial" w:hAnsi="Arial" w:cs="Arial"/>
          <w:lang w:val="es-ES_tradnl"/>
        </w:rPr>
        <w:t xml:space="preserve">Fortalecimiento institucional y desarrollo de la capacidad </w:t>
      </w:r>
      <w:bookmarkEnd w:id="2"/>
      <w:r w:rsidRPr="0060300B">
        <w:rPr>
          <w:rFonts w:ascii="Arial" w:hAnsi="Arial" w:cs="Arial"/>
          <w:lang w:val="es-ES_tradnl"/>
        </w:rPr>
        <w:t xml:space="preserve">y; (iii) Cooperación funcional y bienes públicos regionales. De acuerdo a los componentes del programa, este se clasifica dentro del ámbito </w:t>
      </w:r>
      <w:r w:rsidRPr="0060300B">
        <w:rPr>
          <w:rFonts w:ascii="Arial" w:hAnsi="Arial" w:cs="Arial"/>
          <w:b/>
          <w:lang w:val="es-ES_tradnl"/>
        </w:rPr>
        <w:t xml:space="preserve">de </w:t>
      </w:r>
      <w:r w:rsidRPr="0060300B">
        <w:rPr>
          <w:rFonts w:ascii="Arial" w:hAnsi="Arial" w:cs="Arial"/>
          <w:b/>
          <w:lang w:val="es-ES_tradnl"/>
        </w:rPr>
        <w:t>Fortalecimiento institucional y desarrollo de la capacidad</w:t>
      </w:r>
      <w:r w:rsidRPr="0060300B">
        <w:rPr>
          <w:rFonts w:ascii="Arial" w:hAnsi="Arial" w:cs="Arial"/>
          <w:b/>
          <w:lang w:val="es-ES_tradnl"/>
        </w:rPr>
        <w:t>.</w:t>
      </w:r>
    </w:p>
    <w:p w:rsidR="0060300B" w:rsidRPr="0060300B" w:rsidRDefault="0060300B" w:rsidP="0060300B">
      <w:pPr>
        <w:pStyle w:val="ListParagraph"/>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Arial" w:hAnsi="Arial" w:cs="Arial"/>
          <w:lang w:val="es-ES_tradnl"/>
        </w:rPr>
      </w:pPr>
    </w:p>
    <w:p w:rsidR="000731DD" w:rsidRPr="0091406B" w:rsidRDefault="000731DD" w:rsidP="00E04B6C">
      <w:pPr>
        <w:rPr>
          <w:rFonts w:ascii="Arial" w:hAnsi="Arial" w:cs="Arial"/>
          <w:sz w:val="20"/>
          <w:lang w:val="es-ES"/>
        </w:rPr>
      </w:pPr>
    </w:p>
    <w:p w:rsidR="006F6D8D" w:rsidRPr="0091406B" w:rsidRDefault="006F6D8D">
      <w:pPr>
        <w:jc w:val="both"/>
        <w:rPr>
          <w:rFonts w:ascii="Arial" w:hAnsi="Arial" w:cs="Arial"/>
          <w:sz w:val="20"/>
          <w:lang w:val="es-ES_tradnl"/>
        </w:rPr>
      </w:pPr>
    </w:p>
    <w:p w:rsidR="00DC7F91" w:rsidRPr="0091406B" w:rsidRDefault="00DC7F91">
      <w:pPr>
        <w:jc w:val="both"/>
        <w:rPr>
          <w:rFonts w:ascii="Arial" w:hAnsi="Arial" w:cs="Arial"/>
          <w:sz w:val="20"/>
          <w:lang w:val="es-ES_tradnl"/>
        </w:rPr>
      </w:pPr>
    </w:p>
    <w:p w:rsidR="00DC7F91" w:rsidRPr="0091406B" w:rsidRDefault="00DC7F91">
      <w:pPr>
        <w:jc w:val="both"/>
        <w:rPr>
          <w:rFonts w:ascii="Arial" w:hAnsi="Arial" w:cs="Arial"/>
          <w:sz w:val="20"/>
          <w:lang w:val="es-ES_tradnl"/>
        </w:rPr>
      </w:pPr>
    </w:p>
    <w:p w:rsidR="00650E20" w:rsidRPr="0091406B" w:rsidRDefault="00650E20">
      <w:pPr>
        <w:jc w:val="both"/>
        <w:rPr>
          <w:rFonts w:ascii="Arial" w:hAnsi="Arial" w:cs="Arial"/>
          <w:sz w:val="20"/>
          <w:lang w:val="es-ES_tradnl"/>
        </w:rPr>
      </w:pPr>
    </w:p>
    <w:sectPr w:rsidR="00650E20" w:rsidRPr="009140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EC" w:rsidRDefault="000B0DEC" w:rsidP="00401BA7">
      <w:pPr>
        <w:spacing w:after="0" w:line="240" w:lineRule="auto"/>
      </w:pPr>
      <w:r>
        <w:separator/>
      </w:r>
    </w:p>
  </w:endnote>
  <w:endnote w:type="continuationSeparator" w:id="0">
    <w:p w:rsidR="000B0DEC" w:rsidRDefault="000B0DEC" w:rsidP="0040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38965"/>
      <w:docPartObj>
        <w:docPartGallery w:val="Page Numbers (Bottom of Page)"/>
        <w:docPartUnique/>
      </w:docPartObj>
    </w:sdtPr>
    <w:sdtEndPr/>
    <w:sdtContent>
      <w:p w:rsidR="00A70C26" w:rsidRDefault="00A70C26">
        <w:pPr>
          <w:pStyle w:val="Footer"/>
          <w:jc w:val="right"/>
        </w:pPr>
        <w:r>
          <w:t xml:space="preserve">Page | </w:t>
        </w:r>
        <w:r>
          <w:fldChar w:fldCharType="begin"/>
        </w:r>
        <w:r>
          <w:instrText xml:space="preserve"> PAGE   \* MERGEFORMAT </w:instrText>
        </w:r>
        <w:r>
          <w:fldChar w:fldCharType="separate"/>
        </w:r>
        <w:r w:rsidR="00A71F47">
          <w:rPr>
            <w:noProof/>
          </w:rPr>
          <w:t>1</w:t>
        </w:r>
        <w:r>
          <w:rPr>
            <w:noProof/>
          </w:rPr>
          <w:fldChar w:fldCharType="end"/>
        </w:r>
        <w:r>
          <w:t xml:space="preserve"> </w:t>
        </w:r>
      </w:p>
    </w:sdtContent>
  </w:sdt>
  <w:p w:rsidR="00A70C26" w:rsidRDefault="00A70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EC" w:rsidRDefault="000B0DEC" w:rsidP="00401BA7">
      <w:pPr>
        <w:spacing w:after="0" w:line="240" w:lineRule="auto"/>
      </w:pPr>
      <w:r>
        <w:separator/>
      </w:r>
    </w:p>
  </w:footnote>
  <w:footnote w:type="continuationSeparator" w:id="0">
    <w:p w:rsidR="000B0DEC" w:rsidRDefault="000B0DEC" w:rsidP="00401BA7">
      <w:pPr>
        <w:spacing w:after="0" w:line="240" w:lineRule="auto"/>
      </w:pPr>
      <w:r>
        <w:continuationSeparator/>
      </w:r>
    </w:p>
  </w:footnote>
  <w:footnote w:id="1">
    <w:p w:rsidR="00821A99" w:rsidRPr="00821A99" w:rsidRDefault="00821A99" w:rsidP="0060300B">
      <w:pPr>
        <w:pStyle w:val="FootnoteText"/>
        <w:jc w:val="both"/>
        <w:rPr>
          <w:lang w:val="es-ES_tradnl"/>
        </w:rPr>
      </w:pPr>
      <w:r>
        <w:rPr>
          <w:rStyle w:val="FootnoteReference"/>
        </w:rPr>
        <w:footnoteRef/>
      </w:r>
      <w:r w:rsidRPr="00821A99">
        <w:rPr>
          <w:lang w:val="es-ES_tradnl"/>
        </w:rPr>
        <w:t xml:space="preserve"> </w:t>
      </w:r>
      <w:r w:rsidRPr="00821A99">
        <w:rPr>
          <w:rFonts w:cs="Arial"/>
          <w:b/>
          <w:lang w:val="es-ES_tradnl"/>
        </w:rPr>
        <w:t>Focalización Multinacional</w:t>
      </w:r>
      <w:r>
        <w:rPr>
          <w:rFonts w:cs="Arial"/>
          <w:b/>
          <w:lang w:val="es-ES_tradnl"/>
        </w:rPr>
        <w:t>:</w:t>
      </w:r>
      <w:r>
        <w:rPr>
          <w:lang w:val="es-ES_tradnl"/>
        </w:rPr>
        <w:t xml:space="preserve"> P</w:t>
      </w:r>
      <w:r w:rsidRPr="00821A99">
        <w:rPr>
          <w:lang w:val="es-ES_tradnl"/>
        </w:rPr>
        <w:t>royectos que contribuyan directa o indirectamente a una mayor inserción regional o global de los países de América Latina y el Caribe o a la promoción de la acción colectiva y la cooperación</w:t>
      </w:r>
      <w:r w:rsidR="0060300B">
        <w:rPr>
          <w:lang w:val="es-ES_tradnl"/>
        </w:rPr>
        <w:t>.</w:t>
      </w:r>
    </w:p>
  </w:footnote>
  <w:footnote w:id="2">
    <w:p w:rsidR="0060300B" w:rsidRPr="0060300B" w:rsidRDefault="0060300B" w:rsidP="0060300B">
      <w:pPr>
        <w:pStyle w:val="FootnoteText"/>
        <w:jc w:val="both"/>
        <w:rPr>
          <w:lang w:val="es-ES_tradnl"/>
        </w:rPr>
      </w:pPr>
      <w:r>
        <w:rPr>
          <w:rStyle w:val="FootnoteReference"/>
        </w:rPr>
        <w:footnoteRef/>
      </w:r>
      <w:r w:rsidRPr="0060300B">
        <w:rPr>
          <w:lang w:val="es-ES_tradnl"/>
        </w:rPr>
        <w:t xml:space="preserve"> </w:t>
      </w:r>
      <w:r w:rsidRPr="0060300B">
        <w:rPr>
          <w:b/>
          <w:lang w:val="es-ES_tradnl"/>
        </w:rPr>
        <w:t>Subsidiariedad nacional:</w:t>
      </w:r>
      <w:r w:rsidRPr="0060300B">
        <w:rPr>
          <w:lang w:val="es-ES_tradnl"/>
        </w:rPr>
        <w:t xml:space="preserve"> proyectos que contribuyan a la armonización de las reformas de política interna y de las inversiones nacionales o subnacionales con los objetivos transfronterizos.</w:t>
      </w:r>
    </w:p>
  </w:footnote>
  <w:footnote w:id="3">
    <w:p w:rsidR="0060300B" w:rsidRPr="0060300B" w:rsidRDefault="0060300B" w:rsidP="0060300B">
      <w:pPr>
        <w:pStyle w:val="FootnoteText"/>
        <w:jc w:val="both"/>
        <w:rPr>
          <w:lang w:val="es-ES_tradnl"/>
        </w:rPr>
      </w:pPr>
      <w:r>
        <w:rPr>
          <w:rStyle w:val="FootnoteReference"/>
        </w:rPr>
        <w:footnoteRef/>
      </w:r>
      <w:r w:rsidRPr="0060300B">
        <w:rPr>
          <w:lang w:val="es-ES_tradnl"/>
        </w:rPr>
        <w:t xml:space="preserve"> </w:t>
      </w:r>
      <w:r w:rsidRPr="0060300B">
        <w:rPr>
          <w:b/>
          <w:lang w:val="es-ES_tradnl"/>
        </w:rPr>
        <w:t>Adicionalidad regional</w:t>
      </w:r>
      <w:r w:rsidRPr="0060300B">
        <w:rPr>
          <w:lang w:val="es-ES_tradnl"/>
        </w:rPr>
        <w:t>: proyectos que generan valor añadido adicional mediante la incorporación de objetivos de internacionalización o cooperación regional</w:t>
      </w:r>
      <w:r>
        <w:rPr>
          <w:lang w:val="es-ES_tradnl"/>
        </w:rPr>
        <w:t>.</w:t>
      </w:r>
    </w:p>
  </w:footnote>
  <w:footnote w:id="4">
    <w:p w:rsidR="0060300B" w:rsidRPr="0060300B" w:rsidRDefault="0060300B" w:rsidP="0060300B">
      <w:pPr>
        <w:pStyle w:val="FootnoteText"/>
        <w:jc w:val="both"/>
        <w:rPr>
          <w:lang w:val="es-ES_tradnl"/>
        </w:rPr>
      </w:pPr>
      <w:r>
        <w:rPr>
          <w:rStyle w:val="FootnoteReference"/>
        </w:rPr>
        <w:footnoteRef/>
      </w:r>
      <w:r w:rsidRPr="0060300B">
        <w:rPr>
          <w:lang w:val="es-ES_tradnl"/>
        </w:rPr>
        <w:t xml:space="preserve"> </w:t>
      </w:r>
      <w:r w:rsidRPr="0060300B">
        <w:rPr>
          <w:b/>
          <w:lang w:val="es-ES_tradnl"/>
        </w:rPr>
        <w:t>Compensación de fallas de coordinación</w:t>
      </w:r>
      <w:r w:rsidRPr="0060300B">
        <w:rPr>
          <w:lang w:val="es-ES_tradnl"/>
        </w:rPr>
        <w:t>: proyectos que generan incentivos que compensan las fallas del mercado (externalidades transfronterizas), las fallas de coordinación (costos de la acción colectiva) y otros costos relacionados con la ejecución compleja de iniciativas regionales colectivas.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45A9"/>
    <w:multiLevelType w:val="hybridMultilevel"/>
    <w:tmpl w:val="633C59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B1947D7"/>
    <w:multiLevelType w:val="hybridMultilevel"/>
    <w:tmpl w:val="43D0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1195A"/>
    <w:multiLevelType w:val="multilevel"/>
    <w:tmpl w:val="95821A3C"/>
    <w:lvl w:ilvl="0">
      <w:start w:val="1"/>
      <w:numFmt w:val="upperRoman"/>
      <w:lvlText w:val="%1."/>
      <w:lvlJc w:val="right"/>
      <w:pPr>
        <w:ind w:left="720" w:hanging="360"/>
      </w:pPr>
      <w:rPr>
        <w:b/>
        <w:color w:val="1F497D"/>
        <w:lang w:val="es-ES_tradnl"/>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15:restartNumberingAfterBreak="0">
    <w:nsid w:val="4DA631D0"/>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08271C"/>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4C1A96"/>
    <w:multiLevelType w:val="hybridMultilevel"/>
    <w:tmpl w:val="4312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75382"/>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9A57D4"/>
    <w:multiLevelType w:val="multilevel"/>
    <w:tmpl w:val="5566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2A0016"/>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39C01AB"/>
    <w:multiLevelType w:val="multilevel"/>
    <w:tmpl w:val="95821A3C"/>
    <w:lvl w:ilvl="0">
      <w:start w:val="1"/>
      <w:numFmt w:val="upperRoman"/>
      <w:lvlText w:val="%1."/>
      <w:lvlJc w:val="right"/>
      <w:pPr>
        <w:ind w:left="720" w:hanging="360"/>
      </w:pPr>
      <w:rPr>
        <w:b/>
        <w:color w:val="1F497D"/>
        <w:lang w:val="es-ES_tradnl"/>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 w15:restartNumberingAfterBreak="0">
    <w:nsid w:val="79F3327F"/>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4"/>
  </w:num>
  <w:num w:numId="3">
    <w:abstractNumId w:val="7"/>
  </w:num>
  <w:num w:numId="4">
    <w:abstractNumId w:val="9"/>
  </w:num>
  <w:num w:numId="5">
    <w:abstractNumId w:val="1"/>
  </w:num>
  <w:num w:numId="6">
    <w:abstractNumId w:val="0"/>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A7"/>
    <w:rsid w:val="000033E4"/>
    <w:rsid w:val="0001086B"/>
    <w:rsid w:val="000111C6"/>
    <w:rsid w:val="00017B04"/>
    <w:rsid w:val="00020AD2"/>
    <w:rsid w:val="00022CB8"/>
    <w:rsid w:val="000245CE"/>
    <w:rsid w:val="00032DC1"/>
    <w:rsid w:val="00032F14"/>
    <w:rsid w:val="000350B8"/>
    <w:rsid w:val="00035A47"/>
    <w:rsid w:val="00036A5B"/>
    <w:rsid w:val="000427FB"/>
    <w:rsid w:val="00043C6A"/>
    <w:rsid w:val="00044DAF"/>
    <w:rsid w:val="000460B4"/>
    <w:rsid w:val="000474D5"/>
    <w:rsid w:val="00051E99"/>
    <w:rsid w:val="00051FCE"/>
    <w:rsid w:val="0005358D"/>
    <w:rsid w:val="00055D64"/>
    <w:rsid w:val="00060F45"/>
    <w:rsid w:val="000624C4"/>
    <w:rsid w:val="0006513F"/>
    <w:rsid w:val="00066A59"/>
    <w:rsid w:val="000731DD"/>
    <w:rsid w:val="00074323"/>
    <w:rsid w:val="0007614F"/>
    <w:rsid w:val="000772AC"/>
    <w:rsid w:val="000926E3"/>
    <w:rsid w:val="0009556A"/>
    <w:rsid w:val="000A1D93"/>
    <w:rsid w:val="000A3AFA"/>
    <w:rsid w:val="000A6158"/>
    <w:rsid w:val="000A6783"/>
    <w:rsid w:val="000A6807"/>
    <w:rsid w:val="000A6B57"/>
    <w:rsid w:val="000B0DEC"/>
    <w:rsid w:val="000B333D"/>
    <w:rsid w:val="000B5055"/>
    <w:rsid w:val="000C5D03"/>
    <w:rsid w:val="000E0D85"/>
    <w:rsid w:val="000E1FE1"/>
    <w:rsid w:val="000E5EC1"/>
    <w:rsid w:val="000E6573"/>
    <w:rsid w:val="000F23FB"/>
    <w:rsid w:val="000F3ACD"/>
    <w:rsid w:val="000F3B05"/>
    <w:rsid w:val="000F4BB8"/>
    <w:rsid w:val="000F4C75"/>
    <w:rsid w:val="000F5C6B"/>
    <w:rsid w:val="000F6F77"/>
    <w:rsid w:val="000F7997"/>
    <w:rsid w:val="0010233E"/>
    <w:rsid w:val="00102B3B"/>
    <w:rsid w:val="00112D20"/>
    <w:rsid w:val="0011595C"/>
    <w:rsid w:val="001165AC"/>
    <w:rsid w:val="001243D9"/>
    <w:rsid w:val="001272A6"/>
    <w:rsid w:val="001311AF"/>
    <w:rsid w:val="00131ADC"/>
    <w:rsid w:val="00134F1B"/>
    <w:rsid w:val="00136026"/>
    <w:rsid w:val="001464D2"/>
    <w:rsid w:val="00150A97"/>
    <w:rsid w:val="00151C64"/>
    <w:rsid w:val="00156057"/>
    <w:rsid w:val="00161C1A"/>
    <w:rsid w:val="001633E2"/>
    <w:rsid w:val="00164615"/>
    <w:rsid w:val="0017077A"/>
    <w:rsid w:val="00175F93"/>
    <w:rsid w:val="00176C26"/>
    <w:rsid w:val="00180DEC"/>
    <w:rsid w:val="00181BBF"/>
    <w:rsid w:val="0018513C"/>
    <w:rsid w:val="00186295"/>
    <w:rsid w:val="00190CE6"/>
    <w:rsid w:val="0019335A"/>
    <w:rsid w:val="00194F48"/>
    <w:rsid w:val="00197F4E"/>
    <w:rsid w:val="001A1A15"/>
    <w:rsid w:val="001A32E9"/>
    <w:rsid w:val="001A40FF"/>
    <w:rsid w:val="001A630F"/>
    <w:rsid w:val="001B1BE6"/>
    <w:rsid w:val="001B379F"/>
    <w:rsid w:val="001B3987"/>
    <w:rsid w:val="001B60C2"/>
    <w:rsid w:val="001B78A5"/>
    <w:rsid w:val="001C4726"/>
    <w:rsid w:val="001C4904"/>
    <w:rsid w:val="001C4D27"/>
    <w:rsid w:val="001D5314"/>
    <w:rsid w:val="001D5910"/>
    <w:rsid w:val="001E4586"/>
    <w:rsid w:val="001E7755"/>
    <w:rsid w:val="001F1D1B"/>
    <w:rsid w:val="001F2543"/>
    <w:rsid w:val="00201116"/>
    <w:rsid w:val="0021091A"/>
    <w:rsid w:val="002110EE"/>
    <w:rsid w:val="002121A1"/>
    <w:rsid w:val="00214A1A"/>
    <w:rsid w:val="00215FC8"/>
    <w:rsid w:val="0022351F"/>
    <w:rsid w:val="0022374A"/>
    <w:rsid w:val="0023059D"/>
    <w:rsid w:val="00230637"/>
    <w:rsid w:val="00230B4C"/>
    <w:rsid w:val="00232016"/>
    <w:rsid w:val="00245F77"/>
    <w:rsid w:val="00246221"/>
    <w:rsid w:val="00247B17"/>
    <w:rsid w:val="00256889"/>
    <w:rsid w:val="00262CA7"/>
    <w:rsid w:val="002632E0"/>
    <w:rsid w:val="00266369"/>
    <w:rsid w:val="00266804"/>
    <w:rsid w:val="0026711E"/>
    <w:rsid w:val="002678DB"/>
    <w:rsid w:val="002716CC"/>
    <w:rsid w:val="0027223D"/>
    <w:rsid w:val="002725CE"/>
    <w:rsid w:val="00274F2D"/>
    <w:rsid w:val="00275194"/>
    <w:rsid w:val="00276386"/>
    <w:rsid w:val="00280147"/>
    <w:rsid w:val="00281518"/>
    <w:rsid w:val="002832B7"/>
    <w:rsid w:val="002907CF"/>
    <w:rsid w:val="002922B0"/>
    <w:rsid w:val="0029274E"/>
    <w:rsid w:val="00293BD7"/>
    <w:rsid w:val="002A0306"/>
    <w:rsid w:val="002A3005"/>
    <w:rsid w:val="002B6D43"/>
    <w:rsid w:val="002C27BC"/>
    <w:rsid w:val="002C64B8"/>
    <w:rsid w:val="002C6B9B"/>
    <w:rsid w:val="002D05A1"/>
    <w:rsid w:val="002D1F36"/>
    <w:rsid w:val="002D25E6"/>
    <w:rsid w:val="002D50B8"/>
    <w:rsid w:val="002D6100"/>
    <w:rsid w:val="002E1057"/>
    <w:rsid w:val="002E267A"/>
    <w:rsid w:val="002E4F28"/>
    <w:rsid w:val="002F2603"/>
    <w:rsid w:val="002F4D51"/>
    <w:rsid w:val="002F73A1"/>
    <w:rsid w:val="003019DB"/>
    <w:rsid w:val="00306580"/>
    <w:rsid w:val="00311C15"/>
    <w:rsid w:val="00312D3E"/>
    <w:rsid w:val="00315A8D"/>
    <w:rsid w:val="0031689D"/>
    <w:rsid w:val="00322A3C"/>
    <w:rsid w:val="00326D4E"/>
    <w:rsid w:val="003329B8"/>
    <w:rsid w:val="00333EF7"/>
    <w:rsid w:val="00334C63"/>
    <w:rsid w:val="003353D5"/>
    <w:rsid w:val="003362E3"/>
    <w:rsid w:val="00337148"/>
    <w:rsid w:val="00337329"/>
    <w:rsid w:val="00341ABF"/>
    <w:rsid w:val="0035224E"/>
    <w:rsid w:val="00354FF8"/>
    <w:rsid w:val="003555CA"/>
    <w:rsid w:val="00361C58"/>
    <w:rsid w:val="003639C5"/>
    <w:rsid w:val="0036418B"/>
    <w:rsid w:val="00371317"/>
    <w:rsid w:val="00377F2F"/>
    <w:rsid w:val="0038441B"/>
    <w:rsid w:val="00385C33"/>
    <w:rsid w:val="00392B87"/>
    <w:rsid w:val="00393941"/>
    <w:rsid w:val="0039526B"/>
    <w:rsid w:val="00397D1B"/>
    <w:rsid w:val="003A356F"/>
    <w:rsid w:val="003A3966"/>
    <w:rsid w:val="003A506E"/>
    <w:rsid w:val="003A5780"/>
    <w:rsid w:val="003B0FD7"/>
    <w:rsid w:val="003B1542"/>
    <w:rsid w:val="003B4A97"/>
    <w:rsid w:val="003B5909"/>
    <w:rsid w:val="003C0230"/>
    <w:rsid w:val="003C07F9"/>
    <w:rsid w:val="003C231A"/>
    <w:rsid w:val="003C4C24"/>
    <w:rsid w:val="003C4FB4"/>
    <w:rsid w:val="003C6AED"/>
    <w:rsid w:val="003C70BA"/>
    <w:rsid w:val="003D1EE4"/>
    <w:rsid w:val="003D51F0"/>
    <w:rsid w:val="003D6B99"/>
    <w:rsid w:val="003D7869"/>
    <w:rsid w:val="003E09D2"/>
    <w:rsid w:val="003E3C08"/>
    <w:rsid w:val="003E4CA8"/>
    <w:rsid w:val="003E6187"/>
    <w:rsid w:val="003E74A0"/>
    <w:rsid w:val="003F0759"/>
    <w:rsid w:val="003F220C"/>
    <w:rsid w:val="003F42CE"/>
    <w:rsid w:val="00401593"/>
    <w:rsid w:val="00401BA7"/>
    <w:rsid w:val="0040508C"/>
    <w:rsid w:val="00411DF8"/>
    <w:rsid w:val="00413B7C"/>
    <w:rsid w:val="00414206"/>
    <w:rsid w:val="00414257"/>
    <w:rsid w:val="00414856"/>
    <w:rsid w:val="00424559"/>
    <w:rsid w:val="00435248"/>
    <w:rsid w:val="0044376A"/>
    <w:rsid w:val="00444B47"/>
    <w:rsid w:val="0045074A"/>
    <w:rsid w:val="004526BF"/>
    <w:rsid w:val="00454BA8"/>
    <w:rsid w:val="00460AED"/>
    <w:rsid w:val="00464327"/>
    <w:rsid w:val="00466BBD"/>
    <w:rsid w:val="00470CF8"/>
    <w:rsid w:val="00475594"/>
    <w:rsid w:val="00481EED"/>
    <w:rsid w:val="00482AAA"/>
    <w:rsid w:val="004945DC"/>
    <w:rsid w:val="00496B60"/>
    <w:rsid w:val="004970B9"/>
    <w:rsid w:val="004A0A96"/>
    <w:rsid w:val="004A1BD5"/>
    <w:rsid w:val="004A2E81"/>
    <w:rsid w:val="004A36F0"/>
    <w:rsid w:val="004A5284"/>
    <w:rsid w:val="004B6424"/>
    <w:rsid w:val="004C21AA"/>
    <w:rsid w:val="004C4FC6"/>
    <w:rsid w:val="004C6575"/>
    <w:rsid w:val="004C7A9E"/>
    <w:rsid w:val="004D2DFA"/>
    <w:rsid w:val="004D6738"/>
    <w:rsid w:val="004E7BFB"/>
    <w:rsid w:val="004F203C"/>
    <w:rsid w:val="004F2854"/>
    <w:rsid w:val="0050308E"/>
    <w:rsid w:val="00504AAB"/>
    <w:rsid w:val="005073FD"/>
    <w:rsid w:val="0051174F"/>
    <w:rsid w:val="005216AB"/>
    <w:rsid w:val="00525983"/>
    <w:rsid w:val="00526D37"/>
    <w:rsid w:val="00527DA1"/>
    <w:rsid w:val="00535A26"/>
    <w:rsid w:val="00535BBC"/>
    <w:rsid w:val="00536DB5"/>
    <w:rsid w:val="00541311"/>
    <w:rsid w:val="00541618"/>
    <w:rsid w:val="005436C2"/>
    <w:rsid w:val="00546B35"/>
    <w:rsid w:val="00546BAE"/>
    <w:rsid w:val="00546DCF"/>
    <w:rsid w:val="0055152A"/>
    <w:rsid w:val="00552D09"/>
    <w:rsid w:val="00555759"/>
    <w:rsid w:val="0056188E"/>
    <w:rsid w:val="0057186E"/>
    <w:rsid w:val="00582727"/>
    <w:rsid w:val="00583E7F"/>
    <w:rsid w:val="00594D14"/>
    <w:rsid w:val="00595D2C"/>
    <w:rsid w:val="00596B16"/>
    <w:rsid w:val="005A3047"/>
    <w:rsid w:val="005A69AF"/>
    <w:rsid w:val="005A7EB0"/>
    <w:rsid w:val="005B01FF"/>
    <w:rsid w:val="005B4A19"/>
    <w:rsid w:val="005B5005"/>
    <w:rsid w:val="005C5E72"/>
    <w:rsid w:val="005C65B3"/>
    <w:rsid w:val="005C7065"/>
    <w:rsid w:val="005D21CB"/>
    <w:rsid w:val="005D41D4"/>
    <w:rsid w:val="005D5218"/>
    <w:rsid w:val="005D5367"/>
    <w:rsid w:val="005E054E"/>
    <w:rsid w:val="005E21D0"/>
    <w:rsid w:val="005E5807"/>
    <w:rsid w:val="005E5B60"/>
    <w:rsid w:val="005E5B7E"/>
    <w:rsid w:val="005E6CE4"/>
    <w:rsid w:val="005E790B"/>
    <w:rsid w:val="005F12B0"/>
    <w:rsid w:val="005F24CC"/>
    <w:rsid w:val="005F4EFE"/>
    <w:rsid w:val="0060300B"/>
    <w:rsid w:val="006068B8"/>
    <w:rsid w:val="0061214A"/>
    <w:rsid w:val="0061342A"/>
    <w:rsid w:val="00613C74"/>
    <w:rsid w:val="006140D7"/>
    <w:rsid w:val="006211FB"/>
    <w:rsid w:val="00622E57"/>
    <w:rsid w:val="006241BF"/>
    <w:rsid w:val="0062608D"/>
    <w:rsid w:val="006262C4"/>
    <w:rsid w:val="00630CCF"/>
    <w:rsid w:val="006358E9"/>
    <w:rsid w:val="0064368C"/>
    <w:rsid w:val="00650A56"/>
    <w:rsid w:val="00650E20"/>
    <w:rsid w:val="0065135E"/>
    <w:rsid w:val="006527BA"/>
    <w:rsid w:val="00652EAE"/>
    <w:rsid w:val="00653EEB"/>
    <w:rsid w:val="00655EF2"/>
    <w:rsid w:val="00656A5C"/>
    <w:rsid w:val="00656B25"/>
    <w:rsid w:val="00656D4C"/>
    <w:rsid w:val="006576F2"/>
    <w:rsid w:val="00657F3C"/>
    <w:rsid w:val="00660EE8"/>
    <w:rsid w:val="006613A9"/>
    <w:rsid w:val="00664E7E"/>
    <w:rsid w:val="006656CF"/>
    <w:rsid w:val="00667911"/>
    <w:rsid w:val="006750CF"/>
    <w:rsid w:val="00676AF9"/>
    <w:rsid w:val="00681FDB"/>
    <w:rsid w:val="0068273E"/>
    <w:rsid w:val="006840B2"/>
    <w:rsid w:val="00686B0C"/>
    <w:rsid w:val="00691565"/>
    <w:rsid w:val="0069197D"/>
    <w:rsid w:val="006959AE"/>
    <w:rsid w:val="00695E54"/>
    <w:rsid w:val="006A02F5"/>
    <w:rsid w:val="006A2E52"/>
    <w:rsid w:val="006A5160"/>
    <w:rsid w:val="006B08DC"/>
    <w:rsid w:val="006C5803"/>
    <w:rsid w:val="006C7EB7"/>
    <w:rsid w:val="006D2932"/>
    <w:rsid w:val="006D32CA"/>
    <w:rsid w:val="006D39A6"/>
    <w:rsid w:val="006D450A"/>
    <w:rsid w:val="006D5D4E"/>
    <w:rsid w:val="006D6F00"/>
    <w:rsid w:val="006E12D2"/>
    <w:rsid w:val="006E24E0"/>
    <w:rsid w:val="006E25E8"/>
    <w:rsid w:val="006E2B84"/>
    <w:rsid w:val="006F3455"/>
    <w:rsid w:val="006F5D5F"/>
    <w:rsid w:val="006F6D8D"/>
    <w:rsid w:val="0070168E"/>
    <w:rsid w:val="00701C64"/>
    <w:rsid w:val="007032C7"/>
    <w:rsid w:val="007033D2"/>
    <w:rsid w:val="00706609"/>
    <w:rsid w:val="0071376F"/>
    <w:rsid w:val="00716B77"/>
    <w:rsid w:val="00721A34"/>
    <w:rsid w:val="00727D2F"/>
    <w:rsid w:val="007305DB"/>
    <w:rsid w:val="00731878"/>
    <w:rsid w:val="00734283"/>
    <w:rsid w:val="00734287"/>
    <w:rsid w:val="00736C31"/>
    <w:rsid w:val="00741FA2"/>
    <w:rsid w:val="007441D1"/>
    <w:rsid w:val="00745102"/>
    <w:rsid w:val="007453B7"/>
    <w:rsid w:val="007503AA"/>
    <w:rsid w:val="00752913"/>
    <w:rsid w:val="0076705C"/>
    <w:rsid w:val="00767350"/>
    <w:rsid w:val="00771588"/>
    <w:rsid w:val="007737E8"/>
    <w:rsid w:val="0077403F"/>
    <w:rsid w:val="00782B68"/>
    <w:rsid w:val="007847D1"/>
    <w:rsid w:val="00786312"/>
    <w:rsid w:val="00787E57"/>
    <w:rsid w:val="00793AD8"/>
    <w:rsid w:val="00794255"/>
    <w:rsid w:val="00794965"/>
    <w:rsid w:val="00796F9A"/>
    <w:rsid w:val="007A03E5"/>
    <w:rsid w:val="007A3B18"/>
    <w:rsid w:val="007A4128"/>
    <w:rsid w:val="007A63CB"/>
    <w:rsid w:val="007B4F67"/>
    <w:rsid w:val="007C1882"/>
    <w:rsid w:val="007C2181"/>
    <w:rsid w:val="007C3221"/>
    <w:rsid w:val="007C7776"/>
    <w:rsid w:val="007D23BD"/>
    <w:rsid w:val="007D258A"/>
    <w:rsid w:val="007E013B"/>
    <w:rsid w:val="007E13A7"/>
    <w:rsid w:val="007E3424"/>
    <w:rsid w:val="007E37F4"/>
    <w:rsid w:val="007F0910"/>
    <w:rsid w:val="007F2B11"/>
    <w:rsid w:val="0080219C"/>
    <w:rsid w:val="00802D2C"/>
    <w:rsid w:val="00806B80"/>
    <w:rsid w:val="008123A9"/>
    <w:rsid w:val="00820952"/>
    <w:rsid w:val="00821A99"/>
    <w:rsid w:val="00822709"/>
    <w:rsid w:val="008308D4"/>
    <w:rsid w:val="00831830"/>
    <w:rsid w:val="00831B2B"/>
    <w:rsid w:val="00834160"/>
    <w:rsid w:val="00837C81"/>
    <w:rsid w:val="008405F1"/>
    <w:rsid w:val="00842CCC"/>
    <w:rsid w:val="00845058"/>
    <w:rsid w:val="00847DB3"/>
    <w:rsid w:val="00852411"/>
    <w:rsid w:val="008563CF"/>
    <w:rsid w:val="00856F1E"/>
    <w:rsid w:val="00856F32"/>
    <w:rsid w:val="00864801"/>
    <w:rsid w:val="00871D12"/>
    <w:rsid w:val="00877C62"/>
    <w:rsid w:val="008873AD"/>
    <w:rsid w:val="00890C2B"/>
    <w:rsid w:val="00890CCB"/>
    <w:rsid w:val="008934FA"/>
    <w:rsid w:val="00895D0E"/>
    <w:rsid w:val="008A205E"/>
    <w:rsid w:val="008A3F72"/>
    <w:rsid w:val="008B1BC7"/>
    <w:rsid w:val="008B40B0"/>
    <w:rsid w:val="008B5D34"/>
    <w:rsid w:val="008D0E7A"/>
    <w:rsid w:val="008D26C1"/>
    <w:rsid w:val="008D3A73"/>
    <w:rsid w:val="008D6691"/>
    <w:rsid w:val="008D694E"/>
    <w:rsid w:val="008E3993"/>
    <w:rsid w:val="008E60BC"/>
    <w:rsid w:val="008F3E8D"/>
    <w:rsid w:val="008F5598"/>
    <w:rsid w:val="008F7B01"/>
    <w:rsid w:val="008F7B9A"/>
    <w:rsid w:val="009002F7"/>
    <w:rsid w:val="0090773C"/>
    <w:rsid w:val="00913B30"/>
    <w:rsid w:val="0091406B"/>
    <w:rsid w:val="00917166"/>
    <w:rsid w:val="00921562"/>
    <w:rsid w:val="0092160A"/>
    <w:rsid w:val="0092187F"/>
    <w:rsid w:val="00931CD3"/>
    <w:rsid w:val="00933F64"/>
    <w:rsid w:val="009460E8"/>
    <w:rsid w:val="00946799"/>
    <w:rsid w:val="00955931"/>
    <w:rsid w:val="009566DF"/>
    <w:rsid w:val="00956E17"/>
    <w:rsid w:val="00962857"/>
    <w:rsid w:val="00962C1A"/>
    <w:rsid w:val="00963EF1"/>
    <w:rsid w:val="009708E7"/>
    <w:rsid w:val="00972402"/>
    <w:rsid w:val="00977355"/>
    <w:rsid w:val="0097777A"/>
    <w:rsid w:val="009817E9"/>
    <w:rsid w:val="00983521"/>
    <w:rsid w:val="009837EE"/>
    <w:rsid w:val="00984217"/>
    <w:rsid w:val="00984F35"/>
    <w:rsid w:val="00991D70"/>
    <w:rsid w:val="009934B5"/>
    <w:rsid w:val="0099373B"/>
    <w:rsid w:val="0099392F"/>
    <w:rsid w:val="0099491D"/>
    <w:rsid w:val="009A2273"/>
    <w:rsid w:val="009A6472"/>
    <w:rsid w:val="009B376C"/>
    <w:rsid w:val="009B3B7F"/>
    <w:rsid w:val="009B6395"/>
    <w:rsid w:val="009B7F71"/>
    <w:rsid w:val="009C321C"/>
    <w:rsid w:val="009C7657"/>
    <w:rsid w:val="009D3F9D"/>
    <w:rsid w:val="009E13BA"/>
    <w:rsid w:val="009E3613"/>
    <w:rsid w:val="009E56F2"/>
    <w:rsid w:val="009E71EA"/>
    <w:rsid w:val="009F0C16"/>
    <w:rsid w:val="009F19C7"/>
    <w:rsid w:val="009F2D14"/>
    <w:rsid w:val="00A03181"/>
    <w:rsid w:val="00A038C1"/>
    <w:rsid w:val="00A054B5"/>
    <w:rsid w:val="00A05722"/>
    <w:rsid w:val="00A111FE"/>
    <w:rsid w:val="00A15251"/>
    <w:rsid w:val="00A15CFF"/>
    <w:rsid w:val="00A216A1"/>
    <w:rsid w:val="00A21B39"/>
    <w:rsid w:val="00A32EAF"/>
    <w:rsid w:val="00A33627"/>
    <w:rsid w:val="00A34BD3"/>
    <w:rsid w:val="00A40FAE"/>
    <w:rsid w:val="00A41225"/>
    <w:rsid w:val="00A41BC1"/>
    <w:rsid w:val="00A4279F"/>
    <w:rsid w:val="00A4380E"/>
    <w:rsid w:val="00A44E14"/>
    <w:rsid w:val="00A502E8"/>
    <w:rsid w:val="00A51B51"/>
    <w:rsid w:val="00A51FEA"/>
    <w:rsid w:val="00A52BD5"/>
    <w:rsid w:val="00A53E59"/>
    <w:rsid w:val="00A5423D"/>
    <w:rsid w:val="00A548C8"/>
    <w:rsid w:val="00A56B20"/>
    <w:rsid w:val="00A57071"/>
    <w:rsid w:val="00A607A0"/>
    <w:rsid w:val="00A60AA1"/>
    <w:rsid w:val="00A612B4"/>
    <w:rsid w:val="00A62420"/>
    <w:rsid w:val="00A6340D"/>
    <w:rsid w:val="00A64CAD"/>
    <w:rsid w:val="00A66A93"/>
    <w:rsid w:val="00A6773C"/>
    <w:rsid w:val="00A7085B"/>
    <w:rsid w:val="00A70C26"/>
    <w:rsid w:val="00A71F47"/>
    <w:rsid w:val="00A74317"/>
    <w:rsid w:val="00A7720C"/>
    <w:rsid w:val="00A8171A"/>
    <w:rsid w:val="00A86F8D"/>
    <w:rsid w:val="00A90FBD"/>
    <w:rsid w:val="00A96262"/>
    <w:rsid w:val="00AA25A1"/>
    <w:rsid w:val="00AA34BD"/>
    <w:rsid w:val="00AA3DAF"/>
    <w:rsid w:val="00AA44C3"/>
    <w:rsid w:val="00AA5599"/>
    <w:rsid w:val="00AA6F89"/>
    <w:rsid w:val="00AA725F"/>
    <w:rsid w:val="00AB1E8A"/>
    <w:rsid w:val="00AB5F7B"/>
    <w:rsid w:val="00AB6FD3"/>
    <w:rsid w:val="00AC2BA8"/>
    <w:rsid w:val="00AC7765"/>
    <w:rsid w:val="00AC7EE6"/>
    <w:rsid w:val="00AD15AB"/>
    <w:rsid w:val="00AD26F7"/>
    <w:rsid w:val="00AD3B82"/>
    <w:rsid w:val="00AD3F01"/>
    <w:rsid w:val="00AD4EB2"/>
    <w:rsid w:val="00AE3356"/>
    <w:rsid w:val="00AE4FF3"/>
    <w:rsid w:val="00AF220F"/>
    <w:rsid w:val="00AF2963"/>
    <w:rsid w:val="00AF3F8A"/>
    <w:rsid w:val="00AF575C"/>
    <w:rsid w:val="00B00E16"/>
    <w:rsid w:val="00B058F8"/>
    <w:rsid w:val="00B13B4C"/>
    <w:rsid w:val="00B33601"/>
    <w:rsid w:val="00B34796"/>
    <w:rsid w:val="00B353E7"/>
    <w:rsid w:val="00B456E6"/>
    <w:rsid w:val="00B4669C"/>
    <w:rsid w:val="00B46CBE"/>
    <w:rsid w:val="00B47C61"/>
    <w:rsid w:val="00B50BE3"/>
    <w:rsid w:val="00B518B2"/>
    <w:rsid w:val="00B51DC1"/>
    <w:rsid w:val="00B53A12"/>
    <w:rsid w:val="00B578AC"/>
    <w:rsid w:val="00B628BB"/>
    <w:rsid w:val="00B658A4"/>
    <w:rsid w:val="00B67524"/>
    <w:rsid w:val="00B71C40"/>
    <w:rsid w:val="00B7531B"/>
    <w:rsid w:val="00B76ACF"/>
    <w:rsid w:val="00B82CEE"/>
    <w:rsid w:val="00B868EC"/>
    <w:rsid w:val="00B87D72"/>
    <w:rsid w:val="00B933B0"/>
    <w:rsid w:val="00B9487D"/>
    <w:rsid w:val="00B952EF"/>
    <w:rsid w:val="00BA24E7"/>
    <w:rsid w:val="00BA39AC"/>
    <w:rsid w:val="00BB13A8"/>
    <w:rsid w:val="00BB1D22"/>
    <w:rsid w:val="00BB2B26"/>
    <w:rsid w:val="00BB416E"/>
    <w:rsid w:val="00BB42C2"/>
    <w:rsid w:val="00BB4ADD"/>
    <w:rsid w:val="00BB72FB"/>
    <w:rsid w:val="00BC3673"/>
    <w:rsid w:val="00BC5490"/>
    <w:rsid w:val="00BC7325"/>
    <w:rsid w:val="00BC7AA0"/>
    <w:rsid w:val="00BD2F55"/>
    <w:rsid w:val="00BD3A0B"/>
    <w:rsid w:val="00BD5C71"/>
    <w:rsid w:val="00BD6E5B"/>
    <w:rsid w:val="00BE080A"/>
    <w:rsid w:val="00BE0D38"/>
    <w:rsid w:val="00BE3F44"/>
    <w:rsid w:val="00BE6347"/>
    <w:rsid w:val="00BF451A"/>
    <w:rsid w:val="00BF5E12"/>
    <w:rsid w:val="00C03D78"/>
    <w:rsid w:val="00C06D37"/>
    <w:rsid w:val="00C1420D"/>
    <w:rsid w:val="00C34209"/>
    <w:rsid w:val="00C35452"/>
    <w:rsid w:val="00C37155"/>
    <w:rsid w:val="00C47C8F"/>
    <w:rsid w:val="00C5086B"/>
    <w:rsid w:val="00C55B12"/>
    <w:rsid w:val="00C5637E"/>
    <w:rsid w:val="00C66C6F"/>
    <w:rsid w:val="00C70A42"/>
    <w:rsid w:val="00C763FF"/>
    <w:rsid w:val="00C80D5D"/>
    <w:rsid w:val="00C81B2A"/>
    <w:rsid w:val="00C83F81"/>
    <w:rsid w:val="00C86A6C"/>
    <w:rsid w:val="00C90406"/>
    <w:rsid w:val="00C92754"/>
    <w:rsid w:val="00C92BE7"/>
    <w:rsid w:val="00C92F39"/>
    <w:rsid w:val="00C94CB5"/>
    <w:rsid w:val="00CB0903"/>
    <w:rsid w:val="00CB70F3"/>
    <w:rsid w:val="00CB72D6"/>
    <w:rsid w:val="00CB7A0D"/>
    <w:rsid w:val="00CC59BC"/>
    <w:rsid w:val="00CD1B22"/>
    <w:rsid w:val="00CD2333"/>
    <w:rsid w:val="00CD4AAA"/>
    <w:rsid w:val="00CD4D5C"/>
    <w:rsid w:val="00CD6519"/>
    <w:rsid w:val="00CE0220"/>
    <w:rsid w:val="00CE1012"/>
    <w:rsid w:val="00CE14D4"/>
    <w:rsid w:val="00CE1F75"/>
    <w:rsid w:val="00CE294D"/>
    <w:rsid w:val="00CE42E7"/>
    <w:rsid w:val="00CE70D0"/>
    <w:rsid w:val="00CF0145"/>
    <w:rsid w:val="00CF0403"/>
    <w:rsid w:val="00CF05B1"/>
    <w:rsid w:val="00CF07B0"/>
    <w:rsid w:val="00CF10B3"/>
    <w:rsid w:val="00CF1603"/>
    <w:rsid w:val="00D023A9"/>
    <w:rsid w:val="00D03393"/>
    <w:rsid w:val="00D033A9"/>
    <w:rsid w:val="00D04B9D"/>
    <w:rsid w:val="00D0783D"/>
    <w:rsid w:val="00D129FE"/>
    <w:rsid w:val="00D17C71"/>
    <w:rsid w:val="00D212DC"/>
    <w:rsid w:val="00D25732"/>
    <w:rsid w:val="00D30E62"/>
    <w:rsid w:val="00D31F81"/>
    <w:rsid w:val="00D32321"/>
    <w:rsid w:val="00D34DA3"/>
    <w:rsid w:val="00D44B21"/>
    <w:rsid w:val="00D45255"/>
    <w:rsid w:val="00D47216"/>
    <w:rsid w:val="00D53A43"/>
    <w:rsid w:val="00D5432A"/>
    <w:rsid w:val="00D55C2B"/>
    <w:rsid w:val="00D60C86"/>
    <w:rsid w:val="00D6251F"/>
    <w:rsid w:val="00D65256"/>
    <w:rsid w:val="00D6723A"/>
    <w:rsid w:val="00D676CB"/>
    <w:rsid w:val="00D71F62"/>
    <w:rsid w:val="00D750B5"/>
    <w:rsid w:val="00D75D5C"/>
    <w:rsid w:val="00D76937"/>
    <w:rsid w:val="00D8060B"/>
    <w:rsid w:val="00D80912"/>
    <w:rsid w:val="00D81D22"/>
    <w:rsid w:val="00D847FC"/>
    <w:rsid w:val="00D87F1E"/>
    <w:rsid w:val="00D93B89"/>
    <w:rsid w:val="00D94F3A"/>
    <w:rsid w:val="00D977CD"/>
    <w:rsid w:val="00DA0516"/>
    <w:rsid w:val="00DA66AD"/>
    <w:rsid w:val="00DB65C4"/>
    <w:rsid w:val="00DC05EE"/>
    <w:rsid w:val="00DC3066"/>
    <w:rsid w:val="00DC48A1"/>
    <w:rsid w:val="00DC4976"/>
    <w:rsid w:val="00DC6266"/>
    <w:rsid w:val="00DC64B0"/>
    <w:rsid w:val="00DC7F91"/>
    <w:rsid w:val="00DC7FA2"/>
    <w:rsid w:val="00DD27AC"/>
    <w:rsid w:val="00DD28BA"/>
    <w:rsid w:val="00DD420F"/>
    <w:rsid w:val="00DD6432"/>
    <w:rsid w:val="00DD7BD1"/>
    <w:rsid w:val="00DE2462"/>
    <w:rsid w:val="00DE4E04"/>
    <w:rsid w:val="00DE567E"/>
    <w:rsid w:val="00DE5CD2"/>
    <w:rsid w:val="00DF2484"/>
    <w:rsid w:val="00E01D4A"/>
    <w:rsid w:val="00E02314"/>
    <w:rsid w:val="00E02B00"/>
    <w:rsid w:val="00E04383"/>
    <w:rsid w:val="00E04B6C"/>
    <w:rsid w:val="00E05409"/>
    <w:rsid w:val="00E05599"/>
    <w:rsid w:val="00E128EA"/>
    <w:rsid w:val="00E13FF0"/>
    <w:rsid w:val="00E14528"/>
    <w:rsid w:val="00E157A9"/>
    <w:rsid w:val="00E15ED4"/>
    <w:rsid w:val="00E16F19"/>
    <w:rsid w:val="00E21589"/>
    <w:rsid w:val="00E26A0A"/>
    <w:rsid w:val="00E3070F"/>
    <w:rsid w:val="00E31EEC"/>
    <w:rsid w:val="00E31FE3"/>
    <w:rsid w:val="00E324FE"/>
    <w:rsid w:val="00E34BA2"/>
    <w:rsid w:val="00E404F2"/>
    <w:rsid w:val="00E514A8"/>
    <w:rsid w:val="00E53C99"/>
    <w:rsid w:val="00E54BB9"/>
    <w:rsid w:val="00E61455"/>
    <w:rsid w:val="00E61AA2"/>
    <w:rsid w:val="00E63AFC"/>
    <w:rsid w:val="00E64444"/>
    <w:rsid w:val="00E65AE8"/>
    <w:rsid w:val="00E65EF2"/>
    <w:rsid w:val="00E67DBD"/>
    <w:rsid w:val="00E73B9A"/>
    <w:rsid w:val="00E76C3F"/>
    <w:rsid w:val="00E81517"/>
    <w:rsid w:val="00E82E90"/>
    <w:rsid w:val="00E84459"/>
    <w:rsid w:val="00E9133C"/>
    <w:rsid w:val="00E914F0"/>
    <w:rsid w:val="00E97D66"/>
    <w:rsid w:val="00EA5267"/>
    <w:rsid w:val="00EA776A"/>
    <w:rsid w:val="00EB4115"/>
    <w:rsid w:val="00EB41BB"/>
    <w:rsid w:val="00EC26F5"/>
    <w:rsid w:val="00EC3ED8"/>
    <w:rsid w:val="00EC619A"/>
    <w:rsid w:val="00EC666B"/>
    <w:rsid w:val="00EC7E68"/>
    <w:rsid w:val="00ED062F"/>
    <w:rsid w:val="00ED28ED"/>
    <w:rsid w:val="00ED70C7"/>
    <w:rsid w:val="00ED73BA"/>
    <w:rsid w:val="00EE5826"/>
    <w:rsid w:val="00EE6EB3"/>
    <w:rsid w:val="00EF046B"/>
    <w:rsid w:val="00EF07FB"/>
    <w:rsid w:val="00EF213F"/>
    <w:rsid w:val="00EF5ABF"/>
    <w:rsid w:val="00EF7A4B"/>
    <w:rsid w:val="00F000F6"/>
    <w:rsid w:val="00F03C99"/>
    <w:rsid w:val="00F049BB"/>
    <w:rsid w:val="00F05DAB"/>
    <w:rsid w:val="00F07A3F"/>
    <w:rsid w:val="00F2065E"/>
    <w:rsid w:val="00F22E30"/>
    <w:rsid w:val="00F23FF7"/>
    <w:rsid w:val="00F33318"/>
    <w:rsid w:val="00F35C4C"/>
    <w:rsid w:val="00F36A16"/>
    <w:rsid w:val="00F3726E"/>
    <w:rsid w:val="00F41C66"/>
    <w:rsid w:val="00F46E3D"/>
    <w:rsid w:val="00F47C28"/>
    <w:rsid w:val="00F53A6B"/>
    <w:rsid w:val="00F55002"/>
    <w:rsid w:val="00F5529F"/>
    <w:rsid w:val="00F62BCC"/>
    <w:rsid w:val="00F645A2"/>
    <w:rsid w:val="00F66067"/>
    <w:rsid w:val="00F676B3"/>
    <w:rsid w:val="00F71863"/>
    <w:rsid w:val="00F726ED"/>
    <w:rsid w:val="00F7276D"/>
    <w:rsid w:val="00F75C9B"/>
    <w:rsid w:val="00F774EC"/>
    <w:rsid w:val="00F82D36"/>
    <w:rsid w:val="00F84C28"/>
    <w:rsid w:val="00F85067"/>
    <w:rsid w:val="00F85905"/>
    <w:rsid w:val="00F8630A"/>
    <w:rsid w:val="00F86A0D"/>
    <w:rsid w:val="00F91161"/>
    <w:rsid w:val="00F925B9"/>
    <w:rsid w:val="00F9756C"/>
    <w:rsid w:val="00FA0B00"/>
    <w:rsid w:val="00FA1C7C"/>
    <w:rsid w:val="00FA3118"/>
    <w:rsid w:val="00FA72E8"/>
    <w:rsid w:val="00FB3422"/>
    <w:rsid w:val="00FB38A7"/>
    <w:rsid w:val="00FB3EB5"/>
    <w:rsid w:val="00FB7321"/>
    <w:rsid w:val="00FC0E5D"/>
    <w:rsid w:val="00FC1328"/>
    <w:rsid w:val="00FC556A"/>
    <w:rsid w:val="00FD1720"/>
    <w:rsid w:val="00FD2156"/>
    <w:rsid w:val="00FD38FD"/>
    <w:rsid w:val="00FD3BD2"/>
    <w:rsid w:val="00FD4308"/>
    <w:rsid w:val="00FD75F0"/>
    <w:rsid w:val="00FE53EC"/>
    <w:rsid w:val="00FE5D9D"/>
    <w:rsid w:val="00FE63E7"/>
    <w:rsid w:val="00FF059B"/>
    <w:rsid w:val="00FF7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2DA5"/>
  <w15:chartTrackingRefBased/>
  <w15:docId w15:val="{3871EDAE-A79D-4F1C-836A-62A19720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BA7"/>
    <w:pPr>
      <w:spacing w:after="200" w:line="276" w:lineRule="auto"/>
    </w:pPr>
  </w:style>
  <w:style w:type="paragraph" w:styleId="Heading1">
    <w:name w:val="heading 1"/>
    <w:basedOn w:val="Normal"/>
    <w:link w:val="Heading1Char"/>
    <w:uiPriority w:val="9"/>
    <w:qFormat/>
    <w:rsid w:val="00A4380E"/>
    <w:pPr>
      <w:spacing w:after="0" w:line="390" w:lineRule="atLeast"/>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01BA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01BA7"/>
    <w:rPr>
      <w:b/>
      <w:bCs/>
      <w:i/>
      <w:iCs/>
      <w:color w:val="5B9BD5" w:themeColor="accent1"/>
    </w:rPr>
  </w:style>
  <w:style w:type="table" w:styleId="TableGrid">
    <w:name w:val="Table Grid"/>
    <w:basedOn w:val="TableNormal"/>
    <w:uiPriority w:val="59"/>
    <w:rsid w:val="00401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foottextfra,F,texto de nota al pie"/>
    <w:basedOn w:val="Normal"/>
    <w:link w:val="FootnoteTextChar"/>
    <w:uiPriority w:val="99"/>
    <w:qFormat/>
    <w:rsid w:val="00401BA7"/>
    <w:pPr>
      <w:spacing w:after="0" w:line="240" w:lineRule="auto"/>
    </w:pPr>
    <w:rPr>
      <w:rFonts w:ascii="Arial" w:eastAsia="Times New Roman" w:hAnsi="Arial" w:cs="Times New Roman"/>
      <w:sz w:val="18"/>
      <w:szCs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basedOn w:val="DefaultParagraphFont"/>
    <w:link w:val="FootnoteText"/>
    <w:uiPriority w:val="99"/>
    <w:rsid w:val="00401BA7"/>
    <w:rPr>
      <w:rFonts w:ascii="Arial" w:eastAsia="Times New Roman" w:hAnsi="Arial" w:cs="Times New Roman"/>
      <w:sz w:val="18"/>
      <w:szCs w:val="20"/>
    </w:rPr>
  </w:style>
  <w:style w:type="character" w:styleId="FootnoteReference">
    <w:name w:val="footnote reference"/>
    <w:aliases w:val="FC,ftref,Fußnotenzeichen DISS,16 Point,Superscript 6 Point,BVI fnr,???? ?????? 1,referencia nota al pie,Footnote Reference Number,Footnote,Ref,de nota al pie,Normal + Font:9 Point,Superscript 3 Point Times,SUPERS,number,titulo 2"/>
    <w:basedOn w:val="DefaultParagraphFont"/>
    <w:uiPriority w:val="99"/>
    <w:qFormat/>
    <w:rsid w:val="00401BA7"/>
    <w:rPr>
      <w:rFonts w:ascii="Arial" w:hAnsi="Arial"/>
      <w:sz w:val="18"/>
      <w:vertAlign w:val="superscript"/>
    </w:rPr>
  </w:style>
  <w:style w:type="paragraph" w:styleId="ListParagraph">
    <w:name w:val="List Paragraph"/>
    <w:basedOn w:val="Normal"/>
    <w:link w:val="ListParagraphChar"/>
    <w:uiPriority w:val="34"/>
    <w:qFormat/>
    <w:rsid w:val="00401BA7"/>
    <w:pPr>
      <w:ind w:left="720"/>
      <w:contextualSpacing/>
    </w:pPr>
  </w:style>
  <w:style w:type="character" w:customStyle="1" w:styleId="ListParagraphChar">
    <w:name w:val="List Paragraph Char"/>
    <w:link w:val="ListParagraph"/>
    <w:uiPriority w:val="34"/>
    <w:rsid w:val="00401BA7"/>
  </w:style>
  <w:style w:type="character" w:styleId="CommentReference">
    <w:name w:val="annotation reference"/>
    <w:uiPriority w:val="99"/>
    <w:semiHidden/>
    <w:unhideWhenUsed/>
    <w:rsid w:val="00401BA7"/>
    <w:rPr>
      <w:sz w:val="16"/>
      <w:szCs w:val="16"/>
    </w:rPr>
  </w:style>
  <w:style w:type="paragraph" w:styleId="CommentText">
    <w:name w:val="annotation text"/>
    <w:basedOn w:val="Normal"/>
    <w:link w:val="CommentTextChar"/>
    <w:uiPriority w:val="99"/>
    <w:unhideWhenUsed/>
    <w:rsid w:val="00401BA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01BA7"/>
    <w:rPr>
      <w:rFonts w:ascii="Calibri" w:eastAsia="Calibri" w:hAnsi="Calibri" w:cs="Times New Roman"/>
      <w:sz w:val="20"/>
      <w:szCs w:val="20"/>
    </w:rPr>
  </w:style>
  <w:style w:type="paragraph" w:styleId="Footer">
    <w:name w:val="footer"/>
    <w:basedOn w:val="Normal"/>
    <w:link w:val="FooterChar"/>
    <w:uiPriority w:val="99"/>
    <w:unhideWhenUsed/>
    <w:rsid w:val="0040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BA7"/>
  </w:style>
  <w:style w:type="paragraph" w:styleId="BalloonText">
    <w:name w:val="Balloon Text"/>
    <w:basedOn w:val="Normal"/>
    <w:link w:val="BalloonTextChar"/>
    <w:uiPriority w:val="99"/>
    <w:semiHidden/>
    <w:unhideWhenUsed/>
    <w:rsid w:val="00401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BA7"/>
    <w:rPr>
      <w:rFonts w:ascii="Segoe UI" w:hAnsi="Segoe UI" w:cs="Segoe UI"/>
      <w:sz w:val="18"/>
      <w:szCs w:val="18"/>
    </w:rPr>
  </w:style>
  <w:style w:type="character" w:customStyle="1" w:styleId="Heading1Char">
    <w:name w:val="Heading 1 Char"/>
    <w:basedOn w:val="DefaultParagraphFont"/>
    <w:link w:val="Heading1"/>
    <w:uiPriority w:val="9"/>
    <w:rsid w:val="00A4380E"/>
    <w:rPr>
      <w:rFonts w:ascii="Times New Roman" w:eastAsia="Times New Roman" w:hAnsi="Times New Roman" w:cs="Times New Roman"/>
      <w:b/>
      <w:bCs/>
      <w:kern w:val="36"/>
      <w:sz w:val="36"/>
      <w:szCs w:val="36"/>
    </w:rPr>
  </w:style>
  <w:style w:type="paragraph" w:styleId="NormalWeb">
    <w:name w:val="Normal (Web)"/>
    <w:basedOn w:val="Normal"/>
    <w:uiPriority w:val="99"/>
    <w:semiHidden/>
    <w:unhideWhenUsed/>
    <w:rsid w:val="00A4380E"/>
    <w:pPr>
      <w:spacing w:after="0" w:line="240" w:lineRule="auto"/>
    </w:pPr>
    <w:rPr>
      <w:rFonts w:ascii="Times New Roman" w:eastAsia="Times New Roman" w:hAnsi="Times New Roman" w:cs="Times New Roman"/>
      <w:sz w:val="24"/>
      <w:szCs w:val="24"/>
    </w:rPr>
  </w:style>
  <w:style w:type="character" w:customStyle="1" w:styleId="share-text2">
    <w:name w:val="share-text2"/>
    <w:basedOn w:val="DefaultParagraphFont"/>
    <w:rsid w:val="00A4380E"/>
  </w:style>
  <w:style w:type="paragraph" w:styleId="CommentSubject">
    <w:name w:val="annotation subject"/>
    <w:basedOn w:val="CommentText"/>
    <w:next w:val="CommentText"/>
    <w:link w:val="CommentSubjectChar"/>
    <w:uiPriority w:val="99"/>
    <w:semiHidden/>
    <w:unhideWhenUsed/>
    <w:rsid w:val="001A630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A630F"/>
    <w:rPr>
      <w:rFonts w:ascii="Calibri" w:eastAsia="Calibri" w:hAnsi="Calibri" w:cs="Times New Roman"/>
      <w:b/>
      <w:bCs/>
      <w:sz w:val="20"/>
      <w:szCs w:val="20"/>
    </w:rPr>
  </w:style>
  <w:style w:type="character" w:styleId="Hyperlink">
    <w:name w:val="Hyperlink"/>
    <w:basedOn w:val="DefaultParagraphFont"/>
    <w:uiPriority w:val="99"/>
    <w:unhideWhenUsed/>
    <w:rsid w:val="00E128EA"/>
    <w:rPr>
      <w:color w:val="0563C1" w:themeColor="hyperlink"/>
      <w:u w:val="single"/>
    </w:rPr>
  </w:style>
  <w:style w:type="character" w:styleId="Strong">
    <w:name w:val="Strong"/>
    <w:basedOn w:val="DefaultParagraphFont"/>
    <w:uiPriority w:val="22"/>
    <w:qFormat/>
    <w:rsid w:val="001D5314"/>
    <w:rPr>
      <w:b/>
      <w:bCs/>
    </w:rPr>
  </w:style>
  <w:style w:type="character" w:customStyle="1" w:styleId="apple-converted-space">
    <w:name w:val="apple-converted-space"/>
    <w:basedOn w:val="DefaultParagraphFont"/>
    <w:rsid w:val="001D5314"/>
  </w:style>
  <w:style w:type="character" w:styleId="IntenseReference">
    <w:name w:val="Intense Reference"/>
    <w:basedOn w:val="DefaultParagraphFont"/>
    <w:uiPriority w:val="32"/>
    <w:qFormat/>
    <w:rsid w:val="003F42CE"/>
    <w:rPr>
      <w:b/>
      <w:bCs/>
      <w:smallCaps/>
      <w:color w:val="5B9BD5" w:themeColor="accent1"/>
      <w:spacing w:val="5"/>
    </w:rPr>
  </w:style>
  <w:style w:type="character" w:styleId="IntenseEmphasis">
    <w:name w:val="Intense Emphasis"/>
    <w:basedOn w:val="DefaultParagraphFont"/>
    <w:uiPriority w:val="21"/>
    <w:qFormat/>
    <w:rsid w:val="003F42CE"/>
    <w:rPr>
      <w:i/>
      <w:iCs/>
      <w:color w:val="5B9BD5" w:themeColor="accent1"/>
    </w:rPr>
  </w:style>
  <w:style w:type="paragraph" w:styleId="Header">
    <w:name w:val="header"/>
    <w:basedOn w:val="Normal"/>
    <w:link w:val="HeaderChar"/>
    <w:uiPriority w:val="99"/>
    <w:unhideWhenUsed/>
    <w:rsid w:val="00D3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21"/>
  </w:style>
  <w:style w:type="character" w:styleId="Mention">
    <w:name w:val="Mention"/>
    <w:basedOn w:val="DefaultParagraphFont"/>
    <w:uiPriority w:val="99"/>
    <w:semiHidden/>
    <w:unhideWhenUsed/>
    <w:rsid w:val="000474D5"/>
    <w:rPr>
      <w:color w:val="2B579A"/>
      <w:shd w:val="clear" w:color="auto" w:fill="E6E6E6"/>
    </w:rPr>
  </w:style>
  <w:style w:type="character" w:styleId="FollowedHyperlink">
    <w:name w:val="FollowedHyperlink"/>
    <w:basedOn w:val="DefaultParagraphFont"/>
    <w:uiPriority w:val="99"/>
    <w:semiHidden/>
    <w:unhideWhenUsed/>
    <w:rsid w:val="00047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6619">
      <w:bodyDiv w:val="1"/>
      <w:marLeft w:val="0"/>
      <w:marRight w:val="0"/>
      <w:marTop w:val="0"/>
      <w:marBottom w:val="0"/>
      <w:divBdr>
        <w:top w:val="none" w:sz="0" w:space="0" w:color="auto"/>
        <w:left w:val="none" w:sz="0" w:space="0" w:color="auto"/>
        <w:bottom w:val="none" w:sz="0" w:space="0" w:color="auto"/>
        <w:right w:val="none" w:sz="0" w:space="0" w:color="auto"/>
      </w:divBdr>
    </w:div>
    <w:div w:id="251353123">
      <w:bodyDiv w:val="1"/>
      <w:marLeft w:val="0"/>
      <w:marRight w:val="0"/>
      <w:marTop w:val="0"/>
      <w:marBottom w:val="0"/>
      <w:divBdr>
        <w:top w:val="none" w:sz="0" w:space="0" w:color="auto"/>
        <w:left w:val="none" w:sz="0" w:space="0" w:color="auto"/>
        <w:bottom w:val="none" w:sz="0" w:space="0" w:color="auto"/>
        <w:right w:val="none" w:sz="0" w:space="0" w:color="auto"/>
      </w:divBdr>
    </w:div>
    <w:div w:id="282657220">
      <w:bodyDiv w:val="1"/>
      <w:marLeft w:val="0"/>
      <w:marRight w:val="0"/>
      <w:marTop w:val="0"/>
      <w:marBottom w:val="0"/>
      <w:divBdr>
        <w:top w:val="none" w:sz="0" w:space="0" w:color="auto"/>
        <w:left w:val="none" w:sz="0" w:space="0" w:color="auto"/>
        <w:bottom w:val="none" w:sz="0" w:space="0" w:color="auto"/>
        <w:right w:val="none" w:sz="0" w:space="0" w:color="auto"/>
      </w:divBdr>
    </w:div>
    <w:div w:id="303127239">
      <w:bodyDiv w:val="1"/>
      <w:marLeft w:val="0"/>
      <w:marRight w:val="0"/>
      <w:marTop w:val="0"/>
      <w:marBottom w:val="0"/>
      <w:divBdr>
        <w:top w:val="none" w:sz="0" w:space="0" w:color="auto"/>
        <w:left w:val="none" w:sz="0" w:space="0" w:color="auto"/>
        <w:bottom w:val="none" w:sz="0" w:space="0" w:color="auto"/>
        <w:right w:val="none" w:sz="0" w:space="0" w:color="auto"/>
      </w:divBdr>
      <w:divsChild>
        <w:div w:id="932788095">
          <w:marLeft w:val="0"/>
          <w:marRight w:val="0"/>
          <w:marTop w:val="0"/>
          <w:marBottom w:val="0"/>
          <w:divBdr>
            <w:top w:val="none" w:sz="0" w:space="0" w:color="auto"/>
            <w:left w:val="none" w:sz="0" w:space="0" w:color="auto"/>
            <w:bottom w:val="none" w:sz="0" w:space="0" w:color="auto"/>
            <w:right w:val="none" w:sz="0" w:space="0" w:color="auto"/>
          </w:divBdr>
          <w:divsChild>
            <w:div w:id="1782841959">
              <w:marLeft w:val="0"/>
              <w:marRight w:val="0"/>
              <w:marTop w:val="0"/>
              <w:marBottom w:val="0"/>
              <w:divBdr>
                <w:top w:val="none" w:sz="0" w:space="0" w:color="auto"/>
                <w:left w:val="none" w:sz="0" w:space="0" w:color="auto"/>
                <w:bottom w:val="none" w:sz="0" w:space="0" w:color="auto"/>
                <w:right w:val="none" w:sz="0" w:space="0" w:color="auto"/>
              </w:divBdr>
              <w:divsChild>
                <w:div w:id="1735736317">
                  <w:marLeft w:val="0"/>
                  <w:marRight w:val="0"/>
                  <w:marTop w:val="0"/>
                  <w:marBottom w:val="0"/>
                  <w:divBdr>
                    <w:top w:val="none" w:sz="0" w:space="0" w:color="auto"/>
                    <w:left w:val="none" w:sz="0" w:space="0" w:color="auto"/>
                    <w:bottom w:val="none" w:sz="0" w:space="0" w:color="auto"/>
                    <w:right w:val="none" w:sz="0" w:space="0" w:color="auto"/>
                  </w:divBdr>
                  <w:divsChild>
                    <w:div w:id="314072573">
                      <w:marLeft w:val="0"/>
                      <w:marRight w:val="0"/>
                      <w:marTop w:val="0"/>
                      <w:marBottom w:val="0"/>
                      <w:divBdr>
                        <w:top w:val="none" w:sz="0" w:space="0" w:color="auto"/>
                        <w:left w:val="none" w:sz="0" w:space="0" w:color="auto"/>
                        <w:bottom w:val="none" w:sz="0" w:space="0" w:color="auto"/>
                        <w:right w:val="none" w:sz="0" w:space="0" w:color="auto"/>
                      </w:divBdr>
                      <w:divsChild>
                        <w:div w:id="1557474387">
                          <w:marLeft w:val="0"/>
                          <w:marRight w:val="0"/>
                          <w:marTop w:val="45"/>
                          <w:marBottom w:val="0"/>
                          <w:divBdr>
                            <w:top w:val="none" w:sz="0" w:space="0" w:color="auto"/>
                            <w:left w:val="none" w:sz="0" w:space="0" w:color="auto"/>
                            <w:bottom w:val="none" w:sz="0" w:space="0" w:color="auto"/>
                            <w:right w:val="none" w:sz="0" w:space="0" w:color="auto"/>
                          </w:divBdr>
                          <w:divsChild>
                            <w:div w:id="2089881733">
                              <w:marLeft w:val="0"/>
                              <w:marRight w:val="0"/>
                              <w:marTop w:val="0"/>
                              <w:marBottom w:val="0"/>
                              <w:divBdr>
                                <w:top w:val="none" w:sz="0" w:space="0" w:color="auto"/>
                                <w:left w:val="none" w:sz="0" w:space="0" w:color="auto"/>
                                <w:bottom w:val="none" w:sz="0" w:space="0" w:color="auto"/>
                                <w:right w:val="none" w:sz="0" w:space="0" w:color="auto"/>
                              </w:divBdr>
                              <w:divsChild>
                                <w:div w:id="987633152">
                                  <w:marLeft w:val="12300"/>
                                  <w:marRight w:val="0"/>
                                  <w:marTop w:val="0"/>
                                  <w:marBottom w:val="0"/>
                                  <w:divBdr>
                                    <w:top w:val="none" w:sz="0" w:space="0" w:color="auto"/>
                                    <w:left w:val="none" w:sz="0" w:space="0" w:color="auto"/>
                                    <w:bottom w:val="none" w:sz="0" w:space="0" w:color="auto"/>
                                    <w:right w:val="none" w:sz="0" w:space="0" w:color="auto"/>
                                  </w:divBdr>
                                  <w:divsChild>
                                    <w:div w:id="341011605">
                                      <w:marLeft w:val="0"/>
                                      <w:marRight w:val="0"/>
                                      <w:marTop w:val="0"/>
                                      <w:marBottom w:val="0"/>
                                      <w:divBdr>
                                        <w:top w:val="none" w:sz="0" w:space="0" w:color="auto"/>
                                        <w:left w:val="none" w:sz="0" w:space="0" w:color="auto"/>
                                        <w:bottom w:val="none" w:sz="0" w:space="0" w:color="auto"/>
                                        <w:right w:val="none" w:sz="0" w:space="0" w:color="auto"/>
                                      </w:divBdr>
                                      <w:divsChild>
                                        <w:div w:id="392235803">
                                          <w:marLeft w:val="0"/>
                                          <w:marRight w:val="0"/>
                                          <w:marTop w:val="0"/>
                                          <w:marBottom w:val="390"/>
                                          <w:divBdr>
                                            <w:top w:val="none" w:sz="0" w:space="0" w:color="auto"/>
                                            <w:left w:val="none" w:sz="0" w:space="0" w:color="auto"/>
                                            <w:bottom w:val="none" w:sz="0" w:space="0" w:color="auto"/>
                                            <w:right w:val="none" w:sz="0" w:space="0" w:color="auto"/>
                                          </w:divBdr>
                                          <w:divsChild>
                                            <w:div w:id="1286765661">
                                              <w:marLeft w:val="0"/>
                                              <w:marRight w:val="0"/>
                                              <w:marTop w:val="0"/>
                                              <w:marBottom w:val="0"/>
                                              <w:divBdr>
                                                <w:top w:val="none" w:sz="0" w:space="0" w:color="auto"/>
                                                <w:left w:val="none" w:sz="0" w:space="0" w:color="auto"/>
                                                <w:bottom w:val="none" w:sz="0" w:space="0" w:color="auto"/>
                                                <w:right w:val="none" w:sz="0" w:space="0" w:color="auto"/>
                                              </w:divBdr>
                                              <w:divsChild>
                                                <w:div w:id="911962869">
                                                  <w:marLeft w:val="0"/>
                                                  <w:marRight w:val="0"/>
                                                  <w:marTop w:val="0"/>
                                                  <w:marBottom w:val="0"/>
                                                  <w:divBdr>
                                                    <w:top w:val="none" w:sz="0" w:space="0" w:color="auto"/>
                                                    <w:left w:val="none" w:sz="0" w:space="0" w:color="auto"/>
                                                    <w:bottom w:val="none" w:sz="0" w:space="0" w:color="auto"/>
                                                    <w:right w:val="none" w:sz="0" w:space="0" w:color="auto"/>
                                                  </w:divBdr>
                                                  <w:divsChild>
                                                    <w:div w:id="1525632707">
                                                      <w:marLeft w:val="0"/>
                                                      <w:marRight w:val="0"/>
                                                      <w:marTop w:val="0"/>
                                                      <w:marBottom w:val="0"/>
                                                      <w:divBdr>
                                                        <w:top w:val="none" w:sz="0" w:space="0" w:color="auto"/>
                                                        <w:left w:val="none" w:sz="0" w:space="0" w:color="auto"/>
                                                        <w:bottom w:val="none" w:sz="0" w:space="0" w:color="auto"/>
                                                        <w:right w:val="none" w:sz="0" w:space="0" w:color="auto"/>
                                                      </w:divBdr>
                                                      <w:divsChild>
                                                        <w:div w:id="1392267906">
                                                          <w:marLeft w:val="0"/>
                                                          <w:marRight w:val="0"/>
                                                          <w:marTop w:val="0"/>
                                                          <w:marBottom w:val="0"/>
                                                          <w:divBdr>
                                                            <w:top w:val="none" w:sz="0" w:space="0" w:color="auto"/>
                                                            <w:left w:val="none" w:sz="0" w:space="0" w:color="auto"/>
                                                            <w:bottom w:val="none" w:sz="0" w:space="0" w:color="auto"/>
                                                            <w:right w:val="none" w:sz="0" w:space="0" w:color="auto"/>
                                                          </w:divBdr>
                                                          <w:divsChild>
                                                            <w:div w:id="1966347187">
                                                              <w:marLeft w:val="0"/>
                                                              <w:marRight w:val="0"/>
                                                              <w:marTop w:val="0"/>
                                                              <w:marBottom w:val="0"/>
                                                              <w:divBdr>
                                                                <w:top w:val="none" w:sz="0" w:space="0" w:color="auto"/>
                                                                <w:left w:val="none" w:sz="0" w:space="0" w:color="auto"/>
                                                                <w:bottom w:val="none" w:sz="0" w:space="0" w:color="auto"/>
                                                                <w:right w:val="none" w:sz="0" w:space="0" w:color="auto"/>
                                                              </w:divBdr>
                                                              <w:divsChild>
                                                                <w:div w:id="1187643862">
                                                                  <w:marLeft w:val="0"/>
                                                                  <w:marRight w:val="0"/>
                                                                  <w:marTop w:val="0"/>
                                                                  <w:marBottom w:val="0"/>
                                                                  <w:divBdr>
                                                                    <w:top w:val="none" w:sz="0" w:space="0" w:color="auto"/>
                                                                    <w:left w:val="none" w:sz="0" w:space="0" w:color="auto"/>
                                                                    <w:bottom w:val="none" w:sz="0" w:space="0" w:color="auto"/>
                                                                    <w:right w:val="none" w:sz="0" w:space="0" w:color="auto"/>
                                                                  </w:divBdr>
                                                                  <w:divsChild>
                                                                    <w:div w:id="1540775981">
                                                                      <w:marLeft w:val="0"/>
                                                                      <w:marRight w:val="0"/>
                                                                      <w:marTop w:val="0"/>
                                                                      <w:marBottom w:val="0"/>
                                                                      <w:divBdr>
                                                                        <w:top w:val="none" w:sz="0" w:space="0" w:color="auto"/>
                                                                        <w:left w:val="none" w:sz="0" w:space="0" w:color="auto"/>
                                                                        <w:bottom w:val="none" w:sz="0" w:space="0" w:color="auto"/>
                                                                        <w:right w:val="none" w:sz="0" w:space="0" w:color="auto"/>
                                                                      </w:divBdr>
                                                                      <w:divsChild>
                                                                        <w:div w:id="1758822021">
                                                                          <w:marLeft w:val="0"/>
                                                                          <w:marRight w:val="0"/>
                                                                          <w:marTop w:val="0"/>
                                                                          <w:marBottom w:val="0"/>
                                                                          <w:divBdr>
                                                                            <w:top w:val="none" w:sz="0" w:space="0" w:color="auto"/>
                                                                            <w:left w:val="none" w:sz="0" w:space="0" w:color="auto"/>
                                                                            <w:bottom w:val="none" w:sz="0" w:space="0" w:color="auto"/>
                                                                            <w:right w:val="none" w:sz="0" w:space="0" w:color="auto"/>
                                                                          </w:divBdr>
                                                                          <w:divsChild>
                                                                            <w:div w:id="984355480">
                                                                              <w:marLeft w:val="0"/>
                                                                              <w:marRight w:val="0"/>
                                                                              <w:marTop w:val="0"/>
                                                                              <w:marBottom w:val="0"/>
                                                                              <w:divBdr>
                                                                                <w:top w:val="none" w:sz="0" w:space="0" w:color="auto"/>
                                                                                <w:left w:val="none" w:sz="0" w:space="0" w:color="auto"/>
                                                                                <w:bottom w:val="none" w:sz="0" w:space="0" w:color="auto"/>
                                                                                <w:right w:val="none" w:sz="0" w:space="0" w:color="auto"/>
                                                                              </w:divBdr>
                                                                              <w:divsChild>
                                                                                <w:div w:id="1737822714">
                                                                                  <w:marLeft w:val="0"/>
                                                                                  <w:marRight w:val="0"/>
                                                                                  <w:marTop w:val="0"/>
                                                                                  <w:marBottom w:val="0"/>
                                                                                  <w:divBdr>
                                                                                    <w:top w:val="none" w:sz="0" w:space="0" w:color="auto"/>
                                                                                    <w:left w:val="none" w:sz="0" w:space="0" w:color="auto"/>
                                                                                    <w:bottom w:val="none" w:sz="0" w:space="0" w:color="auto"/>
                                                                                    <w:right w:val="none" w:sz="0" w:space="0" w:color="auto"/>
                                                                                  </w:divBdr>
                                                                                  <w:divsChild>
                                                                                    <w:div w:id="156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431478">
      <w:bodyDiv w:val="1"/>
      <w:marLeft w:val="0"/>
      <w:marRight w:val="0"/>
      <w:marTop w:val="0"/>
      <w:marBottom w:val="0"/>
      <w:divBdr>
        <w:top w:val="none" w:sz="0" w:space="0" w:color="auto"/>
        <w:left w:val="none" w:sz="0" w:space="0" w:color="auto"/>
        <w:bottom w:val="none" w:sz="0" w:space="0" w:color="auto"/>
        <w:right w:val="none" w:sz="0" w:space="0" w:color="auto"/>
      </w:divBdr>
    </w:div>
    <w:div w:id="451367589">
      <w:bodyDiv w:val="1"/>
      <w:marLeft w:val="0"/>
      <w:marRight w:val="0"/>
      <w:marTop w:val="0"/>
      <w:marBottom w:val="0"/>
      <w:divBdr>
        <w:top w:val="none" w:sz="0" w:space="0" w:color="auto"/>
        <w:left w:val="none" w:sz="0" w:space="0" w:color="auto"/>
        <w:bottom w:val="none" w:sz="0" w:space="0" w:color="auto"/>
        <w:right w:val="none" w:sz="0" w:space="0" w:color="auto"/>
      </w:divBdr>
    </w:div>
    <w:div w:id="931864335">
      <w:bodyDiv w:val="1"/>
      <w:marLeft w:val="0"/>
      <w:marRight w:val="0"/>
      <w:marTop w:val="0"/>
      <w:marBottom w:val="0"/>
      <w:divBdr>
        <w:top w:val="none" w:sz="0" w:space="0" w:color="auto"/>
        <w:left w:val="none" w:sz="0" w:space="0" w:color="auto"/>
        <w:bottom w:val="none" w:sz="0" w:space="0" w:color="auto"/>
        <w:right w:val="none" w:sz="0" w:space="0" w:color="auto"/>
      </w:divBdr>
      <w:divsChild>
        <w:div w:id="2084327845">
          <w:marLeft w:val="0"/>
          <w:marRight w:val="0"/>
          <w:marTop w:val="0"/>
          <w:marBottom w:val="0"/>
          <w:divBdr>
            <w:top w:val="none" w:sz="0" w:space="0" w:color="auto"/>
            <w:left w:val="none" w:sz="0" w:space="0" w:color="auto"/>
            <w:bottom w:val="none" w:sz="0" w:space="0" w:color="auto"/>
            <w:right w:val="none" w:sz="0" w:space="0" w:color="auto"/>
          </w:divBdr>
          <w:divsChild>
            <w:div w:id="245461530">
              <w:marLeft w:val="0"/>
              <w:marRight w:val="0"/>
              <w:marTop w:val="0"/>
              <w:marBottom w:val="0"/>
              <w:divBdr>
                <w:top w:val="none" w:sz="0" w:space="0" w:color="auto"/>
                <w:left w:val="none" w:sz="0" w:space="0" w:color="auto"/>
                <w:bottom w:val="none" w:sz="0" w:space="0" w:color="auto"/>
                <w:right w:val="none" w:sz="0" w:space="0" w:color="auto"/>
              </w:divBdr>
              <w:divsChild>
                <w:div w:id="763258974">
                  <w:marLeft w:val="0"/>
                  <w:marRight w:val="0"/>
                  <w:marTop w:val="0"/>
                  <w:marBottom w:val="0"/>
                  <w:divBdr>
                    <w:top w:val="none" w:sz="0" w:space="0" w:color="auto"/>
                    <w:left w:val="none" w:sz="0" w:space="0" w:color="auto"/>
                    <w:bottom w:val="none" w:sz="0" w:space="0" w:color="auto"/>
                    <w:right w:val="none" w:sz="0" w:space="0" w:color="auto"/>
                  </w:divBdr>
                  <w:divsChild>
                    <w:div w:id="754790928">
                      <w:marLeft w:val="0"/>
                      <w:marRight w:val="0"/>
                      <w:marTop w:val="0"/>
                      <w:marBottom w:val="0"/>
                      <w:divBdr>
                        <w:top w:val="none" w:sz="0" w:space="0" w:color="auto"/>
                        <w:left w:val="none" w:sz="0" w:space="0" w:color="auto"/>
                        <w:bottom w:val="none" w:sz="0" w:space="0" w:color="auto"/>
                        <w:right w:val="none" w:sz="0" w:space="0" w:color="auto"/>
                      </w:divBdr>
                      <w:divsChild>
                        <w:div w:id="1510676906">
                          <w:marLeft w:val="0"/>
                          <w:marRight w:val="0"/>
                          <w:marTop w:val="0"/>
                          <w:marBottom w:val="0"/>
                          <w:divBdr>
                            <w:top w:val="none" w:sz="0" w:space="0" w:color="auto"/>
                            <w:left w:val="none" w:sz="0" w:space="0" w:color="auto"/>
                            <w:bottom w:val="none" w:sz="0" w:space="0" w:color="auto"/>
                            <w:right w:val="none" w:sz="0" w:space="0" w:color="auto"/>
                          </w:divBdr>
                          <w:divsChild>
                            <w:div w:id="250773348">
                              <w:marLeft w:val="0"/>
                              <w:marRight w:val="0"/>
                              <w:marTop w:val="0"/>
                              <w:marBottom w:val="0"/>
                              <w:divBdr>
                                <w:top w:val="none" w:sz="0" w:space="0" w:color="auto"/>
                                <w:left w:val="none" w:sz="0" w:space="0" w:color="auto"/>
                                <w:bottom w:val="none" w:sz="0" w:space="0" w:color="auto"/>
                                <w:right w:val="none" w:sz="0" w:space="0" w:color="auto"/>
                              </w:divBdr>
                              <w:divsChild>
                                <w:div w:id="1089811920">
                                  <w:marLeft w:val="0"/>
                                  <w:marRight w:val="0"/>
                                  <w:marTop w:val="0"/>
                                  <w:marBottom w:val="0"/>
                                  <w:divBdr>
                                    <w:top w:val="none" w:sz="0" w:space="0" w:color="auto"/>
                                    <w:left w:val="none" w:sz="0" w:space="0" w:color="auto"/>
                                    <w:bottom w:val="none" w:sz="0" w:space="0" w:color="auto"/>
                                    <w:right w:val="none" w:sz="0" w:space="0" w:color="auto"/>
                                  </w:divBdr>
                                  <w:divsChild>
                                    <w:div w:id="147326671">
                                      <w:marLeft w:val="60"/>
                                      <w:marRight w:val="0"/>
                                      <w:marTop w:val="0"/>
                                      <w:marBottom w:val="0"/>
                                      <w:divBdr>
                                        <w:top w:val="none" w:sz="0" w:space="0" w:color="auto"/>
                                        <w:left w:val="none" w:sz="0" w:space="0" w:color="auto"/>
                                        <w:bottom w:val="none" w:sz="0" w:space="0" w:color="auto"/>
                                        <w:right w:val="none" w:sz="0" w:space="0" w:color="auto"/>
                                      </w:divBdr>
                                      <w:divsChild>
                                        <w:div w:id="142964351">
                                          <w:marLeft w:val="0"/>
                                          <w:marRight w:val="0"/>
                                          <w:marTop w:val="0"/>
                                          <w:marBottom w:val="0"/>
                                          <w:divBdr>
                                            <w:top w:val="none" w:sz="0" w:space="0" w:color="auto"/>
                                            <w:left w:val="none" w:sz="0" w:space="0" w:color="auto"/>
                                            <w:bottom w:val="none" w:sz="0" w:space="0" w:color="auto"/>
                                            <w:right w:val="none" w:sz="0" w:space="0" w:color="auto"/>
                                          </w:divBdr>
                                          <w:divsChild>
                                            <w:div w:id="137846664">
                                              <w:marLeft w:val="0"/>
                                              <w:marRight w:val="0"/>
                                              <w:marTop w:val="0"/>
                                              <w:marBottom w:val="120"/>
                                              <w:divBdr>
                                                <w:top w:val="single" w:sz="6" w:space="0" w:color="F5F5F5"/>
                                                <w:left w:val="single" w:sz="6" w:space="0" w:color="F5F5F5"/>
                                                <w:bottom w:val="single" w:sz="6" w:space="0" w:color="F5F5F5"/>
                                                <w:right w:val="single" w:sz="6" w:space="0" w:color="F5F5F5"/>
                                              </w:divBdr>
                                              <w:divsChild>
                                                <w:div w:id="1069957632">
                                                  <w:marLeft w:val="0"/>
                                                  <w:marRight w:val="0"/>
                                                  <w:marTop w:val="0"/>
                                                  <w:marBottom w:val="0"/>
                                                  <w:divBdr>
                                                    <w:top w:val="none" w:sz="0" w:space="0" w:color="auto"/>
                                                    <w:left w:val="none" w:sz="0" w:space="0" w:color="auto"/>
                                                    <w:bottom w:val="none" w:sz="0" w:space="0" w:color="auto"/>
                                                    <w:right w:val="none" w:sz="0" w:space="0" w:color="auto"/>
                                                  </w:divBdr>
                                                  <w:divsChild>
                                                    <w:div w:id="6167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443137">
      <w:bodyDiv w:val="1"/>
      <w:marLeft w:val="0"/>
      <w:marRight w:val="0"/>
      <w:marTop w:val="0"/>
      <w:marBottom w:val="0"/>
      <w:divBdr>
        <w:top w:val="none" w:sz="0" w:space="0" w:color="auto"/>
        <w:left w:val="none" w:sz="0" w:space="0" w:color="auto"/>
        <w:bottom w:val="none" w:sz="0" w:space="0" w:color="auto"/>
        <w:right w:val="none" w:sz="0" w:space="0" w:color="auto"/>
      </w:divBdr>
      <w:divsChild>
        <w:div w:id="1112168453">
          <w:marLeft w:val="0"/>
          <w:marRight w:val="0"/>
          <w:marTop w:val="0"/>
          <w:marBottom w:val="0"/>
          <w:divBdr>
            <w:top w:val="none" w:sz="0" w:space="0" w:color="auto"/>
            <w:left w:val="none" w:sz="0" w:space="0" w:color="auto"/>
            <w:bottom w:val="none" w:sz="0" w:space="0" w:color="auto"/>
            <w:right w:val="none" w:sz="0" w:space="0" w:color="auto"/>
          </w:divBdr>
          <w:divsChild>
            <w:div w:id="558512787">
              <w:marLeft w:val="0"/>
              <w:marRight w:val="0"/>
              <w:marTop w:val="0"/>
              <w:marBottom w:val="0"/>
              <w:divBdr>
                <w:top w:val="none" w:sz="0" w:space="0" w:color="auto"/>
                <w:left w:val="none" w:sz="0" w:space="0" w:color="auto"/>
                <w:bottom w:val="none" w:sz="0" w:space="0" w:color="auto"/>
                <w:right w:val="none" w:sz="0" w:space="0" w:color="auto"/>
              </w:divBdr>
              <w:divsChild>
                <w:div w:id="564225876">
                  <w:marLeft w:val="0"/>
                  <w:marRight w:val="0"/>
                  <w:marTop w:val="0"/>
                  <w:marBottom w:val="0"/>
                  <w:divBdr>
                    <w:top w:val="none" w:sz="0" w:space="0" w:color="auto"/>
                    <w:left w:val="none" w:sz="0" w:space="0" w:color="auto"/>
                    <w:bottom w:val="none" w:sz="0" w:space="0" w:color="auto"/>
                    <w:right w:val="none" w:sz="0" w:space="0" w:color="auto"/>
                  </w:divBdr>
                  <w:divsChild>
                    <w:div w:id="573662679">
                      <w:marLeft w:val="0"/>
                      <w:marRight w:val="0"/>
                      <w:marTop w:val="0"/>
                      <w:marBottom w:val="0"/>
                      <w:divBdr>
                        <w:top w:val="none" w:sz="0" w:space="0" w:color="auto"/>
                        <w:left w:val="none" w:sz="0" w:space="0" w:color="auto"/>
                        <w:bottom w:val="none" w:sz="0" w:space="0" w:color="auto"/>
                        <w:right w:val="none" w:sz="0" w:space="0" w:color="auto"/>
                      </w:divBdr>
                      <w:divsChild>
                        <w:div w:id="1968706335">
                          <w:marLeft w:val="0"/>
                          <w:marRight w:val="0"/>
                          <w:marTop w:val="0"/>
                          <w:marBottom w:val="0"/>
                          <w:divBdr>
                            <w:top w:val="none" w:sz="0" w:space="0" w:color="auto"/>
                            <w:left w:val="none" w:sz="0" w:space="0" w:color="auto"/>
                            <w:bottom w:val="none" w:sz="0" w:space="0" w:color="auto"/>
                            <w:right w:val="none" w:sz="0" w:space="0" w:color="auto"/>
                          </w:divBdr>
                          <w:divsChild>
                            <w:div w:id="929850028">
                              <w:marLeft w:val="0"/>
                              <w:marRight w:val="0"/>
                              <w:marTop w:val="0"/>
                              <w:marBottom w:val="0"/>
                              <w:divBdr>
                                <w:top w:val="none" w:sz="0" w:space="0" w:color="auto"/>
                                <w:left w:val="none" w:sz="0" w:space="0" w:color="auto"/>
                                <w:bottom w:val="none" w:sz="0" w:space="0" w:color="auto"/>
                                <w:right w:val="none" w:sz="0" w:space="0" w:color="auto"/>
                              </w:divBdr>
                              <w:divsChild>
                                <w:div w:id="500971098">
                                  <w:marLeft w:val="0"/>
                                  <w:marRight w:val="0"/>
                                  <w:marTop w:val="0"/>
                                  <w:marBottom w:val="0"/>
                                  <w:divBdr>
                                    <w:top w:val="none" w:sz="0" w:space="0" w:color="auto"/>
                                    <w:left w:val="none" w:sz="0" w:space="0" w:color="auto"/>
                                    <w:bottom w:val="none" w:sz="0" w:space="0" w:color="auto"/>
                                    <w:right w:val="none" w:sz="0" w:space="0" w:color="auto"/>
                                  </w:divBdr>
                                  <w:divsChild>
                                    <w:div w:id="1571109980">
                                      <w:marLeft w:val="60"/>
                                      <w:marRight w:val="0"/>
                                      <w:marTop w:val="0"/>
                                      <w:marBottom w:val="0"/>
                                      <w:divBdr>
                                        <w:top w:val="none" w:sz="0" w:space="0" w:color="auto"/>
                                        <w:left w:val="none" w:sz="0" w:space="0" w:color="auto"/>
                                        <w:bottom w:val="none" w:sz="0" w:space="0" w:color="auto"/>
                                        <w:right w:val="none" w:sz="0" w:space="0" w:color="auto"/>
                                      </w:divBdr>
                                      <w:divsChild>
                                        <w:div w:id="1554268153">
                                          <w:marLeft w:val="0"/>
                                          <w:marRight w:val="0"/>
                                          <w:marTop w:val="0"/>
                                          <w:marBottom w:val="0"/>
                                          <w:divBdr>
                                            <w:top w:val="none" w:sz="0" w:space="0" w:color="auto"/>
                                            <w:left w:val="none" w:sz="0" w:space="0" w:color="auto"/>
                                            <w:bottom w:val="none" w:sz="0" w:space="0" w:color="auto"/>
                                            <w:right w:val="none" w:sz="0" w:space="0" w:color="auto"/>
                                          </w:divBdr>
                                          <w:divsChild>
                                            <w:div w:id="738285033">
                                              <w:marLeft w:val="0"/>
                                              <w:marRight w:val="0"/>
                                              <w:marTop w:val="0"/>
                                              <w:marBottom w:val="120"/>
                                              <w:divBdr>
                                                <w:top w:val="single" w:sz="6" w:space="0" w:color="F5F5F5"/>
                                                <w:left w:val="single" w:sz="6" w:space="0" w:color="F5F5F5"/>
                                                <w:bottom w:val="single" w:sz="6" w:space="0" w:color="F5F5F5"/>
                                                <w:right w:val="single" w:sz="6" w:space="0" w:color="F5F5F5"/>
                                              </w:divBdr>
                                              <w:divsChild>
                                                <w:div w:id="1866478046">
                                                  <w:marLeft w:val="0"/>
                                                  <w:marRight w:val="0"/>
                                                  <w:marTop w:val="0"/>
                                                  <w:marBottom w:val="0"/>
                                                  <w:divBdr>
                                                    <w:top w:val="none" w:sz="0" w:space="0" w:color="auto"/>
                                                    <w:left w:val="none" w:sz="0" w:space="0" w:color="auto"/>
                                                    <w:bottom w:val="none" w:sz="0" w:space="0" w:color="auto"/>
                                                    <w:right w:val="none" w:sz="0" w:space="0" w:color="auto"/>
                                                  </w:divBdr>
                                                  <w:divsChild>
                                                    <w:div w:id="2612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986085">
      <w:bodyDiv w:val="1"/>
      <w:marLeft w:val="0"/>
      <w:marRight w:val="0"/>
      <w:marTop w:val="0"/>
      <w:marBottom w:val="0"/>
      <w:divBdr>
        <w:top w:val="none" w:sz="0" w:space="0" w:color="auto"/>
        <w:left w:val="none" w:sz="0" w:space="0" w:color="auto"/>
        <w:bottom w:val="none" w:sz="0" w:space="0" w:color="auto"/>
        <w:right w:val="none" w:sz="0" w:space="0" w:color="auto"/>
      </w:divBdr>
      <w:divsChild>
        <w:div w:id="2061245962">
          <w:marLeft w:val="0"/>
          <w:marRight w:val="0"/>
          <w:marTop w:val="0"/>
          <w:marBottom w:val="0"/>
          <w:divBdr>
            <w:top w:val="none" w:sz="0" w:space="0" w:color="auto"/>
            <w:left w:val="none" w:sz="0" w:space="0" w:color="auto"/>
            <w:bottom w:val="none" w:sz="0" w:space="0" w:color="auto"/>
            <w:right w:val="none" w:sz="0" w:space="0" w:color="auto"/>
          </w:divBdr>
          <w:divsChild>
            <w:div w:id="819998489">
              <w:marLeft w:val="0"/>
              <w:marRight w:val="0"/>
              <w:marTop w:val="0"/>
              <w:marBottom w:val="0"/>
              <w:divBdr>
                <w:top w:val="none" w:sz="0" w:space="0" w:color="auto"/>
                <w:left w:val="none" w:sz="0" w:space="0" w:color="auto"/>
                <w:bottom w:val="none" w:sz="0" w:space="0" w:color="auto"/>
                <w:right w:val="none" w:sz="0" w:space="0" w:color="auto"/>
              </w:divBdr>
              <w:divsChild>
                <w:div w:id="682441283">
                  <w:marLeft w:val="0"/>
                  <w:marRight w:val="0"/>
                  <w:marTop w:val="0"/>
                  <w:marBottom w:val="0"/>
                  <w:divBdr>
                    <w:top w:val="none" w:sz="0" w:space="0" w:color="auto"/>
                    <w:left w:val="none" w:sz="0" w:space="0" w:color="auto"/>
                    <w:bottom w:val="none" w:sz="0" w:space="0" w:color="auto"/>
                    <w:right w:val="none" w:sz="0" w:space="0" w:color="auto"/>
                  </w:divBdr>
                  <w:divsChild>
                    <w:div w:id="119812726">
                      <w:marLeft w:val="0"/>
                      <w:marRight w:val="0"/>
                      <w:marTop w:val="0"/>
                      <w:marBottom w:val="0"/>
                      <w:divBdr>
                        <w:top w:val="none" w:sz="0" w:space="0" w:color="auto"/>
                        <w:left w:val="none" w:sz="0" w:space="0" w:color="auto"/>
                        <w:bottom w:val="none" w:sz="0" w:space="0" w:color="auto"/>
                        <w:right w:val="none" w:sz="0" w:space="0" w:color="auto"/>
                      </w:divBdr>
                    </w:div>
                    <w:div w:id="1570921851">
                      <w:marLeft w:val="0"/>
                      <w:marRight w:val="0"/>
                      <w:marTop w:val="0"/>
                      <w:marBottom w:val="0"/>
                      <w:divBdr>
                        <w:top w:val="none" w:sz="0" w:space="0" w:color="auto"/>
                        <w:left w:val="none" w:sz="0" w:space="0" w:color="auto"/>
                        <w:bottom w:val="none" w:sz="0" w:space="0" w:color="auto"/>
                        <w:right w:val="none" w:sz="0" w:space="0" w:color="auto"/>
                      </w:divBdr>
                    </w:div>
                    <w:div w:id="17198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7332">
      <w:bodyDiv w:val="1"/>
      <w:marLeft w:val="0"/>
      <w:marRight w:val="0"/>
      <w:marTop w:val="0"/>
      <w:marBottom w:val="0"/>
      <w:divBdr>
        <w:top w:val="none" w:sz="0" w:space="0" w:color="auto"/>
        <w:left w:val="none" w:sz="0" w:space="0" w:color="auto"/>
        <w:bottom w:val="none" w:sz="0" w:space="0" w:color="auto"/>
        <w:right w:val="none" w:sz="0" w:space="0" w:color="auto"/>
      </w:divBdr>
      <w:divsChild>
        <w:div w:id="1008600140">
          <w:marLeft w:val="0"/>
          <w:marRight w:val="0"/>
          <w:marTop w:val="0"/>
          <w:marBottom w:val="0"/>
          <w:divBdr>
            <w:top w:val="none" w:sz="0" w:space="0" w:color="auto"/>
            <w:left w:val="none" w:sz="0" w:space="0" w:color="auto"/>
            <w:bottom w:val="none" w:sz="0" w:space="0" w:color="auto"/>
            <w:right w:val="none" w:sz="0" w:space="0" w:color="auto"/>
          </w:divBdr>
          <w:divsChild>
            <w:div w:id="971593325">
              <w:marLeft w:val="0"/>
              <w:marRight w:val="0"/>
              <w:marTop w:val="0"/>
              <w:marBottom w:val="0"/>
              <w:divBdr>
                <w:top w:val="none" w:sz="0" w:space="0" w:color="auto"/>
                <w:left w:val="none" w:sz="0" w:space="0" w:color="auto"/>
                <w:bottom w:val="none" w:sz="0" w:space="0" w:color="auto"/>
                <w:right w:val="none" w:sz="0" w:space="0" w:color="auto"/>
              </w:divBdr>
              <w:divsChild>
                <w:div w:id="1628393869">
                  <w:marLeft w:val="0"/>
                  <w:marRight w:val="0"/>
                  <w:marTop w:val="0"/>
                  <w:marBottom w:val="0"/>
                  <w:divBdr>
                    <w:top w:val="none" w:sz="0" w:space="0" w:color="auto"/>
                    <w:left w:val="none" w:sz="0" w:space="0" w:color="auto"/>
                    <w:bottom w:val="none" w:sz="0" w:space="0" w:color="auto"/>
                    <w:right w:val="none" w:sz="0" w:space="0" w:color="auto"/>
                  </w:divBdr>
                  <w:divsChild>
                    <w:div w:id="1644121793">
                      <w:marLeft w:val="0"/>
                      <w:marRight w:val="0"/>
                      <w:marTop w:val="0"/>
                      <w:marBottom w:val="0"/>
                      <w:divBdr>
                        <w:top w:val="none" w:sz="0" w:space="0" w:color="auto"/>
                        <w:left w:val="none" w:sz="0" w:space="0" w:color="auto"/>
                        <w:bottom w:val="none" w:sz="0" w:space="0" w:color="auto"/>
                        <w:right w:val="none" w:sz="0" w:space="0" w:color="auto"/>
                      </w:divBdr>
                      <w:divsChild>
                        <w:div w:id="209264905">
                          <w:marLeft w:val="0"/>
                          <w:marRight w:val="0"/>
                          <w:marTop w:val="0"/>
                          <w:marBottom w:val="0"/>
                          <w:divBdr>
                            <w:top w:val="none" w:sz="0" w:space="0" w:color="auto"/>
                            <w:left w:val="none" w:sz="0" w:space="0" w:color="auto"/>
                            <w:bottom w:val="none" w:sz="0" w:space="0" w:color="auto"/>
                            <w:right w:val="none" w:sz="0" w:space="0" w:color="auto"/>
                          </w:divBdr>
                          <w:divsChild>
                            <w:div w:id="1252347405">
                              <w:marLeft w:val="0"/>
                              <w:marRight w:val="0"/>
                              <w:marTop w:val="0"/>
                              <w:marBottom w:val="150"/>
                              <w:divBdr>
                                <w:top w:val="none" w:sz="0" w:space="0" w:color="auto"/>
                                <w:left w:val="none" w:sz="0" w:space="0" w:color="auto"/>
                                <w:bottom w:val="none" w:sz="0" w:space="0" w:color="auto"/>
                                <w:right w:val="none" w:sz="0" w:space="0" w:color="auto"/>
                              </w:divBdr>
                            </w:div>
                            <w:div w:id="1176112643">
                              <w:marLeft w:val="0"/>
                              <w:marRight w:val="0"/>
                              <w:marTop w:val="0"/>
                              <w:marBottom w:val="450"/>
                              <w:divBdr>
                                <w:top w:val="none" w:sz="0" w:space="0" w:color="auto"/>
                                <w:left w:val="none" w:sz="0" w:space="0" w:color="auto"/>
                                <w:bottom w:val="none" w:sz="0" w:space="0" w:color="auto"/>
                                <w:right w:val="none" w:sz="0" w:space="0" w:color="auto"/>
                              </w:divBdr>
                              <w:divsChild>
                                <w:div w:id="1182552862">
                                  <w:marLeft w:val="0"/>
                                  <w:marRight w:val="0"/>
                                  <w:marTop w:val="0"/>
                                  <w:marBottom w:val="0"/>
                                  <w:divBdr>
                                    <w:top w:val="none" w:sz="0" w:space="0" w:color="auto"/>
                                    <w:left w:val="none" w:sz="0" w:space="0" w:color="auto"/>
                                    <w:bottom w:val="none" w:sz="0" w:space="0" w:color="auto"/>
                                    <w:right w:val="none" w:sz="0" w:space="0" w:color="auto"/>
                                  </w:divBdr>
                                </w:div>
                              </w:divsChild>
                            </w:div>
                            <w:div w:id="396322308">
                              <w:marLeft w:val="0"/>
                              <w:marRight w:val="0"/>
                              <w:marTop w:val="0"/>
                              <w:marBottom w:val="0"/>
                              <w:divBdr>
                                <w:top w:val="none" w:sz="0" w:space="0" w:color="auto"/>
                                <w:left w:val="none" w:sz="0" w:space="0" w:color="auto"/>
                                <w:bottom w:val="none" w:sz="0" w:space="0" w:color="auto"/>
                                <w:right w:val="none" w:sz="0" w:space="0" w:color="auto"/>
                              </w:divBdr>
                              <w:divsChild>
                                <w:div w:id="753168426">
                                  <w:marLeft w:val="0"/>
                                  <w:marRight w:val="0"/>
                                  <w:marTop w:val="0"/>
                                  <w:marBottom w:val="0"/>
                                  <w:divBdr>
                                    <w:top w:val="none" w:sz="0" w:space="0" w:color="auto"/>
                                    <w:left w:val="none" w:sz="0" w:space="0" w:color="auto"/>
                                    <w:bottom w:val="none" w:sz="0" w:space="0" w:color="auto"/>
                                    <w:right w:val="none" w:sz="0" w:space="0" w:color="auto"/>
                                  </w:divBdr>
                                  <w:divsChild>
                                    <w:div w:id="1215964010">
                                      <w:marLeft w:val="0"/>
                                      <w:marRight w:val="0"/>
                                      <w:marTop w:val="0"/>
                                      <w:marBottom w:val="0"/>
                                      <w:divBdr>
                                        <w:top w:val="none" w:sz="0" w:space="0" w:color="auto"/>
                                        <w:left w:val="none" w:sz="0" w:space="0" w:color="auto"/>
                                        <w:bottom w:val="none" w:sz="0" w:space="0" w:color="auto"/>
                                        <w:right w:val="none" w:sz="0" w:space="0" w:color="auto"/>
                                      </w:divBdr>
                                      <w:divsChild>
                                        <w:div w:id="39868567">
                                          <w:marLeft w:val="0"/>
                                          <w:marRight w:val="0"/>
                                          <w:marTop w:val="0"/>
                                          <w:marBottom w:val="0"/>
                                          <w:divBdr>
                                            <w:top w:val="none" w:sz="0" w:space="0" w:color="auto"/>
                                            <w:left w:val="none" w:sz="0" w:space="0" w:color="auto"/>
                                            <w:bottom w:val="none" w:sz="0" w:space="0" w:color="auto"/>
                                            <w:right w:val="none" w:sz="0" w:space="0" w:color="auto"/>
                                          </w:divBdr>
                                          <w:divsChild>
                                            <w:div w:id="21178357">
                                              <w:marLeft w:val="0"/>
                                              <w:marRight w:val="0"/>
                                              <w:marTop w:val="0"/>
                                              <w:marBottom w:val="0"/>
                                              <w:divBdr>
                                                <w:top w:val="none" w:sz="0" w:space="0" w:color="auto"/>
                                                <w:left w:val="none" w:sz="0" w:space="0" w:color="auto"/>
                                                <w:bottom w:val="none" w:sz="0" w:space="0" w:color="auto"/>
                                                <w:right w:val="none" w:sz="0" w:space="0" w:color="auto"/>
                                              </w:divBdr>
                                              <w:divsChild>
                                                <w:div w:id="261302178">
                                                  <w:marLeft w:val="0"/>
                                                  <w:marRight w:val="0"/>
                                                  <w:marTop w:val="0"/>
                                                  <w:marBottom w:val="0"/>
                                                  <w:divBdr>
                                                    <w:top w:val="single" w:sz="18" w:space="8" w:color="E90000"/>
                                                    <w:left w:val="none" w:sz="0" w:space="0" w:color="auto"/>
                                                    <w:bottom w:val="none" w:sz="0" w:space="0" w:color="auto"/>
                                                    <w:right w:val="none" w:sz="0" w:space="0" w:color="auto"/>
                                                  </w:divBdr>
                                                  <w:divsChild>
                                                    <w:div w:id="6752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6028">
                                          <w:marLeft w:val="0"/>
                                          <w:marRight w:val="0"/>
                                          <w:marTop w:val="0"/>
                                          <w:marBottom w:val="0"/>
                                          <w:divBdr>
                                            <w:top w:val="none" w:sz="0" w:space="0" w:color="auto"/>
                                            <w:left w:val="none" w:sz="0" w:space="0" w:color="auto"/>
                                            <w:bottom w:val="none" w:sz="0" w:space="0" w:color="auto"/>
                                            <w:right w:val="none" w:sz="0" w:space="0" w:color="auto"/>
                                          </w:divBdr>
                                          <w:divsChild>
                                            <w:div w:id="281307601">
                                              <w:marLeft w:val="0"/>
                                              <w:marRight w:val="0"/>
                                              <w:marTop w:val="0"/>
                                              <w:marBottom w:val="0"/>
                                              <w:divBdr>
                                                <w:top w:val="none" w:sz="0" w:space="0" w:color="auto"/>
                                                <w:left w:val="none" w:sz="0" w:space="0" w:color="auto"/>
                                                <w:bottom w:val="none" w:sz="0" w:space="0" w:color="auto"/>
                                                <w:right w:val="none" w:sz="0" w:space="0" w:color="auto"/>
                                              </w:divBdr>
                                              <w:divsChild>
                                                <w:div w:id="1014188071">
                                                  <w:marLeft w:val="0"/>
                                                  <w:marRight w:val="0"/>
                                                  <w:marTop w:val="0"/>
                                                  <w:marBottom w:val="0"/>
                                                  <w:divBdr>
                                                    <w:top w:val="single" w:sz="18" w:space="8" w:color="E90000"/>
                                                    <w:left w:val="none" w:sz="0" w:space="0" w:color="auto"/>
                                                    <w:bottom w:val="none" w:sz="0" w:space="0" w:color="auto"/>
                                                    <w:right w:val="none" w:sz="0" w:space="0" w:color="auto"/>
                                                  </w:divBdr>
                                                  <w:divsChild>
                                                    <w:div w:id="7952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61317">
                                          <w:marLeft w:val="0"/>
                                          <w:marRight w:val="0"/>
                                          <w:marTop w:val="0"/>
                                          <w:marBottom w:val="0"/>
                                          <w:divBdr>
                                            <w:top w:val="none" w:sz="0" w:space="0" w:color="auto"/>
                                            <w:left w:val="none" w:sz="0" w:space="0" w:color="auto"/>
                                            <w:bottom w:val="none" w:sz="0" w:space="0" w:color="auto"/>
                                            <w:right w:val="none" w:sz="0" w:space="0" w:color="auto"/>
                                          </w:divBdr>
                                          <w:divsChild>
                                            <w:div w:id="1427657265">
                                              <w:marLeft w:val="0"/>
                                              <w:marRight w:val="0"/>
                                              <w:marTop w:val="0"/>
                                              <w:marBottom w:val="0"/>
                                              <w:divBdr>
                                                <w:top w:val="none" w:sz="0" w:space="0" w:color="auto"/>
                                                <w:left w:val="none" w:sz="0" w:space="0" w:color="auto"/>
                                                <w:bottom w:val="none" w:sz="0" w:space="0" w:color="auto"/>
                                                <w:right w:val="none" w:sz="0" w:space="0" w:color="auto"/>
                                              </w:divBdr>
                                              <w:divsChild>
                                                <w:div w:id="1190338838">
                                                  <w:marLeft w:val="0"/>
                                                  <w:marRight w:val="0"/>
                                                  <w:marTop w:val="0"/>
                                                  <w:marBottom w:val="0"/>
                                                  <w:divBdr>
                                                    <w:top w:val="single" w:sz="18" w:space="8" w:color="E90000"/>
                                                    <w:left w:val="none" w:sz="0" w:space="0" w:color="auto"/>
                                                    <w:bottom w:val="none" w:sz="0" w:space="0" w:color="auto"/>
                                                    <w:right w:val="none" w:sz="0" w:space="0" w:color="auto"/>
                                                  </w:divBdr>
                                                  <w:divsChild>
                                                    <w:div w:id="2085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2353">
                                          <w:marLeft w:val="0"/>
                                          <w:marRight w:val="0"/>
                                          <w:marTop w:val="0"/>
                                          <w:marBottom w:val="0"/>
                                          <w:divBdr>
                                            <w:top w:val="none" w:sz="0" w:space="0" w:color="auto"/>
                                            <w:left w:val="none" w:sz="0" w:space="0" w:color="auto"/>
                                            <w:bottom w:val="none" w:sz="0" w:space="0" w:color="auto"/>
                                            <w:right w:val="none" w:sz="0" w:space="0" w:color="auto"/>
                                          </w:divBdr>
                                          <w:divsChild>
                                            <w:div w:id="1424496065">
                                              <w:marLeft w:val="0"/>
                                              <w:marRight w:val="0"/>
                                              <w:marTop w:val="0"/>
                                              <w:marBottom w:val="0"/>
                                              <w:divBdr>
                                                <w:top w:val="none" w:sz="0" w:space="0" w:color="auto"/>
                                                <w:left w:val="none" w:sz="0" w:space="0" w:color="auto"/>
                                                <w:bottom w:val="none" w:sz="0" w:space="0" w:color="auto"/>
                                                <w:right w:val="none" w:sz="0" w:space="0" w:color="auto"/>
                                              </w:divBdr>
                                              <w:divsChild>
                                                <w:div w:id="1571886484">
                                                  <w:marLeft w:val="0"/>
                                                  <w:marRight w:val="0"/>
                                                  <w:marTop w:val="0"/>
                                                  <w:marBottom w:val="0"/>
                                                  <w:divBdr>
                                                    <w:top w:val="single" w:sz="18" w:space="8" w:color="E90000"/>
                                                    <w:left w:val="none" w:sz="0" w:space="0" w:color="auto"/>
                                                    <w:bottom w:val="none" w:sz="0" w:space="0" w:color="auto"/>
                                                    <w:right w:val="none" w:sz="0" w:space="0" w:color="auto"/>
                                                  </w:divBdr>
                                                  <w:divsChild>
                                                    <w:div w:id="9402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8722">
                                              <w:marLeft w:val="0"/>
                                              <w:marRight w:val="0"/>
                                              <w:marTop w:val="0"/>
                                              <w:marBottom w:val="0"/>
                                              <w:divBdr>
                                                <w:top w:val="none" w:sz="0" w:space="0" w:color="auto"/>
                                                <w:left w:val="none" w:sz="0" w:space="0" w:color="auto"/>
                                                <w:bottom w:val="none" w:sz="0" w:space="0" w:color="auto"/>
                                                <w:right w:val="none" w:sz="0" w:space="0" w:color="auto"/>
                                              </w:divBdr>
                                              <w:divsChild>
                                                <w:div w:id="253787843">
                                                  <w:marLeft w:val="0"/>
                                                  <w:marRight w:val="0"/>
                                                  <w:marTop w:val="0"/>
                                                  <w:marBottom w:val="0"/>
                                                  <w:divBdr>
                                                    <w:top w:val="none" w:sz="0" w:space="0" w:color="auto"/>
                                                    <w:left w:val="none" w:sz="0" w:space="0" w:color="auto"/>
                                                    <w:bottom w:val="none" w:sz="0" w:space="0" w:color="auto"/>
                                                    <w:right w:val="none" w:sz="0" w:space="0" w:color="auto"/>
                                                  </w:divBdr>
                                                </w:div>
                                                <w:div w:id="482164854">
                                                  <w:marLeft w:val="0"/>
                                                  <w:marRight w:val="0"/>
                                                  <w:marTop w:val="0"/>
                                                  <w:marBottom w:val="0"/>
                                                  <w:divBdr>
                                                    <w:top w:val="none" w:sz="0" w:space="0" w:color="auto"/>
                                                    <w:left w:val="none" w:sz="0" w:space="0" w:color="auto"/>
                                                    <w:bottom w:val="none" w:sz="0" w:space="0" w:color="auto"/>
                                                    <w:right w:val="none" w:sz="0" w:space="0" w:color="auto"/>
                                                  </w:divBdr>
                                                </w:div>
                                                <w:div w:id="821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57079">
                          <w:marLeft w:val="0"/>
                          <w:marRight w:val="0"/>
                          <w:marTop w:val="0"/>
                          <w:marBottom w:val="0"/>
                          <w:divBdr>
                            <w:top w:val="none" w:sz="0" w:space="0" w:color="auto"/>
                            <w:left w:val="none" w:sz="0" w:space="0" w:color="auto"/>
                            <w:bottom w:val="none" w:sz="0" w:space="0" w:color="auto"/>
                            <w:right w:val="none" w:sz="0" w:space="0" w:color="auto"/>
                          </w:divBdr>
                          <w:divsChild>
                            <w:div w:id="392966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00337">
      <w:bodyDiv w:val="1"/>
      <w:marLeft w:val="0"/>
      <w:marRight w:val="0"/>
      <w:marTop w:val="0"/>
      <w:marBottom w:val="0"/>
      <w:divBdr>
        <w:top w:val="none" w:sz="0" w:space="0" w:color="auto"/>
        <w:left w:val="none" w:sz="0" w:space="0" w:color="auto"/>
        <w:bottom w:val="none" w:sz="0" w:space="0" w:color="auto"/>
        <w:right w:val="none" w:sz="0" w:space="0" w:color="auto"/>
      </w:divBdr>
    </w:div>
    <w:div w:id="1924024805">
      <w:bodyDiv w:val="1"/>
      <w:marLeft w:val="0"/>
      <w:marRight w:val="0"/>
      <w:marTop w:val="0"/>
      <w:marBottom w:val="0"/>
      <w:divBdr>
        <w:top w:val="none" w:sz="0" w:space="0" w:color="auto"/>
        <w:left w:val="none" w:sz="0" w:space="0" w:color="auto"/>
        <w:bottom w:val="none" w:sz="0" w:space="0" w:color="auto"/>
        <w:right w:val="none" w:sz="0" w:space="0" w:color="auto"/>
      </w:divBdr>
      <w:divsChild>
        <w:div w:id="2111467884">
          <w:marLeft w:val="0"/>
          <w:marRight w:val="0"/>
          <w:marTop w:val="0"/>
          <w:marBottom w:val="0"/>
          <w:divBdr>
            <w:top w:val="none" w:sz="0" w:space="0" w:color="auto"/>
            <w:left w:val="none" w:sz="0" w:space="0" w:color="auto"/>
            <w:bottom w:val="none" w:sz="0" w:space="0" w:color="auto"/>
            <w:right w:val="none" w:sz="0" w:space="0" w:color="auto"/>
          </w:divBdr>
          <w:divsChild>
            <w:div w:id="775253793">
              <w:marLeft w:val="-300"/>
              <w:marRight w:val="0"/>
              <w:marTop w:val="0"/>
              <w:marBottom w:val="300"/>
              <w:divBdr>
                <w:top w:val="single" w:sz="6" w:space="15" w:color="E0E0E0"/>
                <w:left w:val="none" w:sz="0" w:space="0" w:color="auto"/>
                <w:bottom w:val="none" w:sz="0" w:space="0" w:color="auto"/>
                <w:right w:val="none" w:sz="0" w:space="0" w:color="auto"/>
              </w:divBdr>
              <w:divsChild>
                <w:div w:id="1345936929">
                  <w:marLeft w:val="300"/>
                  <w:marRight w:val="0"/>
                  <w:marTop w:val="0"/>
                  <w:marBottom w:val="0"/>
                  <w:divBdr>
                    <w:top w:val="none" w:sz="0" w:space="0" w:color="auto"/>
                    <w:left w:val="none" w:sz="0" w:space="0" w:color="auto"/>
                    <w:bottom w:val="none" w:sz="0" w:space="0" w:color="auto"/>
                    <w:right w:val="none" w:sz="0" w:space="0" w:color="auto"/>
                  </w:divBdr>
                  <w:divsChild>
                    <w:div w:id="15528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80E3-2E64-46E2-A873-EFA5840B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1938</Words>
  <Characters>11047</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Arteaga Velazquez, Gabriela Maria</dc:creator>
  <cp:keywords/>
  <dc:description/>
  <cp:lastModifiedBy>Gonzalez Torres, Camila</cp:lastModifiedBy>
  <cp:revision>3</cp:revision>
  <cp:lastPrinted>2017-05-15T14:30:00Z</cp:lastPrinted>
  <dcterms:created xsi:type="dcterms:W3CDTF">2017-07-19T21:18:00Z</dcterms:created>
  <dcterms:modified xsi:type="dcterms:W3CDTF">2017-07-19T21:21:00Z</dcterms:modified>
</cp:coreProperties>
</file>