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D1441" w14:textId="65B8812D" w:rsidR="00CB2378" w:rsidRPr="00D656EB" w:rsidRDefault="00CB2378" w:rsidP="000303FC">
      <w:pPr>
        <w:spacing w:after="0" w:line="240" w:lineRule="auto"/>
        <w:jc w:val="both"/>
        <w:rPr>
          <w:rFonts w:ascii="Times New Roman" w:hAnsi="Times New Roman" w:cs="Times New Roman"/>
          <w:b/>
          <w:sz w:val="16"/>
          <w:szCs w:val="20"/>
          <w:lang w:val="es-ES_tradnl"/>
        </w:rPr>
      </w:pPr>
    </w:p>
    <w:p w14:paraId="72408C30" w14:textId="319BFC63" w:rsidR="00D656EB" w:rsidRPr="00D656EB" w:rsidRDefault="00D656EB" w:rsidP="000303FC">
      <w:pPr>
        <w:spacing w:after="0" w:line="240" w:lineRule="auto"/>
        <w:jc w:val="both"/>
        <w:rPr>
          <w:rFonts w:ascii="Times New Roman" w:hAnsi="Times New Roman" w:cs="Times New Roman"/>
          <w:b/>
          <w:sz w:val="16"/>
          <w:szCs w:val="20"/>
          <w:lang w:val="es-ES_tradnl"/>
        </w:rPr>
      </w:pPr>
    </w:p>
    <w:p w14:paraId="5CF7EAED" w14:textId="77777777" w:rsidR="00D656EB" w:rsidRPr="00D656EB" w:rsidRDefault="00D656EB" w:rsidP="00D656EB">
      <w:pPr>
        <w:spacing w:after="0" w:line="240" w:lineRule="auto"/>
        <w:jc w:val="center"/>
        <w:rPr>
          <w:rFonts w:ascii="Arial" w:hAnsi="Arial" w:cs="Arial"/>
          <w:b/>
          <w:bCs/>
          <w:sz w:val="24"/>
          <w:szCs w:val="24"/>
          <w:lang w:val="es-ES"/>
        </w:rPr>
      </w:pPr>
      <w:r w:rsidRPr="00D656EB">
        <w:rPr>
          <w:rFonts w:ascii="Arial" w:hAnsi="Arial" w:cs="Arial"/>
          <w:b/>
          <w:bCs/>
          <w:sz w:val="24"/>
          <w:szCs w:val="24"/>
          <w:lang w:val="es-ES"/>
        </w:rPr>
        <w:t>Programa para Fortalecer el Sector Eléctrico en Nicaragua III - (NI-L1144)</w:t>
      </w:r>
    </w:p>
    <w:p w14:paraId="2DFC7644" w14:textId="77777777" w:rsidR="00D656EB" w:rsidRPr="00D656EB" w:rsidRDefault="00D656EB" w:rsidP="00D656EB">
      <w:pPr>
        <w:spacing w:after="0" w:line="240" w:lineRule="auto"/>
        <w:jc w:val="center"/>
        <w:rPr>
          <w:rFonts w:ascii="Arial" w:hAnsi="Arial" w:cs="Arial"/>
          <w:b/>
          <w:bCs/>
          <w:sz w:val="24"/>
          <w:szCs w:val="24"/>
          <w:lang w:val="es-ES"/>
        </w:rPr>
      </w:pPr>
      <w:r w:rsidRPr="00D656EB">
        <w:rPr>
          <w:rFonts w:ascii="Arial" w:hAnsi="Arial" w:cs="Arial"/>
          <w:b/>
          <w:bCs/>
          <w:sz w:val="24"/>
          <w:szCs w:val="24"/>
          <w:lang w:val="es-ES"/>
        </w:rPr>
        <w:t>Matriz de Medios de Verificación</w:t>
      </w:r>
    </w:p>
    <w:tbl>
      <w:tblPr>
        <w:tblStyle w:val="TableGrid"/>
        <w:tblpPr w:leftFromText="180" w:rightFromText="180" w:vertAnchor="page" w:horzAnchor="margin" w:tblpXSpec="center" w:tblpY="1366"/>
        <w:tblW w:w="4781" w:type="pct"/>
        <w:tblLayout w:type="fixed"/>
        <w:tblCellMar>
          <w:top w:w="43" w:type="dxa"/>
          <w:left w:w="43" w:type="dxa"/>
          <w:bottom w:w="43" w:type="dxa"/>
          <w:right w:w="43" w:type="dxa"/>
        </w:tblCellMar>
        <w:tblLook w:val="04A0" w:firstRow="1" w:lastRow="0" w:firstColumn="1" w:lastColumn="0" w:noHBand="0" w:noVBand="1"/>
      </w:tblPr>
      <w:tblGrid>
        <w:gridCol w:w="2151"/>
        <w:gridCol w:w="6214"/>
        <w:gridCol w:w="3329"/>
      </w:tblGrid>
      <w:tr w:rsidR="00D656EB" w:rsidRPr="00D656EB" w14:paraId="5B422FA9" w14:textId="77777777" w:rsidTr="00D656EB">
        <w:trPr>
          <w:tblHeader/>
        </w:trPr>
        <w:tc>
          <w:tcPr>
            <w:tcW w:w="2151" w:type="dxa"/>
            <w:shd w:val="clear" w:color="auto" w:fill="7F7F7F" w:themeFill="background1" w:themeFillShade="7F"/>
            <w:vAlign w:val="center"/>
          </w:tcPr>
          <w:p w14:paraId="308F152C" w14:textId="77777777" w:rsidR="00D656EB" w:rsidRPr="00D656EB" w:rsidRDefault="00D656EB" w:rsidP="00C63908">
            <w:pPr>
              <w:jc w:val="center"/>
              <w:rPr>
                <w:rFonts w:ascii="Arial" w:hAnsi="Arial" w:cs="Arial"/>
                <w:b/>
                <w:bCs/>
                <w:color w:val="FFFFFF" w:themeColor="background1"/>
                <w:lang w:val="es-ES"/>
              </w:rPr>
            </w:pPr>
            <w:r w:rsidRPr="00D656EB">
              <w:rPr>
                <w:rFonts w:ascii="Arial" w:hAnsi="Arial" w:cs="Arial"/>
                <w:b/>
                <w:bCs/>
                <w:color w:val="FFFFFF" w:themeColor="background1"/>
                <w:lang w:val="es-ES"/>
              </w:rPr>
              <w:t>Objetivos</w:t>
            </w:r>
          </w:p>
        </w:tc>
        <w:tc>
          <w:tcPr>
            <w:tcW w:w="6214" w:type="dxa"/>
            <w:shd w:val="clear" w:color="auto" w:fill="7F7F7F" w:themeFill="background1" w:themeFillShade="7F"/>
          </w:tcPr>
          <w:p w14:paraId="7C2BFAD8" w14:textId="77777777" w:rsidR="00D656EB" w:rsidRPr="00D656EB" w:rsidRDefault="00D656EB" w:rsidP="00C63908">
            <w:pPr>
              <w:jc w:val="center"/>
              <w:rPr>
                <w:rFonts w:ascii="Arial" w:hAnsi="Arial" w:cs="Arial"/>
                <w:b/>
                <w:bCs/>
                <w:color w:val="FFFFFF" w:themeColor="background1"/>
                <w:lang w:val="es-ES"/>
              </w:rPr>
            </w:pPr>
            <w:r w:rsidRPr="00D656EB">
              <w:rPr>
                <w:rFonts w:ascii="Arial" w:hAnsi="Arial" w:cs="Arial"/>
                <w:b/>
                <w:bCs/>
                <w:color w:val="FFFFFF" w:themeColor="background1"/>
                <w:lang w:val="es-ES"/>
              </w:rPr>
              <w:t>Compromisos</w:t>
            </w:r>
          </w:p>
          <w:p w14:paraId="3E4323B5" w14:textId="77777777" w:rsidR="00D656EB" w:rsidRPr="00D656EB" w:rsidRDefault="00D656EB" w:rsidP="00C63908">
            <w:pPr>
              <w:jc w:val="center"/>
              <w:rPr>
                <w:rFonts w:ascii="Arial" w:hAnsi="Arial" w:cs="Arial"/>
                <w:b/>
                <w:color w:val="FFFFFF" w:themeColor="background1"/>
                <w:szCs w:val="20"/>
                <w:lang w:val="es-ES_tradnl"/>
              </w:rPr>
            </w:pPr>
          </w:p>
        </w:tc>
        <w:tc>
          <w:tcPr>
            <w:tcW w:w="3329" w:type="dxa"/>
            <w:shd w:val="clear" w:color="auto" w:fill="7F7F7F" w:themeFill="background1" w:themeFillShade="7F"/>
          </w:tcPr>
          <w:p w14:paraId="30BDBEAE" w14:textId="77777777" w:rsidR="00D656EB" w:rsidRPr="00D656EB" w:rsidRDefault="00D656EB" w:rsidP="00C63908">
            <w:pPr>
              <w:jc w:val="center"/>
              <w:rPr>
                <w:rFonts w:ascii="Arial" w:hAnsi="Arial" w:cs="Arial"/>
                <w:b/>
                <w:bCs/>
                <w:color w:val="FFFFFF" w:themeColor="background1"/>
                <w:lang w:val="es-ES"/>
              </w:rPr>
            </w:pPr>
            <w:r w:rsidRPr="00D656EB">
              <w:rPr>
                <w:rFonts w:ascii="Arial" w:hAnsi="Arial" w:cs="Arial"/>
                <w:b/>
                <w:bCs/>
                <w:color w:val="FFFFFF" w:themeColor="background1"/>
                <w:lang w:val="es-ES"/>
              </w:rPr>
              <w:t xml:space="preserve">Medio de verificación </w:t>
            </w:r>
          </w:p>
          <w:p w14:paraId="7A48F093" w14:textId="77777777" w:rsidR="00D656EB" w:rsidRPr="00D656EB" w:rsidRDefault="00D656EB" w:rsidP="00C63908">
            <w:pPr>
              <w:jc w:val="center"/>
              <w:rPr>
                <w:rFonts w:ascii="Arial" w:hAnsi="Arial" w:cs="Arial"/>
                <w:b/>
                <w:color w:val="FFFFFF" w:themeColor="background1"/>
                <w:szCs w:val="20"/>
                <w:lang w:val="es-ES_tradnl"/>
              </w:rPr>
            </w:pPr>
          </w:p>
        </w:tc>
      </w:tr>
      <w:tr w:rsidR="00D656EB" w:rsidRPr="00E82A0E" w14:paraId="53563454" w14:textId="77777777" w:rsidTr="00D656EB">
        <w:tc>
          <w:tcPr>
            <w:tcW w:w="2151" w:type="dxa"/>
          </w:tcPr>
          <w:p w14:paraId="152B54C4" w14:textId="77777777" w:rsidR="00D656EB" w:rsidRPr="00D656EB" w:rsidRDefault="00D656EB" w:rsidP="00C63908">
            <w:pPr>
              <w:rPr>
                <w:rFonts w:ascii="Arial" w:hAnsi="Arial" w:cs="Arial"/>
                <w:sz w:val="20"/>
                <w:szCs w:val="20"/>
                <w:lang w:val="es-ES"/>
              </w:rPr>
            </w:pPr>
            <w:r w:rsidRPr="00D656EB">
              <w:rPr>
                <w:rFonts w:ascii="Arial" w:hAnsi="Arial" w:cs="Arial"/>
                <w:sz w:val="20"/>
                <w:szCs w:val="20"/>
                <w:lang w:val="es-ES"/>
              </w:rPr>
              <w:t>Estabilidad del marco general de políticas macroeconómicas.</w:t>
            </w:r>
          </w:p>
        </w:tc>
        <w:tc>
          <w:tcPr>
            <w:tcW w:w="6214" w:type="dxa"/>
          </w:tcPr>
          <w:p w14:paraId="3A5FAC09"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3.1 Marco macroeconómico estable, conducente al logro de los objetivos del Programa y lo establecido en la Carta de Política Sectorial.</w:t>
            </w:r>
          </w:p>
        </w:tc>
        <w:tc>
          <w:tcPr>
            <w:tcW w:w="3329" w:type="dxa"/>
          </w:tcPr>
          <w:p w14:paraId="03579E07"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Evaluación Independiente de Acciones Macroeconómicas (IAMC) vigente al momento de solicitar el desembolso</w:t>
            </w:r>
          </w:p>
        </w:tc>
      </w:tr>
      <w:tr w:rsidR="00D656EB" w:rsidRPr="00E82A0E" w14:paraId="6E41EC57" w14:textId="77777777" w:rsidTr="00742511">
        <w:trPr>
          <w:trHeight w:val="3010"/>
        </w:trPr>
        <w:tc>
          <w:tcPr>
            <w:tcW w:w="2151" w:type="dxa"/>
            <w:vMerge w:val="restart"/>
          </w:tcPr>
          <w:p w14:paraId="2D2266CA" w14:textId="77777777" w:rsidR="00D656EB" w:rsidRPr="00D656EB" w:rsidRDefault="00D656EB" w:rsidP="00C63908">
            <w:pPr>
              <w:rPr>
                <w:rFonts w:ascii="Arial" w:hAnsi="Arial" w:cs="Arial"/>
                <w:sz w:val="20"/>
                <w:szCs w:val="20"/>
                <w:lang w:val="es-ES"/>
              </w:rPr>
            </w:pPr>
            <w:r w:rsidRPr="00D656EB">
              <w:rPr>
                <w:rFonts w:ascii="Arial" w:hAnsi="Arial" w:cs="Arial"/>
                <w:sz w:val="20"/>
                <w:szCs w:val="20"/>
                <w:lang w:val="es-ES"/>
              </w:rPr>
              <w:t>Adoptar un programa de medidas para recuperar la sostenibilidad financiera del sector eléctrico.</w:t>
            </w:r>
          </w:p>
        </w:tc>
        <w:tc>
          <w:tcPr>
            <w:tcW w:w="6214" w:type="dxa"/>
          </w:tcPr>
          <w:p w14:paraId="1BCE18EB" w14:textId="77777777" w:rsidR="00D656EB" w:rsidRPr="00D656EB" w:rsidRDefault="00D656EB" w:rsidP="00C63908">
            <w:pPr>
              <w:autoSpaceDE w:val="0"/>
              <w:autoSpaceDN w:val="0"/>
              <w:adjustRightInd w:val="0"/>
              <w:jc w:val="both"/>
              <w:rPr>
                <w:rFonts w:ascii="Arial" w:hAnsi="Arial" w:cs="Arial"/>
                <w:sz w:val="20"/>
                <w:szCs w:val="20"/>
                <w:lang w:val="es-ES"/>
              </w:rPr>
            </w:pPr>
            <w:r w:rsidRPr="00D656EB">
              <w:rPr>
                <w:rFonts w:ascii="Arial" w:hAnsi="Arial" w:cs="Arial"/>
                <w:sz w:val="20"/>
                <w:szCs w:val="20"/>
                <w:lang w:val="es-ES"/>
              </w:rPr>
              <w:t>3.2 Continuar implementado satisfactoriamente las acciones regulatorias de ordenamiento y equilibrio del sector que permiten recuperar la sostenibilidad financiera del sector eléctrico a nivel de distribución (medidas contempladas en la Ley No. 839) y para este efecto:</w:t>
            </w:r>
          </w:p>
          <w:p w14:paraId="4C9EB86D" w14:textId="77777777" w:rsidR="00D656EB" w:rsidRPr="00D656EB" w:rsidRDefault="00D656EB" w:rsidP="00C63908">
            <w:pPr>
              <w:autoSpaceDE w:val="0"/>
              <w:autoSpaceDN w:val="0"/>
              <w:adjustRightInd w:val="0"/>
              <w:jc w:val="both"/>
              <w:rPr>
                <w:rFonts w:ascii="Arial" w:hAnsi="Arial" w:cs="Arial"/>
                <w:sz w:val="20"/>
                <w:lang w:val="es-ES_tradnl"/>
              </w:rPr>
            </w:pPr>
          </w:p>
          <w:p w14:paraId="00160B43" w14:textId="77777777" w:rsidR="00D656EB" w:rsidRPr="00D656EB" w:rsidRDefault="00D656EB" w:rsidP="00C63908">
            <w:pPr>
              <w:autoSpaceDE w:val="0"/>
              <w:autoSpaceDN w:val="0"/>
              <w:adjustRightInd w:val="0"/>
              <w:jc w:val="both"/>
              <w:rPr>
                <w:rFonts w:ascii="Arial" w:hAnsi="Arial" w:cs="Arial"/>
                <w:sz w:val="20"/>
                <w:szCs w:val="20"/>
                <w:lang w:val="es-ES"/>
              </w:rPr>
            </w:pPr>
            <w:r w:rsidRPr="00D656EB">
              <w:rPr>
                <w:rFonts w:ascii="Arial" w:hAnsi="Arial" w:cs="Arial"/>
                <w:sz w:val="20"/>
                <w:szCs w:val="20"/>
                <w:lang w:val="es-ES"/>
              </w:rPr>
              <w:t>(1) Aplicar la modificación del Factor de Expansión de Pérdidas (FEP) reconocido en tarifas de 1,15 a 1.14; en el marco de la continuidad al proceso de ajuste desde 1,13 (vigente en 2013) a 1,16 y reducción gradual a 1,14 en 5 años contados a partir del año 2013, a fin de facilitar la recuperación financiera de la distribuidora y darle los incentivos para gestionar la reducción de pérdidas en los próximos años.</w:t>
            </w:r>
          </w:p>
        </w:tc>
        <w:tc>
          <w:tcPr>
            <w:tcW w:w="3329" w:type="dxa"/>
          </w:tcPr>
          <w:p w14:paraId="68BABEC3" w14:textId="77777777" w:rsidR="00D656EB" w:rsidRPr="00D656EB" w:rsidRDefault="00D656EB" w:rsidP="00C63908">
            <w:pPr>
              <w:jc w:val="both"/>
              <w:rPr>
                <w:rFonts w:ascii="Arial" w:hAnsi="Arial" w:cs="Arial"/>
                <w:sz w:val="20"/>
                <w:szCs w:val="20"/>
                <w:lang w:val="es-ES"/>
              </w:rPr>
            </w:pPr>
          </w:p>
          <w:p w14:paraId="5F352C3C" w14:textId="77777777" w:rsidR="00D656EB" w:rsidRPr="00D656EB" w:rsidRDefault="00D656EB" w:rsidP="00C63908">
            <w:pPr>
              <w:jc w:val="both"/>
              <w:rPr>
                <w:rFonts w:ascii="Arial" w:hAnsi="Arial" w:cs="Arial"/>
                <w:sz w:val="20"/>
                <w:szCs w:val="20"/>
                <w:lang w:val="es-ES"/>
              </w:rPr>
            </w:pPr>
          </w:p>
          <w:p w14:paraId="15EEE8C5" w14:textId="77777777" w:rsidR="00D656EB" w:rsidRPr="00D656EB" w:rsidRDefault="00D656EB" w:rsidP="00C63908">
            <w:pPr>
              <w:jc w:val="both"/>
              <w:rPr>
                <w:rFonts w:ascii="Arial" w:hAnsi="Arial" w:cs="Arial"/>
                <w:sz w:val="20"/>
                <w:szCs w:val="20"/>
                <w:lang w:val="es-ES"/>
              </w:rPr>
            </w:pPr>
          </w:p>
          <w:p w14:paraId="0964816C" w14:textId="77777777" w:rsidR="00D656EB" w:rsidRPr="00D656EB" w:rsidRDefault="00D656EB" w:rsidP="00C63908">
            <w:pPr>
              <w:jc w:val="both"/>
              <w:rPr>
                <w:rFonts w:ascii="Arial" w:hAnsi="Arial" w:cs="Arial"/>
                <w:sz w:val="20"/>
                <w:szCs w:val="20"/>
                <w:lang w:val="es-ES"/>
              </w:rPr>
            </w:pPr>
          </w:p>
          <w:p w14:paraId="6FC5B405" w14:textId="77777777" w:rsidR="00D656EB" w:rsidRPr="00D656EB" w:rsidRDefault="00D656EB" w:rsidP="00C63908">
            <w:pPr>
              <w:jc w:val="both"/>
              <w:rPr>
                <w:rFonts w:ascii="Arial" w:hAnsi="Arial" w:cs="Arial"/>
                <w:sz w:val="20"/>
                <w:szCs w:val="20"/>
                <w:lang w:val="es-ES"/>
              </w:rPr>
            </w:pPr>
          </w:p>
          <w:p w14:paraId="0E980EF8" w14:textId="77777777" w:rsidR="00D656EB" w:rsidRPr="00D656EB" w:rsidRDefault="00D656EB" w:rsidP="00C63908">
            <w:pPr>
              <w:jc w:val="both"/>
              <w:rPr>
                <w:rFonts w:ascii="Arial" w:hAnsi="Arial" w:cs="Arial"/>
                <w:sz w:val="20"/>
                <w:szCs w:val="20"/>
                <w:lang w:val="es-ES"/>
              </w:rPr>
            </w:pPr>
          </w:p>
          <w:p w14:paraId="7A82E9FA" w14:textId="77777777" w:rsidR="00D656EB" w:rsidRPr="00D656EB" w:rsidRDefault="00D656EB" w:rsidP="00C63908">
            <w:pPr>
              <w:jc w:val="both"/>
              <w:rPr>
                <w:rFonts w:ascii="Arial" w:hAnsi="Arial" w:cs="Arial"/>
                <w:sz w:val="20"/>
                <w:szCs w:val="20"/>
                <w:lang w:val="es-ES"/>
              </w:rPr>
            </w:pPr>
          </w:p>
          <w:p w14:paraId="6629D79F" w14:textId="1BC23166"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Resoluciones emitidas por INE que establecen el factor de expansión de pérdidas de acuerdo con los valores indicados, desde la fecha del desembolso de la segunda operación.</w:t>
            </w:r>
          </w:p>
        </w:tc>
      </w:tr>
      <w:tr w:rsidR="00D656EB" w:rsidRPr="00E82A0E" w14:paraId="32D5F089" w14:textId="77777777" w:rsidTr="00D656EB">
        <w:trPr>
          <w:trHeight w:val="949"/>
        </w:trPr>
        <w:tc>
          <w:tcPr>
            <w:tcW w:w="2151" w:type="dxa"/>
            <w:vMerge/>
          </w:tcPr>
          <w:p w14:paraId="7214AFED" w14:textId="77777777" w:rsidR="00D656EB" w:rsidRPr="00D656EB" w:rsidRDefault="00D656EB" w:rsidP="00C63908">
            <w:pPr>
              <w:rPr>
                <w:rFonts w:ascii="Arial" w:hAnsi="Arial" w:cs="Arial"/>
                <w:sz w:val="20"/>
                <w:lang w:val="es-ES_tradnl"/>
              </w:rPr>
            </w:pPr>
          </w:p>
        </w:tc>
        <w:tc>
          <w:tcPr>
            <w:tcW w:w="6214" w:type="dxa"/>
          </w:tcPr>
          <w:p w14:paraId="1EAE0DB6" w14:textId="482202E9" w:rsidR="00D656EB" w:rsidRPr="00D656EB" w:rsidRDefault="00D656EB" w:rsidP="00C63908">
            <w:pPr>
              <w:autoSpaceDE w:val="0"/>
              <w:autoSpaceDN w:val="0"/>
              <w:adjustRightInd w:val="0"/>
              <w:jc w:val="both"/>
              <w:rPr>
                <w:rFonts w:ascii="Arial" w:hAnsi="Arial" w:cs="Arial"/>
                <w:sz w:val="20"/>
                <w:szCs w:val="20"/>
                <w:lang w:val="es-ES"/>
              </w:rPr>
            </w:pPr>
            <w:r w:rsidRPr="00D656EB">
              <w:rPr>
                <w:rFonts w:ascii="Arial" w:hAnsi="Arial" w:cs="Arial"/>
                <w:sz w:val="20"/>
                <w:szCs w:val="20"/>
                <w:lang w:val="es-ES"/>
              </w:rPr>
              <w:t xml:space="preserve">(2)   </w:t>
            </w:r>
            <w:r w:rsidR="00C35C5D">
              <w:rPr>
                <w:rFonts w:ascii="Arial" w:hAnsi="Arial" w:cs="Arial"/>
                <w:sz w:val="20"/>
                <w:szCs w:val="20"/>
                <w:lang w:val="es-ES"/>
              </w:rPr>
              <w:t xml:space="preserve">Mantener </w:t>
            </w:r>
            <w:r w:rsidRPr="00D656EB">
              <w:rPr>
                <w:rFonts w:ascii="Arial" w:hAnsi="Arial" w:cs="Arial"/>
                <w:sz w:val="20"/>
                <w:szCs w:val="20"/>
                <w:lang w:val="es-ES"/>
              </w:rPr>
              <w:t>el subsidio de los asentamientos en 2% de la energía vendida valorada al precio medio de compra.</w:t>
            </w:r>
          </w:p>
        </w:tc>
        <w:tc>
          <w:tcPr>
            <w:tcW w:w="3329" w:type="dxa"/>
          </w:tcPr>
          <w:p w14:paraId="1650C747" w14:textId="77777777" w:rsidR="00D656EB" w:rsidRPr="00D656EB" w:rsidRDefault="00D656EB" w:rsidP="00C63908">
            <w:pPr>
              <w:pStyle w:val="ListParagraph"/>
              <w:ind w:left="38"/>
              <w:jc w:val="both"/>
              <w:rPr>
                <w:rFonts w:ascii="Arial" w:hAnsi="Arial" w:cs="Arial"/>
                <w:sz w:val="20"/>
                <w:szCs w:val="20"/>
                <w:lang w:val="es-ES"/>
              </w:rPr>
            </w:pPr>
            <w:r w:rsidRPr="00D656EB">
              <w:rPr>
                <w:rFonts w:ascii="Arial" w:hAnsi="Arial" w:cs="Arial"/>
                <w:sz w:val="20"/>
                <w:szCs w:val="20"/>
                <w:lang w:val="es-ES"/>
              </w:rPr>
              <w:t>Resoluciones emitidas por el INE que evidencian la renovación y ajustes al subsidio de los asentamientos desde la fecha de desembolso de la segunda operación.</w:t>
            </w:r>
          </w:p>
          <w:p w14:paraId="0A5D280B" w14:textId="6316954B" w:rsidR="00D656EB" w:rsidRPr="00D656EB" w:rsidRDefault="00D656EB" w:rsidP="00C63908">
            <w:pPr>
              <w:jc w:val="both"/>
              <w:rPr>
                <w:rFonts w:ascii="Arial" w:hAnsi="Arial" w:cs="Arial"/>
                <w:sz w:val="20"/>
                <w:lang w:val="es-ES_tradnl"/>
              </w:rPr>
            </w:pPr>
          </w:p>
        </w:tc>
      </w:tr>
      <w:tr w:rsidR="00D656EB" w:rsidRPr="00E82A0E" w14:paraId="4021ED9C" w14:textId="77777777" w:rsidTr="00D656EB">
        <w:tc>
          <w:tcPr>
            <w:tcW w:w="2151" w:type="dxa"/>
            <w:vMerge/>
          </w:tcPr>
          <w:p w14:paraId="547976A2" w14:textId="77777777" w:rsidR="00D656EB" w:rsidRPr="00D656EB" w:rsidRDefault="00D656EB" w:rsidP="00C63908">
            <w:pPr>
              <w:rPr>
                <w:rFonts w:ascii="Arial" w:hAnsi="Arial" w:cs="Arial"/>
                <w:sz w:val="20"/>
                <w:lang w:val="es-ES_tradnl"/>
              </w:rPr>
            </w:pPr>
          </w:p>
        </w:tc>
        <w:tc>
          <w:tcPr>
            <w:tcW w:w="6214" w:type="dxa"/>
          </w:tcPr>
          <w:p w14:paraId="52C90DE6" w14:textId="17CF4B9D" w:rsidR="00D656EB" w:rsidRPr="00D656EB" w:rsidRDefault="00D656EB" w:rsidP="00C35C5D">
            <w:pPr>
              <w:autoSpaceDE w:val="0"/>
              <w:autoSpaceDN w:val="0"/>
              <w:adjustRightInd w:val="0"/>
              <w:jc w:val="both"/>
              <w:rPr>
                <w:rFonts w:ascii="Arial" w:hAnsi="Arial" w:cs="Arial"/>
                <w:sz w:val="20"/>
                <w:szCs w:val="20"/>
                <w:lang w:val="es-ES"/>
              </w:rPr>
            </w:pPr>
            <w:r w:rsidRPr="00D656EB">
              <w:rPr>
                <w:rFonts w:ascii="Arial" w:hAnsi="Arial" w:cs="Arial"/>
                <w:sz w:val="20"/>
                <w:szCs w:val="20"/>
                <w:lang w:val="es-ES"/>
              </w:rPr>
              <w:t xml:space="preserve"> (3)  </w:t>
            </w:r>
            <w:r w:rsidR="00C35C5D">
              <w:rPr>
                <w:rFonts w:ascii="Arial" w:hAnsi="Arial" w:cs="Arial"/>
                <w:sz w:val="20"/>
                <w:szCs w:val="20"/>
                <w:lang w:val="es-ES"/>
              </w:rPr>
              <w:t>E</w:t>
            </w:r>
            <w:r w:rsidRPr="00D656EB">
              <w:rPr>
                <w:rFonts w:ascii="Arial" w:hAnsi="Arial" w:cs="Arial"/>
                <w:sz w:val="20"/>
                <w:szCs w:val="20"/>
                <w:lang w:val="es-ES"/>
              </w:rPr>
              <w:t xml:space="preserve">mitir los títulos de deuda que permitirán incluir </w:t>
            </w:r>
            <w:r w:rsidR="00C35C5D">
              <w:rPr>
                <w:rFonts w:ascii="Arial" w:hAnsi="Arial" w:cs="Arial"/>
                <w:sz w:val="20"/>
                <w:szCs w:val="20"/>
                <w:lang w:val="es-ES"/>
              </w:rPr>
              <w:t>los</w:t>
            </w:r>
            <w:r w:rsidRPr="00D656EB">
              <w:rPr>
                <w:rFonts w:ascii="Arial" w:hAnsi="Arial" w:cs="Arial"/>
                <w:sz w:val="20"/>
                <w:szCs w:val="20"/>
                <w:lang w:val="es-ES"/>
              </w:rPr>
              <w:t xml:space="preserve"> costos financieros </w:t>
            </w:r>
            <w:r w:rsidR="00C35C5D" w:rsidRPr="00D656EB">
              <w:rPr>
                <w:rFonts w:ascii="Arial" w:hAnsi="Arial" w:cs="Arial"/>
                <w:sz w:val="20"/>
                <w:szCs w:val="20"/>
                <w:lang w:val="es-ES"/>
              </w:rPr>
              <w:t xml:space="preserve"> por retraso de pago a los generadores en el período 2009 – 2013</w:t>
            </w:r>
            <w:r w:rsidR="00C35C5D">
              <w:rPr>
                <w:rFonts w:ascii="Arial" w:hAnsi="Arial" w:cs="Arial"/>
                <w:sz w:val="20"/>
                <w:szCs w:val="20"/>
                <w:lang w:val="es-ES"/>
              </w:rPr>
              <w:t xml:space="preserve"> </w:t>
            </w:r>
            <w:r w:rsidRPr="00D656EB">
              <w:rPr>
                <w:rFonts w:ascii="Arial" w:hAnsi="Arial" w:cs="Arial"/>
                <w:sz w:val="20"/>
                <w:szCs w:val="20"/>
                <w:lang w:val="es-ES"/>
              </w:rPr>
              <w:t>y los intereses corrientes en la base de cálculo de la tarifa a nivel de distribución hasta el efectivo pago de las deudas generadas en dicho período, de acuerdo con el numeral 5</w:t>
            </w:r>
            <w:r w:rsidR="00C35C5D">
              <w:rPr>
                <w:rFonts w:ascii="Arial" w:hAnsi="Arial" w:cs="Arial"/>
                <w:sz w:val="20"/>
                <w:szCs w:val="20"/>
                <w:lang w:val="es-ES"/>
              </w:rPr>
              <w:t xml:space="preserve"> del Artículo 113 de la Ley 272, manteniendo los términos de</w:t>
            </w:r>
            <w:r w:rsidR="00C35C5D" w:rsidRPr="00D656EB">
              <w:rPr>
                <w:rFonts w:ascii="Arial" w:hAnsi="Arial" w:cs="Arial"/>
                <w:sz w:val="20"/>
                <w:szCs w:val="20"/>
                <w:lang w:val="es-ES"/>
              </w:rPr>
              <w:t xml:space="preserve"> la conciliación realizada, por parte de los generadores y distribuidoras (Empresa Distribuidora de Electricidad del Norte o DISNORTE y Empresa Distribuidora de Electricidad del Sur o DISSUR)</w:t>
            </w:r>
            <w:r w:rsidR="00C35C5D">
              <w:rPr>
                <w:rFonts w:ascii="Arial" w:hAnsi="Arial" w:cs="Arial"/>
                <w:sz w:val="20"/>
                <w:szCs w:val="20"/>
                <w:lang w:val="es-ES"/>
              </w:rPr>
              <w:t>.</w:t>
            </w:r>
          </w:p>
        </w:tc>
        <w:tc>
          <w:tcPr>
            <w:tcW w:w="3329" w:type="dxa"/>
          </w:tcPr>
          <w:p w14:paraId="062723B9" w14:textId="77777777" w:rsidR="00D656EB" w:rsidRPr="00D656EB" w:rsidRDefault="00D656EB" w:rsidP="00C63908">
            <w:pPr>
              <w:pStyle w:val="ListParagraph"/>
              <w:numPr>
                <w:ilvl w:val="0"/>
                <w:numId w:val="19"/>
              </w:numPr>
              <w:jc w:val="both"/>
              <w:rPr>
                <w:rFonts w:ascii="Arial" w:hAnsi="Arial" w:cs="Arial"/>
                <w:sz w:val="20"/>
                <w:szCs w:val="20"/>
                <w:lang w:val="es-ES"/>
              </w:rPr>
            </w:pPr>
            <w:r w:rsidRPr="00D656EB">
              <w:rPr>
                <w:rFonts w:ascii="Arial" w:hAnsi="Arial" w:cs="Arial"/>
                <w:sz w:val="20"/>
                <w:szCs w:val="20"/>
                <w:lang w:val="es-ES"/>
              </w:rPr>
              <w:t>Certificaciones del INE de la conciliación de deudas entre generadores y las distribuidoras DISNORTE y DISSUR.</w:t>
            </w:r>
          </w:p>
          <w:p w14:paraId="26922AA7" w14:textId="77777777" w:rsidR="00D656EB" w:rsidRPr="00D656EB" w:rsidRDefault="00D656EB" w:rsidP="00C63908">
            <w:pPr>
              <w:pStyle w:val="ListParagraph"/>
              <w:jc w:val="both"/>
              <w:rPr>
                <w:rFonts w:ascii="Arial" w:hAnsi="Arial" w:cs="Arial"/>
                <w:sz w:val="20"/>
                <w:lang w:val="es-ES_tradnl"/>
              </w:rPr>
            </w:pPr>
          </w:p>
          <w:p w14:paraId="507B1638" w14:textId="77777777" w:rsidR="00D656EB" w:rsidRPr="00D656EB" w:rsidRDefault="00D656EB" w:rsidP="00C63908">
            <w:pPr>
              <w:pStyle w:val="ListParagraph"/>
              <w:numPr>
                <w:ilvl w:val="0"/>
                <w:numId w:val="19"/>
              </w:numPr>
              <w:jc w:val="both"/>
              <w:rPr>
                <w:rFonts w:ascii="Arial" w:hAnsi="Arial" w:cs="Arial"/>
                <w:sz w:val="20"/>
                <w:szCs w:val="20"/>
                <w:lang w:val="es-ES"/>
              </w:rPr>
            </w:pPr>
            <w:r w:rsidRPr="00D656EB">
              <w:rPr>
                <w:rFonts w:ascii="Arial" w:hAnsi="Arial" w:cs="Arial"/>
                <w:sz w:val="20"/>
                <w:szCs w:val="20"/>
                <w:lang w:val="es-ES"/>
              </w:rPr>
              <w:t>Fotocopia de los títulos emitidos, por parte de las distribuidoras DISNORTE y DISSUR a favor de cada generador, redimibles con los recursos que se generen cuando se traslade a tarifa.</w:t>
            </w:r>
          </w:p>
          <w:p w14:paraId="1D103C1C" w14:textId="77777777" w:rsidR="00D656EB" w:rsidRPr="00D656EB" w:rsidRDefault="00D656EB" w:rsidP="00C63908">
            <w:pPr>
              <w:pStyle w:val="ListParagraph"/>
              <w:rPr>
                <w:rFonts w:ascii="Arial" w:hAnsi="Arial" w:cs="Arial"/>
                <w:sz w:val="20"/>
                <w:lang w:val="es-ES_tradnl"/>
              </w:rPr>
            </w:pPr>
          </w:p>
          <w:p w14:paraId="618B82B3" w14:textId="2024A8E2" w:rsidR="00D656EB" w:rsidRPr="00D656EB" w:rsidRDefault="00D656EB" w:rsidP="00D656EB">
            <w:pPr>
              <w:pStyle w:val="ListParagraph"/>
              <w:numPr>
                <w:ilvl w:val="0"/>
                <w:numId w:val="19"/>
              </w:numPr>
              <w:jc w:val="both"/>
              <w:rPr>
                <w:rFonts w:ascii="Arial" w:hAnsi="Arial" w:cs="Arial"/>
                <w:sz w:val="20"/>
                <w:szCs w:val="20"/>
                <w:lang w:val="es-ES"/>
              </w:rPr>
            </w:pPr>
            <w:r w:rsidRPr="00D656EB">
              <w:rPr>
                <w:rFonts w:ascii="Arial" w:hAnsi="Arial" w:cs="Arial"/>
                <w:sz w:val="20"/>
                <w:szCs w:val="20"/>
                <w:lang w:val="es-ES"/>
              </w:rPr>
              <w:t>Carta del INE confirmando que los costos serán trasladados a tarifa.</w:t>
            </w:r>
          </w:p>
        </w:tc>
      </w:tr>
      <w:tr w:rsidR="00D656EB" w:rsidRPr="00E82A0E" w14:paraId="56A715D8" w14:textId="77777777" w:rsidTr="00D656EB">
        <w:tc>
          <w:tcPr>
            <w:tcW w:w="2151" w:type="dxa"/>
            <w:vMerge/>
          </w:tcPr>
          <w:p w14:paraId="70A558AE" w14:textId="77777777" w:rsidR="00D656EB" w:rsidRPr="00D656EB" w:rsidRDefault="00D656EB" w:rsidP="00C63908">
            <w:pPr>
              <w:rPr>
                <w:rFonts w:ascii="Arial" w:hAnsi="Arial" w:cs="Arial"/>
                <w:sz w:val="20"/>
                <w:lang w:val="es-ES_tradnl"/>
              </w:rPr>
            </w:pPr>
          </w:p>
        </w:tc>
        <w:tc>
          <w:tcPr>
            <w:tcW w:w="6214" w:type="dxa"/>
          </w:tcPr>
          <w:p w14:paraId="1247F157" w14:textId="77777777" w:rsidR="00D656EB" w:rsidRPr="00D656EB" w:rsidRDefault="00D656EB" w:rsidP="00C63908">
            <w:pPr>
              <w:autoSpaceDE w:val="0"/>
              <w:autoSpaceDN w:val="0"/>
              <w:adjustRightInd w:val="0"/>
              <w:jc w:val="both"/>
              <w:rPr>
                <w:rFonts w:ascii="Arial" w:hAnsi="Arial" w:cs="Arial"/>
                <w:sz w:val="20"/>
                <w:szCs w:val="20"/>
                <w:lang w:val="es-ES"/>
              </w:rPr>
            </w:pPr>
            <w:r w:rsidRPr="00D656EB">
              <w:rPr>
                <w:rFonts w:ascii="Arial" w:hAnsi="Arial" w:cs="Arial"/>
                <w:sz w:val="20"/>
                <w:szCs w:val="20"/>
                <w:lang w:val="es-ES"/>
              </w:rPr>
              <w:t xml:space="preserve"> (4)  Continuar aplicando las disposiciones Anti-Fraude contenidas en la Ley No. 661 “Ley para la Distribución y el uso responsable del servicio público de energía eléctrica” que penaliza el hurto de energía a todos los clientes, consumidores y usuarios del servicio eléctrico.</w:t>
            </w:r>
          </w:p>
        </w:tc>
        <w:tc>
          <w:tcPr>
            <w:tcW w:w="3329" w:type="dxa"/>
          </w:tcPr>
          <w:p w14:paraId="6D026042"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 xml:space="preserve">Informes anuales del INE a la Asamblea Nacional sobre las gestiones realizadas en aplicación de las disposiciones de la Ley 661, desde la fecha del desembolso de la operación anterior. </w:t>
            </w:r>
          </w:p>
          <w:p w14:paraId="1CAA91C6" w14:textId="7D559FB8" w:rsidR="00D656EB" w:rsidRPr="00D656EB" w:rsidRDefault="00E82A0E" w:rsidP="00D656EB">
            <w:pPr>
              <w:jc w:val="both"/>
              <w:rPr>
                <w:rFonts w:ascii="Arial" w:hAnsi="Arial" w:cs="Arial"/>
                <w:sz w:val="20"/>
                <w:lang w:val="es-NI"/>
              </w:rPr>
            </w:pPr>
            <w:hyperlink r:id="rId8" w:history="1"/>
          </w:p>
        </w:tc>
      </w:tr>
      <w:tr w:rsidR="00D656EB" w:rsidRPr="00E82A0E" w14:paraId="45726C5B" w14:textId="77777777" w:rsidTr="00D656EB">
        <w:tc>
          <w:tcPr>
            <w:tcW w:w="2151" w:type="dxa"/>
            <w:vMerge/>
          </w:tcPr>
          <w:p w14:paraId="62FDF328" w14:textId="77777777" w:rsidR="00D656EB" w:rsidRPr="00D656EB" w:rsidRDefault="00D656EB" w:rsidP="00C63908">
            <w:pPr>
              <w:rPr>
                <w:rFonts w:ascii="Arial" w:hAnsi="Arial" w:cs="Arial"/>
                <w:sz w:val="20"/>
                <w:lang w:val="es-ES_tradnl"/>
              </w:rPr>
            </w:pPr>
          </w:p>
        </w:tc>
        <w:tc>
          <w:tcPr>
            <w:tcW w:w="6214" w:type="dxa"/>
          </w:tcPr>
          <w:p w14:paraId="4269332E" w14:textId="7DE42665" w:rsidR="00D656EB" w:rsidRPr="00D656EB" w:rsidRDefault="00D656EB" w:rsidP="00C63908">
            <w:pPr>
              <w:autoSpaceDE w:val="0"/>
              <w:autoSpaceDN w:val="0"/>
              <w:adjustRightInd w:val="0"/>
              <w:jc w:val="both"/>
              <w:rPr>
                <w:rFonts w:ascii="Arial" w:hAnsi="Arial" w:cs="Arial"/>
                <w:sz w:val="20"/>
                <w:szCs w:val="20"/>
                <w:lang w:val="es-ES"/>
              </w:rPr>
            </w:pPr>
            <w:r w:rsidRPr="00D656EB">
              <w:rPr>
                <w:rFonts w:ascii="Arial" w:hAnsi="Arial" w:cs="Arial"/>
                <w:sz w:val="20"/>
                <w:szCs w:val="20"/>
                <w:lang w:val="es-ES"/>
              </w:rPr>
              <w:t xml:space="preserve">(5)  Continuar implementando el acuerdo con las distribuidoras (DISNORTE y DISSUR) ejecutando el plan de inversiones por la suma de US$75 millones en un período de 5 años (2013- 2018) para mejorar la calidad y el control de suministro eléctrico, ampliar la cobertura y contribuir a reducir pérdidas. </w:t>
            </w:r>
          </w:p>
        </w:tc>
        <w:tc>
          <w:tcPr>
            <w:tcW w:w="3329" w:type="dxa"/>
          </w:tcPr>
          <w:p w14:paraId="58DD4819"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Informe del INE cuantificando las inversiones ejecutadas por las distribuidoras DISNORTE y DISSUR desde julio 2013, desglosando; inversiones certificadas, inversiones solicitadas por certificar.</w:t>
            </w:r>
          </w:p>
          <w:p w14:paraId="3C23BF7F" w14:textId="77777777" w:rsidR="00D656EB" w:rsidRPr="00D656EB" w:rsidRDefault="00D656EB" w:rsidP="00C63908">
            <w:pPr>
              <w:jc w:val="both"/>
              <w:rPr>
                <w:rFonts w:ascii="Arial" w:hAnsi="Arial" w:cs="Arial"/>
                <w:sz w:val="20"/>
                <w:lang w:val="es-ES_tradnl"/>
              </w:rPr>
            </w:pPr>
          </w:p>
          <w:p w14:paraId="502F663F" w14:textId="77777777" w:rsidR="00D656EB" w:rsidRPr="00D656EB" w:rsidRDefault="00D656EB" w:rsidP="00C63908">
            <w:pPr>
              <w:jc w:val="both"/>
              <w:rPr>
                <w:rFonts w:ascii="Arial" w:hAnsi="Arial" w:cs="Arial"/>
                <w:sz w:val="20"/>
                <w:lang w:val="es-ES_tradnl"/>
              </w:rPr>
            </w:pPr>
          </w:p>
        </w:tc>
      </w:tr>
      <w:tr w:rsidR="00D656EB" w:rsidRPr="00E82A0E" w14:paraId="163C9048" w14:textId="77777777" w:rsidTr="00D656EB">
        <w:trPr>
          <w:trHeight w:val="2335"/>
        </w:trPr>
        <w:tc>
          <w:tcPr>
            <w:tcW w:w="2151" w:type="dxa"/>
            <w:vMerge w:val="restart"/>
          </w:tcPr>
          <w:p w14:paraId="51B3C75C" w14:textId="77777777" w:rsidR="00D656EB" w:rsidRPr="00D656EB" w:rsidRDefault="00D656EB" w:rsidP="00C63908">
            <w:pPr>
              <w:jc w:val="both"/>
              <w:rPr>
                <w:rFonts w:ascii="Arial" w:hAnsi="Arial" w:cs="Arial"/>
                <w:sz w:val="18"/>
                <w:szCs w:val="20"/>
                <w:lang w:val="es-ES_tradnl"/>
              </w:rPr>
            </w:pPr>
            <w:r w:rsidRPr="00D656EB">
              <w:rPr>
                <w:rFonts w:ascii="Arial" w:hAnsi="Arial" w:cs="Arial"/>
                <w:sz w:val="20"/>
                <w:lang w:val="es-ES_tradnl"/>
              </w:rPr>
              <w:br w:type="page"/>
            </w:r>
          </w:p>
        </w:tc>
        <w:tc>
          <w:tcPr>
            <w:tcW w:w="6214" w:type="dxa"/>
          </w:tcPr>
          <w:p w14:paraId="40225C5C" w14:textId="77BB04A0"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3.3 Realizar las revisiones periódicas de la tarifa en el sector eléctrico y que se hayan emitido por parte del INE, las correspondientes resoluciones de ajuste tarifario para la actualización del costo de abastecimiento, transmisión y distribución, que permiten mantener el precio promedio de venta al consumidor igual al precio promedio de venta indicativo, con lo que se asegura que el precio de energía compensa el 100% de los costos de abastecimiento, transmisión y distribución.</w:t>
            </w:r>
          </w:p>
        </w:tc>
        <w:tc>
          <w:tcPr>
            <w:tcW w:w="3329" w:type="dxa"/>
          </w:tcPr>
          <w:p w14:paraId="013DFF61"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(i) Resoluciones emitidas por el INE de ajuste tarifario para la actualización del costo de abastecimiento, transmisión y distribución desde la fecha del desembolso de la segunda operación;</w:t>
            </w:r>
          </w:p>
          <w:p w14:paraId="427AEA6E" w14:textId="77777777" w:rsidR="00D656EB" w:rsidRPr="00D656EB" w:rsidRDefault="00D656EB" w:rsidP="00C63908">
            <w:pPr>
              <w:jc w:val="both"/>
              <w:rPr>
                <w:rFonts w:ascii="Arial" w:hAnsi="Arial" w:cs="Arial"/>
                <w:sz w:val="20"/>
                <w:lang w:val="es-ES_tradnl"/>
              </w:rPr>
            </w:pPr>
          </w:p>
          <w:p w14:paraId="6CF5369A" w14:textId="3B995E94" w:rsidR="00D656EB" w:rsidRPr="00742511" w:rsidRDefault="00D656EB" w:rsidP="00C63908">
            <w:pPr>
              <w:jc w:val="both"/>
              <w:rPr>
                <w:rFonts w:ascii="Arial" w:hAnsi="Arial" w:cs="Arial"/>
                <w:sz w:val="20"/>
                <w:szCs w:val="20"/>
                <w:lang w:val="es-ES"/>
              </w:rPr>
            </w:pPr>
            <w:r w:rsidRPr="00D656EB">
              <w:rPr>
                <w:rFonts w:ascii="Arial" w:hAnsi="Arial" w:cs="Arial"/>
                <w:sz w:val="20"/>
                <w:szCs w:val="20"/>
                <w:lang w:val="es-ES"/>
              </w:rPr>
              <w:t xml:space="preserve">(ii) Informe del INE sobre la evolución de la tarifa y su relación con el costo de abastecimiento. </w:t>
            </w:r>
          </w:p>
        </w:tc>
      </w:tr>
      <w:tr w:rsidR="00D656EB" w:rsidRPr="00E82A0E" w14:paraId="044BF397" w14:textId="77777777" w:rsidTr="00D656EB">
        <w:tc>
          <w:tcPr>
            <w:tcW w:w="2151" w:type="dxa"/>
            <w:vMerge/>
          </w:tcPr>
          <w:p w14:paraId="2C77E802" w14:textId="77777777" w:rsidR="00D656EB" w:rsidRPr="00D656EB" w:rsidRDefault="00D656EB" w:rsidP="00C63908">
            <w:pPr>
              <w:jc w:val="both"/>
              <w:rPr>
                <w:rFonts w:ascii="Arial" w:hAnsi="Arial" w:cs="Arial"/>
                <w:sz w:val="18"/>
                <w:szCs w:val="20"/>
                <w:lang w:val="es-ES_tradnl"/>
              </w:rPr>
            </w:pPr>
          </w:p>
        </w:tc>
        <w:tc>
          <w:tcPr>
            <w:tcW w:w="6214" w:type="dxa"/>
          </w:tcPr>
          <w:p w14:paraId="69653495" w14:textId="55062A81"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3.4 Aprobar por el Gabinete de Energía y por el Gabinete Económico la propuesta de medidas de ajuste sobre los subsidios del sector eléctrico que le fueron remitidas por el MHCP y remitir a la Presidencia juntamente con las metas a alcanzar, las acciones y el cronograma para su implementación. El marco referencial de la propuesta incluirá, entre otros, lo siguientes: : (i) un periodo de ajuste que inicia en el año 2018 y concluye en el 2022; (ii) se elimina la base de subsidios con referencia a tarifas históricas y se pasa a determinar los subsidios como un porcentaje de la tarifa plena en vigencia; (iii) hasta el final del periodo de ajuste, año 2022, el subsidio social para el segmento de consumo igual o menor a 150 kWh/mes, actualmente subsidiado en una proporción superior al 50% de la tarifa plena, no será superior a los siguientes porcentajes de la tarifa plena vigente: 50% para los primeros 50 kWh, 45% para los siguientes 50 kWh y 25% para los últimos 50 kWh; (iv) hasta el cuarto año del periodo de ajuste, año 2021, el segmento de consumo mayor a 150 kWh/mes, actualmente subsidiado en un rango de 53% a 100% en materia de Impuesto al Valor Agregado (IVA), elimina por completo dicho subsidio; y (v) hasta el final del periodo de ajuste, año 2022, el subsidio al segmento de jubilados actualmente definido en un 50% de la tarifa eléctrica para los primeros 150 kWh consumidos, no será superior a 25% para los consumos hasta 300 kWh y se elimina para los consumos mayores a 300 kWh.</w:t>
            </w:r>
          </w:p>
        </w:tc>
        <w:tc>
          <w:tcPr>
            <w:tcW w:w="3329" w:type="dxa"/>
          </w:tcPr>
          <w:p w14:paraId="6A9F1723"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Oficios del Gabinete de Energía y del Gabinete Económico a la Presidencia, remitiendo el esquema completo de medidas de ajuste aprobadas por ambos Gabinetes para los subsidios del sector eléctrico, las metas a alcanzar, las acciones y el cronograma para su implementación.</w:t>
            </w:r>
          </w:p>
          <w:p w14:paraId="74477FD7" w14:textId="77777777" w:rsidR="00D656EB" w:rsidRPr="00D656EB" w:rsidRDefault="00D656EB" w:rsidP="00C63908">
            <w:pPr>
              <w:jc w:val="both"/>
              <w:rPr>
                <w:rFonts w:ascii="Arial" w:hAnsi="Arial" w:cs="Arial"/>
                <w:sz w:val="20"/>
                <w:lang w:val="es-ES_tradnl"/>
              </w:rPr>
            </w:pPr>
          </w:p>
          <w:p w14:paraId="76004B0C" w14:textId="77777777" w:rsidR="00D656EB" w:rsidRPr="00D656EB" w:rsidRDefault="00D656EB" w:rsidP="00D656EB">
            <w:pPr>
              <w:jc w:val="both"/>
              <w:rPr>
                <w:rFonts w:ascii="Arial" w:hAnsi="Arial" w:cs="Arial"/>
                <w:sz w:val="20"/>
                <w:lang w:val="es-ES_tradnl"/>
              </w:rPr>
            </w:pPr>
          </w:p>
        </w:tc>
      </w:tr>
      <w:tr w:rsidR="00D656EB" w:rsidRPr="00E82A0E" w14:paraId="10A83606" w14:textId="77777777" w:rsidTr="00D656EB">
        <w:tc>
          <w:tcPr>
            <w:tcW w:w="2151" w:type="dxa"/>
            <w:vMerge w:val="restart"/>
          </w:tcPr>
          <w:p w14:paraId="70CC8E71" w14:textId="77777777" w:rsidR="00D656EB" w:rsidRPr="00D656EB" w:rsidDel="008B59B8" w:rsidRDefault="00D656EB" w:rsidP="00C63908">
            <w:pPr>
              <w:jc w:val="both"/>
              <w:rPr>
                <w:rFonts w:ascii="Arial" w:hAnsi="Arial" w:cs="Arial"/>
                <w:sz w:val="20"/>
                <w:szCs w:val="20"/>
                <w:lang w:val="es-ES"/>
              </w:rPr>
            </w:pPr>
            <w:r w:rsidRPr="00D656EB">
              <w:rPr>
                <w:rFonts w:ascii="Arial" w:hAnsi="Arial" w:cs="Arial"/>
                <w:sz w:val="20"/>
                <w:szCs w:val="20"/>
                <w:lang w:val="es-ES"/>
              </w:rPr>
              <w:lastRenderedPageBreak/>
              <w:t>Establecer mecanismos que mejoren la transparencia de resultados de las empresas públicas y concesionarias en el sector</w:t>
            </w:r>
          </w:p>
          <w:p w14:paraId="728173CB" w14:textId="77777777" w:rsidR="00D656EB" w:rsidRPr="00D656EB" w:rsidRDefault="00D656EB" w:rsidP="00C63908">
            <w:pPr>
              <w:jc w:val="both"/>
              <w:rPr>
                <w:rFonts w:ascii="Arial" w:hAnsi="Arial" w:cs="Arial"/>
                <w:sz w:val="20"/>
                <w:lang w:val="es-ES_tradnl"/>
              </w:rPr>
            </w:pPr>
          </w:p>
          <w:p w14:paraId="6B441E91" w14:textId="77777777" w:rsidR="00D656EB" w:rsidRPr="00D656EB" w:rsidDel="008B59B8" w:rsidRDefault="00D656EB" w:rsidP="00C63908">
            <w:pPr>
              <w:jc w:val="both"/>
              <w:rPr>
                <w:rFonts w:ascii="Arial" w:hAnsi="Arial" w:cs="Arial"/>
                <w:sz w:val="20"/>
                <w:lang w:val="es-ES_tradnl"/>
              </w:rPr>
            </w:pPr>
          </w:p>
        </w:tc>
        <w:tc>
          <w:tcPr>
            <w:tcW w:w="6214" w:type="dxa"/>
          </w:tcPr>
          <w:p w14:paraId="2F558934" w14:textId="77777777" w:rsidR="00D656EB" w:rsidRPr="00D656EB" w:rsidDel="008B59B8" w:rsidRDefault="00D656EB" w:rsidP="00C63908">
            <w:pPr>
              <w:jc w:val="both"/>
              <w:rPr>
                <w:rFonts w:ascii="Arial" w:hAnsi="Arial" w:cs="Arial"/>
                <w:sz w:val="20"/>
                <w:szCs w:val="20"/>
                <w:lang w:val="es-ES"/>
              </w:rPr>
            </w:pPr>
            <w:r w:rsidRPr="00D656EB">
              <w:rPr>
                <w:rFonts w:ascii="Arial" w:hAnsi="Arial" w:cs="Arial"/>
                <w:sz w:val="20"/>
                <w:szCs w:val="20"/>
                <w:lang w:val="es-ES"/>
              </w:rPr>
              <w:t>3.5Publicar en el sitio web del INE los contratos que el INE haya suscrito para el financiamiento de la tarifa eléctrica y su balance actualizado.</w:t>
            </w:r>
          </w:p>
        </w:tc>
        <w:tc>
          <w:tcPr>
            <w:tcW w:w="3329" w:type="dxa"/>
          </w:tcPr>
          <w:p w14:paraId="7F7D5259"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 xml:space="preserve">(i) Publicación en el sitio WEB de INE de los contratos de financiamiento; y </w:t>
            </w:r>
          </w:p>
          <w:p w14:paraId="05CD24F6"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(ii) balance del estado del financiamiento de la tarifa eléctrica a la fecha.</w:t>
            </w:r>
          </w:p>
          <w:p w14:paraId="2A0F91F6" w14:textId="77777777" w:rsidR="00D656EB" w:rsidRPr="00D656EB" w:rsidRDefault="00D656EB" w:rsidP="00C63908">
            <w:pPr>
              <w:jc w:val="both"/>
              <w:rPr>
                <w:rFonts w:ascii="Arial" w:hAnsi="Arial" w:cs="Arial"/>
                <w:sz w:val="20"/>
                <w:lang w:val="es-ES_tradnl"/>
              </w:rPr>
            </w:pPr>
            <w:r w:rsidRPr="00D656EB">
              <w:rPr>
                <w:rFonts w:ascii="Arial" w:hAnsi="Arial" w:cs="Arial"/>
                <w:sz w:val="20"/>
                <w:lang w:val="es-ES_tradnl"/>
              </w:rPr>
              <w:t xml:space="preserve"> </w:t>
            </w:r>
          </w:p>
          <w:p w14:paraId="325F64BB" w14:textId="77777777" w:rsidR="00D656EB" w:rsidRPr="00D656EB" w:rsidRDefault="00D656EB" w:rsidP="00C63908">
            <w:pPr>
              <w:jc w:val="both"/>
              <w:rPr>
                <w:rFonts w:ascii="Arial" w:hAnsi="Arial" w:cs="Arial"/>
                <w:sz w:val="20"/>
                <w:lang w:val="es-ES_tradnl"/>
              </w:rPr>
            </w:pPr>
          </w:p>
        </w:tc>
      </w:tr>
      <w:tr w:rsidR="00D656EB" w:rsidRPr="00E82A0E" w14:paraId="42FDC6C6" w14:textId="77777777" w:rsidTr="00D656EB">
        <w:tc>
          <w:tcPr>
            <w:tcW w:w="2151" w:type="dxa"/>
            <w:vMerge/>
          </w:tcPr>
          <w:p w14:paraId="202D40B9" w14:textId="77777777" w:rsidR="00D656EB" w:rsidRPr="00D656EB" w:rsidDel="008B59B8" w:rsidRDefault="00D656EB" w:rsidP="00C63908">
            <w:pPr>
              <w:jc w:val="both"/>
              <w:rPr>
                <w:rFonts w:ascii="Arial" w:hAnsi="Arial" w:cs="Arial"/>
                <w:sz w:val="20"/>
                <w:lang w:val="es-ES_tradnl"/>
              </w:rPr>
            </w:pPr>
          </w:p>
        </w:tc>
        <w:tc>
          <w:tcPr>
            <w:tcW w:w="6214" w:type="dxa"/>
          </w:tcPr>
          <w:p w14:paraId="0318CA0F"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 xml:space="preserve">3.6 Publicar en el sitio web de la Empresa Nicaragüense de Electricidad (ENEL), sus Estados Financieros auditados por auditores independientes y aprobados por la Contraloría General de la República (CGR), correspondientes a cada año del período 2012 hasta el año inmediatamente anterior de aquel en que se realice el desembolso. </w:t>
            </w:r>
          </w:p>
          <w:p w14:paraId="690C548C" w14:textId="77777777" w:rsidR="00D656EB" w:rsidRPr="00D656EB" w:rsidDel="008B59B8" w:rsidRDefault="00D656EB" w:rsidP="00C63908">
            <w:pPr>
              <w:jc w:val="both"/>
              <w:rPr>
                <w:rFonts w:ascii="Arial" w:hAnsi="Arial" w:cs="Arial"/>
                <w:sz w:val="20"/>
                <w:lang w:val="es-ES_tradnl"/>
              </w:rPr>
            </w:pPr>
          </w:p>
        </w:tc>
        <w:tc>
          <w:tcPr>
            <w:tcW w:w="3329" w:type="dxa"/>
          </w:tcPr>
          <w:p w14:paraId="19147A6C"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 xml:space="preserve">Estados Financieros auditados y aprobados por la CGR publicados en el sitio web de ENEL correspondientes a cada año del período 2012 hasta el año inmediatamente anterior de aquel en que se realice el desembolso. </w:t>
            </w:r>
          </w:p>
          <w:p w14:paraId="41A93981" w14:textId="77777777" w:rsidR="00D656EB" w:rsidRPr="00D656EB" w:rsidRDefault="00D656EB" w:rsidP="00C63908">
            <w:pPr>
              <w:jc w:val="both"/>
              <w:rPr>
                <w:rFonts w:ascii="Arial" w:hAnsi="Arial" w:cs="Arial"/>
                <w:sz w:val="20"/>
                <w:szCs w:val="20"/>
                <w:lang w:val="es-ES_tradnl"/>
              </w:rPr>
            </w:pPr>
          </w:p>
          <w:p w14:paraId="140FF384" w14:textId="77777777" w:rsidR="00D656EB" w:rsidRPr="00D656EB" w:rsidRDefault="00D656EB" w:rsidP="00C63908">
            <w:pPr>
              <w:jc w:val="both"/>
              <w:rPr>
                <w:rFonts w:ascii="Arial" w:hAnsi="Arial" w:cs="Arial"/>
                <w:sz w:val="20"/>
                <w:lang w:val="es-ES_tradnl"/>
              </w:rPr>
            </w:pPr>
          </w:p>
        </w:tc>
      </w:tr>
      <w:tr w:rsidR="00D656EB" w:rsidRPr="00E82A0E" w14:paraId="4EFAC1BA" w14:textId="77777777" w:rsidTr="00D656EB">
        <w:tc>
          <w:tcPr>
            <w:tcW w:w="2151" w:type="dxa"/>
            <w:vMerge/>
          </w:tcPr>
          <w:p w14:paraId="1CBF8022" w14:textId="77777777" w:rsidR="00D656EB" w:rsidRPr="00D656EB" w:rsidDel="008B59B8" w:rsidRDefault="00D656EB" w:rsidP="00C63908">
            <w:pPr>
              <w:jc w:val="both"/>
              <w:rPr>
                <w:rFonts w:ascii="Arial" w:hAnsi="Arial" w:cs="Arial"/>
                <w:sz w:val="20"/>
                <w:lang w:val="es-NI"/>
              </w:rPr>
            </w:pPr>
          </w:p>
        </w:tc>
        <w:tc>
          <w:tcPr>
            <w:tcW w:w="6214" w:type="dxa"/>
          </w:tcPr>
          <w:p w14:paraId="79A368E5"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3.7 Publicar en el sitio web de la Empresa Nacional de Transmisión Eléctrica (ENATREL), sus Estados Financieros auditados por auditores independientes y aprobados por la CGR, correspondientes a cada año del periodo 2012 hasta el año inmediatamente anterior de aquel en que se realice el desembolso.</w:t>
            </w:r>
          </w:p>
        </w:tc>
        <w:tc>
          <w:tcPr>
            <w:tcW w:w="3329" w:type="dxa"/>
          </w:tcPr>
          <w:p w14:paraId="0CFC2383"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Estados Financieros auditados y aprobados por la CGR publicados en el sitio web de ENATREL correspondientes a cada año del período 2012 hasta el año inmediatamente anterior de aquel en que se realice el desembolso.</w:t>
            </w:r>
          </w:p>
          <w:p w14:paraId="3906A528" w14:textId="4E2E5679" w:rsidR="00D656EB" w:rsidRPr="00D656EB" w:rsidRDefault="00D656EB" w:rsidP="00C63908">
            <w:pPr>
              <w:jc w:val="both"/>
              <w:rPr>
                <w:rFonts w:ascii="Arial" w:hAnsi="Arial" w:cs="Arial"/>
                <w:color w:val="FF0000"/>
                <w:sz w:val="24"/>
                <w:szCs w:val="24"/>
                <w:lang w:val="es-ES"/>
              </w:rPr>
            </w:pPr>
          </w:p>
        </w:tc>
      </w:tr>
      <w:tr w:rsidR="00D656EB" w:rsidRPr="00E82A0E" w14:paraId="04FB5213" w14:textId="77777777" w:rsidTr="00D656EB">
        <w:tc>
          <w:tcPr>
            <w:tcW w:w="2151" w:type="dxa"/>
            <w:vMerge/>
          </w:tcPr>
          <w:p w14:paraId="04E6E061" w14:textId="77777777" w:rsidR="00D656EB" w:rsidRPr="00D656EB" w:rsidDel="008B59B8" w:rsidRDefault="00D656EB" w:rsidP="00C63908">
            <w:pPr>
              <w:jc w:val="both"/>
              <w:rPr>
                <w:rFonts w:ascii="Arial" w:hAnsi="Arial" w:cs="Arial"/>
                <w:sz w:val="20"/>
                <w:lang w:val="es-ES_tradnl"/>
              </w:rPr>
            </w:pPr>
          </w:p>
        </w:tc>
        <w:tc>
          <w:tcPr>
            <w:tcW w:w="6214" w:type="dxa"/>
          </w:tcPr>
          <w:p w14:paraId="283A9A9E"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3.8 Publicar anualmente, por parte del INE, el Índice de Recuperación de Efectivo (índice combinado), Índice de Pérdidas, e Índice de Cobro según sea suministrado por DISNORTE y DISSUR.</w:t>
            </w:r>
          </w:p>
          <w:p w14:paraId="6B4A6DC5" w14:textId="77777777" w:rsidR="00D656EB" w:rsidRPr="00D656EB" w:rsidRDefault="00D656EB" w:rsidP="00C63908">
            <w:pPr>
              <w:jc w:val="both"/>
              <w:rPr>
                <w:rFonts w:ascii="Arial" w:hAnsi="Arial" w:cs="Arial"/>
                <w:sz w:val="20"/>
                <w:szCs w:val="20"/>
                <w:lang w:val="es-ES_tradnl"/>
              </w:rPr>
            </w:pPr>
          </w:p>
        </w:tc>
        <w:tc>
          <w:tcPr>
            <w:tcW w:w="3329" w:type="dxa"/>
          </w:tcPr>
          <w:p w14:paraId="21621E9F"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Publicación en el sitio WEB de INE del índice de recuperación de efectivo, el índice de pérdidas y el índice de cobro correspondiente al período desde el desembolso de la segunda operación a 2016, o al año inmediatamente anterior a aquel en que se realice el desembolso.</w:t>
            </w:r>
          </w:p>
          <w:p w14:paraId="4C3D7D92" w14:textId="77777777" w:rsidR="00D656EB" w:rsidRPr="00D656EB" w:rsidRDefault="00D656EB" w:rsidP="00C63908">
            <w:pPr>
              <w:jc w:val="both"/>
              <w:rPr>
                <w:rFonts w:ascii="Arial" w:hAnsi="Arial" w:cs="Arial"/>
                <w:sz w:val="20"/>
                <w:lang w:val="es-ES_tradnl"/>
              </w:rPr>
            </w:pPr>
          </w:p>
          <w:p w14:paraId="6E0732A3" w14:textId="77777777" w:rsidR="00D656EB" w:rsidRPr="00D656EB" w:rsidRDefault="00D656EB" w:rsidP="00C63908">
            <w:pPr>
              <w:jc w:val="both"/>
              <w:rPr>
                <w:rFonts w:ascii="Arial" w:hAnsi="Arial" w:cs="Arial"/>
                <w:sz w:val="20"/>
                <w:lang w:val="es-ES_tradnl"/>
              </w:rPr>
            </w:pPr>
          </w:p>
          <w:p w14:paraId="252E86EF" w14:textId="77777777" w:rsidR="00D656EB" w:rsidRPr="00D656EB" w:rsidRDefault="00D656EB" w:rsidP="00C63908">
            <w:pPr>
              <w:jc w:val="both"/>
              <w:rPr>
                <w:rFonts w:ascii="Arial" w:hAnsi="Arial" w:cs="Arial"/>
                <w:sz w:val="20"/>
                <w:lang w:val="es-ES_tradnl"/>
              </w:rPr>
            </w:pPr>
          </w:p>
        </w:tc>
      </w:tr>
      <w:tr w:rsidR="00D656EB" w:rsidRPr="00E82A0E" w14:paraId="198EE2A0" w14:textId="77777777" w:rsidTr="00D656EB">
        <w:tc>
          <w:tcPr>
            <w:tcW w:w="2151" w:type="dxa"/>
            <w:vMerge/>
          </w:tcPr>
          <w:p w14:paraId="38884ED0" w14:textId="77777777" w:rsidR="00D656EB" w:rsidRPr="00D656EB" w:rsidDel="008B59B8" w:rsidRDefault="00D656EB" w:rsidP="00C63908">
            <w:pPr>
              <w:jc w:val="both"/>
              <w:rPr>
                <w:rFonts w:ascii="Arial" w:hAnsi="Arial" w:cs="Arial"/>
                <w:sz w:val="20"/>
                <w:highlight w:val="yellow"/>
                <w:lang w:val="es-ES_tradnl"/>
              </w:rPr>
            </w:pPr>
          </w:p>
        </w:tc>
        <w:tc>
          <w:tcPr>
            <w:tcW w:w="6214" w:type="dxa"/>
          </w:tcPr>
          <w:p w14:paraId="604445F8"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3.9 Publicar, por parte del INE, los desvíos de costos mayoristas – que reflejan la diferencia entre el precio de compra de electricidad real y el precio reconocido en tarifa – para el período 2013 hasta el año inmediatamente anterior a aquel en que se realice el desembolso.</w:t>
            </w:r>
          </w:p>
          <w:p w14:paraId="363D3514" w14:textId="77777777" w:rsidR="00D656EB" w:rsidRPr="00D656EB" w:rsidDel="008B59B8" w:rsidRDefault="00D656EB" w:rsidP="00C63908">
            <w:pPr>
              <w:jc w:val="both"/>
              <w:rPr>
                <w:rFonts w:ascii="Arial" w:hAnsi="Arial" w:cs="Arial"/>
                <w:sz w:val="20"/>
                <w:lang w:val="es-ES_tradnl"/>
              </w:rPr>
            </w:pPr>
          </w:p>
        </w:tc>
        <w:tc>
          <w:tcPr>
            <w:tcW w:w="3329" w:type="dxa"/>
          </w:tcPr>
          <w:p w14:paraId="652A0F03" w14:textId="77777777" w:rsidR="00D656EB" w:rsidRPr="00D656EB" w:rsidRDefault="00D656EB" w:rsidP="00C63908">
            <w:pPr>
              <w:jc w:val="both"/>
              <w:rPr>
                <w:rFonts w:ascii="Arial" w:hAnsi="Arial" w:cs="Arial"/>
                <w:sz w:val="20"/>
                <w:lang w:val="es-ES_tradnl"/>
              </w:rPr>
            </w:pPr>
          </w:p>
        </w:tc>
      </w:tr>
      <w:tr w:rsidR="00D656EB" w:rsidRPr="00E82A0E" w14:paraId="563A1D53" w14:textId="77777777" w:rsidTr="00D656EB">
        <w:tc>
          <w:tcPr>
            <w:tcW w:w="2151" w:type="dxa"/>
            <w:vMerge w:val="restart"/>
          </w:tcPr>
          <w:p w14:paraId="1998C342"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Promover el uso de fuentes renovables, la generación distribuida, la participación privada en el sector eléctrico y la eficiencia energética, para alcanzar una matriz energética sostenible</w:t>
            </w:r>
          </w:p>
        </w:tc>
        <w:tc>
          <w:tcPr>
            <w:tcW w:w="6214" w:type="dxa"/>
          </w:tcPr>
          <w:p w14:paraId="1487781F" w14:textId="77777777" w:rsidR="00D656EB" w:rsidRPr="00D656EB" w:rsidRDefault="00D656EB" w:rsidP="00C63908">
            <w:pPr>
              <w:autoSpaceDE w:val="0"/>
              <w:autoSpaceDN w:val="0"/>
              <w:adjustRightInd w:val="0"/>
              <w:jc w:val="both"/>
              <w:rPr>
                <w:rFonts w:ascii="Arial" w:hAnsi="Arial" w:cs="Arial"/>
                <w:sz w:val="20"/>
                <w:szCs w:val="20"/>
                <w:lang w:val="es-ES"/>
              </w:rPr>
            </w:pPr>
            <w:r w:rsidRPr="00D656EB">
              <w:rPr>
                <w:rFonts w:ascii="Arial" w:hAnsi="Arial" w:cs="Arial"/>
                <w:sz w:val="20"/>
                <w:szCs w:val="20"/>
                <w:lang w:val="es-ES"/>
              </w:rPr>
              <w:t>3.10  Aprobar por el Gabinete de Energía las acciones para mejorar los procesos en la contratación de energía y potencia en el mercado mayorista como estímulo a la inversión privada  que le fue presentada por el MEM incluyendo, entre otros: (i) la planeación integral del sistema para construir una matriz eléctrica eficiente; (ii) la introducción oportuna de procesos competitivos para asegurar la renovación de la generación más costosa e ineficiente; (iii) la definición de facilidades para la competencia en proyectos de recursos renovables con mayor riesgo de inversión; y (iv) la introducción de condiciones de participación en el mercado eléctrico regional.</w:t>
            </w:r>
          </w:p>
          <w:p w14:paraId="2C17F922" w14:textId="77777777" w:rsidR="00D656EB" w:rsidRPr="00D656EB" w:rsidDel="00A23DF1" w:rsidRDefault="00D656EB" w:rsidP="00C63908">
            <w:pPr>
              <w:jc w:val="both"/>
              <w:rPr>
                <w:rFonts w:ascii="Arial" w:hAnsi="Arial" w:cs="Arial"/>
                <w:sz w:val="20"/>
                <w:lang w:val="es-ES_tradnl"/>
              </w:rPr>
            </w:pPr>
          </w:p>
        </w:tc>
        <w:tc>
          <w:tcPr>
            <w:tcW w:w="3329" w:type="dxa"/>
          </w:tcPr>
          <w:p w14:paraId="1FE2AE01" w14:textId="74CEC852" w:rsidR="00D656EB" w:rsidRPr="00D656EB" w:rsidRDefault="00D656EB" w:rsidP="00D656EB">
            <w:pPr>
              <w:jc w:val="both"/>
              <w:rPr>
                <w:rFonts w:ascii="Arial" w:hAnsi="Arial" w:cs="Arial"/>
                <w:sz w:val="20"/>
                <w:szCs w:val="20"/>
                <w:lang w:val="es-ES"/>
              </w:rPr>
            </w:pPr>
            <w:r w:rsidRPr="00D656EB">
              <w:rPr>
                <w:rFonts w:ascii="Arial" w:hAnsi="Arial" w:cs="Arial"/>
                <w:sz w:val="20"/>
                <w:szCs w:val="20"/>
                <w:lang w:val="es-ES"/>
              </w:rPr>
              <w:t>Certificación del punto del Acta de la Sesión del Gabinete de Energía solicitando al MEM la ejecución del cronograma allí establecido para la licitación de contratación de energía con fuentes renovables, en el marco del esquema de líneas de acción para mejorar los procesos en la contratación de energía y potencia en el mercado mayorista como estímulo a la inversión privada e incluyendo las metas a alcanzar, las acciones y el cronograma, hasta la implementación de la primera licitación.</w:t>
            </w:r>
          </w:p>
        </w:tc>
      </w:tr>
      <w:tr w:rsidR="00D656EB" w:rsidRPr="00E82A0E" w14:paraId="51FCB63F" w14:textId="77777777" w:rsidTr="00D656EB">
        <w:tc>
          <w:tcPr>
            <w:tcW w:w="2151" w:type="dxa"/>
            <w:vMerge/>
          </w:tcPr>
          <w:p w14:paraId="0E83E581" w14:textId="77777777" w:rsidR="00D656EB" w:rsidRPr="00D656EB" w:rsidRDefault="00D656EB" w:rsidP="00C63908">
            <w:pPr>
              <w:jc w:val="both"/>
              <w:rPr>
                <w:rFonts w:ascii="Arial" w:hAnsi="Arial" w:cs="Arial"/>
                <w:sz w:val="20"/>
                <w:lang w:val="es-ES_tradnl"/>
              </w:rPr>
            </w:pPr>
          </w:p>
        </w:tc>
        <w:tc>
          <w:tcPr>
            <w:tcW w:w="6214" w:type="dxa"/>
          </w:tcPr>
          <w:p w14:paraId="75082C00" w14:textId="77777777" w:rsidR="00D656EB" w:rsidRPr="00D656EB" w:rsidRDefault="00D656EB" w:rsidP="00C63908">
            <w:pPr>
              <w:autoSpaceDE w:val="0"/>
              <w:autoSpaceDN w:val="0"/>
              <w:adjustRightInd w:val="0"/>
              <w:jc w:val="both"/>
              <w:rPr>
                <w:rFonts w:ascii="Arial" w:hAnsi="Arial" w:cs="Arial"/>
                <w:sz w:val="20"/>
                <w:szCs w:val="20"/>
                <w:lang w:val="es-ES"/>
              </w:rPr>
            </w:pPr>
            <w:r w:rsidRPr="00D656EB">
              <w:rPr>
                <w:rFonts w:ascii="Arial" w:hAnsi="Arial" w:cs="Arial"/>
                <w:sz w:val="20"/>
                <w:szCs w:val="20"/>
                <w:lang w:val="es-ES"/>
              </w:rPr>
              <w:t>3.11 Aprobar por el MEM, como resultado de una revisión bi-anual el Plan Indicativo de Expansión de la Generación. El Plan o los planes aprobados deberán incluir los proyectos de generación basados en recursos renovables y haberse elaborado con base en la metodología de seguridad operativa definida por ENATREL-CNDC con ocasión de la segunda operación bajo esta serie programática.</w:t>
            </w:r>
          </w:p>
          <w:p w14:paraId="558CE74C" w14:textId="77777777" w:rsidR="00D656EB" w:rsidRPr="00D656EB" w:rsidRDefault="00D656EB" w:rsidP="00C63908">
            <w:pPr>
              <w:autoSpaceDE w:val="0"/>
              <w:autoSpaceDN w:val="0"/>
              <w:adjustRightInd w:val="0"/>
              <w:jc w:val="both"/>
              <w:rPr>
                <w:rFonts w:ascii="Arial" w:hAnsi="Arial" w:cs="Arial"/>
                <w:sz w:val="20"/>
                <w:szCs w:val="20"/>
                <w:lang w:val="es-ES_tradnl"/>
              </w:rPr>
            </w:pPr>
          </w:p>
          <w:p w14:paraId="19922CA6" w14:textId="77777777" w:rsidR="00D656EB" w:rsidRPr="00D656EB" w:rsidDel="00A23DF1" w:rsidRDefault="00D656EB" w:rsidP="00C63908">
            <w:pPr>
              <w:jc w:val="both"/>
              <w:rPr>
                <w:rFonts w:ascii="Arial" w:hAnsi="Arial" w:cs="Arial"/>
                <w:sz w:val="20"/>
                <w:lang w:val="es-ES_tradnl"/>
              </w:rPr>
            </w:pPr>
          </w:p>
        </w:tc>
        <w:tc>
          <w:tcPr>
            <w:tcW w:w="3329" w:type="dxa"/>
          </w:tcPr>
          <w:p w14:paraId="17C78E36"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Plan Indicativo de Expansión de la Generación revisado y aprobado en 2016, según publicación oficial del MEM.</w:t>
            </w:r>
          </w:p>
          <w:p w14:paraId="5DA7600B" w14:textId="77777777" w:rsidR="00D656EB" w:rsidRPr="00D656EB" w:rsidRDefault="00D656EB" w:rsidP="00C63908">
            <w:pPr>
              <w:rPr>
                <w:rFonts w:ascii="Arial" w:hAnsi="Arial" w:cs="Arial"/>
                <w:color w:val="0000FF" w:themeColor="hyperlink"/>
                <w:sz w:val="20"/>
                <w:u w:val="single"/>
                <w:lang w:val="es-ES_tradnl"/>
              </w:rPr>
            </w:pPr>
          </w:p>
          <w:p w14:paraId="791C6933" w14:textId="77777777" w:rsidR="00D656EB" w:rsidRPr="00D656EB" w:rsidRDefault="00D656EB" w:rsidP="00C63908">
            <w:pPr>
              <w:rPr>
                <w:rFonts w:ascii="Arial" w:hAnsi="Arial" w:cs="Arial"/>
                <w:sz w:val="20"/>
                <w:szCs w:val="20"/>
                <w:lang w:val="es-ES_tradnl" w:eastAsia="es-NI"/>
              </w:rPr>
            </w:pPr>
          </w:p>
        </w:tc>
      </w:tr>
      <w:tr w:rsidR="00D656EB" w:rsidRPr="00E82A0E" w14:paraId="2D0C5174" w14:textId="77777777" w:rsidTr="00D656EB">
        <w:tc>
          <w:tcPr>
            <w:tcW w:w="2151" w:type="dxa"/>
            <w:vMerge/>
          </w:tcPr>
          <w:p w14:paraId="66E87E4E" w14:textId="77777777" w:rsidR="00D656EB" w:rsidRPr="00D656EB" w:rsidRDefault="00D656EB" w:rsidP="00C63908">
            <w:pPr>
              <w:jc w:val="both"/>
              <w:rPr>
                <w:rFonts w:ascii="Arial" w:hAnsi="Arial" w:cs="Arial"/>
                <w:sz w:val="20"/>
                <w:lang w:val="es-ES_tradnl"/>
              </w:rPr>
            </w:pPr>
          </w:p>
        </w:tc>
        <w:tc>
          <w:tcPr>
            <w:tcW w:w="6214" w:type="dxa"/>
          </w:tcPr>
          <w:p w14:paraId="00425400" w14:textId="120921B0"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3.12 Confirmar por el Centro Nacional de Despacho de Carga dependiente de la Empresa Nacional de Transmisión Eléctrica (ENATREL-CNDC), que con b</w:t>
            </w:r>
            <w:bookmarkStart w:id="0" w:name="_GoBack"/>
            <w:bookmarkEnd w:id="0"/>
            <w:r w:rsidRPr="00D656EB">
              <w:rPr>
                <w:rFonts w:ascii="Arial" w:hAnsi="Arial" w:cs="Arial"/>
                <w:sz w:val="20"/>
                <w:szCs w:val="20"/>
                <w:lang w:val="es-ES"/>
              </w:rPr>
              <w:t>ase en la metodología de seguridad operativa aprobada como condición de la segunda operación, los Planes Indicativos de Expansión de Generación y Transmisión 2017-2026 garantizarían el cumplimiento de los criterios de calidad, seguridad y desempeño.</w:t>
            </w:r>
          </w:p>
        </w:tc>
        <w:tc>
          <w:tcPr>
            <w:tcW w:w="3329" w:type="dxa"/>
          </w:tcPr>
          <w:p w14:paraId="0B9D396D"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 xml:space="preserve">Oficio del CNDC a ENATREL confirmando que los Planes Indicativos de Expansión de Generación y Transmisión 2017-2026 garantizarían el cumplimiento de los criterios de calidad, seguridad y desempeño, adjuntando la evaluación correspondiente y el Plan de Expansión de la Transmisión. </w:t>
            </w:r>
          </w:p>
          <w:p w14:paraId="29B0D1A2" w14:textId="77777777" w:rsidR="00D656EB" w:rsidRPr="00D656EB" w:rsidRDefault="00D656EB" w:rsidP="00C63908">
            <w:pPr>
              <w:jc w:val="both"/>
              <w:rPr>
                <w:rFonts w:ascii="Arial" w:hAnsi="Arial" w:cs="Arial"/>
                <w:sz w:val="20"/>
                <w:lang w:val="es-ES_tradnl"/>
              </w:rPr>
            </w:pPr>
          </w:p>
          <w:p w14:paraId="7F66FD32" w14:textId="77777777" w:rsidR="00D656EB" w:rsidRPr="00D656EB" w:rsidRDefault="00D656EB" w:rsidP="00C63908">
            <w:pPr>
              <w:rPr>
                <w:rFonts w:ascii="Arial" w:eastAsia="Times New Roman" w:hAnsi="Arial" w:cs="Arial"/>
                <w:color w:val="000000"/>
                <w:sz w:val="20"/>
                <w:szCs w:val="20"/>
                <w:lang w:val="es-ES_tradnl"/>
              </w:rPr>
            </w:pPr>
          </w:p>
        </w:tc>
      </w:tr>
      <w:tr w:rsidR="00D656EB" w:rsidRPr="00E82A0E" w14:paraId="69A2825B" w14:textId="77777777" w:rsidTr="00D656EB">
        <w:tc>
          <w:tcPr>
            <w:tcW w:w="2151" w:type="dxa"/>
            <w:vMerge/>
          </w:tcPr>
          <w:p w14:paraId="4C9D88C3" w14:textId="77777777" w:rsidR="00D656EB" w:rsidRPr="00D656EB" w:rsidRDefault="00D656EB" w:rsidP="00C63908">
            <w:pPr>
              <w:jc w:val="both"/>
              <w:rPr>
                <w:rFonts w:ascii="Arial" w:hAnsi="Arial" w:cs="Arial"/>
                <w:sz w:val="20"/>
                <w:lang w:val="es-ES_tradnl"/>
              </w:rPr>
            </w:pPr>
          </w:p>
        </w:tc>
        <w:tc>
          <w:tcPr>
            <w:tcW w:w="6214" w:type="dxa"/>
          </w:tcPr>
          <w:p w14:paraId="52946E77" w14:textId="12358B7E"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 xml:space="preserve">3.13 Aprobar </w:t>
            </w:r>
            <w:r w:rsidR="00C35C5D">
              <w:rPr>
                <w:rFonts w:ascii="Arial" w:hAnsi="Arial" w:cs="Arial"/>
                <w:sz w:val="20"/>
                <w:szCs w:val="20"/>
                <w:lang w:val="es-ES"/>
              </w:rPr>
              <w:t xml:space="preserve">por parte de la Asamblea Nacional </w:t>
            </w:r>
            <w:r w:rsidRPr="00D656EB">
              <w:rPr>
                <w:rFonts w:ascii="Arial" w:hAnsi="Arial" w:cs="Arial"/>
                <w:sz w:val="20"/>
                <w:szCs w:val="20"/>
                <w:lang w:val="es-ES"/>
              </w:rPr>
              <w:t>las modificaciones necesarias a la Ley de la Industria Eléctrica que viabilice la aprobación de la normativa para generación eléctrica distribuida en el país y aprobar por el MEM dicha normativa. El alcance de la normativa incluirá, entre otros: (i) los niveles de potencia, (ii) los mecanismos de compra y venta de energía, y (iii) los mecanismos de remuneración.</w:t>
            </w:r>
          </w:p>
        </w:tc>
        <w:tc>
          <w:tcPr>
            <w:tcW w:w="3329" w:type="dxa"/>
            <w:shd w:val="clear" w:color="auto" w:fill="auto"/>
          </w:tcPr>
          <w:p w14:paraId="235EABF7"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(i) Copia de La Gaceta Diario Oficial con la aprobación por parte de la Asamblea Nacional (AN) a la Reforma a la Ley No. 272 – Ley de la Industria Eléctrica, estableciendo base legal para la normativa de generación eléctrica distribuida.</w:t>
            </w:r>
          </w:p>
          <w:p w14:paraId="01F7E951" w14:textId="77777777" w:rsidR="00D656EB" w:rsidRPr="00D656EB" w:rsidRDefault="00D656EB" w:rsidP="00C63908">
            <w:pPr>
              <w:jc w:val="both"/>
              <w:rPr>
                <w:rFonts w:ascii="Arial" w:hAnsi="Arial" w:cs="Arial"/>
                <w:sz w:val="20"/>
                <w:lang w:val="es-ES_tradnl"/>
              </w:rPr>
            </w:pPr>
          </w:p>
          <w:p w14:paraId="1EBE7FF3"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(ii) Normativa para generación eléctrica distribuida aprobada por el MEM.</w:t>
            </w:r>
          </w:p>
          <w:p w14:paraId="5210CD58" w14:textId="21158C15" w:rsidR="00D656EB" w:rsidRPr="00D656EB" w:rsidRDefault="00D656EB" w:rsidP="00D656EB">
            <w:pPr>
              <w:jc w:val="both"/>
              <w:rPr>
                <w:rFonts w:ascii="Arial" w:hAnsi="Arial" w:cs="Arial"/>
                <w:sz w:val="20"/>
                <w:szCs w:val="20"/>
                <w:lang w:val="es-ES"/>
              </w:rPr>
            </w:pPr>
          </w:p>
        </w:tc>
      </w:tr>
      <w:tr w:rsidR="00D656EB" w:rsidRPr="00E82A0E" w14:paraId="74674DD1" w14:textId="77777777" w:rsidTr="00D656EB">
        <w:tc>
          <w:tcPr>
            <w:tcW w:w="2151" w:type="dxa"/>
            <w:vMerge/>
          </w:tcPr>
          <w:p w14:paraId="1A6FD1A6" w14:textId="77777777" w:rsidR="00D656EB" w:rsidRPr="00D656EB" w:rsidRDefault="00D656EB" w:rsidP="00C63908">
            <w:pPr>
              <w:jc w:val="both"/>
              <w:rPr>
                <w:rFonts w:ascii="Arial" w:hAnsi="Arial" w:cs="Arial"/>
                <w:sz w:val="20"/>
                <w:lang w:val="es-ES_tradnl"/>
              </w:rPr>
            </w:pPr>
          </w:p>
        </w:tc>
        <w:tc>
          <w:tcPr>
            <w:tcW w:w="6214" w:type="dxa"/>
          </w:tcPr>
          <w:p w14:paraId="4ECA990E"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 xml:space="preserve">3.14 Aprobar por el Gabinete de Energía la propuesta de Ley de Eficiencia Energética, que establecerá el marco legal y regulatorio conteniendo mecanismos institucionales y financieros para incentivar la eficiencia energética, y que la misma se haya remitido como iniciativa de Ley a la Asamblea Nacional. </w:t>
            </w:r>
          </w:p>
        </w:tc>
        <w:tc>
          <w:tcPr>
            <w:tcW w:w="3329" w:type="dxa"/>
          </w:tcPr>
          <w:p w14:paraId="4D5EA06D"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Evidencia de la remisión de la Presidencia de la República a la secretaría de la AN, de la iniciativa de Ley de Eficiencia Energética, adjuntando el texto de la Ley propuesta.</w:t>
            </w:r>
          </w:p>
          <w:p w14:paraId="423D567B" w14:textId="77777777" w:rsidR="00D656EB" w:rsidRPr="00D656EB" w:rsidRDefault="00D656EB" w:rsidP="00C63908">
            <w:pPr>
              <w:jc w:val="both"/>
              <w:rPr>
                <w:rFonts w:ascii="Arial" w:hAnsi="Arial" w:cs="Arial"/>
                <w:sz w:val="20"/>
                <w:lang w:val="es-ES_tradnl"/>
              </w:rPr>
            </w:pPr>
          </w:p>
          <w:p w14:paraId="462B8134" w14:textId="77777777" w:rsidR="00D656EB" w:rsidRPr="00D656EB" w:rsidRDefault="00D656EB" w:rsidP="00C63908">
            <w:pPr>
              <w:jc w:val="both"/>
              <w:rPr>
                <w:rFonts w:ascii="Arial" w:hAnsi="Arial" w:cs="Arial"/>
                <w:sz w:val="20"/>
                <w:lang w:val="es-ES_tradnl"/>
              </w:rPr>
            </w:pPr>
            <w:r w:rsidRPr="00D656EB">
              <w:rPr>
                <w:rFonts w:ascii="Arial" w:hAnsi="Arial" w:cs="Arial"/>
                <w:sz w:val="20"/>
                <w:lang w:val="es-ES_tradnl"/>
              </w:rPr>
              <w:t>Adicionalmente, la Asamblea Nacional aprobó la Ley de Eficiencia Energética, la misma que se publicó en la Gaceta Oficial.</w:t>
            </w:r>
          </w:p>
          <w:p w14:paraId="76C4BBD8" w14:textId="01B949FD" w:rsidR="00D656EB" w:rsidRPr="00D656EB" w:rsidRDefault="00D656EB" w:rsidP="00D656EB">
            <w:pPr>
              <w:jc w:val="both"/>
              <w:rPr>
                <w:rFonts w:ascii="Arial" w:hAnsi="Arial" w:cs="Arial"/>
                <w:sz w:val="20"/>
                <w:szCs w:val="20"/>
                <w:lang w:val="es-ES"/>
              </w:rPr>
            </w:pPr>
          </w:p>
        </w:tc>
      </w:tr>
      <w:tr w:rsidR="00D656EB" w:rsidRPr="00E82A0E" w14:paraId="1835F646" w14:textId="77777777" w:rsidTr="00D656EB">
        <w:tc>
          <w:tcPr>
            <w:tcW w:w="2151" w:type="dxa"/>
            <w:vMerge/>
          </w:tcPr>
          <w:p w14:paraId="3A2150F9" w14:textId="77777777" w:rsidR="00D656EB" w:rsidRPr="00D656EB" w:rsidRDefault="00D656EB" w:rsidP="00C63908">
            <w:pPr>
              <w:jc w:val="both"/>
              <w:rPr>
                <w:rFonts w:ascii="Arial" w:hAnsi="Arial" w:cs="Arial"/>
                <w:sz w:val="18"/>
                <w:szCs w:val="20"/>
                <w:lang w:val="es-ES_tradnl"/>
              </w:rPr>
            </w:pPr>
          </w:p>
        </w:tc>
        <w:tc>
          <w:tcPr>
            <w:tcW w:w="6214" w:type="dxa"/>
          </w:tcPr>
          <w:p w14:paraId="2B2C38A6"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3.15 Aprobar por el Gabinete de Energía el Programa Nacional de Eficiencia Energética remitido por el MEM, que contenga, entre otros, objetivos y metas de eficiencia energética, las responsabilidades, funciones y roles de los actores relevantes del sector, así como los mecanismos institucionales y de financiamiento necesarios.</w:t>
            </w:r>
          </w:p>
          <w:p w14:paraId="5A860A20" w14:textId="77777777" w:rsidR="00D656EB" w:rsidRPr="00D656EB" w:rsidRDefault="00D656EB" w:rsidP="00C63908">
            <w:pPr>
              <w:jc w:val="both"/>
              <w:rPr>
                <w:rFonts w:ascii="Arial" w:hAnsi="Arial" w:cs="Arial"/>
                <w:sz w:val="20"/>
                <w:highlight w:val="green"/>
                <w:lang w:val="es-ES_tradnl"/>
              </w:rPr>
            </w:pPr>
          </w:p>
        </w:tc>
        <w:tc>
          <w:tcPr>
            <w:tcW w:w="3329" w:type="dxa"/>
          </w:tcPr>
          <w:p w14:paraId="633F54F3"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Certificación del punto del acta de la sesión del Gabinete de Energía en que consta la aprobación del Programa Nacional de Eficiencia Energética.</w:t>
            </w:r>
          </w:p>
          <w:p w14:paraId="0FAADAA0"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adjuntando el texto del Programa aprobado.</w:t>
            </w:r>
          </w:p>
          <w:p w14:paraId="7D5FC26C" w14:textId="29670E45" w:rsidR="00D656EB" w:rsidRPr="00D656EB" w:rsidRDefault="00D656EB" w:rsidP="00D656EB">
            <w:pPr>
              <w:jc w:val="both"/>
              <w:rPr>
                <w:rFonts w:ascii="Arial" w:hAnsi="Arial" w:cs="Arial"/>
                <w:sz w:val="20"/>
                <w:szCs w:val="20"/>
                <w:lang w:val="es-ES"/>
              </w:rPr>
            </w:pPr>
          </w:p>
        </w:tc>
      </w:tr>
      <w:tr w:rsidR="00D656EB" w:rsidRPr="00E82A0E" w14:paraId="4EA0F5EF" w14:textId="77777777" w:rsidTr="00D656EB">
        <w:tc>
          <w:tcPr>
            <w:tcW w:w="2151" w:type="dxa"/>
          </w:tcPr>
          <w:p w14:paraId="69358D55"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Impulsar la integración eléctrica regional incrementando la participación del sector eléctrico nacional en el mercado eléctrico regional</w:t>
            </w:r>
          </w:p>
        </w:tc>
        <w:tc>
          <w:tcPr>
            <w:tcW w:w="6214" w:type="dxa"/>
          </w:tcPr>
          <w:p w14:paraId="467BE5AC"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3.16 Realizar los ajustes a las regulaciones y normativas nacionales que, como resultado de las evaluaciones periódicas que realiza la Comisión Regional de Interconexión Eléctrica (CRIE), resulten necesarios para mantener la adecuada integración de Nicaragua con la regulación regional del sector y para garantizar que la línea del Sistema de Interconexión Eléctrica para los Países de América Central (SIEPAC) mantiene su capacidad de transmisión para el sistema regional.</w:t>
            </w:r>
          </w:p>
          <w:p w14:paraId="1A26D1A0" w14:textId="77777777" w:rsidR="00D656EB" w:rsidRPr="00D656EB" w:rsidRDefault="00D656EB" w:rsidP="00C63908">
            <w:pPr>
              <w:jc w:val="both"/>
              <w:rPr>
                <w:rFonts w:ascii="Arial" w:hAnsi="Arial" w:cs="Arial"/>
                <w:sz w:val="20"/>
                <w:szCs w:val="20"/>
                <w:lang w:val="es-ES_tradnl"/>
              </w:rPr>
            </w:pPr>
          </w:p>
        </w:tc>
        <w:tc>
          <w:tcPr>
            <w:tcW w:w="3329" w:type="dxa"/>
          </w:tcPr>
          <w:p w14:paraId="5E44AE4E" w14:textId="77777777" w:rsidR="00D656EB" w:rsidRPr="00D656EB" w:rsidRDefault="00D656EB" w:rsidP="00C63908">
            <w:pPr>
              <w:jc w:val="both"/>
              <w:rPr>
                <w:rFonts w:ascii="Arial" w:hAnsi="Arial" w:cs="Arial"/>
                <w:sz w:val="20"/>
                <w:szCs w:val="20"/>
                <w:lang w:val="es-ES"/>
              </w:rPr>
            </w:pPr>
            <w:r w:rsidRPr="00D656EB">
              <w:rPr>
                <w:rFonts w:ascii="Arial" w:hAnsi="Arial" w:cs="Arial"/>
                <w:sz w:val="20"/>
                <w:szCs w:val="20"/>
                <w:lang w:val="es-ES"/>
              </w:rPr>
              <w:t>Oficio del INE al MHCP incluyendo: (i) detalle cronológico de las modificaciones a las regulaciones y normativas nacionales, como resultado de la emisión de nuevas resoluciones por parte de la CRIE; y (ii) los enlaces de publicación de las modificaciones a las regulaciones y normativas nacionales, en el sitio web del INE. En caso de que las nuevas resoluciones de la CRIE a partir de la fecha de desembolso del programa anterior no hayan requerido de modificaciones a las regulaciones y normativas nacionales, se deberá así indicarlo en el oficio.</w:t>
            </w:r>
          </w:p>
          <w:p w14:paraId="25126B09" w14:textId="5573C74A" w:rsidR="00D656EB" w:rsidRPr="00D656EB" w:rsidRDefault="00D656EB" w:rsidP="00D656EB">
            <w:pPr>
              <w:jc w:val="both"/>
              <w:rPr>
                <w:rFonts w:ascii="Arial" w:hAnsi="Arial" w:cs="Arial"/>
                <w:sz w:val="20"/>
                <w:lang w:val="es-ES_tradnl"/>
              </w:rPr>
            </w:pPr>
          </w:p>
        </w:tc>
      </w:tr>
    </w:tbl>
    <w:p w14:paraId="482E1FA1" w14:textId="4D0CFD33" w:rsidR="00D656EB" w:rsidRDefault="00D656EB" w:rsidP="000303FC">
      <w:pPr>
        <w:spacing w:after="0" w:line="240" w:lineRule="auto"/>
        <w:jc w:val="both"/>
        <w:rPr>
          <w:rFonts w:ascii="Times New Roman" w:hAnsi="Times New Roman" w:cs="Times New Roman"/>
          <w:b/>
          <w:sz w:val="18"/>
          <w:szCs w:val="20"/>
          <w:lang w:val="es-ES_tradnl"/>
        </w:rPr>
      </w:pPr>
    </w:p>
    <w:p w14:paraId="685417A3" w14:textId="5ECC85CE" w:rsidR="00D656EB" w:rsidRDefault="00D656EB" w:rsidP="000303FC">
      <w:pPr>
        <w:spacing w:after="0" w:line="240" w:lineRule="auto"/>
        <w:jc w:val="both"/>
        <w:rPr>
          <w:rFonts w:ascii="Times New Roman" w:hAnsi="Times New Roman" w:cs="Times New Roman"/>
          <w:b/>
          <w:sz w:val="18"/>
          <w:szCs w:val="20"/>
          <w:lang w:val="es-ES_tradnl"/>
        </w:rPr>
      </w:pPr>
    </w:p>
    <w:p w14:paraId="67361942" w14:textId="77777777" w:rsidR="00D656EB" w:rsidRPr="00F64A8D" w:rsidRDefault="00D656EB" w:rsidP="000303FC">
      <w:pPr>
        <w:spacing w:after="0" w:line="240" w:lineRule="auto"/>
        <w:jc w:val="both"/>
        <w:rPr>
          <w:rFonts w:ascii="Times New Roman" w:hAnsi="Times New Roman" w:cs="Times New Roman"/>
          <w:b/>
          <w:sz w:val="18"/>
          <w:szCs w:val="20"/>
          <w:lang w:val="es-ES_tradnl"/>
        </w:rPr>
      </w:pPr>
    </w:p>
    <w:p w14:paraId="4E7EFD9E" w14:textId="77777777" w:rsidR="00EE7F78" w:rsidRPr="00F64A8D" w:rsidRDefault="00EE7F78" w:rsidP="000303FC">
      <w:pPr>
        <w:spacing w:after="0" w:line="240" w:lineRule="auto"/>
        <w:jc w:val="both"/>
        <w:rPr>
          <w:rFonts w:ascii="Times New Roman" w:hAnsi="Times New Roman" w:cs="Times New Roman"/>
          <w:b/>
          <w:sz w:val="18"/>
          <w:szCs w:val="20"/>
          <w:lang w:val="es-ES_tradnl"/>
        </w:rPr>
      </w:pPr>
    </w:p>
    <w:p w14:paraId="78D487E9" w14:textId="77777777" w:rsidR="00A25AD9" w:rsidRPr="00F64A8D" w:rsidRDefault="00A25AD9" w:rsidP="00A25AD9">
      <w:pPr>
        <w:tabs>
          <w:tab w:val="left" w:pos="1530"/>
        </w:tabs>
        <w:spacing w:after="0" w:line="240" w:lineRule="auto"/>
        <w:jc w:val="both"/>
        <w:rPr>
          <w:rFonts w:ascii="Times New Roman" w:hAnsi="Times New Roman" w:cs="Times New Roman"/>
          <w:bCs/>
          <w:szCs w:val="24"/>
          <w:lang w:val="es-ES_tradnl"/>
        </w:rPr>
      </w:pPr>
    </w:p>
    <w:p w14:paraId="0C6EFCF8" w14:textId="77777777" w:rsidR="00877B82" w:rsidRPr="00F64A8D" w:rsidRDefault="00877B82" w:rsidP="00CB3863">
      <w:pPr>
        <w:jc w:val="both"/>
        <w:rPr>
          <w:rFonts w:ascii="Times New Roman" w:hAnsi="Times New Roman" w:cs="Times New Roman"/>
          <w:szCs w:val="24"/>
          <w:lang w:val="es-ES_tradnl"/>
        </w:rPr>
      </w:pPr>
    </w:p>
    <w:sectPr w:rsidR="00877B82" w:rsidRPr="00F64A8D" w:rsidSect="00D656EB">
      <w:pgSz w:w="15840" w:h="24480" w:code="17"/>
      <w:pgMar w:top="18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2831" w14:textId="77777777" w:rsidR="00E20B49" w:rsidRDefault="00E20B49" w:rsidP="00906537">
      <w:pPr>
        <w:spacing w:after="0" w:line="240" w:lineRule="auto"/>
      </w:pPr>
      <w:r>
        <w:separator/>
      </w:r>
    </w:p>
  </w:endnote>
  <w:endnote w:type="continuationSeparator" w:id="0">
    <w:p w14:paraId="749CA372" w14:textId="77777777" w:rsidR="00E20B49" w:rsidRDefault="00E20B49" w:rsidP="00906537">
      <w:pPr>
        <w:spacing w:after="0" w:line="240" w:lineRule="auto"/>
      </w:pPr>
      <w:r>
        <w:continuationSeparator/>
      </w:r>
    </w:p>
  </w:endnote>
  <w:endnote w:type="continuationNotice" w:id="1">
    <w:p w14:paraId="3B4CA91D" w14:textId="77777777" w:rsidR="00E20B49" w:rsidRDefault="00E20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FC040" w14:textId="77777777" w:rsidR="00E20B49" w:rsidRDefault="00E20B49" w:rsidP="00906537">
      <w:pPr>
        <w:spacing w:after="0" w:line="240" w:lineRule="auto"/>
      </w:pPr>
      <w:r>
        <w:separator/>
      </w:r>
    </w:p>
  </w:footnote>
  <w:footnote w:type="continuationSeparator" w:id="0">
    <w:p w14:paraId="3DD58733" w14:textId="77777777" w:rsidR="00E20B49" w:rsidRDefault="00E20B49" w:rsidP="00906537">
      <w:pPr>
        <w:spacing w:after="0" w:line="240" w:lineRule="auto"/>
      </w:pPr>
      <w:r>
        <w:continuationSeparator/>
      </w:r>
    </w:p>
  </w:footnote>
  <w:footnote w:type="continuationNotice" w:id="1">
    <w:p w14:paraId="658FF875" w14:textId="77777777" w:rsidR="00E20B49" w:rsidRDefault="00E20B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839"/>
    <w:multiLevelType w:val="hybridMultilevel"/>
    <w:tmpl w:val="963E66D8"/>
    <w:lvl w:ilvl="0" w:tplc="853CF1D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2B6A"/>
    <w:multiLevelType w:val="hybridMultilevel"/>
    <w:tmpl w:val="E102B79E"/>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114A68AF"/>
    <w:multiLevelType w:val="hybridMultilevel"/>
    <w:tmpl w:val="07EA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D302B"/>
    <w:multiLevelType w:val="hybridMultilevel"/>
    <w:tmpl w:val="2890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451DC"/>
    <w:multiLevelType w:val="hybridMultilevel"/>
    <w:tmpl w:val="7EFE7388"/>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2FFD2AB8"/>
    <w:multiLevelType w:val="hybridMultilevel"/>
    <w:tmpl w:val="A2C256AC"/>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37376E81"/>
    <w:multiLevelType w:val="hybridMultilevel"/>
    <w:tmpl w:val="93803A0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3D1C2C1B"/>
    <w:multiLevelType w:val="hybridMultilevel"/>
    <w:tmpl w:val="5C36D5A2"/>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15:restartNumberingAfterBreak="0">
    <w:nsid w:val="3E922789"/>
    <w:multiLevelType w:val="hybridMultilevel"/>
    <w:tmpl w:val="25DE233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15:restartNumberingAfterBreak="0">
    <w:nsid w:val="44286553"/>
    <w:multiLevelType w:val="hybridMultilevel"/>
    <w:tmpl w:val="34261EA8"/>
    <w:lvl w:ilvl="0" w:tplc="8312A868">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15:restartNumberingAfterBreak="0">
    <w:nsid w:val="50035349"/>
    <w:multiLevelType w:val="hybridMultilevel"/>
    <w:tmpl w:val="E3282D1E"/>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52E030F5"/>
    <w:multiLevelType w:val="hybridMultilevel"/>
    <w:tmpl w:val="AA7008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15:restartNumberingAfterBreak="0">
    <w:nsid w:val="5468543D"/>
    <w:multiLevelType w:val="hybridMultilevel"/>
    <w:tmpl w:val="C8D2D126"/>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56221110"/>
    <w:multiLevelType w:val="hybridMultilevel"/>
    <w:tmpl w:val="C136AC5C"/>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15:restartNumberingAfterBreak="0">
    <w:nsid w:val="5A2D31C4"/>
    <w:multiLevelType w:val="hybridMultilevel"/>
    <w:tmpl w:val="6B4A7600"/>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15:restartNumberingAfterBreak="0">
    <w:nsid w:val="5A6C308E"/>
    <w:multiLevelType w:val="hybridMultilevel"/>
    <w:tmpl w:val="55681292"/>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15:restartNumberingAfterBreak="0">
    <w:nsid w:val="5AD15588"/>
    <w:multiLevelType w:val="hybridMultilevel"/>
    <w:tmpl w:val="0CD212AE"/>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15:restartNumberingAfterBreak="0">
    <w:nsid w:val="5BC14144"/>
    <w:multiLevelType w:val="hybridMultilevel"/>
    <w:tmpl w:val="CBE45D6C"/>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8" w15:restartNumberingAfterBreak="0">
    <w:nsid w:val="63655681"/>
    <w:multiLevelType w:val="hybridMultilevel"/>
    <w:tmpl w:val="D20E13AC"/>
    <w:lvl w:ilvl="0" w:tplc="44E8F508">
      <w:start w:val="1"/>
      <w:numFmt w:val="lowerRoman"/>
      <w:lvlText w:val="(%1)"/>
      <w:lvlJc w:val="left"/>
      <w:pPr>
        <w:ind w:left="758" w:hanging="72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9" w15:restartNumberingAfterBreak="0">
    <w:nsid w:val="639D4029"/>
    <w:multiLevelType w:val="hybridMultilevel"/>
    <w:tmpl w:val="B31A8068"/>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15:restartNumberingAfterBreak="0">
    <w:nsid w:val="70E70D21"/>
    <w:multiLevelType w:val="hybridMultilevel"/>
    <w:tmpl w:val="3CBEBDA2"/>
    <w:lvl w:ilvl="0" w:tplc="8A40623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131E74"/>
    <w:multiLevelType w:val="hybridMultilevel"/>
    <w:tmpl w:val="85C6A078"/>
    <w:lvl w:ilvl="0" w:tplc="FA66A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36202"/>
    <w:multiLevelType w:val="hybridMultilevel"/>
    <w:tmpl w:val="2284A8EA"/>
    <w:lvl w:ilvl="0" w:tplc="4ECA1FC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3" w15:restartNumberingAfterBreak="0">
    <w:nsid w:val="7E3B640E"/>
    <w:multiLevelType w:val="hybridMultilevel"/>
    <w:tmpl w:val="912CCF94"/>
    <w:lvl w:ilvl="0" w:tplc="FB72E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0"/>
  </w:num>
  <w:num w:numId="4">
    <w:abstractNumId w:val="8"/>
  </w:num>
  <w:num w:numId="5">
    <w:abstractNumId w:val="12"/>
  </w:num>
  <w:num w:numId="6">
    <w:abstractNumId w:val="17"/>
  </w:num>
  <w:num w:numId="7">
    <w:abstractNumId w:val="11"/>
  </w:num>
  <w:num w:numId="8">
    <w:abstractNumId w:val="4"/>
  </w:num>
  <w:num w:numId="9">
    <w:abstractNumId w:val="5"/>
  </w:num>
  <w:num w:numId="10">
    <w:abstractNumId w:val="9"/>
  </w:num>
  <w:num w:numId="11">
    <w:abstractNumId w:val="22"/>
  </w:num>
  <w:num w:numId="12">
    <w:abstractNumId w:val="13"/>
  </w:num>
  <w:num w:numId="13">
    <w:abstractNumId w:val="7"/>
  </w:num>
  <w:num w:numId="14">
    <w:abstractNumId w:val="1"/>
  </w:num>
  <w:num w:numId="15">
    <w:abstractNumId w:val="14"/>
  </w:num>
  <w:num w:numId="16">
    <w:abstractNumId w:val="16"/>
  </w:num>
  <w:num w:numId="17">
    <w:abstractNumId w:val="0"/>
  </w:num>
  <w:num w:numId="18">
    <w:abstractNumId w:val="23"/>
  </w:num>
  <w:num w:numId="19">
    <w:abstractNumId w:val="20"/>
  </w:num>
  <w:num w:numId="20">
    <w:abstractNumId w:val="18"/>
  </w:num>
  <w:num w:numId="21">
    <w:abstractNumId w:val="6"/>
  </w:num>
  <w:num w:numId="22">
    <w:abstractNumId w:val="21"/>
  </w:num>
  <w:num w:numId="23">
    <w:abstractNumId w:val="2"/>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E8"/>
    <w:rsid w:val="00002E3E"/>
    <w:rsid w:val="0000447D"/>
    <w:rsid w:val="00004CF0"/>
    <w:rsid w:val="00006273"/>
    <w:rsid w:val="0000688A"/>
    <w:rsid w:val="000072ED"/>
    <w:rsid w:val="0000785C"/>
    <w:rsid w:val="00007DB4"/>
    <w:rsid w:val="00011B8E"/>
    <w:rsid w:val="00011FD2"/>
    <w:rsid w:val="00013072"/>
    <w:rsid w:val="00014126"/>
    <w:rsid w:val="00014457"/>
    <w:rsid w:val="00014E0F"/>
    <w:rsid w:val="00015D90"/>
    <w:rsid w:val="00016417"/>
    <w:rsid w:val="000174D1"/>
    <w:rsid w:val="0001783F"/>
    <w:rsid w:val="000237AD"/>
    <w:rsid w:val="0002552D"/>
    <w:rsid w:val="0002583A"/>
    <w:rsid w:val="00025DA5"/>
    <w:rsid w:val="00027B3C"/>
    <w:rsid w:val="000300F5"/>
    <w:rsid w:val="000303FC"/>
    <w:rsid w:val="00030836"/>
    <w:rsid w:val="00031D82"/>
    <w:rsid w:val="00032B64"/>
    <w:rsid w:val="00033314"/>
    <w:rsid w:val="00033864"/>
    <w:rsid w:val="00034D65"/>
    <w:rsid w:val="00037731"/>
    <w:rsid w:val="00037737"/>
    <w:rsid w:val="00040A51"/>
    <w:rsid w:val="00042157"/>
    <w:rsid w:val="000421CE"/>
    <w:rsid w:val="0004474D"/>
    <w:rsid w:val="000447FA"/>
    <w:rsid w:val="00044919"/>
    <w:rsid w:val="00045C1B"/>
    <w:rsid w:val="00045F0B"/>
    <w:rsid w:val="000467AE"/>
    <w:rsid w:val="000473D3"/>
    <w:rsid w:val="000474AC"/>
    <w:rsid w:val="00047852"/>
    <w:rsid w:val="00050C3E"/>
    <w:rsid w:val="00053279"/>
    <w:rsid w:val="000537E5"/>
    <w:rsid w:val="000538AC"/>
    <w:rsid w:val="00053A97"/>
    <w:rsid w:val="00054643"/>
    <w:rsid w:val="0005552E"/>
    <w:rsid w:val="00055B8C"/>
    <w:rsid w:val="000603CE"/>
    <w:rsid w:val="00060737"/>
    <w:rsid w:val="00063C37"/>
    <w:rsid w:val="00065658"/>
    <w:rsid w:val="00066476"/>
    <w:rsid w:val="00072290"/>
    <w:rsid w:val="000735A0"/>
    <w:rsid w:val="00075A87"/>
    <w:rsid w:val="00076075"/>
    <w:rsid w:val="00076A30"/>
    <w:rsid w:val="00077763"/>
    <w:rsid w:val="000804EC"/>
    <w:rsid w:val="0008215E"/>
    <w:rsid w:val="00083AAD"/>
    <w:rsid w:val="000844A5"/>
    <w:rsid w:val="00085F0E"/>
    <w:rsid w:val="0009202B"/>
    <w:rsid w:val="000928F3"/>
    <w:rsid w:val="00092BFA"/>
    <w:rsid w:val="000A0A1A"/>
    <w:rsid w:val="000A0AD7"/>
    <w:rsid w:val="000A134F"/>
    <w:rsid w:val="000A2145"/>
    <w:rsid w:val="000A26FA"/>
    <w:rsid w:val="000A2F28"/>
    <w:rsid w:val="000A34D0"/>
    <w:rsid w:val="000A57E5"/>
    <w:rsid w:val="000A7117"/>
    <w:rsid w:val="000A7D47"/>
    <w:rsid w:val="000B0E50"/>
    <w:rsid w:val="000B297C"/>
    <w:rsid w:val="000B3099"/>
    <w:rsid w:val="000B41C0"/>
    <w:rsid w:val="000B6DF1"/>
    <w:rsid w:val="000C10A6"/>
    <w:rsid w:val="000C49FE"/>
    <w:rsid w:val="000D00A5"/>
    <w:rsid w:val="000D0205"/>
    <w:rsid w:val="000D0376"/>
    <w:rsid w:val="000D0475"/>
    <w:rsid w:val="000D0C62"/>
    <w:rsid w:val="000D0D9D"/>
    <w:rsid w:val="000D1656"/>
    <w:rsid w:val="000D4138"/>
    <w:rsid w:val="000D4952"/>
    <w:rsid w:val="000D548C"/>
    <w:rsid w:val="000D5887"/>
    <w:rsid w:val="000E2110"/>
    <w:rsid w:val="000E2A16"/>
    <w:rsid w:val="000E4488"/>
    <w:rsid w:val="000E48CD"/>
    <w:rsid w:val="000E6E59"/>
    <w:rsid w:val="000F1B2B"/>
    <w:rsid w:val="000F22B3"/>
    <w:rsid w:val="000F25D3"/>
    <w:rsid w:val="000F6587"/>
    <w:rsid w:val="000F673F"/>
    <w:rsid w:val="000F72AC"/>
    <w:rsid w:val="0010049D"/>
    <w:rsid w:val="0010308A"/>
    <w:rsid w:val="001062B2"/>
    <w:rsid w:val="001062D1"/>
    <w:rsid w:val="00110B21"/>
    <w:rsid w:val="00111C33"/>
    <w:rsid w:val="00112005"/>
    <w:rsid w:val="0011414A"/>
    <w:rsid w:val="001151EC"/>
    <w:rsid w:val="00115DF9"/>
    <w:rsid w:val="00116AC8"/>
    <w:rsid w:val="0012108E"/>
    <w:rsid w:val="00121F45"/>
    <w:rsid w:val="001227DC"/>
    <w:rsid w:val="0012341B"/>
    <w:rsid w:val="001235FE"/>
    <w:rsid w:val="0012407B"/>
    <w:rsid w:val="00124278"/>
    <w:rsid w:val="001242EF"/>
    <w:rsid w:val="00124423"/>
    <w:rsid w:val="001266CE"/>
    <w:rsid w:val="00127139"/>
    <w:rsid w:val="00131440"/>
    <w:rsid w:val="001320B1"/>
    <w:rsid w:val="00133476"/>
    <w:rsid w:val="00133DEA"/>
    <w:rsid w:val="0013521D"/>
    <w:rsid w:val="00135B7D"/>
    <w:rsid w:val="00136A0F"/>
    <w:rsid w:val="001377F2"/>
    <w:rsid w:val="00137CFE"/>
    <w:rsid w:val="00140E31"/>
    <w:rsid w:val="00141A57"/>
    <w:rsid w:val="00142041"/>
    <w:rsid w:val="00142069"/>
    <w:rsid w:val="00142D5B"/>
    <w:rsid w:val="00143371"/>
    <w:rsid w:val="00145D4D"/>
    <w:rsid w:val="0014617A"/>
    <w:rsid w:val="00152666"/>
    <w:rsid w:val="00155862"/>
    <w:rsid w:val="00156166"/>
    <w:rsid w:val="00162D3F"/>
    <w:rsid w:val="00162E9B"/>
    <w:rsid w:val="001634DC"/>
    <w:rsid w:val="00163BCA"/>
    <w:rsid w:val="00163D70"/>
    <w:rsid w:val="00165158"/>
    <w:rsid w:val="00165A4D"/>
    <w:rsid w:val="00165D15"/>
    <w:rsid w:val="00170848"/>
    <w:rsid w:val="0017101E"/>
    <w:rsid w:val="001728F1"/>
    <w:rsid w:val="00174358"/>
    <w:rsid w:val="00175194"/>
    <w:rsid w:val="00177FD7"/>
    <w:rsid w:val="00182F8E"/>
    <w:rsid w:val="00183BA3"/>
    <w:rsid w:val="00183D9A"/>
    <w:rsid w:val="00186794"/>
    <w:rsid w:val="0018771A"/>
    <w:rsid w:val="001916CC"/>
    <w:rsid w:val="00191ED2"/>
    <w:rsid w:val="00195870"/>
    <w:rsid w:val="00197763"/>
    <w:rsid w:val="001A08F8"/>
    <w:rsid w:val="001A1982"/>
    <w:rsid w:val="001A205E"/>
    <w:rsid w:val="001A3473"/>
    <w:rsid w:val="001A3B79"/>
    <w:rsid w:val="001A4242"/>
    <w:rsid w:val="001A5677"/>
    <w:rsid w:val="001A631B"/>
    <w:rsid w:val="001B0350"/>
    <w:rsid w:val="001B3296"/>
    <w:rsid w:val="001B4B18"/>
    <w:rsid w:val="001C0C2A"/>
    <w:rsid w:val="001C4078"/>
    <w:rsid w:val="001C47E7"/>
    <w:rsid w:val="001C7775"/>
    <w:rsid w:val="001C79E4"/>
    <w:rsid w:val="001D1287"/>
    <w:rsid w:val="001D272F"/>
    <w:rsid w:val="001D37BE"/>
    <w:rsid w:val="001D54E8"/>
    <w:rsid w:val="001D77E7"/>
    <w:rsid w:val="001D7A84"/>
    <w:rsid w:val="001E142B"/>
    <w:rsid w:val="001E1D9E"/>
    <w:rsid w:val="001E2FB4"/>
    <w:rsid w:val="001E3951"/>
    <w:rsid w:val="001E3FEB"/>
    <w:rsid w:val="001E404C"/>
    <w:rsid w:val="001E5231"/>
    <w:rsid w:val="001E5940"/>
    <w:rsid w:val="001F0E2A"/>
    <w:rsid w:val="001F3B57"/>
    <w:rsid w:val="001F4775"/>
    <w:rsid w:val="001F49A8"/>
    <w:rsid w:val="001F4FD9"/>
    <w:rsid w:val="001F5E0B"/>
    <w:rsid w:val="001F71B9"/>
    <w:rsid w:val="00201884"/>
    <w:rsid w:val="0020303D"/>
    <w:rsid w:val="0020323E"/>
    <w:rsid w:val="00204265"/>
    <w:rsid w:val="00204502"/>
    <w:rsid w:val="00205B04"/>
    <w:rsid w:val="00207DB6"/>
    <w:rsid w:val="00210589"/>
    <w:rsid w:val="00213383"/>
    <w:rsid w:val="00213949"/>
    <w:rsid w:val="00213BF0"/>
    <w:rsid w:val="00217109"/>
    <w:rsid w:val="00223427"/>
    <w:rsid w:val="00223440"/>
    <w:rsid w:val="00224FC0"/>
    <w:rsid w:val="00227A0A"/>
    <w:rsid w:val="002304E5"/>
    <w:rsid w:val="00230B52"/>
    <w:rsid w:val="00231E86"/>
    <w:rsid w:val="0023410E"/>
    <w:rsid w:val="0023458F"/>
    <w:rsid w:val="002345D3"/>
    <w:rsid w:val="00235E74"/>
    <w:rsid w:val="00236F16"/>
    <w:rsid w:val="0024038D"/>
    <w:rsid w:val="00240EF8"/>
    <w:rsid w:val="0024248B"/>
    <w:rsid w:val="00242829"/>
    <w:rsid w:val="00243058"/>
    <w:rsid w:val="0024434A"/>
    <w:rsid w:val="00244F3F"/>
    <w:rsid w:val="00245220"/>
    <w:rsid w:val="00246552"/>
    <w:rsid w:val="002465E0"/>
    <w:rsid w:val="00246644"/>
    <w:rsid w:val="002479DD"/>
    <w:rsid w:val="00252C69"/>
    <w:rsid w:val="00253470"/>
    <w:rsid w:val="00254B07"/>
    <w:rsid w:val="00254E9B"/>
    <w:rsid w:val="002558B3"/>
    <w:rsid w:val="002618E5"/>
    <w:rsid w:val="002628FE"/>
    <w:rsid w:val="00262E9B"/>
    <w:rsid w:val="00270CA4"/>
    <w:rsid w:val="00270F3E"/>
    <w:rsid w:val="00273CCC"/>
    <w:rsid w:val="00274CC8"/>
    <w:rsid w:val="00275408"/>
    <w:rsid w:val="0027578B"/>
    <w:rsid w:val="00275A6E"/>
    <w:rsid w:val="00281834"/>
    <w:rsid w:val="00282079"/>
    <w:rsid w:val="002828A4"/>
    <w:rsid w:val="00282E94"/>
    <w:rsid w:val="00283020"/>
    <w:rsid w:val="002871A0"/>
    <w:rsid w:val="002879E4"/>
    <w:rsid w:val="00292990"/>
    <w:rsid w:val="00296DE7"/>
    <w:rsid w:val="00297630"/>
    <w:rsid w:val="002A0362"/>
    <w:rsid w:val="002A3D10"/>
    <w:rsid w:val="002A4652"/>
    <w:rsid w:val="002A5B14"/>
    <w:rsid w:val="002B0248"/>
    <w:rsid w:val="002B0C92"/>
    <w:rsid w:val="002B1CD0"/>
    <w:rsid w:val="002B25E8"/>
    <w:rsid w:val="002B2688"/>
    <w:rsid w:val="002B2B79"/>
    <w:rsid w:val="002B2C56"/>
    <w:rsid w:val="002B332E"/>
    <w:rsid w:val="002B5CD3"/>
    <w:rsid w:val="002B6045"/>
    <w:rsid w:val="002C13A6"/>
    <w:rsid w:val="002C1649"/>
    <w:rsid w:val="002C1DCE"/>
    <w:rsid w:val="002C3946"/>
    <w:rsid w:val="002C3B55"/>
    <w:rsid w:val="002C400D"/>
    <w:rsid w:val="002C52AC"/>
    <w:rsid w:val="002C578C"/>
    <w:rsid w:val="002C582C"/>
    <w:rsid w:val="002C6C5F"/>
    <w:rsid w:val="002D06C6"/>
    <w:rsid w:val="002D274F"/>
    <w:rsid w:val="002D3B8F"/>
    <w:rsid w:val="002D424C"/>
    <w:rsid w:val="002D5CF7"/>
    <w:rsid w:val="002E0E83"/>
    <w:rsid w:val="002E1577"/>
    <w:rsid w:val="002E184A"/>
    <w:rsid w:val="002E2D39"/>
    <w:rsid w:val="002E484A"/>
    <w:rsid w:val="002E5687"/>
    <w:rsid w:val="002E753F"/>
    <w:rsid w:val="002E7DCA"/>
    <w:rsid w:val="002F03D7"/>
    <w:rsid w:val="002F1767"/>
    <w:rsid w:val="002F2680"/>
    <w:rsid w:val="002F29EB"/>
    <w:rsid w:val="002F2B22"/>
    <w:rsid w:val="002F76FC"/>
    <w:rsid w:val="003003CF"/>
    <w:rsid w:val="00300EB7"/>
    <w:rsid w:val="003022A7"/>
    <w:rsid w:val="00303C9B"/>
    <w:rsid w:val="0030438E"/>
    <w:rsid w:val="00304A3B"/>
    <w:rsid w:val="00305352"/>
    <w:rsid w:val="003054FE"/>
    <w:rsid w:val="003059D7"/>
    <w:rsid w:val="00306496"/>
    <w:rsid w:val="00306DFF"/>
    <w:rsid w:val="003076DB"/>
    <w:rsid w:val="00307F96"/>
    <w:rsid w:val="0031416A"/>
    <w:rsid w:val="003157BD"/>
    <w:rsid w:val="0031592E"/>
    <w:rsid w:val="00315DE7"/>
    <w:rsid w:val="0031678B"/>
    <w:rsid w:val="00317507"/>
    <w:rsid w:val="0031767C"/>
    <w:rsid w:val="0032345F"/>
    <w:rsid w:val="00324263"/>
    <w:rsid w:val="00324A5A"/>
    <w:rsid w:val="00325B03"/>
    <w:rsid w:val="00325C92"/>
    <w:rsid w:val="0032676A"/>
    <w:rsid w:val="003276E9"/>
    <w:rsid w:val="00334818"/>
    <w:rsid w:val="003367EE"/>
    <w:rsid w:val="00336940"/>
    <w:rsid w:val="00336CD6"/>
    <w:rsid w:val="003372AC"/>
    <w:rsid w:val="00337963"/>
    <w:rsid w:val="00341927"/>
    <w:rsid w:val="00341972"/>
    <w:rsid w:val="0034248F"/>
    <w:rsid w:val="00346F19"/>
    <w:rsid w:val="00347146"/>
    <w:rsid w:val="003474A4"/>
    <w:rsid w:val="00350BF8"/>
    <w:rsid w:val="00351516"/>
    <w:rsid w:val="0035210F"/>
    <w:rsid w:val="00352F02"/>
    <w:rsid w:val="003530A3"/>
    <w:rsid w:val="00353456"/>
    <w:rsid w:val="003538A0"/>
    <w:rsid w:val="00354982"/>
    <w:rsid w:val="003553C6"/>
    <w:rsid w:val="00355784"/>
    <w:rsid w:val="00356D0F"/>
    <w:rsid w:val="00360418"/>
    <w:rsid w:val="003605C7"/>
    <w:rsid w:val="003608CF"/>
    <w:rsid w:val="003614D2"/>
    <w:rsid w:val="00361AE3"/>
    <w:rsid w:val="00361C82"/>
    <w:rsid w:val="00364311"/>
    <w:rsid w:val="00364AD0"/>
    <w:rsid w:val="00364CE5"/>
    <w:rsid w:val="00365383"/>
    <w:rsid w:val="00366103"/>
    <w:rsid w:val="0036673C"/>
    <w:rsid w:val="00371B48"/>
    <w:rsid w:val="00371DAE"/>
    <w:rsid w:val="0037282C"/>
    <w:rsid w:val="0037448C"/>
    <w:rsid w:val="00374806"/>
    <w:rsid w:val="00374D39"/>
    <w:rsid w:val="00374EF0"/>
    <w:rsid w:val="00375106"/>
    <w:rsid w:val="003755CD"/>
    <w:rsid w:val="0037626F"/>
    <w:rsid w:val="0037652F"/>
    <w:rsid w:val="003773DD"/>
    <w:rsid w:val="003774F6"/>
    <w:rsid w:val="003802D7"/>
    <w:rsid w:val="00380C2A"/>
    <w:rsid w:val="00381DED"/>
    <w:rsid w:val="00384BA0"/>
    <w:rsid w:val="00385277"/>
    <w:rsid w:val="00387198"/>
    <w:rsid w:val="003902FC"/>
    <w:rsid w:val="0039129D"/>
    <w:rsid w:val="00392E2F"/>
    <w:rsid w:val="00393095"/>
    <w:rsid w:val="003938C7"/>
    <w:rsid w:val="00395717"/>
    <w:rsid w:val="00395900"/>
    <w:rsid w:val="00395DE4"/>
    <w:rsid w:val="00397275"/>
    <w:rsid w:val="003A1AE8"/>
    <w:rsid w:val="003A2C30"/>
    <w:rsid w:val="003A36B9"/>
    <w:rsid w:val="003A4284"/>
    <w:rsid w:val="003A5099"/>
    <w:rsid w:val="003A5C67"/>
    <w:rsid w:val="003A66A6"/>
    <w:rsid w:val="003B096A"/>
    <w:rsid w:val="003B1FAE"/>
    <w:rsid w:val="003B2513"/>
    <w:rsid w:val="003B3024"/>
    <w:rsid w:val="003B32AF"/>
    <w:rsid w:val="003B3B09"/>
    <w:rsid w:val="003B535F"/>
    <w:rsid w:val="003B5D0B"/>
    <w:rsid w:val="003C0BBF"/>
    <w:rsid w:val="003C118C"/>
    <w:rsid w:val="003C19AD"/>
    <w:rsid w:val="003C21F9"/>
    <w:rsid w:val="003C4B3E"/>
    <w:rsid w:val="003C51AC"/>
    <w:rsid w:val="003C68F6"/>
    <w:rsid w:val="003C7B05"/>
    <w:rsid w:val="003D0707"/>
    <w:rsid w:val="003D147E"/>
    <w:rsid w:val="003D38F2"/>
    <w:rsid w:val="003D6356"/>
    <w:rsid w:val="003D732F"/>
    <w:rsid w:val="003E2D53"/>
    <w:rsid w:val="003E2E25"/>
    <w:rsid w:val="003E3B22"/>
    <w:rsid w:val="003E3E31"/>
    <w:rsid w:val="003E4A59"/>
    <w:rsid w:val="003E6836"/>
    <w:rsid w:val="003F1B5E"/>
    <w:rsid w:val="003F2203"/>
    <w:rsid w:val="003F29D0"/>
    <w:rsid w:val="003F2A38"/>
    <w:rsid w:val="003F3C85"/>
    <w:rsid w:val="003F616B"/>
    <w:rsid w:val="003F6568"/>
    <w:rsid w:val="003F7342"/>
    <w:rsid w:val="004002FF"/>
    <w:rsid w:val="004013B4"/>
    <w:rsid w:val="00401780"/>
    <w:rsid w:val="00401F70"/>
    <w:rsid w:val="00403B94"/>
    <w:rsid w:val="004063DE"/>
    <w:rsid w:val="00410EB5"/>
    <w:rsid w:val="0041188F"/>
    <w:rsid w:val="00414F7B"/>
    <w:rsid w:val="00415713"/>
    <w:rsid w:val="00417F0B"/>
    <w:rsid w:val="0042379F"/>
    <w:rsid w:val="0042500D"/>
    <w:rsid w:val="00432A02"/>
    <w:rsid w:val="00432A3B"/>
    <w:rsid w:val="00433FCD"/>
    <w:rsid w:val="0043420F"/>
    <w:rsid w:val="00435CF1"/>
    <w:rsid w:val="004367E3"/>
    <w:rsid w:val="004375CA"/>
    <w:rsid w:val="004378E4"/>
    <w:rsid w:val="004379E6"/>
    <w:rsid w:val="00440E4B"/>
    <w:rsid w:val="0044347F"/>
    <w:rsid w:val="00446E21"/>
    <w:rsid w:val="004503F7"/>
    <w:rsid w:val="00450D2D"/>
    <w:rsid w:val="004524AD"/>
    <w:rsid w:val="004528DE"/>
    <w:rsid w:val="00452E88"/>
    <w:rsid w:val="00453A77"/>
    <w:rsid w:val="00453FE9"/>
    <w:rsid w:val="00454C09"/>
    <w:rsid w:val="00454CFA"/>
    <w:rsid w:val="0045552B"/>
    <w:rsid w:val="00455916"/>
    <w:rsid w:val="004561FD"/>
    <w:rsid w:val="004603F5"/>
    <w:rsid w:val="00460F75"/>
    <w:rsid w:val="00461643"/>
    <w:rsid w:val="00461D5E"/>
    <w:rsid w:val="00462550"/>
    <w:rsid w:val="004635FF"/>
    <w:rsid w:val="00463FEF"/>
    <w:rsid w:val="00464263"/>
    <w:rsid w:val="00465560"/>
    <w:rsid w:val="004713EB"/>
    <w:rsid w:val="004716A8"/>
    <w:rsid w:val="00473F80"/>
    <w:rsid w:val="0047740A"/>
    <w:rsid w:val="004837D8"/>
    <w:rsid w:val="0048548B"/>
    <w:rsid w:val="00485817"/>
    <w:rsid w:val="00486090"/>
    <w:rsid w:val="00486864"/>
    <w:rsid w:val="00486C44"/>
    <w:rsid w:val="004906B8"/>
    <w:rsid w:val="00493BAE"/>
    <w:rsid w:val="00495360"/>
    <w:rsid w:val="00495672"/>
    <w:rsid w:val="00496024"/>
    <w:rsid w:val="00496449"/>
    <w:rsid w:val="00497FB4"/>
    <w:rsid w:val="004A0947"/>
    <w:rsid w:val="004A28DD"/>
    <w:rsid w:val="004A41BA"/>
    <w:rsid w:val="004A4E0D"/>
    <w:rsid w:val="004A5338"/>
    <w:rsid w:val="004A55BD"/>
    <w:rsid w:val="004A5A1E"/>
    <w:rsid w:val="004A6AE3"/>
    <w:rsid w:val="004B0183"/>
    <w:rsid w:val="004B1593"/>
    <w:rsid w:val="004B1E21"/>
    <w:rsid w:val="004B259D"/>
    <w:rsid w:val="004B386E"/>
    <w:rsid w:val="004B3946"/>
    <w:rsid w:val="004B481B"/>
    <w:rsid w:val="004B61D5"/>
    <w:rsid w:val="004B623B"/>
    <w:rsid w:val="004B6FF1"/>
    <w:rsid w:val="004B7132"/>
    <w:rsid w:val="004C05F1"/>
    <w:rsid w:val="004C595B"/>
    <w:rsid w:val="004C6233"/>
    <w:rsid w:val="004C6248"/>
    <w:rsid w:val="004D1D35"/>
    <w:rsid w:val="004D5AA1"/>
    <w:rsid w:val="004D7C98"/>
    <w:rsid w:val="004E06AA"/>
    <w:rsid w:val="004E07F7"/>
    <w:rsid w:val="004E1E5F"/>
    <w:rsid w:val="004E2696"/>
    <w:rsid w:val="004E32A6"/>
    <w:rsid w:val="004E3728"/>
    <w:rsid w:val="004E3EB4"/>
    <w:rsid w:val="004E4237"/>
    <w:rsid w:val="004E554E"/>
    <w:rsid w:val="004E6D44"/>
    <w:rsid w:val="004F0184"/>
    <w:rsid w:val="004F04D6"/>
    <w:rsid w:val="004F10F1"/>
    <w:rsid w:val="004F1661"/>
    <w:rsid w:val="004F29D9"/>
    <w:rsid w:val="004F433C"/>
    <w:rsid w:val="004F7595"/>
    <w:rsid w:val="004F7602"/>
    <w:rsid w:val="004F7C2E"/>
    <w:rsid w:val="00500673"/>
    <w:rsid w:val="005020FF"/>
    <w:rsid w:val="005032EC"/>
    <w:rsid w:val="00505307"/>
    <w:rsid w:val="00506B73"/>
    <w:rsid w:val="00510D03"/>
    <w:rsid w:val="00511934"/>
    <w:rsid w:val="00512A9B"/>
    <w:rsid w:val="00512DCD"/>
    <w:rsid w:val="005139A7"/>
    <w:rsid w:val="00517493"/>
    <w:rsid w:val="00523FD2"/>
    <w:rsid w:val="0052452F"/>
    <w:rsid w:val="00524679"/>
    <w:rsid w:val="0052604E"/>
    <w:rsid w:val="005261BC"/>
    <w:rsid w:val="00526758"/>
    <w:rsid w:val="00527C7A"/>
    <w:rsid w:val="00527F91"/>
    <w:rsid w:val="005304FD"/>
    <w:rsid w:val="00530DAA"/>
    <w:rsid w:val="00531A3C"/>
    <w:rsid w:val="0053243C"/>
    <w:rsid w:val="00532BCB"/>
    <w:rsid w:val="00533A86"/>
    <w:rsid w:val="00533CC2"/>
    <w:rsid w:val="00536E5A"/>
    <w:rsid w:val="00540096"/>
    <w:rsid w:val="00540800"/>
    <w:rsid w:val="00540B0E"/>
    <w:rsid w:val="005417D0"/>
    <w:rsid w:val="00542A16"/>
    <w:rsid w:val="0054300B"/>
    <w:rsid w:val="0054567A"/>
    <w:rsid w:val="00547C35"/>
    <w:rsid w:val="00547DE6"/>
    <w:rsid w:val="00547E15"/>
    <w:rsid w:val="00551C1C"/>
    <w:rsid w:val="00552A51"/>
    <w:rsid w:val="00552B79"/>
    <w:rsid w:val="0055313B"/>
    <w:rsid w:val="005538EF"/>
    <w:rsid w:val="00553CA1"/>
    <w:rsid w:val="005554B7"/>
    <w:rsid w:val="005556DE"/>
    <w:rsid w:val="00555F1E"/>
    <w:rsid w:val="005565E1"/>
    <w:rsid w:val="0055745A"/>
    <w:rsid w:val="00557CC8"/>
    <w:rsid w:val="005601A6"/>
    <w:rsid w:val="00560209"/>
    <w:rsid w:val="00560E0E"/>
    <w:rsid w:val="00561D8E"/>
    <w:rsid w:val="00564003"/>
    <w:rsid w:val="0056559C"/>
    <w:rsid w:val="00565804"/>
    <w:rsid w:val="0056593F"/>
    <w:rsid w:val="005660E3"/>
    <w:rsid w:val="005671A3"/>
    <w:rsid w:val="00567372"/>
    <w:rsid w:val="005710B3"/>
    <w:rsid w:val="00571FF1"/>
    <w:rsid w:val="00572063"/>
    <w:rsid w:val="00575FD7"/>
    <w:rsid w:val="00576366"/>
    <w:rsid w:val="0057667A"/>
    <w:rsid w:val="00580796"/>
    <w:rsid w:val="00580BA2"/>
    <w:rsid w:val="00581A12"/>
    <w:rsid w:val="00582C87"/>
    <w:rsid w:val="005867AE"/>
    <w:rsid w:val="00586BD7"/>
    <w:rsid w:val="0058717B"/>
    <w:rsid w:val="00591060"/>
    <w:rsid w:val="00591751"/>
    <w:rsid w:val="00593BA1"/>
    <w:rsid w:val="005940ED"/>
    <w:rsid w:val="0059756D"/>
    <w:rsid w:val="00597B32"/>
    <w:rsid w:val="005A1844"/>
    <w:rsid w:val="005A2A16"/>
    <w:rsid w:val="005A481E"/>
    <w:rsid w:val="005A4868"/>
    <w:rsid w:val="005A4AA8"/>
    <w:rsid w:val="005A51E9"/>
    <w:rsid w:val="005A595B"/>
    <w:rsid w:val="005A6963"/>
    <w:rsid w:val="005A6EF5"/>
    <w:rsid w:val="005B0603"/>
    <w:rsid w:val="005B3547"/>
    <w:rsid w:val="005B457A"/>
    <w:rsid w:val="005B7410"/>
    <w:rsid w:val="005B7477"/>
    <w:rsid w:val="005C0205"/>
    <w:rsid w:val="005C0EA9"/>
    <w:rsid w:val="005C150E"/>
    <w:rsid w:val="005C22FD"/>
    <w:rsid w:val="005C2789"/>
    <w:rsid w:val="005C551C"/>
    <w:rsid w:val="005C5D3C"/>
    <w:rsid w:val="005C7BD0"/>
    <w:rsid w:val="005D1EFA"/>
    <w:rsid w:val="005D238E"/>
    <w:rsid w:val="005D2C19"/>
    <w:rsid w:val="005D340C"/>
    <w:rsid w:val="005D400C"/>
    <w:rsid w:val="005D41E9"/>
    <w:rsid w:val="005D4F78"/>
    <w:rsid w:val="005D5DC4"/>
    <w:rsid w:val="005D7AAE"/>
    <w:rsid w:val="005E77BE"/>
    <w:rsid w:val="005F0DB7"/>
    <w:rsid w:val="005F1432"/>
    <w:rsid w:val="005F3DEB"/>
    <w:rsid w:val="005F410C"/>
    <w:rsid w:val="005F5F44"/>
    <w:rsid w:val="005F6242"/>
    <w:rsid w:val="005F68C2"/>
    <w:rsid w:val="005F7911"/>
    <w:rsid w:val="00600033"/>
    <w:rsid w:val="006006B7"/>
    <w:rsid w:val="00601202"/>
    <w:rsid w:val="0060147D"/>
    <w:rsid w:val="0060229E"/>
    <w:rsid w:val="00603042"/>
    <w:rsid w:val="006031E7"/>
    <w:rsid w:val="00603E6C"/>
    <w:rsid w:val="00606B4C"/>
    <w:rsid w:val="0060710F"/>
    <w:rsid w:val="0061164C"/>
    <w:rsid w:val="0061271A"/>
    <w:rsid w:val="006159C3"/>
    <w:rsid w:val="00620355"/>
    <w:rsid w:val="006215B4"/>
    <w:rsid w:val="00622869"/>
    <w:rsid w:val="00622A62"/>
    <w:rsid w:val="00622B91"/>
    <w:rsid w:val="0062349D"/>
    <w:rsid w:val="0062359C"/>
    <w:rsid w:val="00625E06"/>
    <w:rsid w:val="00626533"/>
    <w:rsid w:val="006303CD"/>
    <w:rsid w:val="00630AFD"/>
    <w:rsid w:val="00631575"/>
    <w:rsid w:val="00635F31"/>
    <w:rsid w:val="00635F65"/>
    <w:rsid w:val="00636730"/>
    <w:rsid w:val="00636921"/>
    <w:rsid w:val="00637E17"/>
    <w:rsid w:val="00637E41"/>
    <w:rsid w:val="00640B13"/>
    <w:rsid w:val="00641E4E"/>
    <w:rsid w:val="00642206"/>
    <w:rsid w:val="0064320B"/>
    <w:rsid w:val="00644331"/>
    <w:rsid w:val="006464CE"/>
    <w:rsid w:val="00651856"/>
    <w:rsid w:val="00651A98"/>
    <w:rsid w:val="00653C6F"/>
    <w:rsid w:val="00653C9C"/>
    <w:rsid w:val="00656758"/>
    <w:rsid w:val="00660820"/>
    <w:rsid w:val="00662540"/>
    <w:rsid w:val="00662D03"/>
    <w:rsid w:val="00663D46"/>
    <w:rsid w:val="006644CD"/>
    <w:rsid w:val="00664773"/>
    <w:rsid w:val="00665977"/>
    <w:rsid w:val="00665B2C"/>
    <w:rsid w:val="00665EF4"/>
    <w:rsid w:val="00666520"/>
    <w:rsid w:val="00667E91"/>
    <w:rsid w:val="00670E7E"/>
    <w:rsid w:val="00671C00"/>
    <w:rsid w:val="00672F93"/>
    <w:rsid w:val="006742BD"/>
    <w:rsid w:val="006745A7"/>
    <w:rsid w:val="00674EF9"/>
    <w:rsid w:val="00674FAB"/>
    <w:rsid w:val="00675C03"/>
    <w:rsid w:val="00677A28"/>
    <w:rsid w:val="006821B0"/>
    <w:rsid w:val="0068530A"/>
    <w:rsid w:val="00687328"/>
    <w:rsid w:val="006877A9"/>
    <w:rsid w:val="00687A66"/>
    <w:rsid w:val="006902B4"/>
    <w:rsid w:val="00690CF2"/>
    <w:rsid w:val="006927D9"/>
    <w:rsid w:val="00693306"/>
    <w:rsid w:val="00694179"/>
    <w:rsid w:val="006944F7"/>
    <w:rsid w:val="00694B78"/>
    <w:rsid w:val="00695013"/>
    <w:rsid w:val="006956D5"/>
    <w:rsid w:val="00695BF0"/>
    <w:rsid w:val="00697A24"/>
    <w:rsid w:val="006A52B6"/>
    <w:rsid w:val="006A586A"/>
    <w:rsid w:val="006A5DC9"/>
    <w:rsid w:val="006A6597"/>
    <w:rsid w:val="006A79F5"/>
    <w:rsid w:val="006B03E0"/>
    <w:rsid w:val="006B1CB2"/>
    <w:rsid w:val="006B26C2"/>
    <w:rsid w:val="006B3508"/>
    <w:rsid w:val="006B666D"/>
    <w:rsid w:val="006B6979"/>
    <w:rsid w:val="006B7A52"/>
    <w:rsid w:val="006B7D74"/>
    <w:rsid w:val="006C1DD5"/>
    <w:rsid w:val="006C215E"/>
    <w:rsid w:val="006C2349"/>
    <w:rsid w:val="006C2E7A"/>
    <w:rsid w:val="006C3117"/>
    <w:rsid w:val="006C5F24"/>
    <w:rsid w:val="006D10D1"/>
    <w:rsid w:val="006D1ACA"/>
    <w:rsid w:val="006D216D"/>
    <w:rsid w:val="006D2171"/>
    <w:rsid w:val="006D4172"/>
    <w:rsid w:val="006D682D"/>
    <w:rsid w:val="006E0329"/>
    <w:rsid w:val="006E0468"/>
    <w:rsid w:val="006E0977"/>
    <w:rsid w:val="006E1C4F"/>
    <w:rsid w:val="006E46EC"/>
    <w:rsid w:val="006E4E62"/>
    <w:rsid w:val="006E501D"/>
    <w:rsid w:val="006E6867"/>
    <w:rsid w:val="006E758D"/>
    <w:rsid w:val="006F1ABF"/>
    <w:rsid w:val="006F1FCF"/>
    <w:rsid w:val="006F2C99"/>
    <w:rsid w:val="006F5A17"/>
    <w:rsid w:val="006F5C1B"/>
    <w:rsid w:val="006F7EE7"/>
    <w:rsid w:val="007001CF"/>
    <w:rsid w:val="00700CFF"/>
    <w:rsid w:val="007041E7"/>
    <w:rsid w:val="0070454A"/>
    <w:rsid w:val="00704F52"/>
    <w:rsid w:val="007074C0"/>
    <w:rsid w:val="00710239"/>
    <w:rsid w:val="00710EF8"/>
    <w:rsid w:val="00711424"/>
    <w:rsid w:val="00712D9A"/>
    <w:rsid w:val="0071318E"/>
    <w:rsid w:val="007138FC"/>
    <w:rsid w:val="00713F36"/>
    <w:rsid w:val="007169AE"/>
    <w:rsid w:val="00716A48"/>
    <w:rsid w:val="0072049D"/>
    <w:rsid w:val="00720653"/>
    <w:rsid w:val="007209FF"/>
    <w:rsid w:val="00720BDC"/>
    <w:rsid w:val="00721E51"/>
    <w:rsid w:val="007229B5"/>
    <w:rsid w:val="007233AB"/>
    <w:rsid w:val="00723D5B"/>
    <w:rsid w:val="0072583D"/>
    <w:rsid w:val="00727081"/>
    <w:rsid w:val="007271C2"/>
    <w:rsid w:val="007276DC"/>
    <w:rsid w:val="00727DF0"/>
    <w:rsid w:val="0073056E"/>
    <w:rsid w:val="00731700"/>
    <w:rsid w:val="00732A93"/>
    <w:rsid w:val="0073422F"/>
    <w:rsid w:val="00734311"/>
    <w:rsid w:val="00735563"/>
    <w:rsid w:val="00735B35"/>
    <w:rsid w:val="007362A1"/>
    <w:rsid w:val="0073675B"/>
    <w:rsid w:val="00737CF2"/>
    <w:rsid w:val="00737FD4"/>
    <w:rsid w:val="0074014F"/>
    <w:rsid w:val="007407B5"/>
    <w:rsid w:val="007418A4"/>
    <w:rsid w:val="00742511"/>
    <w:rsid w:val="00742A8C"/>
    <w:rsid w:val="00743D3B"/>
    <w:rsid w:val="00743D64"/>
    <w:rsid w:val="00745690"/>
    <w:rsid w:val="007464CB"/>
    <w:rsid w:val="0074680F"/>
    <w:rsid w:val="00750040"/>
    <w:rsid w:val="0075050B"/>
    <w:rsid w:val="0075071D"/>
    <w:rsid w:val="00750A7A"/>
    <w:rsid w:val="00750BEF"/>
    <w:rsid w:val="00751E2B"/>
    <w:rsid w:val="0075275B"/>
    <w:rsid w:val="007531D3"/>
    <w:rsid w:val="007535F8"/>
    <w:rsid w:val="0075429F"/>
    <w:rsid w:val="007568CB"/>
    <w:rsid w:val="00757027"/>
    <w:rsid w:val="0076073D"/>
    <w:rsid w:val="007608D4"/>
    <w:rsid w:val="00761651"/>
    <w:rsid w:val="00762C46"/>
    <w:rsid w:val="00762F86"/>
    <w:rsid w:val="00763B87"/>
    <w:rsid w:val="007642C5"/>
    <w:rsid w:val="00770339"/>
    <w:rsid w:val="0077100F"/>
    <w:rsid w:val="00773252"/>
    <w:rsid w:val="00773DE3"/>
    <w:rsid w:val="00775236"/>
    <w:rsid w:val="0077733C"/>
    <w:rsid w:val="007829CD"/>
    <w:rsid w:val="00783417"/>
    <w:rsid w:val="007839AC"/>
    <w:rsid w:val="007846D1"/>
    <w:rsid w:val="00785595"/>
    <w:rsid w:val="00785DCC"/>
    <w:rsid w:val="007911DE"/>
    <w:rsid w:val="00791A53"/>
    <w:rsid w:val="00793354"/>
    <w:rsid w:val="0079449C"/>
    <w:rsid w:val="0079619B"/>
    <w:rsid w:val="00797194"/>
    <w:rsid w:val="007A2346"/>
    <w:rsid w:val="007A2866"/>
    <w:rsid w:val="007A2956"/>
    <w:rsid w:val="007A2A40"/>
    <w:rsid w:val="007A37D0"/>
    <w:rsid w:val="007A419D"/>
    <w:rsid w:val="007A5EB6"/>
    <w:rsid w:val="007A74C2"/>
    <w:rsid w:val="007B1149"/>
    <w:rsid w:val="007B3476"/>
    <w:rsid w:val="007B4393"/>
    <w:rsid w:val="007B4525"/>
    <w:rsid w:val="007B604B"/>
    <w:rsid w:val="007B7066"/>
    <w:rsid w:val="007B7608"/>
    <w:rsid w:val="007C0353"/>
    <w:rsid w:val="007C03E7"/>
    <w:rsid w:val="007C0BBA"/>
    <w:rsid w:val="007C406B"/>
    <w:rsid w:val="007C56C5"/>
    <w:rsid w:val="007C5820"/>
    <w:rsid w:val="007D0F9E"/>
    <w:rsid w:val="007D37B7"/>
    <w:rsid w:val="007D4767"/>
    <w:rsid w:val="007D6C70"/>
    <w:rsid w:val="007D7EAA"/>
    <w:rsid w:val="007E2416"/>
    <w:rsid w:val="007E2992"/>
    <w:rsid w:val="007E2998"/>
    <w:rsid w:val="007E3877"/>
    <w:rsid w:val="007E4C12"/>
    <w:rsid w:val="007E6EA6"/>
    <w:rsid w:val="007E7461"/>
    <w:rsid w:val="007F0C86"/>
    <w:rsid w:val="007F218E"/>
    <w:rsid w:val="007F49B2"/>
    <w:rsid w:val="007F7555"/>
    <w:rsid w:val="00801085"/>
    <w:rsid w:val="008016EC"/>
    <w:rsid w:val="00801EA6"/>
    <w:rsid w:val="008048E2"/>
    <w:rsid w:val="008050BF"/>
    <w:rsid w:val="00805FA8"/>
    <w:rsid w:val="00806884"/>
    <w:rsid w:val="008069FC"/>
    <w:rsid w:val="00810A0F"/>
    <w:rsid w:val="0081461E"/>
    <w:rsid w:val="00815891"/>
    <w:rsid w:val="00817D33"/>
    <w:rsid w:val="00820F2F"/>
    <w:rsid w:val="00821841"/>
    <w:rsid w:val="00823131"/>
    <w:rsid w:val="008252CB"/>
    <w:rsid w:val="00826244"/>
    <w:rsid w:val="008268D5"/>
    <w:rsid w:val="00826B07"/>
    <w:rsid w:val="00826C87"/>
    <w:rsid w:val="008276D6"/>
    <w:rsid w:val="008279E9"/>
    <w:rsid w:val="00831AD4"/>
    <w:rsid w:val="00835255"/>
    <w:rsid w:val="00836315"/>
    <w:rsid w:val="00836CBF"/>
    <w:rsid w:val="00837488"/>
    <w:rsid w:val="00840131"/>
    <w:rsid w:val="0084055A"/>
    <w:rsid w:val="00840747"/>
    <w:rsid w:val="0084326C"/>
    <w:rsid w:val="0084403A"/>
    <w:rsid w:val="00845992"/>
    <w:rsid w:val="00847E64"/>
    <w:rsid w:val="008510A6"/>
    <w:rsid w:val="008511DE"/>
    <w:rsid w:val="00852730"/>
    <w:rsid w:val="0085309C"/>
    <w:rsid w:val="008572EA"/>
    <w:rsid w:val="0085781D"/>
    <w:rsid w:val="00861D34"/>
    <w:rsid w:val="00863752"/>
    <w:rsid w:val="0086426C"/>
    <w:rsid w:val="00864580"/>
    <w:rsid w:val="008652BC"/>
    <w:rsid w:val="0087038C"/>
    <w:rsid w:val="0087097C"/>
    <w:rsid w:val="008720DE"/>
    <w:rsid w:val="00872EA5"/>
    <w:rsid w:val="00873C43"/>
    <w:rsid w:val="0087438B"/>
    <w:rsid w:val="00874696"/>
    <w:rsid w:val="00874AD0"/>
    <w:rsid w:val="0087639D"/>
    <w:rsid w:val="00877B82"/>
    <w:rsid w:val="00877D54"/>
    <w:rsid w:val="008809B8"/>
    <w:rsid w:val="0088109D"/>
    <w:rsid w:val="00881507"/>
    <w:rsid w:val="008828C5"/>
    <w:rsid w:val="00882C49"/>
    <w:rsid w:val="00885660"/>
    <w:rsid w:val="00885799"/>
    <w:rsid w:val="00885A82"/>
    <w:rsid w:val="0088765D"/>
    <w:rsid w:val="00887802"/>
    <w:rsid w:val="00890B9D"/>
    <w:rsid w:val="008915EB"/>
    <w:rsid w:val="0089194F"/>
    <w:rsid w:val="0089321E"/>
    <w:rsid w:val="00893B43"/>
    <w:rsid w:val="00896CF4"/>
    <w:rsid w:val="008A2287"/>
    <w:rsid w:val="008A2784"/>
    <w:rsid w:val="008A37ED"/>
    <w:rsid w:val="008B574B"/>
    <w:rsid w:val="008B59B8"/>
    <w:rsid w:val="008B7F6D"/>
    <w:rsid w:val="008C03DC"/>
    <w:rsid w:val="008C0606"/>
    <w:rsid w:val="008C0880"/>
    <w:rsid w:val="008C0BC2"/>
    <w:rsid w:val="008C148C"/>
    <w:rsid w:val="008C6BE8"/>
    <w:rsid w:val="008D08A8"/>
    <w:rsid w:val="008D0D7A"/>
    <w:rsid w:val="008D262B"/>
    <w:rsid w:val="008D2A5A"/>
    <w:rsid w:val="008D43AA"/>
    <w:rsid w:val="008D7577"/>
    <w:rsid w:val="008E5D49"/>
    <w:rsid w:val="008E7A55"/>
    <w:rsid w:val="008F4761"/>
    <w:rsid w:val="008F5D8B"/>
    <w:rsid w:val="008F6065"/>
    <w:rsid w:val="008F6AC2"/>
    <w:rsid w:val="0090066A"/>
    <w:rsid w:val="00901F93"/>
    <w:rsid w:val="009027B9"/>
    <w:rsid w:val="009031CE"/>
    <w:rsid w:val="00906537"/>
    <w:rsid w:val="00906CF1"/>
    <w:rsid w:val="009108E7"/>
    <w:rsid w:val="0091142D"/>
    <w:rsid w:val="00911DB6"/>
    <w:rsid w:val="00911EC1"/>
    <w:rsid w:val="00914480"/>
    <w:rsid w:val="00915A4B"/>
    <w:rsid w:val="009173E4"/>
    <w:rsid w:val="0091753C"/>
    <w:rsid w:val="00917D0A"/>
    <w:rsid w:val="00920D1F"/>
    <w:rsid w:val="009230A0"/>
    <w:rsid w:val="0092317E"/>
    <w:rsid w:val="009233E3"/>
    <w:rsid w:val="00924228"/>
    <w:rsid w:val="00924F4F"/>
    <w:rsid w:val="0092623E"/>
    <w:rsid w:val="00927A57"/>
    <w:rsid w:val="00931B75"/>
    <w:rsid w:val="00934581"/>
    <w:rsid w:val="00936C72"/>
    <w:rsid w:val="00940A0F"/>
    <w:rsid w:val="00942D23"/>
    <w:rsid w:val="009435B5"/>
    <w:rsid w:val="009441D3"/>
    <w:rsid w:val="009447DF"/>
    <w:rsid w:val="009459C6"/>
    <w:rsid w:val="0094626F"/>
    <w:rsid w:val="00946DE3"/>
    <w:rsid w:val="00947AAC"/>
    <w:rsid w:val="00950205"/>
    <w:rsid w:val="009502F6"/>
    <w:rsid w:val="009504A4"/>
    <w:rsid w:val="009509E0"/>
    <w:rsid w:val="009543EF"/>
    <w:rsid w:val="0095602A"/>
    <w:rsid w:val="00956E8D"/>
    <w:rsid w:val="00957626"/>
    <w:rsid w:val="00960E40"/>
    <w:rsid w:val="009611F1"/>
    <w:rsid w:val="00961CB0"/>
    <w:rsid w:val="00961F2B"/>
    <w:rsid w:val="00963258"/>
    <w:rsid w:val="009643C6"/>
    <w:rsid w:val="00965385"/>
    <w:rsid w:val="00965D3D"/>
    <w:rsid w:val="00966295"/>
    <w:rsid w:val="00966AAC"/>
    <w:rsid w:val="00966CCF"/>
    <w:rsid w:val="0097112D"/>
    <w:rsid w:val="00972774"/>
    <w:rsid w:val="00972B72"/>
    <w:rsid w:val="0097634F"/>
    <w:rsid w:val="00976AB4"/>
    <w:rsid w:val="009815CF"/>
    <w:rsid w:val="00981B4C"/>
    <w:rsid w:val="00982DA8"/>
    <w:rsid w:val="0098363A"/>
    <w:rsid w:val="00984FF9"/>
    <w:rsid w:val="009854BE"/>
    <w:rsid w:val="00985778"/>
    <w:rsid w:val="009866D2"/>
    <w:rsid w:val="00992699"/>
    <w:rsid w:val="00994074"/>
    <w:rsid w:val="00995A88"/>
    <w:rsid w:val="00995E56"/>
    <w:rsid w:val="00996B77"/>
    <w:rsid w:val="0099715B"/>
    <w:rsid w:val="00997876"/>
    <w:rsid w:val="009A14D3"/>
    <w:rsid w:val="009A2ABE"/>
    <w:rsid w:val="009A38B3"/>
    <w:rsid w:val="009A70C5"/>
    <w:rsid w:val="009B0CF8"/>
    <w:rsid w:val="009B1C67"/>
    <w:rsid w:val="009B28F7"/>
    <w:rsid w:val="009B5A1A"/>
    <w:rsid w:val="009B5CBE"/>
    <w:rsid w:val="009B6057"/>
    <w:rsid w:val="009B6C1E"/>
    <w:rsid w:val="009C0032"/>
    <w:rsid w:val="009C0DD1"/>
    <w:rsid w:val="009C1023"/>
    <w:rsid w:val="009C20B5"/>
    <w:rsid w:val="009C285C"/>
    <w:rsid w:val="009C437A"/>
    <w:rsid w:val="009C465D"/>
    <w:rsid w:val="009C527C"/>
    <w:rsid w:val="009C5DBE"/>
    <w:rsid w:val="009C6625"/>
    <w:rsid w:val="009C761E"/>
    <w:rsid w:val="009D038C"/>
    <w:rsid w:val="009D0478"/>
    <w:rsid w:val="009D0490"/>
    <w:rsid w:val="009D249D"/>
    <w:rsid w:val="009D56E1"/>
    <w:rsid w:val="009D7BCD"/>
    <w:rsid w:val="009E093C"/>
    <w:rsid w:val="009E1356"/>
    <w:rsid w:val="009E210A"/>
    <w:rsid w:val="009E39AF"/>
    <w:rsid w:val="009E7DEC"/>
    <w:rsid w:val="009F0963"/>
    <w:rsid w:val="009F23CD"/>
    <w:rsid w:val="009F3A80"/>
    <w:rsid w:val="009F4248"/>
    <w:rsid w:val="009F55F6"/>
    <w:rsid w:val="009F6FBB"/>
    <w:rsid w:val="009F70D7"/>
    <w:rsid w:val="00A02094"/>
    <w:rsid w:val="00A02B0B"/>
    <w:rsid w:val="00A045A6"/>
    <w:rsid w:val="00A048FB"/>
    <w:rsid w:val="00A0525D"/>
    <w:rsid w:val="00A058A5"/>
    <w:rsid w:val="00A05B39"/>
    <w:rsid w:val="00A06687"/>
    <w:rsid w:val="00A07340"/>
    <w:rsid w:val="00A07AB7"/>
    <w:rsid w:val="00A128D7"/>
    <w:rsid w:val="00A13F9A"/>
    <w:rsid w:val="00A15157"/>
    <w:rsid w:val="00A164AE"/>
    <w:rsid w:val="00A164F6"/>
    <w:rsid w:val="00A1669E"/>
    <w:rsid w:val="00A166E0"/>
    <w:rsid w:val="00A1790C"/>
    <w:rsid w:val="00A17B57"/>
    <w:rsid w:val="00A20A36"/>
    <w:rsid w:val="00A20D50"/>
    <w:rsid w:val="00A23557"/>
    <w:rsid w:val="00A23B15"/>
    <w:rsid w:val="00A23DF1"/>
    <w:rsid w:val="00A243D9"/>
    <w:rsid w:val="00A24814"/>
    <w:rsid w:val="00A25AD9"/>
    <w:rsid w:val="00A2665E"/>
    <w:rsid w:val="00A26CEB"/>
    <w:rsid w:val="00A26F70"/>
    <w:rsid w:val="00A27A4D"/>
    <w:rsid w:val="00A31FA5"/>
    <w:rsid w:val="00A3355C"/>
    <w:rsid w:val="00A36608"/>
    <w:rsid w:val="00A36DDC"/>
    <w:rsid w:val="00A372F2"/>
    <w:rsid w:val="00A411E9"/>
    <w:rsid w:val="00A4256D"/>
    <w:rsid w:val="00A4261A"/>
    <w:rsid w:val="00A42A17"/>
    <w:rsid w:val="00A42E4C"/>
    <w:rsid w:val="00A446BF"/>
    <w:rsid w:val="00A44A8E"/>
    <w:rsid w:val="00A46FC8"/>
    <w:rsid w:val="00A519A4"/>
    <w:rsid w:val="00A51A1F"/>
    <w:rsid w:val="00A52095"/>
    <w:rsid w:val="00A5247A"/>
    <w:rsid w:val="00A52575"/>
    <w:rsid w:val="00A5448A"/>
    <w:rsid w:val="00A545C4"/>
    <w:rsid w:val="00A60100"/>
    <w:rsid w:val="00A6022D"/>
    <w:rsid w:val="00A65A89"/>
    <w:rsid w:val="00A71AF2"/>
    <w:rsid w:val="00A72692"/>
    <w:rsid w:val="00A72774"/>
    <w:rsid w:val="00A7383F"/>
    <w:rsid w:val="00A752C1"/>
    <w:rsid w:val="00A75A7D"/>
    <w:rsid w:val="00A76613"/>
    <w:rsid w:val="00A77A6C"/>
    <w:rsid w:val="00A820A5"/>
    <w:rsid w:val="00A8658F"/>
    <w:rsid w:val="00A913B0"/>
    <w:rsid w:val="00A91E80"/>
    <w:rsid w:val="00A92A08"/>
    <w:rsid w:val="00A92F05"/>
    <w:rsid w:val="00A9757A"/>
    <w:rsid w:val="00AA19E3"/>
    <w:rsid w:val="00AA2109"/>
    <w:rsid w:val="00AA3AAD"/>
    <w:rsid w:val="00AA7BD1"/>
    <w:rsid w:val="00AB08C9"/>
    <w:rsid w:val="00AB112B"/>
    <w:rsid w:val="00AB19D6"/>
    <w:rsid w:val="00AB3ACB"/>
    <w:rsid w:val="00AB4777"/>
    <w:rsid w:val="00AB6049"/>
    <w:rsid w:val="00AB7862"/>
    <w:rsid w:val="00AC033E"/>
    <w:rsid w:val="00AC348B"/>
    <w:rsid w:val="00AC3EF8"/>
    <w:rsid w:val="00AC4459"/>
    <w:rsid w:val="00AC4705"/>
    <w:rsid w:val="00AC4CAC"/>
    <w:rsid w:val="00AC6E0D"/>
    <w:rsid w:val="00AC7192"/>
    <w:rsid w:val="00AD008A"/>
    <w:rsid w:val="00AD0C79"/>
    <w:rsid w:val="00AD1074"/>
    <w:rsid w:val="00AD19EF"/>
    <w:rsid w:val="00AD2CE1"/>
    <w:rsid w:val="00AD30D0"/>
    <w:rsid w:val="00AD3458"/>
    <w:rsid w:val="00AD3975"/>
    <w:rsid w:val="00AD399F"/>
    <w:rsid w:val="00AD4FEC"/>
    <w:rsid w:val="00AD537B"/>
    <w:rsid w:val="00AD6767"/>
    <w:rsid w:val="00AD6FA8"/>
    <w:rsid w:val="00AD75C5"/>
    <w:rsid w:val="00AE14D3"/>
    <w:rsid w:val="00AE48E5"/>
    <w:rsid w:val="00AF062B"/>
    <w:rsid w:val="00AF0E3A"/>
    <w:rsid w:val="00AF1281"/>
    <w:rsid w:val="00AF2F01"/>
    <w:rsid w:val="00AF3018"/>
    <w:rsid w:val="00AF3511"/>
    <w:rsid w:val="00AF40F4"/>
    <w:rsid w:val="00AF533A"/>
    <w:rsid w:val="00AF5719"/>
    <w:rsid w:val="00AF7B28"/>
    <w:rsid w:val="00AF7BE5"/>
    <w:rsid w:val="00B00CF8"/>
    <w:rsid w:val="00B02531"/>
    <w:rsid w:val="00B02853"/>
    <w:rsid w:val="00B03C0E"/>
    <w:rsid w:val="00B03FBD"/>
    <w:rsid w:val="00B050B7"/>
    <w:rsid w:val="00B06A25"/>
    <w:rsid w:val="00B06FCB"/>
    <w:rsid w:val="00B11AEB"/>
    <w:rsid w:val="00B1222D"/>
    <w:rsid w:val="00B13557"/>
    <w:rsid w:val="00B13632"/>
    <w:rsid w:val="00B1543E"/>
    <w:rsid w:val="00B17001"/>
    <w:rsid w:val="00B209F3"/>
    <w:rsid w:val="00B224FC"/>
    <w:rsid w:val="00B22887"/>
    <w:rsid w:val="00B2369B"/>
    <w:rsid w:val="00B2470E"/>
    <w:rsid w:val="00B248AD"/>
    <w:rsid w:val="00B32EC0"/>
    <w:rsid w:val="00B33AD4"/>
    <w:rsid w:val="00B3474D"/>
    <w:rsid w:val="00B361F0"/>
    <w:rsid w:val="00B378ED"/>
    <w:rsid w:val="00B37B87"/>
    <w:rsid w:val="00B40790"/>
    <w:rsid w:val="00B427C9"/>
    <w:rsid w:val="00B468AF"/>
    <w:rsid w:val="00B468B1"/>
    <w:rsid w:val="00B514F7"/>
    <w:rsid w:val="00B5222F"/>
    <w:rsid w:val="00B5336A"/>
    <w:rsid w:val="00B544C7"/>
    <w:rsid w:val="00B54784"/>
    <w:rsid w:val="00B54877"/>
    <w:rsid w:val="00B55514"/>
    <w:rsid w:val="00B56F79"/>
    <w:rsid w:val="00B57193"/>
    <w:rsid w:val="00B616E3"/>
    <w:rsid w:val="00B62FD2"/>
    <w:rsid w:val="00B652A3"/>
    <w:rsid w:val="00B65D2E"/>
    <w:rsid w:val="00B66509"/>
    <w:rsid w:val="00B70AD5"/>
    <w:rsid w:val="00B733FD"/>
    <w:rsid w:val="00B73454"/>
    <w:rsid w:val="00B750AB"/>
    <w:rsid w:val="00B76F5C"/>
    <w:rsid w:val="00B76FAD"/>
    <w:rsid w:val="00B805E1"/>
    <w:rsid w:val="00B809A0"/>
    <w:rsid w:val="00B81D00"/>
    <w:rsid w:val="00B83B0D"/>
    <w:rsid w:val="00B85119"/>
    <w:rsid w:val="00B8599C"/>
    <w:rsid w:val="00B86E67"/>
    <w:rsid w:val="00B872A8"/>
    <w:rsid w:val="00B877C6"/>
    <w:rsid w:val="00B90CC3"/>
    <w:rsid w:val="00B90F06"/>
    <w:rsid w:val="00B91807"/>
    <w:rsid w:val="00B930D6"/>
    <w:rsid w:val="00B942B3"/>
    <w:rsid w:val="00B948C2"/>
    <w:rsid w:val="00BA093E"/>
    <w:rsid w:val="00BA0F65"/>
    <w:rsid w:val="00BA506D"/>
    <w:rsid w:val="00BA61D9"/>
    <w:rsid w:val="00BA77EB"/>
    <w:rsid w:val="00BB0849"/>
    <w:rsid w:val="00BB1003"/>
    <w:rsid w:val="00BB129D"/>
    <w:rsid w:val="00BB470C"/>
    <w:rsid w:val="00BB5D8F"/>
    <w:rsid w:val="00BC07A9"/>
    <w:rsid w:val="00BC1CBB"/>
    <w:rsid w:val="00BC1DC5"/>
    <w:rsid w:val="00BC2435"/>
    <w:rsid w:val="00BC2C79"/>
    <w:rsid w:val="00BC2F32"/>
    <w:rsid w:val="00BC3A0C"/>
    <w:rsid w:val="00BC448E"/>
    <w:rsid w:val="00BC4F7C"/>
    <w:rsid w:val="00BC66B4"/>
    <w:rsid w:val="00BC7317"/>
    <w:rsid w:val="00BD0C16"/>
    <w:rsid w:val="00BD2779"/>
    <w:rsid w:val="00BD2A6C"/>
    <w:rsid w:val="00BD2DCE"/>
    <w:rsid w:val="00BD35B7"/>
    <w:rsid w:val="00BD3EE2"/>
    <w:rsid w:val="00BD40EB"/>
    <w:rsid w:val="00BD6568"/>
    <w:rsid w:val="00BE0074"/>
    <w:rsid w:val="00BE0B45"/>
    <w:rsid w:val="00BE1336"/>
    <w:rsid w:val="00BE1C6A"/>
    <w:rsid w:val="00BE2440"/>
    <w:rsid w:val="00BE366E"/>
    <w:rsid w:val="00BE480B"/>
    <w:rsid w:val="00BE63F0"/>
    <w:rsid w:val="00BF03B9"/>
    <w:rsid w:val="00BF2297"/>
    <w:rsid w:val="00BF3557"/>
    <w:rsid w:val="00BF4974"/>
    <w:rsid w:val="00BF574E"/>
    <w:rsid w:val="00BF64D8"/>
    <w:rsid w:val="00BF6843"/>
    <w:rsid w:val="00BF6F3F"/>
    <w:rsid w:val="00C010BC"/>
    <w:rsid w:val="00C01E7F"/>
    <w:rsid w:val="00C04E5A"/>
    <w:rsid w:val="00C05638"/>
    <w:rsid w:val="00C06D99"/>
    <w:rsid w:val="00C06F13"/>
    <w:rsid w:val="00C1099F"/>
    <w:rsid w:val="00C11E32"/>
    <w:rsid w:val="00C12270"/>
    <w:rsid w:val="00C122A8"/>
    <w:rsid w:val="00C1386F"/>
    <w:rsid w:val="00C13CA7"/>
    <w:rsid w:val="00C13DDB"/>
    <w:rsid w:val="00C14738"/>
    <w:rsid w:val="00C15E86"/>
    <w:rsid w:val="00C16821"/>
    <w:rsid w:val="00C16AF3"/>
    <w:rsid w:val="00C17420"/>
    <w:rsid w:val="00C176DB"/>
    <w:rsid w:val="00C20A03"/>
    <w:rsid w:val="00C22389"/>
    <w:rsid w:val="00C232A0"/>
    <w:rsid w:val="00C250BC"/>
    <w:rsid w:val="00C25AAE"/>
    <w:rsid w:val="00C27358"/>
    <w:rsid w:val="00C30D2B"/>
    <w:rsid w:val="00C32B46"/>
    <w:rsid w:val="00C339AA"/>
    <w:rsid w:val="00C3522A"/>
    <w:rsid w:val="00C353D8"/>
    <w:rsid w:val="00C35C5D"/>
    <w:rsid w:val="00C36046"/>
    <w:rsid w:val="00C36C10"/>
    <w:rsid w:val="00C37987"/>
    <w:rsid w:val="00C42174"/>
    <w:rsid w:val="00C422F6"/>
    <w:rsid w:val="00C424B2"/>
    <w:rsid w:val="00C429E4"/>
    <w:rsid w:val="00C43B90"/>
    <w:rsid w:val="00C447ED"/>
    <w:rsid w:val="00C45013"/>
    <w:rsid w:val="00C45ACA"/>
    <w:rsid w:val="00C47396"/>
    <w:rsid w:val="00C51B05"/>
    <w:rsid w:val="00C52962"/>
    <w:rsid w:val="00C54E8C"/>
    <w:rsid w:val="00C55691"/>
    <w:rsid w:val="00C55C87"/>
    <w:rsid w:val="00C5603D"/>
    <w:rsid w:val="00C56299"/>
    <w:rsid w:val="00C57D9C"/>
    <w:rsid w:val="00C63323"/>
    <w:rsid w:val="00C63D14"/>
    <w:rsid w:val="00C646D7"/>
    <w:rsid w:val="00C6471B"/>
    <w:rsid w:val="00C647C1"/>
    <w:rsid w:val="00C654AB"/>
    <w:rsid w:val="00C678A6"/>
    <w:rsid w:val="00C7367D"/>
    <w:rsid w:val="00C747FD"/>
    <w:rsid w:val="00C76ABE"/>
    <w:rsid w:val="00C77D24"/>
    <w:rsid w:val="00C85173"/>
    <w:rsid w:val="00C86F33"/>
    <w:rsid w:val="00C874BE"/>
    <w:rsid w:val="00C87699"/>
    <w:rsid w:val="00C87B57"/>
    <w:rsid w:val="00C90B98"/>
    <w:rsid w:val="00C91598"/>
    <w:rsid w:val="00C91CC0"/>
    <w:rsid w:val="00C91D4B"/>
    <w:rsid w:val="00C921DA"/>
    <w:rsid w:val="00C929E1"/>
    <w:rsid w:val="00C94C3F"/>
    <w:rsid w:val="00C9521A"/>
    <w:rsid w:val="00C9577A"/>
    <w:rsid w:val="00C9584C"/>
    <w:rsid w:val="00C95A92"/>
    <w:rsid w:val="00C97082"/>
    <w:rsid w:val="00C970B4"/>
    <w:rsid w:val="00CA0C3E"/>
    <w:rsid w:val="00CA2377"/>
    <w:rsid w:val="00CA5E67"/>
    <w:rsid w:val="00CB1E99"/>
    <w:rsid w:val="00CB2378"/>
    <w:rsid w:val="00CB2A68"/>
    <w:rsid w:val="00CB3863"/>
    <w:rsid w:val="00CB3C5F"/>
    <w:rsid w:val="00CB40DE"/>
    <w:rsid w:val="00CB4346"/>
    <w:rsid w:val="00CB5D8A"/>
    <w:rsid w:val="00CB7B42"/>
    <w:rsid w:val="00CC1316"/>
    <w:rsid w:val="00CC1CC2"/>
    <w:rsid w:val="00CC21F9"/>
    <w:rsid w:val="00CC2365"/>
    <w:rsid w:val="00CC3FAE"/>
    <w:rsid w:val="00CC458A"/>
    <w:rsid w:val="00CC640B"/>
    <w:rsid w:val="00CC69E3"/>
    <w:rsid w:val="00CC7182"/>
    <w:rsid w:val="00CC77E9"/>
    <w:rsid w:val="00CD15D3"/>
    <w:rsid w:val="00CD41E6"/>
    <w:rsid w:val="00CD449C"/>
    <w:rsid w:val="00CD5460"/>
    <w:rsid w:val="00CD5ACA"/>
    <w:rsid w:val="00CD6AF7"/>
    <w:rsid w:val="00CE19C2"/>
    <w:rsid w:val="00CE1C2D"/>
    <w:rsid w:val="00CE40C9"/>
    <w:rsid w:val="00CE42A6"/>
    <w:rsid w:val="00CE4A6D"/>
    <w:rsid w:val="00CE5048"/>
    <w:rsid w:val="00CE6114"/>
    <w:rsid w:val="00CE61E9"/>
    <w:rsid w:val="00CE6C85"/>
    <w:rsid w:val="00CE7108"/>
    <w:rsid w:val="00CE74FA"/>
    <w:rsid w:val="00CF00D8"/>
    <w:rsid w:val="00CF0584"/>
    <w:rsid w:val="00CF2B2A"/>
    <w:rsid w:val="00CF3338"/>
    <w:rsid w:val="00CF5A77"/>
    <w:rsid w:val="00CF6907"/>
    <w:rsid w:val="00CF69D2"/>
    <w:rsid w:val="00CF6A72"/>
    <w:rsid w:val="00CF6E43"/>
    <w:rsid w:val="00D00A19"/>
    <w:rsid w:val="00D0190B"/>
    <w:rsid w:val="00D021CA"/>
    <w:rsid w:val="00D03502"/>
    <w:rsid w:val="00D0371F"/>
    <w:rsid w:val="00D041E9"/>
    <w:rsid w:val="00D04E94"/>
    <w:rsid w:val="00D052A3"/>
    <w:rsid w:val="00D054C5"/>
    <w:rsid w:val="00D066CA"/>
    <w:rsid w:val="00D10489"/>
    <w:rsid w:val="00D10D07"/>
    <w:rsid w:val="00D13A25"/>
    <w:rsid w:val="00D13C7F"/>
    <w:rsid w:val="00D1572E"/>
    <w:rsid w:val="00D17C22"/>
    <w:rsid w:val="00D2187A"/>
    <w:rsid w:val="00D22A8C"/>
    <w:rsid w:val="00D24366"/>
    <w:rsid w:val="00D2492B"/>
    <w:rsid w:val="00D25B75"/>
    <w:rsid w:val="00D267A1"/>
    <w:rsid w:val="00D2768D"/>
    <w:rsid w:val="00D3013B"/>
    <w:rsid w:val="00D3184F"/>
    <w:rsid w:val="00D31E45"/>
    <w:rsid w:val="00D3678D"/>
    <w:rsid w:val="00D414A7"/>
    <w:rsid w:val="00D42BCB"/>
    <w:rsid w:val="00D43947"/>
    <w:rsid w:val="00D445BD"/>
    <w:rsid w:val="00D46AAA"/>
    <w:rsid w:val="00D470E2"/>
    <w:rsid w:val="00D471FE"/>
    <w:rsid w:val="00D478F5"/>
    <w:rsid w:val="00D47BC0"/>
    <w:rsid w:val="00D504B8"/>
    <w:rsid w:val="00D505F0"/>
    <w:rsid w:val="00D50A51"/>
    <w:rsid w:val="00D50C67"/>
    <w:rsid w:val="00D51588"/>
    <w:rsid w:val="00D523B3"/>
    <w:rsid w:val="00D53AAD"/>
    <w:rsid w:val="00D56CF3"/>
    <w:rsid w:val="00D61C7D"/>
    <w:rsid w:val="00D62664"/>
    <w:rsid w:val="00D62870"/>
    <w:rsid w:val="00D63E5E"/>
    <w:rsid w:val="00D64118"/>
    <w:rsid w:val="00D6497A"/>
    <w:rsid w:val="00D656EB"/>
    <w:rsid w:val="00D65B22"/>
    <w:rsid w:val="00D70179"/>
    <w:rsid w:val="00D8017F"/>
    <w:rsid w:val="00D80334"/>
    <w:rsid w:val="00D81C80"/>
    <w:rsid w:val="00D8349A"/>
    <w:rsid w:val="00D869E9"/>
    <w:rsid w:val="00D86AC4"/>
    <w:rsid w:val="00D96B0E"/>
    <w:rsid w:val="00DA0C80"/>
    <w:rsid w:val="00DA0FCD"/>
    <w:rsid w:val="00DA1339"/>
    <w:rsid w:val="00DA2F5D"/>
    <w:rsid w:val="00DA3599"/>
    <w:rsid w:val="00DA37D4"/>
    <w:rsid w:val="00DA42A8"/>
    <w:rsid w:val="00DA5786"/>
    <w:rsid w:val="00DA5E8F"/>
    <w:rsid w:val="00DA64F8"/>
    <w:rsid w:val="00DA6E08"/>
    <w:rsid w:val="00DB0782"/>
    <w:rsid w:val="00DB10BD"/>
    <w:rsid w:val="00DB11E5"/>
    <w:rsid w:val="00DB1839"/>
    <w:rsid w:val="00DB1D89"/>
    <w:rsid w:val="00DB2C0A"/>
    <w:rsid w:val="00DB468D"/>
    <w:rsid w:val="00DB5173"/>
    <w:rsid w:val="00DB679F"/>
    <w:rsid w:val="00DB6F9B"/>
    <w:rsid w:val="00DC1B13"/>
    <w:rsid w:val="00DC2201"/>
    <w:rsid w:val="00DC2487"/>
    <w:rsid w:val="00DC3A96"/>
    <w:rsid w:val="00DC3E75"/>
    <w:rsid w:val="00DC4C63"/>
    <w:rsid w:val="00DC6A8D"/>
    <w:rsid w:val="00DC7145"/>
    <w:rsid w:val="00DC7A40"/>
    <w:rsid w:val="00DC7AA6"/>
    <w:rsid w:val="00DD01AE"/>
    <w:rsid w:val="00DD02E1"/>
    <w:rsid w:val="00DD0656"/>
    <w:rsid w:val="00DD06D1"/>
    <w:rsid w:val="00DD1230"/>
    <w:rsid w:val="00DD17F2"/>
    <w:rsid w:val="00DD2CAB"/>
    <w:rsid w:val="00DD2DE4"/>
    <w:rsid w:val="00DD35B7"/>
    <w:rsid w:val="00DD3DB4"/>
    <w:rsid w:val="00DD4244"/>
    <w:rsid w:val="00DD4618"/>
    <w:rsid w:val="00DD51C2"/>
    <w:rsid w:val="00DD71FA"/>
    <w:rsid w:val="00DD785D"/>
    <w:rsid w:val="00DD7C14"/>
    <w:rsid w:val="00DE026E"/>
    <w:rsid w:val="00DE0C95"/>
    <w:rsid w:val="00DE12D6"/>
    <w:rsid w:val="00DE36CC"/>
    <w:rsid w:val="00DE5118"/>
    <w:rsid w:val="00DE5BBC"/>
    <w:rsid w:val="00DE7E06"/>
    <w:rsid w:val="00DF03ED"/>
    <w:rsid w:val="00DF0FC9"/>
    <w:rsid w:val="00DF1AB2"/>
    <w:rsid w:val="00E00A15"/>
    <w:rsid w:val="00E02477"/>
    <w:rsid w:val="00E027C7"/>
    <w:rsid w:val="00E04378"/>
    <w:rsid w:val="00E04E72"/>
    <w:rsid w:val="00E0606B"/>
    <w:rsid w:val="00E0650E"/>
    <w:rsid w:val="00E06B5E"/>
    <w:rsid w:val="00E07A1B"/>
    <w:rsid w:val="00E13AFB"/>
    <w:rsid w:val="00E15317"/>
    <w:rsid w:val="00E20B49"/>
    <w:rsid w:val="00E23587"/>
    <w:rsid w:val="00E25E16"/>
    <w:rsid w:val="00E264FD"/>
    <w:rsid w:val="00E32C37"/>
    <w:rsid w:val="00E34871"/>
    <w:rsid w:val="00E357C3"/>
    <w:rsid w:val="00E3786E"/>
    <w:rsid w:val="00E40536"/>
    <w:rsid w:val="00E419D5"/>
    <w:rsid w:val="00E42DC8"/>
    <w:rsid w:val="00E432DA"/>
    <w:rsid w:val="00E43CED"/>
    <w:rsid w:val="00E4418A"/>
    <w:rsid w:val="00E44B5D"/>
    <w:rsid w:val="00E44D60"/>
    <w:rsid w:val="00E4712B"/>
    <w:rsid w:val="00E47194"/>
    <w:rsid w:val="00E50EF8"/>
    <w:rsid w:val="00E52E8D"/>
    <w:rsid w:val="00E5311A"/>
    <w:rsid w:val="00E53307"/>
    <w:rsid w:val="00E53F9D"/>
    <w:rsid w:val="00E5410F"/>
    <w:rsid w:val="00E56E1C"/>
    <w:rsid w:val="00E5766A"/>
    <w:rsid w:val="00E6039A"/>
    <w:rsid w:val="00E604BB"/>
    <w:rsid w:val="00E6063A"/>
    <w:rsid w:val="00E6095F"/>
    <w:rsid w:val="00E60C48"/>
    <w:rsid w:val="00E61176"/>
    <w:rsid w:val="00E62555"/>
    <w:rsid w:val="00E64249"/>
    <w:rsid w:val="00E644BE"/>
    <w:rsid w:val="00E64B30"/>
    <w:rsid w:val="00E65412"/>
    <w:rsid w:val="00E65D65"/>
    <w:rsid w:val="00E66683"/>
    <w:rsid w:val="00E70CBC"/>
    <w:rsid w:val="00E71C33"/>
    <w:rsid w:val="00E739A7"/>
    <w:rsid w:val="00E80B20"/>
    <w:rsid w:val="00E81BD8"/>
    <w:rsid w:val="00E81C50"/>
    <w:rsid w:val="00E81F34"/>
    <w:rsid w:val="00E82A0E"/>
    <w:rsid w:val="00E83303"/>
    <w:rsid w:val="00E84C77"/>
    <w:rsid w:val="00E85780"/>
    <w:rsid w:val="00E86EA4"/>
    <w:rsid w:val="00E905DA"/>
    <w:rsid w:val="00E92E01"/>
    <w:rsid w:val="00E93B4E"/>
    <w:rsid w:val="00E942E9"/>
    <w:rsid w:val="00E94A59"/>
    <w:rsid w:val="00E956ED"/>
    <w:rsid w:val="00E958B0"/>
    <w:rsid w:val="00E968F9"/>
    <w:rsid w:val="00EA303E"/>
    <w:rsid w:val="00EA3A99"/>
    <w:rsid w:val="00EA3BB6"/>
    <w:rsid w:val="00EA3F7E"/>
    <w:rsid w:val="00EA4ACC"/>
    <w:rsid w:val="00EA7140"/>
    <w:rsid w:val="00EA78BD"/>
    <w:rsid w:val="00EB21EB"/>
    <w:rsid w:val="00EB2C5E"/>
    <w:rsid w:val="00EB496E"/>
    <w:rsid w:val="00EB6144"/>
    <w:rsid w:val="00EB6A46"/>
    <w:rsid w:val="00EC0F35"/>
    <w:rsid w:val="00EC1433"/>
    <w:rsid w:val="00EC379C"/>
    <w:rsid w:val="00EC478C"/>
    <w:rsid w:val="00EC5063"/>
    <w:rsid w:val="00EC51C8"/>
    <w:rsid w:val="00EC614B"/>
    <w:rsid w:val="00EC64C1"/>
    <w:rsid w:val="00EC65CB"/>
    <w:rsid w:val="00EC76A9"/>
    <w:rsid w:val="00EC7EAB"/>
    <w:rsid w:val="00ED032D"/>
    <w:rsid w:val="00ED0ABB"/>
    <w:rsid w:val="00ED1A45"/>
    <w:rsid w:val="00ED2C36"/>
    <w:rsid w:val="00ED436F"/>
    <w:rsid w:val="00ED454B"/>
    <w:rsid w:val="00ED6E23"/>
    <w:rsid w:val="00EE1644"/>
    <w:rsid w:val="00EE3035"/>
    <w:rsid w:val="00EE6F61"/>
    <w:rsid w:val="00EE7F78"/>
    <w:rsid w:val="00EF02F5"/>
    <w:rsid w:val="00EF1527"/>
    <w:rsid w:val="00EF2DEE"/>
    <w:rsid w:val="00EF612B"/>
    <w:rsid w:val="00EF7105"/>
    <w:rsid w:val="00F03DDC"/>
    <w:rsid w:val="00F04E8C"/>
    <w:rsid w:val="00F05E18"/>
    <w:rsid w:val="00F05FD4"/>
    <w:rsid w:val="00F10CB3"/>
    <w:rsid w:val="00F1354A"/>
    <w:rsid w:val="00F13CE7"/>
    <w:rsid w:val="00F150B8"/>
    <w:rsid w:val="00F15B3A"/>
    <w:rsid w:val="00F17710"/>
    <w:rsid w:val="00F215BD"/>
    <w:rsid w:val="00F229C5"/>
    <w:rsid w:val="00F22C23"/>
    <w:rsid w:val="00F273D9"/>
    <w:rsid w:val="00F30D53"/>
    <w:rsid w:val="00F30F53"/>
    <w:rsid w:val="00F32051"/>
    <w:rsid w:val="00F33BE3"/>
    <w:rsid w:val="00F36A08"/>
    <w:rsid w:val="00F37289"/>
    <w:rsid w:val="00F416A7"/>
    <w:rsid w:val="00F43A3E"/>
    <w:rsid w:val="00F45E7A"/>
    <w:rsid w:val="00F468C3"/>
    <w:rsid w:val="00F47205"/>
    <w:rsid w:val="00F50968"/>
    <w:rsid w:val="00F539EB"/>
    <w:rsid w:val="00F5604F"/>
    <w:rsid w:val="00F56421"/>
    <w:rsid w:val="00F56753"/>
    <w:rsid w:val="00F57AE3"/>
    <w:rsid w:val="00F57B6C"/>
    <w:rsid w:val="00F60677"/>
    <w:rsid w:val="00F61CFD"/>
    <w:rsid w:val="00F61D7A"/>
    <w:rsid w:val="00F61EA9"/>
    <w:rsid w:val="00F6271B"/>
    <w:rsid w:val="00F62A89"/>
    <w:rsid w:val="00F64A8D"/>
    <w:rsid w:val="00F70F35"/>
    <w:rsid w:val="00F7153D"/>
    <w:rsid w:val="00F7168E"/>
    <w:rsid w:val="00F7182C"/>
    <w:rsid w:val="00F7208B"/>
    <w:rsid w:val="00F725AC"/>
    <w:rsid w:val="00F72931"/>
    <w:rsid w:val="00F74F28"/>
    <w:rsid w:val="00F75378"/>
    <w:rsid w:val="00F75C02"/>
    <w:rsid w:val="00F76671"/>
    <w:rsid w:val="00F81037"/>
    <w:rsid w:val="00F81680"/>
    <w:rsid w:val="00F82845"/>
    <w:rsid w:val="00F829F0"/>
    <w:rsid w:val="00F841F4"/>
    <w:rsid w:val="00F84668"/>
    <w:rsid w:val="00F8544E"/>
    <w:rsid w:val="00F8672C"/>
    <w:rsid w:val="00F868FF"/>
    <w:rsid w:val="00F87336"/>
    <w:rsid w:val="00F87F3E"/>
    <w:rsid w:val="00F901AF"/>
    <w:rsid w:val="00F90B3F"/>
    <w:rsid w:val="00F9368D"/>
    <w:rsid w:val="00F94581"/>
    <w:rsid w:val="00F9489F"/>
    <w:rsid w:val="00F959C6"/>
    <w:rsid w:val="00F95F7A"/>
    <w:rsid w:val="00F963C7"/>
    <w:rsid w:val="00F97628"/>
    <w:rsid w:val="00FA00E0"/>
    <w:rsid w:val="00FA2048"/>
    <w:rsid w:val="00FA27A8"/>
    <w:rsid w:val="00FA3404"/>
    <w:rsid w:val="00FA3491"/>
    <w:rsid w:val="00FA4FA4"/>
    <w:rsid w:val="00FA568B"/>
    <w:rsid w:val="00FA61D3"/>
    <w:rsid w:val="00FA6410"/>
    <w:rsid w:val="00FA6F53"/>
    <w:rsid w:val="00FA7280"/>
    <w:rsid w:val="00FB00C6"/>
    <w:rsid w:val="00FB2C3B"/>
    <w:rsid w:val="00FB2FB7"/>
    <w:rsid w:val="00FB41D0"/>
    <w:rsid w:val="00FB44A3"/>
    <w:rsid w:val="00FB529B"/>
    <w:rsid w:val="00FB7D5E"/>
    <w:rsid w:val="00FC053D"/>
    <w:rsid w:val="00FC06DC"/>
    <w:rsid w:val="00FC0BFE"/>
    <w:rsid w:val="00FC21C7"/>
    <w:rsid w:val="00FC21EA"/>
    <w:rsid w:val="00FC2D14"/>
    <w:rsid w:val="00FC3B68"/>
    <w:rsid w:val="00FC5EA1"/>
    <w:rsid w:val="00FC7613"/>
    <w:rsid w:val="00FD0EA0"/>
    <w:rsid w:val="00FD17D6"/>
    <w:rsid w:val="00FD1CE8"/>
    <w:rsid w:val="00FD1E45"/>
    <w:rsid w:val="00FD212C"/>
    <w:rsid w:val="00FD23AA"/>
    <w:rsid w:val="00FD307A"/>
    <w:rsid w:val="00FD3BE2"/>
    <w:rsid w:val="00FD455B"/>
    <w:rsid w:val="00FD6331"/>
    <w:rsid w:val="00FE07CE"/>
    <w:rsid w:val="00FE0BDA"/>
    <w:rsid w:val="00FE112C"/>
    <w:rsid w:val="00FE70FD"/>
    <w:rsid w:val="00FE7137"/>
    <w:rsid w:val="00FF0C03"/>
    <w:rsid w:val="00FF122A"/>
    <w:rsid w:val="00FF3162"/>
    <w:rsid w:val="00FF57DE"/>
    <w:rsid w:val="00FF63FC"/>
    <w:rsid w:val="00FF648B"/>
    <w:rsid w:val="00FF6753"/>
    <w:rsid w:val="00FF7915"/>
    <w:rsid w:val="667769AE"/>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D3E4CC9"/>
  <w15:docId w15:val="{D47361FC-7EC4-418C-833A-4F90291F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A6"/>
    <w:rPr>
      <w:rFonts w:ascii="Tahoma" w:hAnsi="Tahoma" w:cs="Tahoma"/>
      <w:sz w:val="16"/>
      <w:szCs w:val="16"/>
    </w:rPr>
  </w:style>
  <w:style w:type="paragraph" w:styleId="ListParagraph">
    <w:name w:val="List Paragraph"/>
    <w:basedOn w:val="Normal"/>
    <w:link w:val="ListParagraphChar"/>
    <w:uiPriority w:val="34"/>
    <w:qFormat/>
    <w:rsid w:val="006B03E0"/>
    <w:pPr>
      <w:ind w:left="720"/>
      <w:contextualSpacing/>
    </w:pPr>
  </w:style>
  <w:style w:type="paragraph" w:styleId="FootnoteText">
    <w:name w:val="footnote text"/>
    <w:basedOn w:val="Normal"/>
    <w:link w:val="FootnoteTextChar"/>
    <w:uiPriority w:val="99"/>
    <w:unhideWhenUsed/>
    <w:rsid w:val="00906537"/>
    <w:pPr>
      <w:spacing w:after="0" w:line="240" w:lineRule="auto"/>
    </w:pPr>
    <w:rPr>
      <w:sz w:val="24"/>
      <w:szCs w:val="24"/>
    </w:rPr>
  </w:style>
  <w:style w:type="character" w:customStyle="1" w:styleId="FootnoteTextChar">
    <w:name w:val="Footnote Text Char"/>
    <w:basedOn w:val="DefaultParagraphFont"/>
    <w:link w:val="FootnoteText"/>
    <w:uiPriority w:val="99"/>
    <w:rsid w:val="00906537"/>
    <w:rPr>
      <w:sz w:val="24"/>
      <w:szCs w:val="24"/>
    </w:rPr>
  </w:style>
  <w:style w:type="character" w:styleId="FootnoteReference">
    <w:name w:val="footnote reference"/>
    <w:basedOn w:val="DefaultParagraphFont"/>
    <w:uiPriority w:val="99"/>
    <w:unhideWhenUsed/>
    <w:rsid w:val="00906537"/>
    <w:rPr>
      <w:vertAlign w:val="superscript"/>
    </w:rPr>
  </w:style>
  <w:style w:type="character" w:styleId="CommentReference">
    <w:name w:val="annotation reference"/>
    <w:basedOn w:val="DefaultParagraphFont"/>
    <w:uiPriority w:val="99"/>
    <w:semiHidden/>
    <w:unhideWhenUsed/>
    <w:rsid w:val="008B59B8"/>
    <w:rPr>
      <w:sz w:val="16"/>
      <w:szCs w:val="16"/>
    </w:rPr>
  </w:style>
  <w:style w:type="paragraph" w:styleId="CommentText">
    <w:name w:val="annotation text"/>
    <w:basedOn w:val="Normal"/>
    <w:link w:val="CommentTextChar"/>
    <w:uiPriority w:val="99"/>
    <w:semiHidden/>
    <w:unhideWhenUsed/>
    <w:rsid w:val="008B59B8"/>
    <w:pPr>
      <w:spacing w:line="240" w:lineRule="auto"/>
    </w:pPr>
    <w:rPr>
      <w:sz w:val="20"/>
      <w:szCs w:val="20"/>
    </w:rPr>
  </w:style>
  <w:style w:type="character" w:customStyle="1" w:styleId="CommentTextChar">
    <w:name w:val="Comment Text Char"/>
    <w:basedOn w:val="DefaultParagraphFont"/>
    <w:link w:val="CommentText"/>
    <w:uiPriority w:val="99"/>
    <w:semiHidden/>
    <w:rsid w:val="008B59B8"/>
    <w:rPr>
      <w:sz w:val="20"/>
      <w:szCs w:val="20"/>
    </w:rPr>
  </w:style>
  <w:style w:type="paragraph" w:styleId="CommentSubject">
    <w:name w:val="annotation subject"/>
    <w:basedOn w:val="CommentText"/>
    <w:next w:val="CommentText"/>
    <w:link w:val="CommentSubjectChar"/>
    <w:uiPriority w:val="99"/>
    <w:semiHidden/>
    <w:unhideWhenUsed/>
    <w:rsid w:val="008B59B8"/>
    <w:rPr>
      <w:b/>
      <w:bCs/>
    </w:rPr>
  </w:style>
  <w:style w:type="character" w:customStyle="1" w:styleId="CommentSubjectChar">
    <w:name w:val="Comment Subject Char"/>
    <w:basedOn w:val="CommentTextChar"/>
    <w:link w:val="CommentSubject"/>
    <w:uiPriority w:val="99"/>
    <w:semiHidden/>
    <w:rsid w:val="008B59B8"/>
    <w:rPr>
      <w:b/>
      <w:bCs/>
      <w:sz w:val="20"/>
      <w:szCs w:val="20"/>
    </w:rPr>
  </w:style>
  <w:style w:type="paragraph" w:styleId="Header">
    <w:name w:val="header"/>
    <w:basedOn w:val="Normal"/>
    <w:link w:val="HeaderChar"/>
    <w:uiPriority w:val="99"/>
    <w:unhideWhenUsed/>
    <w:rsid w:val="0013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21D"/>
  </w:style>
  <w:style w:type="paragraph" w:styleId="Footer">
    <w:name w:val="footer"/>
    <w:basedOn w:val="Normal"/>
    <w:link w:val="FooterChar"/>
    <w:uiPriority w:val="99"/>
    <w:unhideWhenUsed/>
    <w:rsid w:val="0013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21D"/>
  </w:style>
  <w:style w:type="paragraph" w:styleId="Revision">
    <w:name w:val="Revision"/>
    <w:hidden/>
    <w:uiPriority w:val="99"/>
    <w:semiHidden/>
    <w:rsid w:val="000537E5"/>
    <w:pPr>
      <w:spacing w:after="0" w:line="240" w:lineRule="auto"/>
    </w:pPr>
  </w:style>
  <w:style w:type="character" w:customStyle="1" w:styleId="ListParagraphChar">
    <w:name w:val="List Paragraph Char"/>
    <w:basedOn w:val="DefaultParagraphFont"/>
    <w:link w:val="ListParagraph"/>
    <w:uiPriority w:val="34"/>
    <w:rsid w:val="00B942B3"/>
  </w:style>
  <w:style w:type="character" w:styleId="Hyperlink">
    <w:name w:val="Hyperlink"/>
    <w:basedOn w:val="DefaultParagraphFont"/>
    <w:uiPriority w:val="99"/>
    <w:unhideWhenUsed/>
    <w:rsid w:val="00A71AF2"/>
    <w:rPr>
      <w:color w:val="0000FF" w:themeColor="hyperlink"/>
      <w:u w:val="single"/>
    </w:rPr>
  </w:style>
  <w:style w:type="character" w:styleId="FollowedHyperlink">
    <w:name w:val="FollowedHyperlink"/>
    <w:basedOn w:val="DefaultParagraphFont"/>
    <w:uiPriority w:val="99"/>
    <w:semiHidden/>
    <w:unhideWhenUsed/>
    <w:rsid w:val="004F433C"/>
    <w:rPr>
      <w:color w:val="800080" w:themeColor="followedHyperlink"/>
      <w:u w:val="single"/>
    </w:rPr>
  </w:style>
  <w:style w:type="character" w:styleId="Mention">
    <w:name w:val="Mention"/>
    <w:basedOn w:val="DefaultParagraphFont"/>
    <w:uiPriority w:val="99"/>
    <w:semiHidden/>
    <w:unhideWhenUsed/>
    <w:rsid w:val="00D445BD"/>
    <w:rPr>
      <w:color w:val="2B579A"/>
      <w:shd w:val="clear" w:color="auto" w:fill="E6E6E6"/>
    </w:rPr>
  </w:style>
  <w:style w:type="character" w:customStyle="1" w:styleId="UnresolvedMention1">
    <w:name w:val="Unresolved Mention1"/>
    <w:basedOn w:val="DefaultParagraphFont"/>
    <w:uiPriority w:val="99"/>
    <w:semiHidden/>
    <w:unhideWhenUsed/>
    <w:rsid w:val="009502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6648">
      <w:bodyDiv w:val="1"/>
      <w:marLeft w:val="0"/>
      <w:marRight w:val="0"/>
      <w:marTop w:val="0"/>
      <w:marBottom w:val="0"/>
      <w:divBdr>
        <w:top w:val="none" w:sz="0" w:space="0" w:color="auto"/>
        <w:left w:val="none" w:sz="0" w:space="0" w:color="auto"/>
        <w:bottom w:val="none" w:sz="0" w:space="0" w:color="auto"/>
        <w:right w:val="none" w:sz="0" w:space="0" w:color="auto"/>
      </w:divBdr>
    </w:div>
    <w:div w:id="142087298">
      <w:bodyDiv w:val="1"/>
      <w:marLeft w:val="0"/>
      <w:marRight w:val="0"/>
      <w:marTop w:val="0"/>
      <w:marBottom w:val="0"/>
      <w:divBdr>
        <w:top w:val="none" w:sz="0" w:space="0" w:color="auto"/>
        <w:left w:val="none" w:sz="0" w:space="0" w:color="auto"/>
        <w:bottom w:val="none" w:sz="0" w:space="0" w:color="auto"/>
        <w:right w:val="none" w:sz="0" w:space="0" w:color="auto"/>
      </w:divBdr>
    </w:div>
    <w:div w:id="347023739">
      <w:bodyDiv w:val="1"/>
      <w:marLeft w:val="0"/>
      <w:marRight w:val="0"/>
      <w:marTop w:val="0"/>
      <w:marBottom w:val="0"/>
      <w:divBdr>
        <w:top w:val="none" w:sz="0" w:space="0" w:color="auto"/>
        <w:left w:val="none" w:sz="0" w:space="0" w:color="auto"/>
        <w:bottom w:val="none" w:sz="0" w:space="0" w:color="auto"/>
        <w:right w:val="none" w:sz="0" w:space="0" w:color="auto"/>
      </w:divBdr>
    </w:div>
    <w:div w:id="596254354">
      <w:bodyDiv w:val="1"/>
      <w:marLeft w:val="0"/>
      <w:marRight w:val="0"/>
      <w:marTop w:val="0"/>
      <w:marBottom w:val="0"/>
      <w:divBdr>
        <w:top w:val="none" w:sz="0" w:space="0" w:color="auto"/>
        <w:left w:val="none" w:sz="0" w:space="0" w:color="auto"/>
        <w:bottom w:val="none" w:sz="0" w:space="0" w:color="auto"/>
        <w:right w:val="none" w:sz="0" w:space="0" w:color="auto"/>
      </w:divBdr>
    </w:div>
    <w:div w:id="722682581">
      <w:bodyDiv w:val="1"/>
      <w:marLeft w:val="0"/>
      <w:marRight w:val="0"/>
      <w:marTop w:val="0"/>
      <w:marBottom w:val="0"/>
      <w:divBdr>
        <w:top w:val="none" w:sz="0" w:space="0" w:color="auto"/>
        <w:left w:val="none" w:sz="0" w:space="0" w:color="auto"/>
        <w:bottom w:val="none" w:sz="0" w:space="0" w:color="auto"/>
        <w:right w:val="none" w:sz="0" w:space="0" w:color="auto"/>
      </w:divBdr>
    </w:div>
    <w:div w:id="1059863095">
      <w:bodyDiv w:val="1"/>
      <w:marLeft w:val="0"/>
      <w:marRight w:val="0"/>
      <w:marTop w:val="0"/>
      <w:marBottom w:val="0"/>
      <w:divBdr>
        <w:top w:val="none" w:sz="0" w:space="0" w:color="auto"/>
        <w:left w:val="none" w:sz="0" w:space="0" w:color="auto"/>
        <w:bottom w:val="none" w:sz="0" w:space="0" w:color="auto"/>
        <w:right w:val="none" w:sz="0" w:space="0" w:color="auto"/>
      </w:divBdr>
    </w:div>
    <w:div w:id="1085419747">
      <w:bodyDiv w:val="1"/>
      <w:marLeft w:val="0"/>
      <w:marRight w:val="0"/>
      <w:marTop w:val="0"/>
      <w:marBottom w:val="0"/>
      <w:divBdr>
        <w:top w:val="none" w:sz="0" w:space="0" w:color="auto"/>
        <w:left w:val="none" w:sz="0" w:space="0" w:color="auto"/>
        <w:bottom w:val="none" w:sz="0" w:space="0" w:color="auto"/>
        <w:right w:val="none" w:sz="0" w:space="0" w:color="auto"/>
      </w:divBdr>
    </w:div>
    <w:div w:id="1133134416">
      <w:bodyDiv w:val="1"/>
      <w:marLeft w:val="0"/>
      <w:marRight w:val="0"/>
      <w:marTop w:val="0"/>
      <w:marBottom w:val="0"/>
      <w:divBdr>
        <w:top w:val="none" w:sz="0" w:space="0" w:color="auto"/>
        <w:left w:val="none" w:sz="0" w:space="0" w:color="auto"/>
        <w:bottom w:val="none" w:sz="0" w:space="0" w:color="auto"/>
        <w:right w:val="none" w:sz="0" w:space="0" w:color="auto"/>
      </w:divBdr>
    </w:div>
    <w:div w:id="1219778710">
      <w:bodyDiv w:val="1"/>
      <w:marLeft w:val="0"/>
      <w:marRight w:val="0"/>
      <w:marTop w:val="0"/>
      <w:marBottom w:val="0"/>
      <w:divBdr>
        <w:top w:val="none" w:sz="0" w:space="0" w:color="auto"/>
        <w:left w:val="none" w:sz="0" w:space="0" w:color="auto"/>
        <w:bottom w:val="none" w:sz="0" w:space="0" w:color="auto"/>
        <w:right w:val="none" w:sz="0" w:space="0" w:color="auto"/>
      </w:divBdr>
    </w:div>
    <w:div w:id="1269316559">
      <w:bodyDiv w:val="1"/>
      <w:marLeft w:val="0"/>
      <w:marRight w:val="0"/>
      <w:marTop w:val="0"/>
      <w:marBottom w:val="0"/>
      <w:divBdr>
        <w:top w:val="none" w:sz="0" w:space="0" w:color="auto"/>
        <w:left w:val="none" w:sz="0" w:space="0" w:color="auto"/>
        <w:bottom w:val="none" w:sz="0" w:space="0" w:color="auto"/>
        <w:right w:val="none" w:sz="0" w:space="0" w:color="auto"/>
      </w:divBdr>
    </w:div>
    <w:div w:id="1356035226">
      <w:bodyDiv w:val="1"/>
      <w:marLeft w:val="0"/>
      <w:marRight w:val="0"/>
      <w:marTop w:val="0"/>
      <w:marBottom w:val="0"/>
      <w:divBdr>
        <w:top w:val="none" w:sz="0" w:space="0" w:color="auto"/>
        <w:left w:val="none" w:sz="0" w:space="0" w:color="auto"/>
        <w:bottom w:val="none" w:sz="0" w:space="0" w:color="auto"/>
        <w:right w:val="none" w:sz="0" w:space="0" w:color="auto"/>
      </w:divBdr>
    </w:div>
    <w:div w:id="1416438920">
      <w:bodyDiv w:val="1"/>
      <w:marLeft w:val="0"/>
      <w:marRight w:val="0"/>
      <w:marTop w:val="0"/>
      <w:marBottom w:val="0"/>
      <w:divBdr>
        <w:top w:val="none" w:sz="0" w:space="0" w:color="auto"/>
        <w:left w:val="none" w:sz="0" w:space="0" w:color="auto"/>
        <w:bottom w:val="none" w:sz="0" w:space="0" w:color="auto"/>
        <w:right w:val="none" w:sz="0" w:space="0" w:color="auto"/>
      </w:divBdr>
    </w:div>
    <w:div w:id="1553928953">
      <w:bodyDiv w:val="1"/>
      <w:marLeft w:val="0"/>
      <w:marRight w:val="0"/>
      <w:marTop w:val="0"/>
      <w:marBottom w:val="0"/>
      <w:divBdr>
        <w:top w:val="none" w:sz="0" w:space="0" w:color="auto"/>
        <w:left w:val="none" w:sz="0" w:space="0" w:color="auto"/>
        <w:bottom w:val="none" w:sz="0" w:space="0" w:color="auto"/>
        <w:right w:val="none" w:sz="0" w:space="0" w:color="auto"/>
      </w:divBdr>
    </w:div>
    <w:div w:id="1863547225">
      <w:bodyDiv w:val="1"/>
      <w:marLeft w:val="0"/>
      <w:marRight w:val="0"/>
      <w:marTop w:val="0"/>
      <w:marBottom w:val="0"/>
      <w:divBdr>
        <w:top w:val="none" w:sz="0" w:space="0" w:color="auto"/>
        <w:left w:val="none" w:sz="0" w:space="0" w:color="auto"/>
        <w:bottom w:val="none" w:sz="0" w:space="0" w:color="auto"/>
        <w:right w:val="none" w:sz="0" w:space="0" w:color="auto"/>
      </w:divBdr>
    </w:div>
    <w:div w:id="20630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CDOCS://IDBDOCS/39601969/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CED9-6158-4A16-83C0-D097FE3B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hbaldivieso</dc:creator>
  <cp:lastModifiedBy>Baldivieso, Hector</cp:lastModifiedBy>
  <cp:revision>8</cp:revision>
  <cp:lastPrinted>2017-06-06T20:45:00Z</cp:lastPrinted>
  <dcterms:created xsi:type="dcterms:W3CDTF">2017-09-01T15:47:00Z</dcterms:created>
  <dcterms:modified xsi:type="dcterms:W3CDTF">2017-09-07T20:55:00Z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e61c6c06-7f9d-438c-8433-8a8b5d93e0ec</vt:lpwstr>
  </property>
</Properties>
</file>