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B29C5" w14:textId="77777777" w:rsidR="0043165D" w:rsidRPr="0055512B" w:rsidRDefault="0043165D" w:rsidP="0043165D">
      <w:pPr>
        <w:spacing w:line="276" w:lineRule="auto"/>
        <w:jc w:val="center"/>
        <w:rPr>
          <w:b/>
        </w:rPr>
      </w:pPr>
      <w:bookmarkStart w:id="0" w:name="_GoBack"/>
      <w:bookmarkEnd w:id="0"/>
    </w:p>
    <w:p w14:paraId="021E598A" w14:textId="77777777" w:rsidR="0043165D" w:rsidRPr="0055512B" w:rsidRDefault="0043165D" w:rsidP="0043165D">
      <w:pPr>
        <w:spacing w:line="276" w:lineRule="auto"/>
        <w:jc w:val="center"/>
        <w:rPr>
          <w:b/>
        </w:rPr>
      </w:pPr>
    </w:p>
    <w:p w14:paraId="615DB6FB" w14:textId="77777777" w:rsidR="0043165D" w:rsidRPr="0055512B" w:rsidRDefault="0043165D" w:rsidP="0043165D">
      <w:pPr>
        <w:spacing w:line="276" w:lineRule="auto"/>
        <w:jc w:val="center"/>
        <w:rPr>
          <w:b/>
        </w:rPr>
      </w:pPr>
    </w:p>
    <w:p w14:paraId="6341AFB3" w14:textId="77777777" w:rsidR="0043165D" w:rsidRPr="0055512B" w:rsidRDefault="0043165D" w:rsidP="0043165D">
      <w:pPr>
        <w:spacing w:line="276" w:lineRule="auto"/>
        <w:jc w:val="center"/>
        <w:rPr>
          <w:b/>
        </w:rPr>
      </w:pPr>
    </w:p>
    <w:p w14:paraId="69FE41D0" w14:textId="77777777" w:rsidR="0043165D" w:rsidRPr="0055512B" w:rsidRDefault="0043165D" w:rsidP="0043165D">
      <w:pPr>
        <w:spacing w:line="276" w:lineRule="auto"/>
        <w:jc w:val="center"/>
        <w:rPr>
          <w:b/>
        </w:rPr>
      </w:pPr>
    </w:p>
    <w:p w14:paraId="5A2FB5F5" w14:textId="77777777" w:rsidR="0043165D" w:rsidRPr="0055512B" w:rsidRDefault="0043165D" w:rsidP="0043165D">
      <w:pPr>
        <w:spacing w:line="276" w:lineRule="auto"/>
        <w:jc w:val="center"/>
        <w:rPr>
          <w:b/>
        </w:rPr>
      </w:pPr>
    </w:p>
    <w:p w14:paraId="73645955" w14:textId="77777777" w:rsidR="0043165D" w:rsidRPr="0055512B" w:rsidRDefault="0043165D" w:rsidP="0043165D">
      <w:pPr>
        <w:spacing w:line="276" w:lineRule="auto"/>
        <w:jc w:val="center"/>
        <w:rPr>
          <w:b/>
        </w:rPr>
      </w:pPr>
    </w:p>
    <w:p w14:paraId="6BC41035" w14:textId="77777777" w:rsidR="0043165D" w:rsidRPr="0055512B" w:rsidRDefault="0043165D" w:rsidP="0043165D">
      <w:pPr>
        <w:spacing w:line="276" w:lineRule="auto"/>
        <w:jc w:val="center"/>
        <w:rPr>
          <w:b/>
        </w:rPr>
      </w:pPr>
    </w:p>
    <w:p w14:paraId="5BAEA4AF" w14:textId="77777777" w:rsidR="0043165D" w:rsidRPr="0055512B" w:rsidRDefault="0043165D" w:rsidP="0043165D">
      <w:pPr>
        <w:spacing w:line="276" w:lineRule="auto"/>
        <w:jc w:val="center"/>
        <w:rPr>
          <w:b/>
        </w:rPr>
      </w:pPr>
    </w:p>
    <w:p w14:paraId="55F0A8E9" w14:textId="77777777" w:rsidR="0043165D" w:rsidRPr="0055512B" w:rsidRDefault="0043165D" w:rsidP="0043165D">
      <w:pPr>
        <w:spacing w:line="276" w:lineRule="auto"/>
        <w:jc w:val="center"/>
        <w:rPr>
          <w:b/>
        </w:rPr>
      </w:pPr>
    </w:p>
    <w:p w14:paraId="0C8CDC99" w14:textId="77777777" w:rsidR="0043165D" w:rsidRPr="0055512B" w:rsidRDefault="0043165D" w:rsidP="0043165D">
      <w:pPr>
        <w:spacing w:line="276" w:lineRule="auto"/>
        <w:jc w:val="center"/>
        <w:rPr>
          <w:b/>
        </w:rPr>
      </w:pPr>
    </w:p>
    <w:p w14:paraId="12F786EB" w14:textId="77777777" w:rsidR="0043165D" w:rsidRPr="0055512B" w:rsidRDefault="0043165D" w:rsidP="0043165D">
      <w:pPr>
        <w:spacing w:line="276" w:lineRule="auto"/>
        <w:jc w:val="center"/>
        <w:rPr>
          <w:b/>
        </w:rPr>
      </w:pPr>
    </w:p>
    <w:p w14:paraId="3CFF94BA" w14:textId="77777777" w:rsidR="0043165D" w:rsidRPr="0055512B" w:rsidRDefault="0043165D" w:rsidP="0043165D">
      <w:pPr>
        <w:spacing w:line="276" w:lineRule="auto"/>
        <w:jc w:val="center"/>
        <w:rPr>
          <w:b/>
        </w:rPr>
      </w:pPr>
    </w:p>
    <w:p w14:paraId="33F9759E" w14:textId="77777777" w:rsidR="0043165D" w:rsidRPr="0055512B" w:rsidRDefault="0043165D" w:rsidP="0043165D">
      <w:pPr>
        <w:spacing w:line="276" w:lineRule="auto"/>
        <w:jc w:val="center"/>
        <w:rPr>
          <w:b/>
        </w:rPr>
      </w:pPr>
    </w:p>
    <w:p w14:paraId="04220445" w14:textId="77777777" w:rsidR="00624B61" w:rsidRPr="0055512B" w:rsidRDefault="00017230" w:rsidP="0043165D">
      <w:pPr>
        <w:spacing w:line="276" w:lineRule="auto"/>
        <w:jc w:val="center"/>
        <w:rPr>
          <w:b/>
          <w:sz w:val="36"/>
          <w:szCs w:val="36"/>
        </w:rPr>
      </w:pPr>
      <w:r w:rsidRPr="0055512B">
        <w:rPr>
          <w:b/>
          <w:sz w:val="36"/>
          <w:szCs w:val="36"/>
        </w:rPr>
        <w:t>Manuel d</w:t>
      </w:r>
      <w:r w:rsidR="00502511" w:rsidRPr="0055512B">
        <w:rPr>
          <w:b/>
          <w:sz w:val="36"/>
          <w:szCs w:val="36"/>
        </w:rPr>
        <w:t>’</w:t>
      </w:r>
      <w:r w:rsidRPr="0055512B">
        <w:rPr>
          <w:b/>
          <w:sz w:val="36"/>
          <w:szCs w:val="36"/>
        </w:rPr>
        <w:t xml:space="preserve">Opérations </w:t>
      </w:r>
      <w:r w:rsidR="00502511" w:rsidRPr="0055512B">
        <w:rPr>
          <w:b/>
          <w:sz w:val="36"/>
          <w:szCs w:val="36"/>
        </w:rPr>
        <w:t>consolid</w:t>
      </w:r>
      <w:r w:rsidRPr="0055512B">
        <w:rPr>
          <w:b/>
          <w:sz w:val="36"/>
          <w:szCs w:val="36"/>
        </w:rPr>
        <w:t>é</w:t>
      </w:r>
    </w:p>
    <w:p w14:paraId="280A84B0" w14:textId="77777777" w:rsidR="00017230" w:rsidRPr="0055512B" w:rsidRDefault="00017230" w:rsidP="0043165D">
      <w:pPr>
        <w:spacing w:line="276" w:lineRule="auto"/>
        <w:jc w:val="center"/>
        <w:rPr>
          <w:b/>
          <w:sz w:val="36"/>
          <w:szCs w:val="36"/>
        </w:rPr>
      </w:pPr>
      <w:r w:rsidRPr="0055512B">
        <w:rPr>
          <w:b/>
          <w:sz w:val="36"/>
          <w:szCs w:val="36"/>
        </w:rPr>
        <w:t>Projets HA-L1044 / HA-L1075 / HA-L1103</w:t>
      </w:r>
    </w:p>
    <w:p w14:paraId="36912190" w14:textId="77777777" w:rsidR="00F72645" w:rsidRPr="0055512B" w:rsidRDefault="00F72645" w:rsidP="0043165D">
      <w:pPr>
        <w:spacing w:line="276" w:lineRule="auto"/>
        <w:jc w:val="center"/>
        <w:rPr>
          <w:b/>
          <w:sz w:val="36"/>
          <w:szCs w:val="36"/>
        </w:rPr>
      </w:pPr>
    </w:p>
    <w:p w14:paraId="78C1720B" w14:textId="77777777" w:rsidR="003B6B23" w:rsidRPr="0055512B" w:rsidRDefault="003B6B23" w:rsidP="001950BE">
      <w:pPr>
        <w:spacing w:line="276" w:lineRule="auto"/>
        <w:rPr>
          <w:b/>
          <w:sz w:val="36"/>
          <w:szCs w:val="36"/>
        </w:rPr>
      </w:pPr>
    </w:p>
    <w:p w14:paraId="3040FCF1" w14:textId="77777777" w:rsidR="00F72645" w:rsidRPr="0055512B" w:rsidRDefault="00F72645" w:rsidP="001950BE">
      <w:pPr>
        <w:spacing w:line="276" w:lineRule="auto"/>
        <w:rPr>
          <w:sz w:val="36"/>
          <w:szCs w:val="36"/>
        </w:rPr>
      </w:pPr>
    </w:p>
    <w:p w14:paraId="48348796" w14:textId="77777777" w:rsidR="00F72645" w:rsidRPr="0055512B" w:rsidRDefault="00F72645" w:rsidP="001950BE">
      <w:pPr>
        <w:spacing w:line="276" w:lineRule="auto"/>
      </w:pPr>
    </w:p>
    <w:p w14:paraId="22425DC3" w14:textId="77777777" w:rsidR="00F72645" w:rsidRPr="0055512B" w:rsidRDefault="00F72645" w:rsidP="001950BE">
      <w:pPr>
        <w:spacing w:line="276" w:lineRule="auto"/>
      </w:pPr>
    </w:p>
    <w:p w14:paraId="6713B444" w14:textId="77777777" w:rsidR="00F72645" w:rsidRPr="0055512B" w:rsidRDefault="00F72645" w:rsidP="001950BE">
      <w:pPr>
        <w:spacing w:line="276" w:lineRule="auto"/>
      </w:pPr>
    </w:p>
    <w:p w14:paraId="79F777E8" w14:textId="77777777" w:rsidR="00F72645" w:rsidRPr="0055512B" w:rsidRDefault="00F72645" w:rsidP="001950BE">
      <w:pPr>
        <w:spacing w:line="276" w:lineRule="auto"/>
      </w:pPr>
    </w:p>
    <w:p w14:paraId="25BFEC01" w14:textId="77777777" w:rsidR="00F72645" w:rsidRPr="0055512B" w:rsidRDefault="00F72645" w:rsidP="001950BE">
      <w:pPr>
        <w:spacing w:line="276" w:lineRule="auto"/>
      </w:pPr>
    </w:p>
    <w:p w14:paraId="4ECDAB6B" w14:textId="77777777" w:rsidR="00F72645" w:rsidRPr="0055512B" w:rsidRDefault="00F72645" w:rsidP="001950BE">
      <w:pPr>
        <w:spacing w:line="276" w:lineRule="auto"/>
      </w:pPr>
    </w:p>
    <w:p w14:paraId="43360588" w14:textId="77777777" w:rsidR="00F72645" w:rsidRPr="0055512B" w:rsidRDefault="00F72645" w:rsidP="001950BE">
      <w:pPr>
        <w:spacing w:line="276" w:lineRule="auto"/>
      </w:pPr>
    </w:p>
    <w:p w14:paraId="0A7F0E32" w14:textId="77777777" w:rsidR="00F72645" w:rsidRPr="0055512B" w:rsidRDefault="00F72645" w:rsidP="001950BE">
      <w:pPr>
        <w:spacing w:line="276" w:lineRule="auto"/>
      </w:pPr>
    </w:p>
    <w:p w14:paraId="47505B32" w14:textId="77777777" w:rsidR="00F72645" w:rsidRPr="0055512B" w:rsidRDefault="00F72645" w:rsidP="001950BE">
      <w:pPr>
        <w:spacing w:line="276" w:lineRule="auto"/>
      </w:pPr>
    </w:p>
    <w:p w14:paraId="70C76E7E" w14:textId="77777777" w:rsidR="00F72645" w:rsidRPr="0055512B" w:rsidRDefault="00F72645" w:rsidP="001950BE">
      <w:pPr>
        <w:spacing w:line="276" w:lineRule="auto"/>
      </w:pPr>
    </w:p>
    <w:p w14:paraId="2DE6D61B" w14:textId="77777777" w:rsidR="00F72645" w:rsidRPr="0055512B" w:rsidRDefault="00F72645" w:rsidP="001950BE">
      <w:pPr>
        <w:spacing w:line="276" w:lineRule="auto"/>
      </w:pPr>
    </w:p>
    <w:p w14:paraId="0BB086E1" w14:textId="77777777" w:rsidR="00F72645" w:rsidRPr="0055512B" w:rsidRDefault="00F72645" w:rsidP="001950BE">
      <w:pPr>
        <w:spacing w:line="276" w:lineRule="auto"/>
      </w:pPr>
    </w:p>
    <w:p w14:paraId="0E331AA4" w14:textId="77777777" w:rsidR="00F72645" w:rsidRPr="0055512B" w:rsidRDefault="00F72645" w:rsidP="001950BE">
      <w:pPr>
        <w:spacing w:line="276" w:lineRule="auto"/>
      </w:pPr>
    </w:p>
    <w:p w14:paraId="5991C232" w14:textId="77777777" w:rsidR="00F72645" w:rsidRPr="0055512B" w:rsidRDefault="00F72645" w:rsidP="001950BE">
      <w:pPr>
        <w:spacing w:line="276" w:lineRule="auto"/>
      </w:pPr>
    </w:p>
    <w:p w14:paraId="47D3CFFB" w14:textId="77777777" w:rsidR="00F72645" w:rsidRPr="0055512B" w:rsidRDefault="00F72645" w:rsidP="001950BE">
      <w:pPr>
        <w:spacing w:line="276" w:lineRule="auto"/>
      </w:pPr>
    </w:p>
    <w:p w14:paraId="23DEA587" w14:textId="77777777" w:rsidR="00F72645" w:rsidRPr="0055512B" w:rsidRDefault="00F72645" w:rsidP="001950BE">
      <w:pPr>
        <w:spacing w:line="276" w:lineRule="auto"/>
      </w:pPr>
    </w:p>
    <w:p w14:paraId="2F81019D" w14:textId="77777777" w:rsidR="00F72645" w:rsidRPr="0055512B" w:rsidRDefault="00F72645" w:rsidP="001950BE">
      <w:pPr>
        <w:spacing w:line="276" w:lineRule="auto"/>
      </w:pPr>
    </w:p>
    <w:p w14:paraId="0327A826" w14:textId="77777777" w:rsidR="00F72645" w:rsidRPr="0055512B" w:rsidRDefault="0043165D" w:rsidP="0043165D">
      <w:pPr>
        <w:spacing w:line="276" w:lineRule="auto"/>
        <w:jc w:val="center"/>
        <w:rPr>
          <w:b/>
        </w:rPr>
      </w:pPr>
      <w:r w:rsidRPr="0055512B">
        <w:rPr>
          <w:b/>
        </w:rPr>
        <w:t>Août 2017</w:t>
      </w:r>
    </w:p>
    <w:p w14:paraId="236A718E" w14:textId="77777777" w:rsidR="008F329F" w:rsidRPr="0055512B" w:rsidRDefault="008F329F" w:rsidP="001950BE">
      <w:pPr>
        <w:tabs>
          <w:tab w:val="left" w:pos="440"/>
        </w:tabs>
        <w:spacing w:line="276" w:lineRule="auto"/>
        <w:rPr>
          <w:rFonts w:eastAsia="Arial" w:cs="Arial"/>
          <w:b/>
        </w:rPr>
      </w:pPr>
    </w:p>
    <w:p w14:paraId="45930D75" w14:textId="77777777" w:rsidR="008C2FAA" w:rsidRPr="0055512B" w:rsidRDefault="00D823E2" w:rsidP="001950BE">
      <w:pPr>
        <w:tabs>
          <w:tab w:val="left" w:pos="440"/>
        </w:tabs>
        <w:spacing w:line="276" w:lineRule="auto"/>
        <w:rPr>
          <w:rFonts w:eastAsia="Arial" w:cs="Arial"/>
          <w:b/>
        </w:rPr>
      </w:pPr>
      <w:r w:rsidRPr="0055512B">
        <w:rPr>
          <w:rFonts w:eastAsia="Arial" w:cs="Arial"/>
          <w:b/>
        </w:rPr>
        <w:lastRenderedPageBreak/>
        <w:t>ABRÉ</w:t>
      </w:r>
      <w:r w:rsidR="008C2FAA" w:rsidRPr="0055512B">
        <w:rPr>
          <w:rFonts w:eastAsia="Arial" w:cs="Arial"/>
          <w:b/>
        </w:rPr>
        <w:t>VIATIONS</w:t>
      </w:r>
    </w:p>
    <w:p w14:paraId="35782D2D" w14:textId="77777777" w:rsidR="008C2FAA" w:rsidRPr="0055512B" w:rsidRDefault="008C2FAA" w:rsidP="001950BE">
      <w:pPr>
        <w:spacing w:line="276" w:lineRule="auto"/>
        <w:rPr>
          <w:rFonts w:eastAsia="Times New Roman" w:cs="Arial"/>
        </w:rPr>
      </w:pPr>
    </w:p>
    <w:p w14:paraId="5E69F1DC" w14:textId="77777777" w:rsidR="008C2FAA" w:rsidRPr="0055512B" w:rsidRDefault="008C2FAA" w:rsidP="0043165D">
      <w:pPr>
        <w:tabs>
          <w:tab w:val="left" w:pos="1240"/>
        </w:tabs>
        <w:spacing w:line="276" w:lineRule="auto"/>
        <w:rPr>
          <w:rFonts w:eastAsia="Arial" w:cs="Arial"/>
        </w:rPr>
      </w:pPr>
      <w:r w:rsidRPr="0055512B">
        <w:rPr>
          <w:rFonts w:eastAsia="Arial" w:cs="Arial"/>
        </w:rPr>
        <w:t>AECID</w:t>
      </w:r>
      <w:r w:rsidRPr="0055512B">
        <w:rPr>
          <w:rFonts w:eastAsia="Times New Roman" w:cs="Arial"/>
        </w:rPr>
        <w:tab/>
      </w:r>
      <w:r w:rsidRPr="0055512B">
        <w:rPr>
          <w:rFonts w:eastAsia="Arial" w:cs="Arial"/>
        </w:rPr>
        <w:t>Agence Espagnole de Coopération Internationale pour le Développement</w:t>
      </w:r>
    </w:p>
    <w:p w14:paraId="21706EF3" w14:textId="77777777" w:rsidR="008C2FAA" w:rsidRPr="0055512B" w:rsidRDefault="008C2FAA" w:rsidP="001950BE">
      <w:pPr>
        <w:tabs>
          <w:tab w:val="left" w:pos="1240"/>
        </w:tabs>
        <w:spacing w:line="276" w:lineRule="auto"/>
        <w:rPr>
          <w:rFonts w:eastAsia="Arial" w:cs="Arial"/>
        </w:rPr>
      </w:pPr>
      <w:r w:rsidRPr="0055512B">
        <w:rPr>
          <w:rFonts w:eastAsia="Arial" w:cs="Arial"/>
        </w:rPr>
        <w:t>ASEC</w:t>
      </w:r>
      <w:r w:rsidRPr="0055512B">
        <w:rPr>
          <w:rFonts w:eastAsia="Times New Roman" w:cs="Arial"/>
        </w:rPr>
        <w:tab/>
      </w:r>
      <w:r w:rsidRPr="0055512B">
        <w:rPr>
          <w:rFonts w:eastAsia="Arial" w:cs="Arial"/>
        </w:rPr>
        <w:t>Assemblée de la Section Communale</w:t>
      </w:r>
    </w:p>
    <w:p w14:paraId="715D1493" w14:textId="77777777" w:rsidR="008C2FAA" w:rsidRPr="0055512B" w:rsidRDefault="008C2FAA" w:rsidP="001950BE">
      <w:pPr>
        <w:tabs>
          <w:tab w:val="left" w:pos="1240"/>
        </w:tabs>
        <w:spacing w:line="276" w:lineRule="auto"/>
        <w:rPr>
          <w:rFonts w:eastAsia="Arial" w:cs="Arial"/>
        </w:rPr>
      </w:pPr>
      <w:r w:rsidRPr="0055512B">
        <w:rPr>
          <w:rFonts w:eastAsia="Arial" w:cs="Arial"/>
        </w:rPr>
        <w:t>CAEPA</w:t>
      </w:r>
      <w:r w:rsidRPr="0055512B">
        <w:rPr>
          <w:rFonts w:eastAsia="Times New Roman" w:cs="Arial"/>
        </w:rPr>
        <w:tab/>
      </w:r>
      <w:r w:rsidRPr="0055512B">
        <w:rPr>
          <w:rFonts w:eastAsia="Arial" w:cs="Arial"/>
        </w:rPr>
        <w:t>Comité d´Approvisionnement d</w:t>
      </w:r>
      <w:r w:rsidR="0043165D" w:rsidRPr="0055512B">
        <w:rPr>
          <w:rFonts w:ascii="Times New Roman" w:eastAsia="Arial" w:hAnsi="Times New Roman" w:cs="Times New Roman"/>
        </w:rPr>
        <w:t>’</w:t>
      </w:r>
      <w:r w:rsidRPr="0055512B">
        <w:rPr>
          <w:rFonts w:eastAsia="Arial" w:cs="Arial"/>
        </w:rPr>
        <w:t>Eau Potable et d</w:t>
      </w:r>
      <w:r w:rsidR="0043165D" w:rsidRPr="0055512B">
        <w:rPr>
          <w:rFonts w:ascii="Times New Roman" w:eastAsia="Arial" w:hAnsi="Times New Roman" w:cs="Times New Roman"/>
        </w:rPr>
        <w:t>’</w:t>
      </w:r>
      <w:r w:rsidRPr="0055512B">
        <w:rPr>
          <w:rFonts w:eastAsia="Arial" w:cs="Arial"/>
        </w:rPr>
        <w:t>Assainissement</w:t>
      </w:r>
    </w:p>
    <w:p w14:paraId="1AEB435D" w14:textId="77777777" w:rsidR="008C2FAA" w:rsidRPr="0055512B" w:rsidRDefault="008C2FAA" w:rsidP="0043165D">
      <w:pPr>
        <w:tabs>
          <w:tab w:val="left" w:pos="1240"/>
        </w:tabs>
        <w:spacing w:line="276" w:lineRule="auto"/>
        <w:rPr>
          <w:rFonts w:eastAsia="Arial" w:cs="Arial"/>
        </w:rPr>
      </w:pPr>
      <w:r w:rsidRPr="0055512B">
        <w:rPr>
          <w:rFonts w:eastAsia="Arial" w:cs="Arial"/>
        </w:rPr>
        <w:t>CASEC</w:t>
      </w:r>
      <w:r w:rsidRPr="0055512B">
        <w:rPr>
          <w:rFonts w:eastAsia="Times New Roman" w:cs="Arial"/>
        </w:rPr>
        <w:tab/>
      </w:r>
      <w:r w:rsidRPr="0055512B">
        <w:rPr>
          <w:rFonts w:eastAsia="Arial" w:cs="Arial"/>
        </w:rPr>
        <w:t>Conseil d'Administration de la Section Communale</w:t>
      </w:r>
    </w:p>
    <w:p w14:paraId="4E841948" w14:textId="77777777" w:rsidR="00587985" w:rsidRPr="0055512B" w:rsidRDefault="00BD4E01" w:rsidP="009B31CA">
      <w:pPr>
        <w:tabs>
          <w:tab w:val="left" w:pos="1260"/>
        </w:tabs>
        <w:spacing w:line="276" w:lineRule="auto"/>
        <w:ind w:left="1260" w:hanging="1260"/>
        <w:rPr>
          <w:rFonts w:eastAsia="Arial" w:cs="Arial"/>
        </w:rPr>
      </w:pPr>
      <w:r w:rsidRPr="0055512B">
        <w:rPr>
          <w:rFonts w:eastAsia="Arial" w:cs="Arial"/>
        </w:rPr>
        <w:t xml:space="preserve">PESA          </w:t>
      </w:r>
      <w:r w:rsidR="009B31CA" w:rsidRPr="0055512B">
        <w:rPr>
          <w:rFonts w:eastAsia="Arial" w:cs="Arial"/>
        </w:rPr>
        <w:t xml:space="preserve"> </w:t>
      </w:r>
      <w:r w:rsidR="009B31CA" w:rsidRPr="0055512B">
        <w:rPr>
          <w:rFonts w:eastAsia="Arial" w:cs="Arial"/>
          <w:i/>
        </w:rPr>
        <w:t>Programmatic Environmental and Social Assessment</w:t>
      </w:r>
      <w:r w:rsidR="009B31CA" w:rsidRPr="0055512B">
        <w:rPr>
          <w:rFonts w:eastAsia="Arial" w:cs="Arial"/>
        </w:rPr>
        <w:t xml:space="preserve"> (Evaluation Environnementale et Social Programmatique) </w:t>
      </w:r>
    </w:p>
    <w:p w14:paraId="3CCAB879" w14:textId="77777777" w:rsidR="008C2FAA" w:rsidRPr="0055512B" w:rsidRDefault="008C2FAA" w:rsidP="001950BE">
      <w:pPr>
        <w:tabs>
          <w:tab w:val="left" w:pos="1240"/>
        </w:tabs>
        <w:spacing w:line="276" w:lineRule="auto"/>
        <w:rPr>
          <w:rFonts w:eastAsia="Arial" w:cs="Arial"/>
        </w:rPr>
      </w:pPr>
      <w:r w:rsidRPr="0055512B">
        <w:rPr>
          <w:rFonts w:eastAsia="Arial" w:cs="Arial"/>
        </w:rPr>
        <w:t>BRH</w:t>
      </w:r>
      <w:r w:rsidRPr="0055512B">
        <w:rPr>
          <w:rFonts w:eastAsia="Times New Roman" w:cs="Arial"/>
        </w:rPr>
        <w:tab/>
      </w:r>
      <w:r w:rsidRPr="0055512B">
        <w:rPr>
          <w:rFonts w:eastAsia="Arial" w:cs="Arial"/>
        </w:rPr>
        <w:t>Banque de la République d</w:t>
      </w:r>
      <w:r w:rsidR="0043165D" w:rsidRPr="0055512B">
        <w:rPr>
          <w:rFonts w:ascii="Times New Roman" w:eastAsia="Arial" w:hAnsi="Times New Roman" w:cs="Times New Roman"/>
        </w:rPr>
        <w:t>’</w:t>
      </w:r>
      <w:r w:rsidRPr="0055512B">
        <w:rPr>
          <w:rFonts w:eastAsia="Arial" w:cs="Arial"/>
        </w:rPr>
        <w:t>Haïti</w:t>
      </w:r>
    </w:p>
    <w:p w14:paraId="4813C137" w14:textId="77777777" w:rsidR="008C2FAA" w:rsidRPr="0055512B" w:rsidRDefault="008C2FAA" w:rsidP="0043165D">
      <w:pPr>
        <w:tabs>
          <w:tab w:val="left" w:pos="1240"/>
        </w:tabs>
        <w:spacing w:line="276" w:lineRule="auto"/>
        <w:rPr>
          <w:rFonts w:eastAsia="Arial" w:cs="Arial"/>
        </w:rPr>
      </w:pPr>
      <w:r w:rsidRPr="0055512B">
        <w:rPr>
          <w:rFonts w:eastAsia="Arial" w:cs="Arial"/>
        </w:rPr>
        <w:t>DINEPA</w:t>
      </w:r>
      <w:r w:rsidRPr="0055512B">
        <w:rPr>
          <w:rFonts w:eastAsia="Times New Roman" w:cs="Arial"/>
        </w:rPr>
        <w:tab/>
      </w:r>
      <w:r w:rsidRPr="0055512B">
        <w:rPr>
          <w:rFonts w:eastAsia="Arial" w:cs="Arial"/>
        </w:rPr>
        <w:t>Direction Nationale de l</w:t>
      </w:r>
      <w:r w:rsidR="0043165D" w:rsidRPr="0055512B">
        <w:rPr>
          <w:rFonts w:ascii="Times New Roman" w:eastAsia="Arial" w:hAnsi="Times New Roman" w:cs="Times New Roman"/>
        </w:rPr>
        <w:t>’</w:t>
      </w:r>
      <w:r w:rsidRPr="0055512B">
        <w:rPr>
          <w:rFonts w:eastAsia="Arial" w:cs="Arial"/>
        </w:rPr>
        <w:t>Eau Potable et de l</w:t>
      </w:r>
      <w:r w:rsidR="0043165D" w:rsidRPr="0055512B">
        <w:rPr>
          <w:rFonts w:ascii="Times New Roman" w:eastAsia="Arial" w:hAnsi="Times New Roman" w:cs="Times New Roman"/>
        </w:rPr>
        <w:t>’</w:t>
      </w:r>
      <w:r w:rsidRPr="0055512B">
        <w:rPr>
          <w:rFonts w:eastAsia="Arial" w:cs="Arial"/>
        </w:rPr>
        <w:t>Assainissement</w:t>
      </w:r>
    </w:p>
    <w:p w14:paraId="2AE7F58C" w14:textId="1FC3BF4C" w:rsidR="00672E98" w:rsidRPr="0055512B" w:rsidRDefault="00672E98" w:rsidP="0043165D">
      <w:pPr>
        <w:tabs>
          <w:tab w:val="left" w:pos="1240"/>
        </w:tabs>
        <w:spacing w:line="276" w:lineRule="auto"/>
        <w:rPr>
          <w:rFonts w:eastAsia="Arial" w:cs="Arial"/>
        </w:rPr>
      </w:pPr>
      <w:r w:rsidRPr="0055512B">
        <w:rPr>
          <w:rFonts w:eastAsia="Arial" w:cs="Arial"/>
        </w:rPr>
        <w:t xml:space="preserve">EPA             Eau Potable et Assainissement </w:t>
      </w:r>
    </w:p>
    <w:p w14:paraId="38E82ADB" w14:textId="77777777" w:rsidR="008C2FAA" w:rsidRPr="0055512B" w:rsidRDefault="008C2FAA" w:rsidP="001950BE">
      <w:pPr>
        <w:tabs>
          <w:tab w:val="left" w:pos="1240"/>
        </w:tabs>
        <w:spacing w:line="276" w:lineRule="auto"/>
        <w:rPr>
          <w:rFonts w:eastAsia="Arial" w:cs="Arial"/>
        </w:rPr>
      </w:pPr>
      <w:r w:rsidRPr="0055512B">
        <w:rPr>
          <w:rFonts w:eastAsia="Arial" w:cs="Arial"/>
        </w:rPr>
        <w:t>EA</w:t>
      </w:r>
      <w:r w:rsidRPr="0055512B">
        <w:rPr>
          <w:rFonts w:eastAsia="Times New Roman" w:cs="Arial"/>
        </w:rPr>
        <w:tab/>
      </w:r>
      <w:r w:rsidRPr="0055512B">
        <w:rPr>
          <w:rFonts w:eastAsia="Arial" w:cs="Arial"/>
        </w:rPr>
        <w:t xml:space="preserve">Environmental Analysis (Analyse Environnementale </w:t>
      </w:r>
      <w:r w:rsidR="00751F4D" w:rsidRPr="0055512B">
        <w:rPr>
          <w:rFonts w:eastAsia="Arial" w:cs="Arial"/>
        </w:rPr>
        <w:t xml:space="preserve">- </w:t>
      </w:r>
      <w:r w:rsidRPr="0055512B">
        <w:rPr>
          <w:rFonts w:eastAsia="Arial" w:cs="Arial"/>
        </w:rPr>
        <w:t>AE)</w:t>
      </w:r>
    </w:p>
    <w:p w14:paraId="066AA8BD" w14:textId="27023779" w:rsidR="008C2FAA" w:rsidRPr="0055512B" w:rsidRDefault="0055512B" w:rsidP="00672E98">
      <w:pPr>
        <w:tabs>
          <w:tab w:val="left" w:pos="1240"/>
        </w:tabs>
        <w:spacing w:line="276" w:lineRule="auto"/>
        <w:rPr>
          <w:rFonts w:eastAsia="Arial" w:cs="Arial"/>
        </w:rPr>
      </w:pPr>
      <w:r w:rsidRPr="0055512B">
        <w:rPr>
          <w:rFonts w:eastAsia="Arial" w:cs="Arial"/>
        </w:rPr>
        <w:t>AES</w:t>
      </w:r>
      <w:r w:rsidR="008C2FAA" w:rsidRPr="0055512B">
        <w:rPr>
          <w:rFonts w:eastAsia="Times New Roman" w:cs="Arial"/>
        </w:rPr>
        <w:tab/>
      </w:r>
      <w:r w:rsidR="008C2FAA" w:rsidRPr="0055512B">
        <w:rPr>
          <w:rFonts w:eastAsia="Arial" w:cs="Arial"/>
        </w:rPr>
        <w:t>Analy</w:t>
      </w:r>
      <w:r w:rsidRPr="0055512B">
        <w:rPr>
          <w:rFonts w:eastAsia="Arial" w:cs="Arial"/>
        </w:rPr>
        <w:t xml:space="preserve">se Environnementale et Sociale </w:t>
      </w:r>
    </w:p>
    <w:p w14:paraId="44D80811" w14:textId="04DAB526" w:rsidR="008C2FAA" w:rsidRPr="0055512B" w:rsidRDefault="008C2FAA" w:rsidP="0043165D">
      <w:pPr>
        <w:tabs>
          <w:tab w:val="left" w:pos="1240"/>
        </w:tabs>
        <w:spacing w:line="276" w:lineRule="auto"/>
        <w:rPr>
          <w:rFonts w:eastAsia="Arial" w:cs="Arial"/>
        </w:rPr>
      </w:pPr>
      <w:r w:rsidRPr="0055512B">
        <w:rPr>
          <w:rFonts w:eastAsia="Arial" w:cs="Arial"/>
        </w:rPr>
        <w:t>ESS</w:t>
      </w:r>
      <w:r w:rsidRPr="0055512B">
        <w:rPr>
          <w:rFonts w:eastAsia="Times New Roman" w:cs="Arial"/>
        </w:rPr>
        <w:tab/>
      </w:r>
      <w:r w:rsidRPr="0055512B">
        <w:rPr>
          <w:rFonts w:eastAsia="Arial" w:cs="Arial"/>
        </w:rPr>
        <w:t>Environmental and Social Strategy (Stratégie</w:t>
      </w:r>
      <w:r w:rsidR="0055512B" w:rsidRPr="0055512B">
        <w:rPr>
          <w:rFonts w:eastAsia="Arial" w:cs="Arial"/>
        </w:rPr>
        <w:t xml:space="preserve"> Environnementale et Sociale</w:t>
      </w:r>
      <w:r w:rsidRPr="0055512B">
        <w:rPr>
          <w:rFonts w:eastAsia="Arial" w:cs="Arial"/>
        </w:rPr>
        <w:t>)</w:t>
      </w:r>
    </w:p>
    <w:p w14:paraId="2EBA50DD" w14:textId="77777777" w:rsidR="008C2FAA" w:rsidRPr="0055512B" w:rsidRDefault="008C2FAA" w:rsidP="001950BE">
      <w:pPr>
        <w:tabs>
          <w:tab w:val="left" w:pos="1240"/>
        </w:tabs>
        <w:spacing w:line="276" w:lineRule="auto"/>
        <w:rPr>
          <w:rFonts w:eastAsia="Arial" w:cs="Arial"/>
        </w:rPr>
      </w:pPr>
      <w:r w:rsidRPr="0055512B">
        <w:rPr>
          <w:rFonts w:eastAsia="Arial" w:cs="Arial"/>
        </w:rPr>
        <w:t>UE</w:t>
      </w:r>
      <w:r w:rsidRPr="0055512B">
        <w:rPr>
          <w:rFonts w:eastAsia="Times New Roman" w:cs="Arial"/>
        </w:rPr>
        <w:tab/>
      </w:r>
      <w:r w:rsidRPr="0055512B">
        <w:rPr>
          <w:rFonts w:eastAsia="Arial" w:cs="Arial"/>
        </w:rPr>
        <w:t>Union Européenne</w:t>
      </w:r>
    </w:p>
    <w:p w14:paraId="3CBCFC36" w14:textId="77777777" w:rsidR="008C2FAA" w:rsidRPr="0055512B" w:rsidRDefault="008C2FAA" w:rsidP="0043165D">
      <w:pPr>
        <w:tabs>
          <w:tab w:val="left" w:pos="1240"/>
        </w:tabs>
        <w:spacing w:line="276" w:lineRule="auto"/>
        <w:rPr>
          <w:rFonts w:eastAsia="Arial" w:cs="Arial"/>
        </w:rPr>
      </w:pPr>
      <w:r w:rsidRPr="0055512B">
        <w:rPr>
          <w:rFonts w:eastAsia="Arial" w:cs="Arial"/>
        </w:rPr>
        <w:t>FEC</w:t>
      </w:r>
      <w:r w:rsidRPr="0055512B">
        <w:rPr>
          <w:rFonts w:eastAsia="Times New Roman" w:cs="Arial"/>
        </w:rPr>
        <w:tab/>
      </w:r>
      <w:r w:rsidRPr="0055512B">
        <w:rPr>
          <w:rFonts w:eastAsia="Arial" w:cs="Arial"/>
        </w:rPr>
        <w:t>Fonds Espagnol de Coopération</w:t>
      </w:r>
    </w:p>
    <w:p w14:paraId="392479DC" w14:textId="77777777" w:rsidR="008C2FAA" w:rsidRPr="0055512B" w:rsidRDefault="008C2FAA" w:rsidP="001950BE">
      <w:pPr>
        <w:spacing w:line="276" w:lineRule="auto"/>
        <w:rPr>
          <w:rFonts w:eastAsia="Arial" w:cs="Arial"/>
        </w:rPr>
      </w:pPr>
      <w:r w:rsidRPr="0055512B">
        <w:rPr>
          <w:rFonts w:eastAsia="Arial" w:cs="Arial"/>
        </w:rPr>
        <w:t>FECASALC Fonds Espagnol de Coopération pour l</w:t>
      </w:r>
      <w:r w:rsidR="008F329F" w:rsidRPr="0055512B">
        <w:rPr>
          <w:rFonts w:ascii="Times New Roman" w:eastAsia="Arial" w:hAnsi="Times New Roman" w:cs="Times New Roman"/>
        </w:rPr>
        <w:t>’E</w:t>
      </w:r>
      <w:r w:rsidRPr="0055512B">
        <w:rPr>
          <w:rFonts w:eastAsia="Arial" w:cs="Arial"/>
        </w:rPr>
        <w:t>PA en Amérique Latine et les Caraïbes.</w:t>
      </w:r>
    </w:p>
    <w:p w14:paraId="4763C962" w14:textId="77777777" w:rsidR="008C2FAA" w:rsidRPr="0055512B" w:rsidRDefault="008C2FAA" w:rsidP="001950BE">
      <w:pPr>
        <w:tabs>
          <w:tab w:val="left" w:pos="1240"/>
        </w:tabs>
        <w:spacing w:line="276" w:lineRule="auto"/>
        <w:rPr>
          <w:rFonts w:eastAsia="Arial" w:cs="Arial"/>
        </w:rPr>
      </w:pPr>
      <w:r w:rsidRPr="0055512B">
        <w:rPr>
          <w:rFonts w:eastAsia="Arial" w:cs="Arial"/>
        </w:rPr>
        <w:t>GdH</w:t>
      </w:r>
      <w:r w:rsidRPr="0055512B">
        <w:rPr>
          <w:rFonts w:eastAsia="Times New Roman" w:cs="Arial"/>
        </w:rPr>
        <w:tab/>
      </w:r>
      <w:r w:rsidRPr="0055512B">
        <w:rPr>
          <w:rFonts w:eastAsia="Arial" w:cs="Arial"/>
        </w:rPr>
        <w:t>Gouvernement d</w:t>
      </w:r>
      <w:r w:rsidR="0043165D" w:rsidRPr="0055512B">
        <w:rPr>
          <w:rFonts w:ascii="Times New Roman" w:eastAsia="Arial" w:hAnsi="Times New Roman" w:cs="Times New Roman"/>
        </w:rPr>
        <w:t>’</w:t>
      </w:r>
      <w:r w:rsidRPr="0055512B">
        <w:rPr>
          <w:rFonts w:eastAsia="Arial" w:cs="Arial"/>
        </w:rPr>
        <w:t>Haïti</w:t>
      </w:r>
    </w:p>
    <w:p w14:paraId="5A3193FC" w14:textId="77777777" w:rsidR="008C2FAA" w:rsidRPr="0055512B" w:rsidRDefault="008C2FAA" w:rsidP="008F329F">
      <w:pPr>
        <w:tabs>
          <w:tab w:val="left" w:pos="1240"/>
        </w:tabs>
        <w:spacing w:line="276" w:lineRule="auto"/>
        <w:rPr>
          <w:rFonts w:eastAsia="Times New Roman" w:cs="Arial"/>
        </w:rPr>
      </w:pPr>
      <w:r w:rsidRPr="0055512B">
        <w:rPr>
          <w:rFonts w:eastAsia="Arial" w:cs="Arial"/>
        </w:rPr>
        <w:t>GdE</w:t>
      </w:r>
      <w:r w:rsidRPr="0055512B">
        <w:rPr>
          <w:rFonts w:eastAsia="Times New Roman" w:cs="Arial"/>
        </w:rPr>
        <w:tab/>
      </w:r>
      <w:r w:rsidRPr="0055512B">
        <w:rPr>
          <w:rFonts w:eastAsia="Arial" w:cs="Arial"/>
        </w:rPr>
        <w:t>Gouvernement d</w:t>
      </w:r>
      <w:r w:rsidR="0043165D" w:rsidRPr="0055512B">
        <w:rPr>
          <w:rFonts w:ascii="Times New Roman" w:eastAsia="Arial" w:hAnsi="Times New Roman" w:cs="Times New Roman"/>
        </w:rPr>
        <w:t>’</w:t>
      </w:r>
      <w:r w:rsidRPr="0055512B">
        <w:rPr>
          <w:rFonts w:eastAsia="Arial" w:cs="Arial"/>
        </w:rPr>
        <w:t>Espagne</w:t>
      </w:r>
    </w:p>
    <w:p w14:paraId="3B070D27" w14:textId="77777777" w:rsidR="008C2FAA" w:rsidRPr="0055512B" w:rsidRDefault="008C2FAA" w:rsidP="001950BE">
      <w:pPr>
        <w:tabs>
          <w:tab w:val="left" w:pos="1240"/>
        </w:tabs>
        <w:spacing w:line="276" w:lineRule="auto"/>
        <w:rPr>
          <w:rFonts w:eastAsia="Arial" w:cs="Arial"/>
        </w:rPr>
      </w:pPr>
      <w:r w:rsidRPr="0055512B">
        <w:rPr>
          <w:rFonts w:eastAsia="Arial" w:cs="Arial"/>
        </w:rPr>
        <w:t>BID</w:t>
      </w:r>
      <w:r w:rsidRPr="0055512B">
        <w:rPr>
          <w:rFonts w:eastAsia="Times New Roman" w:cs="Arial"/>
        </w:rPr>
        <w:tab/>
      </w:r>
      <w:r w:rsidRPr="0055512B">
        <w:rPr>
          <w:rFonts w:eastAsia="Arial" w:cs="Arial"/>
        </w:rPr>
        <w:t>Banque Inter - Américaine de Développement</w:t>
      </w:r>
    </w:p>
    <w:p w14:paraId="18906C82" w14:textId="77777777" w:rsidR="008C2FAA" w:rsidRPr="0055512B" w:rsidRDefault="008C2FAA" w:rsidP="001950BE">
      <w:pPr>
        <w:spacing w:line="276" w:lineRule="auto"/>
        <w:rPr>
          <w:rFonts w:eastAsia="Arial" w:cs="Arial"/>
        </w:rPr>
      </w:pPr>
      <w:r w:rsidRPr="0055512B">
        <w:rPr>
          <w:rFonts w:eastAsia="Arial" w:cs="Arial"/>
        </w:rPr>
        <w:t>Loi Cadre   Loi Cadre portant sur l</w:t>
      </w:r>
      <w:r w:rsidR="0043165D" w:rsidRPr="0055512B">
        <w:rPr>
          <w:rFonts w:ascii="Times New Roman" w:eastAsia="Arial" w:hAnsi="Times New Roman" w:cs="Times New Roman"/>
        </w:rPr>
        <w:t>’</w:t>
      </w:r>
      <w:r w:rsidRPr="0055512B">
        <w:rPr>
          <w:rFonts w:eastAsia="Arial" w:cs="Arial"/>
        </w:rPr>
        <w:t>Organisation du Secteur de l´Eau Potable et l</w:t>
      </w:r>
      <w:r w:rsidR="009D3874" w:rsidRPr="0055512B">
        <w:rPr>
          <w:rFonts w:ascii="Times New Roman" w:eastAsia="Arial" w:hAnsi="Times New Roman" w:cs="Times New Roman"/>
        </w:rPr>
        <w:t>’</w:t>
      </w:r>
      <w:r w:rsidRPr="0055512B">
        <w:rPr>
          <w:rFonts w:eastAsia="Arial" w:cs="Arial"/>
        </w:rPr>
        <w:t>Assainissement</w:t>
      </w:r>
    </w:p>
    <w:p w14:paraId="779F7ACF" w14:textId="5A09D750" w:rsidR="008C2FAA" w:rsidRPr="0055512B" w:rsidRDefault="008C2FAA" w:rsidP="001950BE">
      <w:pPr>
        <w:tabs>
          <w:tab w:val="left" w:pos="1240"/>
        </w:tabs>
        <w:spacing w:line="276" w:lineRule="auto"/>
        <w:rPr>
          <w:rFonts w:eastAsia="Arial" w:cs="Arial"/>
        </w:rPr>
      </w:pPr>
      <w:r w:rsidRPr="0055512B">
        <w:rPr>
          <w:rFonts w:eastAsia="Arial" w:cs="Arial"/>
        </w:rPr>
        <w:t>MDG</w:t>
      </w:r>
      <w:r w:rsidRPr="0055512B">
        <w:rPr>
          <w:rFonts w:eastAsia="Times New Roman" w:cs="Arial"/>
        </w:rPr>
        <w:tab/>
      </w:r>
      <w:r w:rsidRPr="0055512B">
        <w:rPr>
          <w:rFonts w:eastAsia="Arial" w:cs="Arial"/>
        </w:rPr>
        <w:t>Mi</w:t>
      </w:r>
      <w:r w:rsidR="00E320DF" w:rsidRPr="0055512B">
        <w:rPr>
          <w:rFonts w:eastAsia="Arial" w:cs="Arial"/>
        </w:rPr>
        <w:t xml:space="preserve">llennium Development Goals </w:t>
      </w:r>
    </w:p>
    <w:p w14:paraId="3C375142" w14:textId="77777777" w:rsidR="008C2FAA" w:rsidRPr="0055512B" w:rsidRDefault="008C2FAA" w:rsidP="001950BE">
      <w:pPr>
        <w:tabs>
          <w:tab w:val="left" w:pos="1240"/>
        </w:tabs>
        <w:spacing w:line="276" w:lineRule="auto"/>
        <w:rPr>
          <w:rFonts w:eastAsia="Arial" w:cs="Arial"/>
        </w:rPr>
      </w:pPr>
      <w:r w:rsidRPr="0055512B">
        <w:rPr>
          <w:rFonts w:eastAsia="Arial" w:cs="Arial"/>
        </w:rPr>
        <w:t>MTPTC</w:t>
      </w:r>
      <w:r w:rsidRPr="0055512B">
        <w:rPr>
          <w:rFonts w:eastAsia="Times New Roman" w:cs="Arial"/>
        </w:rPr>
        <w:tab/>
      </w:r>
      <w:r w:rsidRPr="0055512B">
        <w:rPr>
          <w:rFonts w:eastAsia="Arial" w:cs="Arial"/>
        </w:rPr>
        <w:t>Ministère des Travaux Publics, des Transports et des Communications</w:t>
      </w:r>
    </w:p>
    <w:p w14:paraId="313526C5" w14:textId="77777777" w:rsidR="008C2FAA" w:rsidRPr="0055512B" w:rsidRDefault="008C2FAA" w:rsidP="001950BE">
      <w:pPr>
        <w:tabs>
          <w:tab w:val="left" w:pos="1240"/>
        </w:tabs>
        <w:spacing w:line="276" w:lineRule="auto"/>
        <w:rPr>
          <w:rFonts w:eastAsia="Arial" w:cs="Arial"/>
        </w:rPr>
      </w:pPr>
      <w:r w:rsidRPr="0055512B">
        <w:rPr>
          <w:rFonts w:eastAsia="Arial" w:cs="Arial"/>
        </w:rPr>
        <w:t>OFCAS</w:t>
      </w:r>
      <w:r w:rsidRPr="0055512B">
        <w:rPr>
          <w:rFonts w:eastAsia="Times New Roman" w:cs="Arial"/>
        </w:rPr>
        <w:tab/>
      </w:r>
      <w:r w:rsidRPr="0055512B">
        <w:rPr>
          <w:rFonts w:eastAsia="Arial" w:cs="Arial"/>
        </w:rPr>
        <w:t>Département du Fonds de Coopération pour l</w:t>
      </w:r>
      <w:r w:rsidR="0043165D" w:rsidRPr="0055512B">
        <w:rPr>
          <w:rFonts w:ascii="Times New Roman" w:eastAsia="Arial" w:hAnsi="Times New Roman" w:cs="Times New Roman"/>
        </w:rPr>
        <w:t>’</w:t>
      </w:r>
      <w:r w:rsidRPr="0055512B">
        <w:rPr>
          <w:rFonts w:eastAsia="Arial" w:cs="Arial"/>
        </w:rPr>
        <w:t>Eau et L</w:t>
      </w:r>
      <w:r w:rsidR="0043165D" w:rsidRPr="0055512B">
        <w:rPr>
          <w:rFonts w:ascii="Times New Roman" w:eastAsia="Arial" w:hAnsi="Times New Roman" w:cs="Times New Roman"/>
        </w:rPr>
        <w:t>’</w:t>
      </w:r>
      <w:r w:rsidRPr="0055512B">
        <w:rPr>
          <w:rFonts w:eastAsia="Arial" w:cs="Arial"/>
        </w:rPr>
        <w:t>Assainissement a Madrid</w:t>
      </w:r>
    </w:p>
    <w:p w14:paraId="5F1D2C94" w14:textId="77777777" w:rsidR="008C2FAA" w:rsidRPr="0055512B" w:rsidRDefault="008C2FAA" w:rsidP="001950BE">
      <w:pPr>
        <w:tabs>
          <w:tab w:val="left" w:pos="1240"/>
        </w:tabs>
        <w:spacing w:line="276" w:lineRule="auto"/>
        <w:rPr>
          <w:rFonts w:eastAsia="Arial" w:cs="Arial"/>
        </w:rPr>
      </w:pPr>
      <w:r w:rsidRPr="0055512B">
        <w:rPr>
          <w:rFonts w:eastAsia="Arial" w:cs="Arial"/>
        </w:rPr>
        <w:t>OREPA</w:t>
      </w:r>
      <w:r w:rsidRPr="0055512B">
        <w:rPr>
          <w:rFonts w:eastAsia="Times New Roman" w:cs="Arial"/>
        </w:rPr>
        <w:tab/>
      </w:r>
      <w:r w:rsidRPr="0055512B">
        <w:rPr>
          <w:rFonts w:eastAsia="Arial" w:cs="Arial"/>
        </w:rPr>
        <w:t>Offices Régionaux de l</w:t>
      </w:r>
      <w:r w:rsidR="0043165D" w:rsidRPr="0055512B">
        <w:rPr>
          <w:rFonts w:ascii="Times New Roman" w:eastAsia="Arial" w:hAnsi="Times New Roman" w:cs="Times New Roman"/>
        </w:rPr>
        <w:t>’</w:t>
      </w:r>
      <w:r w:rsidRPr="0055512B">
        <w:rPr>
          <w:rFonts w:eastAsia="Arial" w:cs="Arial"/>
        </w:rPr>
        <w:t>Eau Potable et de l</w:t>
      </w:r>
      <w:r w:rsidR="0043165D" w:rsidRPr="0055512B">
        <w:rPr>
          <w:rFonts w:ascii="Times New Roman" w:eastAsia="Arial" w:hAnsi="Times New Roman" w:cs="Times New Roman"/>
        </w:rPr>
        <w:t>’</w:t>
      </w:r>
      <w:r w:rsidRPr="0055512B">
        <w:rPr>
          <w:rFonts w:eastAsia="Arial" w:cs="Arial"/>
        </w:rPr>
        <w:t>Assainissement</w:t>
      </w:r>
    </w:p>
    <w:p w14:paraId="7D4421DF" w14:textId="77777777" w:rsidR="008C2FAA" w:rsidRPr="0055512B" w:rsidRDefault="008C2FAA" w:rsidP="001950BE">
      <w:pPr>
        <w:tabs>
          <w:tab w:val="left" w:pos="1240"/>
        </w:tabs>
        <w:spacing w:line="276" w:lineRule="auto"/>
        <w:rPr>
          <w:rFonts w:eastAsia="Arial" w:cs="Arial"/>
        </w:rPr>
      </w:pPr>
      <w:r w:rsidRPr="0055512B">
        <w:rPr>
          <w:rFonts w:eastAsia="Arial" w:cs="Arial"/>
        </w:rPr>
        <w:t>OTC</w:t>
      </w:r>
      <w:r w:rsidRPr="0055512B">
        <w:rPr>
          <w:rFonts w:eastAsia="Times New Roman" w:cs="Arial"/>
        </w:rPr>
        <w:tab/>
      </w:r>
      <w:r w:rsidRPr="0055512B">
        <w:rPr>
          <w:rFonts w:eastAsia="Arial" w:cs="Arial"/>
        </w:rPr>
        <w:t>Office Technique de Coopération de l</w:t>
      </w:r>
      <w:r w:rsidR="0043165D" w:rsidRPr="0055512B">
        <w:rPr>
          <w:rFonts w:ascii="Times New Roman" w:eastAsia="Arial" w:hAnsi="Times New Roman" w:cs="Times New Roman"/>
        </w:rPr>
        <w:t>’</w:t>
      </w:r>
      <w:r w:rsidRPr="0055512B">
        <w:rPr>
          <w:rFonts w:eastAsia="Arial" w:cs="Arial"/>
        </w:rPr>
        <w:t>AECID en Haïti</w:t>
      </w:r>
    </w:p>
    <w:p w14:paraId="39D46EBC" w14:textId="77777777" w:rsidR="00411939" w:rsidRPr="00922848" w:rsidRDefault="00411939" w:rsidP="00411939">
      <w:pPr>
        <w:tabs>
          <w:tab w:val="left" w:pos="1240"/>
        </w:tabs>
        <w:spacing w:line="276" w:lineRule="auto"/>
        <w:rPr>
          <w:rFonts w:eastAsia="Arial" w:cs="Arial"/>
        </w:rPr>
      </w:pPr>
      <w:r w:rsidRPr="00922848">
        <w:rPr>
          <w:rFonts w:eastAsia="Arial" w:cs="Arial"/>
        </w:rPr>
        <w:t xml:space="preserve">PGAS </w:t>
      </w:r>
      <w:r w:rsidRPr="00922848">
        <w:rPr>
          <w:rFonts w:eastAsia="Arial" w:cs="Arial"/>
        </w:rPr>
        <w:tab/>
        <w:t>Plan de Gestion Environnementale et Sociale</w:t>
      </w:r>
    </w:p>
    <w:p w14:paraId="25A8EC8E" w14:textId="77777777" w:rsidR="008C2FAA" w:rsidRPr="0055512B" w:rsidRDefault="008C2FAA" w:rsidP="001950BE">
      <w:pPr>
        <w:tabs>
          <w:tab w:val="left" w:pos="1240"/>
        </w:tabs>
        <w:spacing w:line="276" w:lineRule="auto"/>
        <w:rPr>
          <w:rFonts w:eastAsia="Arial" w:cs="Arial"/>
        </w:rPr>
      </w:pPr>
      <w:r w:rsidRPr="0055512B">
        <w:rPr>
          <w:rFonts w:eastAsia="Arial" w:cs="Arial"/>
        </w:rPr>
        <w:t>PNUD</w:t>
      </w:r>
      <w:r w:rsidRPr="0055512B">
        <w:rPr>
          <w:rFonts w:eastAsia="Times New Roman" w:cs="Arial"/>
        </w:rPr>
        <w:tab/>
      </w:r>
      <w:r w:rsidRPr="0055512B">
        <w:rPr>
          <w:rFonts w:eastAsia="Arial" w:cs="Arial"/>
        </w:rPr>
        <w:t>Programme des Nations Unies pour le Développement</w:t>
      </w:r>
    </w:p>
    <w:p w14:paraId="5C87B749" w14:textId="77777777" w:rsidR="008C2FAA" w:rsidRPr="0055512B" w:rsidRDefault="008C2FAA" w:rsidP="001950BE">
      <w:pPr>
        <w:tabs>
          <w:tab w:val="left" w:pos="1240"/>
        </w:tabs>
        <w:spacing w:line="276" w:lineRule="auto"/>
        <w:rPr>
          <w:rFonts w:eastAsia="Arial" w:cs="Arial"/>
        </w:rPr>
      </w:pPr>
      <w:r w:rsidRPr="0055512B">
        <w:rPr>
          <w:rFonts w:eastAsia="Arial" w:cs="Arial"/>
        </w:rPr>
        <w:t>POD</w:t>
      </w:r>
      <w:r w:rsidRPr="0055512B">
        <w:rPr>
          <w:rFonts w:eastAsia="Times New Roman" w:cs="Arial"/>
        </w:rPr>
        <w:tab/>
      </w:r>
      <w:r w:rsidRPr="0055512B">
        <w:rPr>
          <w:rFonts w:eastAsia="Arial" w:cs="Arial"/>
        </w:rPr>
        <w:t>Proposition pour le développement des Operations</w:t>
      </w:r>
    </w:p>
    <w:p w14:paraId="5D8F5218" w14:textId="77777777" w:rsidR="008C2FAA" w:rsidRPr="0055512B" w:rsidRDefault="008C2FAA" w:rsidP="001950BE">
      <w:pPr>
        <w:tabs>
          <w:tab w:val="left" w:pos="1240"/>
        </w:tabs>
        <w:spacing w:line="276" w:lineRule="auto"/>
        <w:rPr>
          <w:rFonts w:eastAsia="Arial" w:cs="Arial"/>
        </w:rPr>
      </w:pPr>
      <w:r w:rsidRPr="0055512B">
        <w:rPr>
          <w:rFonts w:eastAsia="Arial" w:cs="Arial"/>
        </w:rPr>
        <w:t>RMPP</w:t>
      </w:r>
      <w:r w:rsidRPr="0055512B">
        <w:rPr>
          <w:rFonts w:eastAsia="Times New Roman" w:cs="Arial"/>
        </w:rPr>
        <w:tab/>
      </w:r>
      <w:r w:rsidRPr="0055512B">
        <w:rPr>
          <w:rFonts w:eastAsia="Arial" w:cs="Arial"/>
        </w:rPr>
        <w:t>Région Métropolitaine de Port-au-Prince</w:t>
      </w:r>
    </w:p>
    <w:p w14:paraId="5E4D561B" w14:textId="4DC84D1E" w:rsidR="008C2FAA" w:rsidRPr="0055512B" w:rsidRDefault="008C2FAA" w:rsidP="001950BE">
      <w:pPr>
        <w:tabs>
          <w:tab w:val="left" w:pos="1240"/>
        </w:tabs>
        <w:spacing w:line="276" w:lineRule="auto"/>
        <w:rPr>
          <w:rFonts w:eastAsia="Arial" w:cs="Arial"/>
        </w:rPr>
      </w:pPr>
      <w:r w:rsidRPr="0055512B">
        <w:rPr>
          <w:rFonts w:eastAsia="Arial" w:cs="Arial"/>
        </w:rPr>
        <w:t>SAEP</w:t>
      </w:r>
      <w:r w:rsidRPr="0055512B">
        <w:rPr>
          <w:rFonts w:eastAsia="Times New Roman" w:cs="Arial"/>
        </w:rPr>
        <w:tab/>
      </w:r>
      <w:r w:rsidRPr="0055512B">
        <w:rPr>
          <w:rFonts w:eastAsia="Arial" w:cs="Arial"/>
        </w:rPr>
        <w:t>Système d´Approvisionnement en Eau Potable</w:t>
      </w:r>
    </w:p>
    <w:p w14:paraId="57ED3F85" w14:textId="77777777" w:rsidR="008C2FAA" w:rsidRPr="0055512B" w:rsidRDefault="008C2FAA" w:rsidP="001950BE">
      <w:pPr>
        <w:tabs>
          <w:tab w:val="left" w:pos="1240"/>
        </w:tabs>
        <w:spacing w:line="276" w:lineRule="auto"/>
        <w:rPr>
          <w:rFonts w:eastAsia="Arial" w:cs="Arial"/>
        </w:rPr>
      </w:pPr>
      <w:r w:rsidRPr="0055512B">
        <w:rPr>
          <w:rFonts w:eastAsia="Arial" w:cs="Arial"/>
        </w:rPr>
        <w:t>SNEP</w:t>
      </w:r>
      <w:r w:rsidRPr="0055512B">
        <w:rPr>
          <w:rFonts w:eastAsia="Times New Roman" w:cs="Arial"/>
        </w:rPr>
        <w:tab/>
      </w:r>
      <w:r w:rsidRPr="0055512B">
        <w:rPr>
          <w:rFonts w:eastAsia="Arial" w:cs="Arial"/>
        </w:rPr>
        <w:t>Service National de l</w:t>
      </w:r>
      <w:r w:rsidR="0043165D" w:rsidRPr="0055512B">
        <w:rPr>
          <w:rFonts w:ascii="Times New Roman" w:eastAsia="Arial" w:hAnsi="Times New Roman" w:cs="Times New Roman"/>
        </w:rPr>
        <w:t>’</w:t>
      </w:r>
      <w:r w:rsidRPr="0055512B">
        <w:rPr>
          <w:rFonts w:eastAsia="Arial" w:cs="Arial"/>
        </w:rPr>
        <w:t>Eau Potable</w:t>
      </w:r>
    </w:p>
    <w:p w14:paraId="43AAB8DE" w14:textId="77777777" w:rsidR="008C2FAA" w:rsidRPr="0055512B" w:rsidRDefault="008C2FAA" w:rsidP="001950BE">
      <w:pPr>
        <w:tabs>
          <w:tab w:val="left" w:pos="1240"/>
        </w:tabs>
        <w:spacing w:line="276" w:lineRule="auto"/>
        <w:rPr>
          <w:rFonts w:eastAsia="Arial" w:cs="Arial"/>
        </w:rPr>
      </w:pPr>
      <w:r w:rsidRPr="0055512B">
        <w:rPr>
          <w:rFonts w:eastAsia="Arial" w:cs="Arial"/>
        </w:rPr>
        <w:t>STH</w:t>
      </w:r>
      <w:r w:rsidRPr="0055512B">
        <w:rPr>
          <w:rFonts w:eastAsia="Times New Roman" w:cs="Arial"/>
        </w:rPr>
        <w:tab/>
      </w:r>
      <w:r w:rsidRPr="0055512B">
        <w:rPr>
          <w:rFonts w:eastAsia="Arial" w:cs="Arial"/>
        </w:rPr>
        <w:t>Soil Transmitted Helminthes (Helminthes transmis par le sol)</w:t>
      </w:r>
    </w:p>
    <w:p w14:paraId="0782F78A" w14:textId="77777777" w:rsidR="008C2FAA" w:rsidRPr="0055512B" w:rsidRDefault="008C2FAA" w:rsidP="001950BE">
      <w:pPr>
        <w:tabs>
          <w:tab w:val="left" w:pos="1240"/>
        </w:tabs>
        <w:spacing w:line="276" w:lineRule="auto"/>
        <w:rPr>
          <w:rFonts w:eastAsia="Arial" w:cs="Arial"/>
        </w:rPr>
      </w:pPr>
      <w:r w:rsidRPr="0055512B">
        <w:rPr>
          <w:rFonts w:eastAsia="Arial" w:cs="Arial"/>
        </w:rPr>
        <w:t>URD</w:t>
      </w:r>
      <w:r w:rsidRPr="0055512B">
        <w:rPr>
          <w:rFonts w:eastAsia="Times New Roman" w:cs="Arial"/>
        </w:rPr>
        <w:tab/>
      </w:r>
      <w:r w:rsidRPr="0055512B">
        <w:rPr>
          <w:rFonts w:eastAsia="Arial" w:cs="Arial"/>
        </w:rPr>
        <w:t>Unité Rurale Départementale</w:t>
      </w:r>
    </w:p>
    <w:p w14:paraId="465F2945" w14:textId="5C7E7EDB" w:rsidR="008C2FAA" w:rsidRPr="0055512B" w:rsidRDefault="008C2FAA" w:rsidP="001950BE">
      <w:pPr>
        <w:tabs>
          <w:tab w:val="left" w:pos="1240"/>
        </w:tabs>
        <w:spacing w:line="276" w:lineRule="auto"/>
        <w:rPr>
          <w:rFonts w:eastAsia="Arial" w:cs="Arial"/>
        </w:rPr>
      </w:pPr>
      <w:r w:rsidRPr="0055512B">
        <w:rPr>
          <w:rFonts w:eastAsia="Arial" w:cs="Arial"/>
        </w:rPr>
        <w:t>UTE</w:t>
      </w:r>
      <w:r w:rsidRPr="0055512B">
        <w:rPr>
          <w:rFonts w:eastAsia="Times New Roman" w:cs="Arial"/>
        </w:rPr>
        <w:tab/>
      </w:r>
      <w:r w:rsidRPr="0055512B">
        <w:rPr>
          <w:rFonts w:eastAsia="Arial" w:cs="Arial"/>
        </w:rPr>
        <w:t>Unité Technique d</w:t>
      </w:r>
      <w:r w:rsidR="00E320DF" w:rsidRPr="0055512B">
        <w:rPr>
          <w:rFonts w:ascii="Times New Roman" w:eastAsia="Arial" w:hAnsi="Times New Roman" w:cs="Times New Roman"/>
        </w:rPr>
        <w:t>’</w:t>
      </w:r>
      <w:r w:rsidRPr="0055512B">
        <w:rPr>
          <w:rFonts w:eastAsia="Arial" w:cs="Arial"/>
        </w:rPr>
        <w:t>Exploitation</w:t>
      </w:r>
    </w:p>
    <w:p w14:paraId="4BBF287D" w14:textId="77777777" w:rsidR="008C2FAA" w:rsidRPr="0055512B" w:rsidRDefault="008C2FAA" w:rsidP="001950BE">
      <w:pPr>
        <w:tabs>
          <w:tab w:val="left" w:pos="1240"/>
        </w:tabs>
        <w:spacing w:line="276" w:lineRule="auto"/>
        <w:rPr>
          <w:rFonts w:eastAsia="Arial" w:cs="Arial"/>
        </w:rPr>
      </w:pPr>
      <w:r w:rsidRPr="0055512B">
        <w:rPr>
          <w:rFonts w:eastAsia="Arial" w:cs="Arial"/>
        </w:rPr>
        <w:t>BM</w:t>
      </w:r>
      <w:r w:rsidRPr="0055512B">
        <w:rPr>
          <w:rFonts w:eastAsia="Times New Roman" w:cs="Arial"/>
        </w:rPr>
        <w:tab/>
      </w:r>
      <w:r w:rsidRPr="0055512B">
        <w:rPr>
          <w:rFonts w:eastAsia="Arial" w:cs="Arial"/>
        </w:rPr>
        <w:t>Banque Mondiale</w:t>
      </w:r>
    </w:p>
    <w:p w14:paraId="7F8116E0" w14:textId="77777777" w:rsidR="008C2FAA" w:rsidRPr="0055512B" w:rsidRDefault="008C2FAA" w:rsidP="001950BE">
      <w:pPr>
        <w:spacing w:line="276" w:lineRule="auto"/>
        <w:rPr>
          <w:rFonts w:eastAsia="Times New Roman" w:cs="Arial"/>
        </w:rPr>
      </w:pPr>
    </w:p>
    <w:p w14:paraId="16579CEB" w14:textId="77777777" w:rsidR="00D0325E" w:rsidRPr="0055512B" w:rsidRDefault="00D823E2" w:rsidP="00D823E2">
      <w:pPr>
        <w:spacing w:line="276" w:lineRule="auto"/>
        <w:jc w:val="center"/>
        <w:rPr>
          <w:b/>
        </w:rPr>
      </w:pPr>
      <w:r w:rsidRPr="0055512B">
        <w:rPr>
          <w:b/>
        </w:rPr>
        <w:lastRenderedPageBreak/>
        <w:t>Table des Matières</w:t>
      </w:r>
    </w:p>
    <w:p w14:paraId="3A2B9B7E" w14:textId="77777777" w:rsidR="00D823E2" w:rsidRPr="0055512B" w:rsidRDefault="00D823E2" w:rsidP="00D823E2">
      <w:pPr>
        <w:spacing w:line="276" w:lineRule="auto"/>
        <w:jc w:val="center"/>
        <w:rPr>
          <w:b/>
        </w:rPr>
      </w:pPr>
    </w:p>
    <w:p w14:paraId="35F90C7D" w14:textId="77777777" w:rsidR="00D823E2" w:rsidRPr="0055512B" w:rsidRDefault="00D823E2" w:rsidP="002E5BE9">
      <w:pPr>
        <w:pStyle w:val="ListParagraph"/>
        <w:numPr>
          <w:ilvl w:val="0"/>
          <w:numId w:val="44"/>
        </w:numPr>
        <w:spacing w:line="276" w:lineRule="auto"/>
        <w:rPr>
          <w:b/>
        </w:rPr>
      </w:pPr>
      <w:r w:rsidRPr="0055512B">
        <w:rPr>
          <w:b/>
        </w:rPr>
        <w:t xml:space="preserve">Généralités </w:t>
      </w:r>
    </w:p>
    <w:p w14:paraId="2E60D77A" w14:textId="77777777" w:rsidR="00D823E2" w:rsidRPr="0055512B" w:rsidRDefault="00D823E2" w:rsidP="002E5BE9">
      <w:pPr>
        <w:pStyle w:val="ListParagraph"/>
        <w:numPr>
          <w:ilvl w:val="1"/>
          <w:numId w:val="44"/>
        </w:numPr>
        <w:spacing w:line="276" w:lineRule="auto"/>
        <w:rPr>
          <w:b/>
        </w:rPr>
      </w:pPr>
      <w:r w:rsidRPr="0055512B">
        <w:rPr>
          <w:b/>
        </w:rPr>
        <w:t>Objectifs du Manuel unifié</w:t>
      </w:r>
    </w:p>
    <w:p w14:paraId="54372269" w14:textId="77777777" w:rsidR="00D823E2" w:rsidRPr="0055512B" w:rsidRDefault="00D823E2" w:rsidP="002E5BE9">
      <w:pPr>
        <w:pStyle w:val="ListParagraph"/>
        <w:numPr>
          <w:ilvl w:val="1"/>
          <w:numId w:val="44"/>
        </w:numPr>
        <w:spacing w:line="276" w:lineRule="auto"/>
        <w:rPr>
          <w:b/>
        </w:rPr>
      </w:pPr>
      <w:r w:rsidRPr="0055512B">
        <w:rPr>
          <w:b/>
        </w:rPr>
        <w:t xml:space="preserve">Portée et Structure </w:t>
      </w:r>
    </w:p>
    <w:p w14:paraId="622FEDBC" w14:textId="77777777" w:rsidR="00D823E2" w:rsidRPr="0055512B" w:rsidRDefault="00D823E2" w:rsidP="002E5BE9">
      <w:pPr>
        <w:pStyle w:val="ListParagraph"/>
        <w:numPr>
          <w:ilvl w:val="1"/>
          <w:numId w:val="44"/>
        </w:numPr>
        <w:spacing w:line="276" w:lineRule="auto"/>
        <w:rPr>
          <w:b/>
        </w:rPr>
      </w:pPr>
      <w:r w:rsidRPr="0055512B">
        <w:rPr>
          <w:b/>
        </w:rPr>
        <w:t xml:space="preserve">Modifications et mise à jour </w:t>
      </w:r>
    </w:p>
    <w:p w14:paraId="63C02C19" w14:textId="77777777" w:rsidR="00D823E2" w:rsidRPr="0055512B" w:rsidRDefault="00D823E2" w:rsidP="00D823E2">
      <w:pPr>
        <w:spacing w:line="276" w:lineRule="auto"/>
        <w:rPr>
          <w:b/>
        </w:rPr>
      </w:pPr>
    </w:p>
    <w:p w14:paraId="5E689D03" w14:textId="77777777" w:rsidR="00D823E2" w:rsidRPr="0055512B" w:rsidRDefault="00D823E2" w:rsidP="002E5BE9">
      <w:pPr>
        <w:pStyle w:val="ListParagraph"/>
        <w:numPr>
          <w:ilvl w:val="0"/>
          <w:numId w:val="44"/>
        </w:numPr>
        <w:spacing w:line="276" w:lineRule="auto"/>
        <w:rPr>
          <w:b/>
        </w:rPr>
      </w:pPr>
      <w:r w:rsidRPr="0055512B">
        <w:rPr>
          <w:b/>
        </w:rPr>
        <w:t>Présentation générale des programmes EPA de Port-au-Prince</w:t>
      </w:r>
    </w:p>
    <w:p w14:paraId="6E5C6570" w14:textId="77777777" w:rsidR="00D0325E" w:rsidRPr="0055512B" w:rsidRDefault="00D823E2" w:rsidP="002E5BE9">
      <w:pPr>
        <w:pStyle w:val="ListParagraph"/>
        <w:numPr>
          <w:ilvl w:val="1"/>
          <w:numId w:val="44"/>
        </w:numPr>
        <w:spacing w:line="276" w:lineRule="auto"/>
        <w:rPr>
          <w:b/>
        </w:rPr>
      </w:pPr>
      <w:r w:rsidRPr="0055512B">
        <w:rPr>
          <w:b/>
        </w:rPr>
        <w:t>Présentation du HA-L1044</w:t>
      </w:r>
    </w:p>
    <w:p w14:paraId="69AC625C" w14:textId="77777777" w:rsidR="00D823E2" w:rsidRPr="0055512B" w:rsidRDefault="00D823E2" w:rsidP="002E5BE9">
      <w:pPr>
        <w:pStyle w:val="ListParagraph"/>
        <w:numPr>
          <w:ilvl w:val="1"/>
          <w:numId w:val="44"/>
        </w:numPr>
        <w:spacing w:line="276" w:lineRule="auto"/>
        <w:rPr>
          <w:b/>
        </w:rPr>
      </w:pPr>
      <w:r w:rsidRPr="0055512B">
        <w:rPr>
          <w:b/>
        </w:rPr>
        <w:t>Présentation du HA-L1075</w:t>
      </w:r>
    </w:p>
    <w:p w14:paraId="15465A30" w14:textId="77777777" w:rsidR="00D823E2" w:rsidRPr="0055512B" w:rsidRDefault="00D823E2" w:rsidP="002E5BE9">
      <w:pPr>
        <w:pStyle w:val="ListParagraph"/>
        <w:numPr>
          <w:ilvl w:val="1"/>
          <w:numId w:val="44"/>
        </w:numPr>
        <w:spacing w:line="276" w:lineRule="auto"/>
        <w:rPr>
          <w:b/>
        </w:rPr>
      </w:pPr>
      <w:r w:rsidRPr="0055512B">
        <w:rPr>
          <w:b/>
        </w:rPr>
        <w:t>Présentation du HA-L1103</w:t>
      </w:r>
    </w:p>
    <w:p w14:paraId="46FE9318" w14:textId="77777777" w:rsidR="00D823E2" w:rsidRPr="0055512B" w:rsidRDefault="00D823E2" w:rsidP="00D823E2">
      <w:pPr>
        <w:pStyle w:val="ListParagraph"/>
        <w:spacing w:line="276" w:lineRule="auto"/>
        <w:ind w:left="1080"/>
        <w:rPr>
          <w:b/>
        </w:rPr>
      </w:pPr>
    </w:p>
    <w:p w14:paraId="2F5DC747" w14:textId="77777777" w:rsidR="00D0325E" w:rsidRPr="0055512B" w:rsidRDefault="00D823E2" w:rsidP="002E5BE9">
      <w:pPr>
        <w:pStyle w:val="ListParagraph"/>
        <w:numPr>
          <w:ilvl w:val="0"/>
          <w:numId w:val="44"/>
        </w:numPr>
        <w:spacing w:line="276" w:lineRule="auto"/>
      </w:pPr>
      <w:r w:rsidRPr="0055512B">
        <w:rPr>
          <w:b/>
        </w:rPr>
        <w:t xml:space="preserve">Les acteurs et leur mandat </w:t>
      </w:r>
    </w:p>
    <w:p w14:paraId="3BB2B42D" w14:textId="77777777" w:rsidR="00D0325E" w:rsidRPr="0055512B" w:rsidRDefault="00D823E2" w:rsidP="002E5BE9">
      <w:pPr>
        <w:pStyle w:val="ListParagraph"/>
        <w:numPr>
          <w:ilvl w:val="1"/>
          <w:numId w:val="44"/>
        </w:numPr>
        <w:spacing w:line="276" w:lineRule="auto"/>
      </w:pPr>
      <w:r w:rsidRPr="0055512B">
        <w:rPr>
          <w:b/>
        </w:rPr>
        <w:t>Mandat de la DINEPA</w:t>
      </w:r>
    </w:p>
    <w:p w14:paraId="51B703D4" w14:textId="77777777" w:rsidR="00D823E2" w:rsidRPr="0055512B" w:rsidRDefault="00D823E2" w:rsidP="002E5BE9">
      <w:pPr>
        <w:pStyle w:val="ListParagraph"/>
        <w:numPr>
          <w:ilvl w:val="1"/>
          <w:numId w:val="44"/>
        </w:numPr>
        <w:spacing w:line="276" w:lineRule="auto"/>
      </w:pPr>
      <w:r w:rsidRPr="0055512B">
        <w:rPr>
          <w:b/>
        </w:rPr>
        <w:t>Mandat du CTE-RMPP</w:t>
      </w:r>
    </w:p>
    <w:p w14:paraId="751AC1EA" w14:textId="77777777" w:rsidR="002E5BE9" w:rsidRPr="00AD6E5A" w:rsidRDefault="00D823E2" w:rsidP="002E5BE9">
      <w:pPr>
        <w:pStyle w:val="ListParagraph"/>
        <w:numPr>
          <w:ilvl w:val="1"/>
          <w:numId w:val="44"/>
        </w:numPr>
        <w:spacing w:line="276" w:lineRule="auto"/>
      </w:pPr>
      <w:r w:rsidRPr="0055512B">
        <w:rPr>
          <w:b/>
        </w:rPr>
        <w:t xml:space="preserve">Mandat de l’OREPA Ouest </w:t>
      </w:r>
    </w:p>
    <w:p w14:paraId="7858D7A0" w14:textId="77777777" w:rsidR="00AD6E5A" w:rsidRPr="0055512B" w:rsidRDefault="00AD6E5A" w:rsidP="00AD6E5A">
      <w:pPr>
        <w:pStyle w:val="ListParagraph"/>
        <w:spacing w:line="276" w:lineRule="auto"/>
      </w:pPr>
    </w:p>
    <w:p w14:paraId="4FBD9D4B" w14:textId="77777777" w:rsidR="002E5BE9" w:rsidRPr="0055512B" w:rsidRDefault="002E5BE9" w:rsidP="002E5BE9">
      <w:pPr>
        <w:pStyle w:val="ListParagraph"/>
        <w:numPr>
          <w:ilvl w:val="0"/>
          <w:numId w:val="44"/>
        </w:numPr>
        <w:spacing w:line="276" w:lineRule="auto"/>
      </w:pPr>
      <w:r w:rsidRPr="0055512B">
        <w:rPr>
          <w:b/>
        </w:rPr>
        <w:t xml:space="preserve">Mécanismes contractuels d’exécution </w:t>
      </w:r>
    </w:p>
    <w:p w14:paraId="38483165" w14:textId="77777777" w:rsidR="002E5BE9" w:rsidRPr="0055512B" w:rsidRDefault="00CA6108" w:rsidP="002E5BE9">
      <w:pPr>
        <w:pStyle w:val="ListParagraph"/>
        <w:numPr>
          <w:ilvl w:val="1"/>
          <w:numId w:val="44"/>
        </w:numPr>
        <w:spacing w:line="276" w:lineRule="auto"/>
      </w:pPr>
      <w:r w:rsidRPr="0055512B">
        <w:rPr>
          <w:b/>
        </w:rPr>
        <w:t>Séminaire de démarrage</w:t>
      </w:r>
    </w:p>
    <w:p w14:paraId="449BBFCA" w14:textId="77777777" w:rsidR="00CA6108" w:rsidRPr="0055512B" w:rsidRDefault="00CA6108" w:rsidP="002E5BE9">
      <w:pPr>
        <w:pStyle w:val="ListParagraph"/>
        <w:numPr>
          <w:ilvl w:val="1"/>
          <w:numId w:val="44"/>
        </w:numPr>
        <w:spacing w:line="276" w:lineRule="auto"/>
      </w:pPr>
      <w:r w:rsidRPr="0055512B">
        <w:rPr>
          <w:b/>
        </w:rPr>
        <w:t>Suivi</w:t>
      </w:r>
      <w:r w:rsidR="0019674D" w:rsidRPr="0055512B">
        <w:rPr>
          <w:b/>
        </w:rPr>
        <w:t xml:space="preserve"> </w:t>
      </w:r>
      <w:r w:rsidR="0019674D" w:rsidRPr="0055512B">
        <w:rPr>
          <w:rStyle w:val="FootnoteReference"/>
          <w:b/>
        </w:rPr>
        <w:footnoteReference w:id="1"/>
      </w:r>
      <w:r w:rsidR="0019674D" w:rsidRPr="0055512B">
        <w:rPr>
          <w:b/>
        </w:rPr>
        <w:t xml:space="preserve"> </w:t>
      </w:r>
    </w:p>
    <w:p w14:paraId="261988E4" w14:textId="77777777" w:rsidR="00CA6108" w:rsidRPr="0055512B" w:rsidRDefault="00CA6108" w:rsidP="002E5BE9">
      <w:pPr>
        <w:pStyle w:val="ListParagraph"/>
        <w:numPr>
          <w:ilvl w:val="1"/>
          <w:numId w:val="44"/>
        </w:numPr>
        <w:spacing w:line="276" w:lineRule="auto"/>
      </w:pPr>
      <w:r w:rsidRPr="0055512B">
        <w:rPr>
          <w:b/>
        </w:rPr>
        <w:t xml:space="preserve">Rapports externes </w:t>
      </w:r>
    </w:p>
    <w:p w14:paraId="3CA56ADF" w14:textId="77777777" w:rsidR="00CA6108" w:rsidRPr="0055512B" w:rsidRDefault="00CA6108" w:rsidP="002E5BE9">
      <w:pPr>
        <w:pStyle w:val="ListParagraph"/>
        <w:numPr>
          <w:ilvl w:val="1"/>
          <w:numId w:val="44"/>
        </w:numPr>
        <w:spacing w:line="276" w:lineRule="auto"/>
      </w:pPr>
      <w:r w:rsidRPr="0055512B">
        <w:rPr>
          <w:b/>
        </w:rPr>
        <w:t xml:space="preserve">Rapports internes </w:t>
      </w:r>
    </w:p>
    <w:p w14:paraId="3101B0E6" w14:textId="77777777" w:rsidR="00CA6108" w:rsidRPr="0055512B" w:rsidRDefault="00CA6108" w:rsidP="002E5BE9">
      <w:pPr>
        <w:pStyle w:val="ListParagraph"/>
        <w:numPr>
          <w:ilvl w:val="1"/>
          <w:numId w:val="44"/>
        </w:numPr>
        <w:spacing w:line="276" w:lineRule="auto"/>
      </w:pPr>
      <w:r w:rsidRPr="0055512B">
        <w:rPr>
          <w:b/>
        </w:rPr>
        <w:t>Audits</w:t>
      </w:r>
    </w:p>
    <w:p w14:paraId="28EC30C3" w14:textId="77777777" w:rsidR="00CA6108" w:rsidRPr="0055512B" w:rsidRDefault="00CA6108" w:rsidP="002E5BE9">
      <w:pPr>
        <w:pStyle w:val="ListParagraph"/>
        <w:numPr>
          <w:ilvl w:val="1"/>
          <w:numId w:val="44"/>
        </w:numPr>
        <w:spacing w:line="276" w:lineRule="auto"/>
      </w:pPr>
      <w:r w:rsidRPr="0055512B">
        <w:rPr>
          <w:b/>
        </w:rPr>
        <w:t>Evaluations</w:t>
      </w:r>
    </w:p>
    <w:p w14:paraId="08176E14" w14:textId="77777777" w:rsidR="00CA6108" w:rsidRPr="0055512B" w:rsidRDefault="00CA6108" w:rsidP="00CA6108">
      <w:pPr>
        <w:pStyle w:val="ListParagraph"/>
        <w:numPr>
          <w:ilvl w:val="1"/>
          <w:numId w:val="44"/>
        </w:numPr>
        <w:spacing w:line="276" w:lineRule="auto"/>
      </w:pPr>
      <w:r w:rsidRPr="0055512B">
        <w:rPr>
          <w:b/>
        </w:rPr>
        <w:t>Comité conjoint</w:t>
      </w:r>
    </w:p>
    <w:p w14:paraId="05E6A274" w14:textId="77777777" w:rsidR="00CA6108" w:rsidRPr="0055512B" w:rsidRDefault="00CA6108" w:rsidP="00CA6108">
      <w:pPr>
        <w:pStyle w:val="ListParagraph"/>
        <w:spacing w:line="276" w:lineRule="auto"/>
        <w:ind w:left="1080"/>
      </w:pPr>
    </w:p>
    <w:p w14:paraId="7BF2DD8E" w14:textId="77777777" w:rsidR="00CA6108" w:rsidRPr="0055512B" w:rsidRDefault="00CA6108" w:rsidP="00CA6108">
      <w:pPr>
        <w:pStyle w:val="ListParagraph"/>
        <w:numPr>
          <w:ilvl w:val="0"/>
          <w:numId w:val="44"/>
        </w:numPr>
        <w:spacing w:line="276" w:lineRule="auto"/>
      </w:pPr>
      <w:r w:rsidRPr="0055512B">
        <w:rPr>
          <w:b/>
        </w:rPr>
        <w:t>Documents obligatoires de programmation et de suivi des activités</w:t>
      </w:r>
    </w:p>
    <w:p w14:paraId="2F2A913D" w14:textId="77777777" w:rsidR="00CA6108" w:rsidRPr="0055512B" w:rsidRDefault="00CA6108" w:rsidP="00CA6108">
      <w:pPr>
        <w:pStyle w:val="ListParagraph"/>
        <w:numPr>
          <w:ilvl w:val="1"/>
          <w:numId w:val="44"/>
        </w:numPr>
        <w:spacing w:line="276" w:lineRule="auto"/>
      </w:pPr>
      <w:r w:rsidRPr="0055512B">
        <w:rPr>
          <w:b/>
        </w:rPr>
        <w:t>Plan de Passation de Marché</w:t>
      </w:r>
    </w:p>
    <w:p w14:paraId="0F12A65B" w14:textId="77777777" w:rsidR="00CA6108" w:rsidRPr="0055512B" w:rsidRDefault="00CA6108" w:rsidP="00CA6108">
      <w:pPr>
        <w:pStyle w:val="ListParagraph"/>
        <w:numPr>
          <w:ilvl w:val="1"/>
          <w:numId w:val="44"/>
        </w:numPr>
        <w:spacing w:line="276" w:lineRule="auto"/>
      </w:pPr>
      <w:r w:rsidRPr="0055512B">
        <w:rPr>
          <w:b/>
        </w:rPr>
        <w:t>Plan d’exécution pluriannuel</w:t>
      </w:r>
    </w:p>
    <w:p w14:paraId="5984B8B0" w14:textId="77777777" w:rsidR="00CA6108" w:rsidRPr="0055512B" w:rsidRDefault="00CA6108" w:rsidP="00CA6108">
      <w:pPr>
        <w:pStyle w:val="ListParagraph"/>
        <w:numPr>
          <w:ilvl w:val="1"/>
          <w:numId w:val="44"/>
        </w:numPr>
        <w:spacing w:line="276" w:lineRule="auto"/>
      </w:pPr>
      <w:r w:rsidRPr="0055512B">
        <w:rPr>
          <w:b/>
        </w:rPr>
        <w:t>Plan opérationnel annuel</w:t>
      </w:r>
    </w:p>
    <w:p w14:paraId="53AE2AA7" w14:textId="77777777" w:rsidR="00CA6108" w:rsidRPr="0055512B" w:rsidRDefault="00CA6108" w:rsidP="00CA6108">
      <w:pPr>
        <w:pStyle w:val="ListParagraph"/>
        <w:numPr>
          <w:ilvl w:val="1"/>
          <w:numId w:val="44"/>
        </w:numPr>
        <w:spacing w:line="276" w:lineRule="auto"/>
      </w:pPr>
      <w:r w:rsidRPr="0055512B">
        <w:rPr>
          <w:b/>
        </w:rPr>
        <w:t>Chronogramme d’exécution du contrat</w:t>
      </w:r>
    </w:p>
    <w:p w14:paraId="5BA72607" w14:textId="77777777" w:rsidR="00CA6108" w:rsidRPr="0055512B" w:rsidRDefault="00CA6108" w:rsidP="00CA6108">
      <w:pPr>
        <w:pStyle w:val="ListParagraph"/>
        <w:numPr>
          <w:ilvl w:val="1"/>
          <w:numId w:val="44"/>
        </w:numPr>
        <w:spacing w:line="276" w:lineRule="auto"/>
      </w:pPr>
      <w:r w:rsidRPr="0055512B">
        <w:rPr>
          <w:b/>
        </w:rPr>
        <w:t xml:space="preserve">Contrôle de qualité </w:t>
      </w:r>
    </w:p>
    <w:p w14:paraId="366AC0D2" w14:textId="77777777" w:rsidR="00CA6108" w:rsidRPr="0055512B" w:rsidRDefault="00CA6108" w:rsidP="00CA6108">
      <w:pPr>
        <w:pStyle w:val="ListParagraph"/>
        <w:numPr>
          <w:ilvl w:val="1"/>
          <w:numId w:val="44"/>
        </w:numPr>
        <w:spacing w:line="276" w:lineRule="auto"/>
      </w:pPr>
      <w:r w:rsidRPr="0055512B">
        <w:rPr>
          <w:b/>
        </w:rPr>
        <w:t>Evaluation de la performance de l’entreprise</w:t>
      </w:r>
      <w:r w:rsidR="0019674D" w:rsidRPr="0055512B">
        <w:rPr>
          <w:rStyle w:val="FootnoteReference"/>
          <w:b/>
        </w:rPr>
        <w:footnoteReference w:id="2"/>
      </w:r>
    </w:p>
    <w:p w14:paraId="38740FCE" w14:textId="77777777" w:rsidR="00CA6108" w:rsidRPr="0055512B" w:rsidRDefault="00CA6108" w:rsidP="00CA6108">
      <w:pPr>
        <w:pStyle w:val="ListParagraph"/>
        <w:numPr>
          <w:ilvl w:val="1"/>
          <w:numId w:val="44"/>
        </w:numPr>
        <w:spacing w:line="276" w:lineRule="auto"/>
      </w:pPr>
      <w:r w:rsidRPr="0055512B">
        <w:rPr>
          <w:b/>
        </w:rPr>
        <w:t>Rapports d’études</w:t>
      </w:r>
    </w:p>
    <w:p w14:paraId="578F31AB" w14:textId="77777777" w:rsidR="00CA6108" w:rsidRPr="0055512B" w:rsidRDefault="00CA6108" w:rsidP="00CA6108">
      <w:pPr>
        <w:pStyle w:val="ListParagraph"/>
        <w:numPr>
          <w:ilvl w:val="1"/>
          <w:numId w:val="44"/>
        </w:numPr>
        <w:spacing w:line="276" w:lineRule="auto"/>
      </w:pPr>
      <w:r w:rsidRPr="0055512B">
        <w:rPr>
          <w:b/>
        </w:rPr>
        <w:t>Visites techniques</w:t>
      </w:r>
      <w:r w:rsidR="0019674D" w:rsidRPr="0055512B">
        <w:rPr>
          <w:b/>
        </w:rPr>
        <w:t xml:space="preserve"> et environnementales et sociales</w:t>
      </w:r>
      <w:r w:rsidRPr="0055512B">
        <w:rPr>
          <w:b/>
        </w:rPr>
        <w:t xml:space="preserve"> </w:t>
      </w:r>
    </w:p>
    <w:p w14:paraId="2B71532D" w14:textId="77777777" w:rsidR="00CA6108" w:rsidRPr="0055512B" w:rsidRDefault="00CA6108" w:rsidP="00CA6108">
      <w:pPr>
        <w:pStyle w:val="ListParagraph"/>
        <w:numPr>
          <w:ilvl w:val="1"/>
          <w:numId w:val="44"/>
        </w:numPr>
        <w:spacing w:line="276" w:lineRule="auto"/>
      </w:pPr>
      <w:r w:rsidRPr="0055512B">
        <w:rPr>
          <w:b/>
        </w:rPr>
        <w:t>Revues de contrats</w:t>
      </w:r>
    </w:p>
    <w:p w14:paraId="3590A7F6" w14:textId="77777777" w:rsidR="00CA6108" w:rsidRPr="0055512B" w:rsidRDefault="00CA6108" w:rsidP="00CA6108">
      <w:pPr>
        <w:spacing w:line="276" w:lineRule="auto"/>
        <w:ind w:left="720"/>
      </w:pPr>
    </w:p>
    <w:p w14:paraId="09884E34" w14:textId="77777777" w:rsidR="00CA6108" w:rsidRPr="0055512B" w:rsidRDefault="00CA6108" w:rsidP="00CA6108">
      <w:pPr>
        <w:pStyle w:val="ListParagraph"/>
        <w:numPr>
          <w:ilvl w:val="0"/>
          <w:numId w:val="44"/>
        </w:numPr>
        <w:spacing w:line="276" w:lineRule="auto"/>
      </w:pPr>
      <w:r w:rsidRPr="0055512B">
        <w:rPr>
          <w:b/>
        </w:rPr>
        <w:lastRenderedPageBreak/>
        <w:t xml:space="preserve"> Procédures de Passation de Marché</w:t>
      </w:r>
    </w:p>
    <w:p w14:paraId="4D2CDF75" w14:textId="77777777" w:rsidR="00CA6108" w:rsidRPr="0055512B" w:rsidRDefault="00CA6108" w:rsidP="00CA6108">
      <w:pPr>
        <w:pStyle w:val="ListParagraph"/>
        <w:spacing w:line="276" w:lineRule="auto"/>
      </w:pPr>
    </w:p>
    <w:p w14:paraId="4D8558AE" w14:textId="77777777" w:rsidR="00CA6108" w:rsidRPr="0055512B" w:rsidRDefault="00CA6108" w:rsidP="00CA6108">
      <w:pPr>
        <w:pStyle w:val="ListParagraph"/>
        <w:spacing w:line="276" w:lineRule="auto"/>
      </w:pPr>
    </w:p>
    <w:p w14:paraId="0FA7E880" w14:textId="77777777" w:rsidR="00CA6108" w:rsidRPr="0055512B" w:rsidRDefault="00CA6108" w:rsidP="00CA6108">
      <w:pPr>
        <w:pStyle w:val="ListParagraph"/>
        <w:numPr>
          <w:ilvl w:val="0"/>
          <w:numId w:val="44"/>
        </w:numPr>
        <w:spacing w:line="276" w:lineRule="auto"/>
        <w:rPr>
          <w:b/>
        </w:rPr>
      </w:pPr>
      <w:r w:rsidRPr="0055512B">
        <w:rPr>
          <w:b/>
        </w:rPr>
        <w:t>Procédures financières</w:t>
      </w:r>
    </w:p>
    <w:p w14:paraId="378F2F72" w14:textId="77777777" w:rsidR="00CA6108" w:rsidRPr="0055512B" w:rsidRDefault="00CA6108" w:rsidP="00CA6108">
      <w:pPr>
        <w:pStyle w:val="ListParagraph"/>
        <w:numPr>
          <w:ilvl w:val="1"/>
          <w:numId w:val="44"/>
        </w:numPr>
        <w:spacing w:line="276" w:lineRule="auto"/>
        <w:rPr>
          <w:b/>
        </w:rPr>
      </w:pPr>
      <w:r w:rsidRPr="0055512B">
        <w:rPr>
          <w:b/>
        </w:rPr>
        <w:t>Planification</w:t>
      </w:r>
    </w:p>
    <w:p w14:paraId="0B1C040E" w14:textId="77777777" w:rsidR="00CA6108" w:rsidRPr="0055512B" w:rsidRDefault="00CA6108" w:rsidP="00CA6108">
      <w:pPr>
        <w:pStyle w:val="ListParagraph"/>
        <w:numPr>
          <w:ilvl w:val="1"/>
          <w:numId w:val="44"/>
        </w:numPr>
        <w:spacing w:line="276" w:lineRule="auto"/>
        <w:rPr>
          <w:b/>
        </w:rPr>
      </w:pPr>
      <w:r w:rsidRPr="0055512B">
        <w:rPr>
          <w:b/>
        </w:rPr>
        <w:t xml:space="preserve">Processus d’exécution des dépenses </w:t>
      </w:r>
    </w:p>
    <w:p w14:paraId="4CD4462E" w14:textId="77777777" w:rsidR="00CA6108" w:rsidRPr="0055512B" w:rsidRDefault="00CA6108" w:rsidP="00CA6108">
      <w:pPr>
        <w:pStyle w:val="ListParagraph"/>
        <w:numPr>
          <w:ilvl w:val="1"/>
          <w:numId w:val="44"/>
        </w:numPr>
        <w:spacing w:line="276" w:lineRule="auto"/>
        <w:rPr>
          <w:b/>
        </w:rPr>
      </w:pPr>
      <w:r w:rsidRPr="0055512B">
        <w:rPr>
          <w:b/>
        </w:rPr>
        <w:t xml:space="preserve">Conditions spéciales à considérer </w:t>
      </w:r>
    </w:p>
    <w:p w14:paraId="06953C4A" w14:textId="77777777" w:rsidR="00CA6108" w:rsidRPr="0055512B" w:rsidRDefault="00CA6108" w:rsidP="00CA6108">
      <w:pPr>
        <w:pStyle w:val="ListParagraph"/>
        <w:spacing w:line="276" w:lineRule="auto"/>
        <w:ind w:left="1080"/>
        <w:rPr>
          <w:b/>
        </w:rPr>
      </w:pPr>
    </w:p>
    <w:p w14:paraId="263693BD" w14:textId="77777777" w:rsidR="00CA6108" w:rsidRPr="0055512B" w:rsidRDefault="00CA6108" w:rsidP="00CA6108">
      <w:pPr>
        <w:spacing w:line="276" w:lineRule="auto"/>
      </w:pPr>
    </w:p>
    <w:p w14:paraId="16CE7D9F" w14:textId="77777777" w:rsidR="002E5BE9" w:rsidRPr="0055512B" w:rsidRDefault="002E5BE9" w:rsidP="002E5BE9">
      <w:pPr>
        <w:spacing w:line="276" w:lineRule="auto"/>
      </w:pPr>
    </w:p>
    <w:p w14:paraId="0AB60CF0" w14:textId="77777777" w:rsidR="002E5BE9" w:rsidRPr="0055512B" w:rsidRDefault="002E5BE9" w:rsidP="002E5BE9">
      <w:pPr>
        <w:pStyle w:val="ListParagraph"/>
        <w:spacing w:line="276" w:lineRule="auto"/>
        <w:rPr>
          <w:b/>
        </w:rPr>
      </w:pPr>
    </w:p>
    <w:p w14:paraId="051B144E" w14:textId="77777777" w:rsidR="00D823E2" w:rsidRPr="0055512B" w:rsidRDefault="00D823E2" w:rsidP="00D823E2">
      <w:pPr>
        <w:pStyle w:val="ListParagraph"/>
        <w:spacing w:line="276" w:lineRule="auto"/>
        <w:ind w:left="1080"/>
        <w:rPr>
          <w:b/>
        </w:rPr>
      </w:pPr>
    </w:p>
    <w:p w14:paraId="7AE6A1E4" w14:textId="77777777" w:rsidR="00D823E2" w:rsidRPr="0055512B" w:rsidRDefault="00D823E2" w:rsidP="00D823E2">
      <w:pPr>
        <w:pStyle w:val="ListParagraph"/>
        <w:spacing w:line="276" w:lineRule="auto"/>
        <w:ind w:left="1080"/>
      </w:pPr>
    </w:p>
    <w:p w14:paraId="7CDD9273" w14:textId="77777777" w:rsidR="00D0325E" w:rsidRPr="0055512B" w:rsidRDefault="00D0325E" w:rsidP="001950BE">
      <w:pPr>
        <w:spacing w:line="276" w:lineRule="auto"/>
      </w:pPr>
    </w:p>
    <w:p w14:paraId="5B4831E6" w14:textId="77777777" w:rsidR="00D0325E" w:rsidRPr="0055512B" w:rsidRDefault="00D0325E" w:rsidP="001950BE">
      <w:pPr>
        <w:spacing w:line="276" w:lineRule="auto"/>
      </w:pPr>
    </w:p>
    <w:p w14:paraId="7BAF2296" w14:textId="77777777" w:rsidR="00D0325E" w:rsidRPr="0055512B" w:rsidRDefault="00D0325E" w:rsidP="001950BE">
      <w:pPr>
        <w:spacing w:line="276" w:lineRule="auto"/>
      </w:pPr>
    </w:p>
    <w:p w14:paraId="08CED320" w14:textId="77777777" w:rsidR="00D0325E" w:rsidRPr="0055512B" w:rsidRDefault="00D0325E" w:rsidP="001950BE">
      <w:pPr>
        <w:spacing w:line="276" w:lineRule="auto"/>
      </w:pPr>
    </w:p>
    <w:p w14:paraId="01862535" w14:textId="77777777" w:rsidR="00D0325E" w:rsidRPr="0055512B" w:rsidRDefault="00D0325E" w:rsidP="001950BE">
      <w:pPr>
        <w:spacing w:line="276" w:lineRule="auto"/>
      </w:pPr>
    </w:p>
    <w:p w14:paraId="124E06AC" w14:textId="77777777" w:rsidR="00D0325E" w:rsidRPr="0055512B" w:rsidRDefault="00D0325E" w:rsidP="001950BE">
      <w:pPr>
        <w:spacing w:line="276" w:lineRule="auto"/>
      </w:pPr>
    </w:p>
    <w:p w14:paraId="5662B29A" w14:textId="77777777" w:rsidR="00D0325E" w:rsidRPr="0055512B" w:rsidRDefault="00D0325E" w:rsidP="001950BE">
      <w:pPr>
        <w:spacing w:line="276" w:lineRule="auto"/>
      </w:pPr>
    </w:p>
    <w:p w14:paraId="236A932E" w14:textId="77777777" w:rsidR="00D0325E" w:rsidRPr="0055512B" w:rsidRDefault="00D0325E" w:rsidP="001950BE">
      <w:pPr>
        <w:spacing w:line="276" w:lineRule="auto"/>
      </w:pPr>
    </w:p>
    <w:p w14:paraId="4A9D039B" w14:textId="77777777" w:rsidR="00D0325E" w:rsidRPr="0055512B" w:rsidRDefault="00D0325E" w:rsidP="001950BE">
      <w:pPr>
        <w:spacing w:line="276" w:lineRule="auto"/>
      </w:pPr>
    </w:p>
    <w:p w14:paraId="04A03E7C" w14:textId="77777777" w:rsidR="00D0325E" w:rsidRPr="0055512B" w:rsidRDefault="00D0325E" w:rsidP="001950BE">
      <w:pPr>
        <w:spacing w:line="276" w:lineRule="auto"/>
      </w:pPr>
    </w:p>
    <w:p w14:paraId="1289C11D" w14:textId="77777777" w:rsidR="00D0325E" w:rsidRPr="0055512B" w:rsidRDefault="00D0325E" w:rsidP="001950BE">
      <w:pPr>
        <w:spacing w:line="276" w:lineRule="auto"/>
      </w:pPr>
    </w:p>
    <w:p w14:paraId="49C23380" w14:textId="77777777" w:rsidR="00D0325E" w:rsidRPr="0055512B" w:rsidRDefault="00D0325E" w:rsidP="001950BE">
      <w:pPr>
        <w:spacing w:line="276" w:lineRule="auto"/>
      </w:pPr>
    </w:p>
    <w:p w14:paraId="3A3E97A8" w14:textId="77777777" w:rsidR="00D0325E" w:rsidRPr="0055512B" w:rsidRDefault="00D0325E" w:rsidP="001950BE">
      <w:pPr>
        <w:spacing w:line="276" w:lineRule="auto"/>
      </w:pPr>
    </w:p>
    <w:p w14:paraId="0E4CDFED" w14:textId="77777777" w:rsidR="00D0325E" w:rsidRPr="0055512B" w:rsidRDefault="00D0325E" w:rsidP="001950BE">
      <w:pPr>
        <w:spacing w:line="276" w:lineRule="auto"/>
      </w:pPr>
    </w:p>
    <w:p w14:paraId="36373D0C" w14:textId="77777777" w:rsidR="00D0325E" w:rsidRPr="0055512B" w:rsidRDefault="00D0325E" w:rsidP="001950BE">
      <w:pPr>
        <w:spacing w:line="276" w:lineRule="auto"/>
      </w:pPr>
    </w:p>
    <w:p w14:paraId="002DC6D0" w14:textId="77777777" w:rsidR="00D0325E" w:rsidRPr="0055512B" w:rsidRDefault="00D0325E" w:rsidP="001950BE">
      <w:pPr>
        <w:spacing w:line="276" w:lineRule="auto"/>
      </w:pPr>
    </w:p>
    <w:p w14:paraId="7730B7AE" w14:textId="77777777" w:rsidR="00D0325E" w:rsidRPr="0055512B" w:rsidRDefault="00D0325E" w:rsidP="001950BE">
      <w:pPr>
        <w:spacing w:line="276" w:lineRule="auto"/>
      </w:pPr>
    </w:p>
    <w:p w14:paraId="23038F2B" w14:textId="77777777" w:rsidR="00D0325E" w:rsidRPr="0055512B" w:rsidRDefault="00D0325E" w:rsidP="001950BE">
      <w:pPr>
        <w:spacing w:line="276" w:lineRule="auto"/>
      </w:pPr>
    </w:p>
    <w:p w14:paraId="5A981759" w14:textId="77777777" w:rsidR="00D0325E" w:rsidRPr="0055512B" w:rsidRDefault="00D0325E" w:rsidP="001950BE">
      <w:pPr>
        <w:spacing w:line="276" w:lineRule="auto"/>
      </w:pPr>
    </w:p>
    <w:p w14:paraId="17C48A0D" w14:textId="77777777" w:rsidR="00D0325E" w:rsidRPr="0055512B" w:rsidRDefault="00D0325E" w:rsidP="001950BE">
      <w:pPr>
        <w:spacing w:line="276" w:lineRule="auto"/>
      </w:pPr>
    </w:p>
    <w:p w14:paraId="69F0CA98" w14:textId="77777777" w:rsidR="00D0325E" w:rsidRPr="0055512B" w:rsidRDefault="00D0325E" w:rsidP="001950BE">
      <w:pPr>
        <w:spacing w:line="276" w:lineRule="auto"/>
      </w:pPr>
    </w:p>
    <w:p w14:paraId="55991A0F" w14:textId="77777777" w:rsidR="00D823E2" w:rsidRPr="0055512B" w:rsidRDefault="00D823E2" w:rsidP="001950BE">
      <w:pPr>
        <w:spacing w:line="276" w:lineRule="auto"/>
      </w:pPr>
    </w:p>
    <w:p w14:paraId="6D89A06A" w14:textId="77777777" w:rsidR="00CA6108" w:rsidRPr="0055512B" w:rsidRDefault="00CA6108" w:rsidP="001950BE">
      <w:pPr>
        <w:spacing w:line="276" w:lineRule="auto"/>
      </w:pPr>
    </w:p>
    <w:p w14:paraId="53DC0315" w14:textId="77777777" w:rsidR="00CA6108" w:rsidRPr="0055512B" w:rsidRDefault="00CA6108" w:rsidP="001950BE">
      <w:pPr>
        <w:spacing w:line="276" w:lineRule="auto"/>
      </w:pPr>
    </w:p>
    <w:p w14:paraId="09BB6E08" w14:textId="2146F0BF" w:rsidR="00922848" w:rsidRDefault="00922848">
      <w:r>
        <w:br w:type="page"/>
      </w:r>
    </w:p>
    <w:p w14:paraId="7678ECDD" w14:textId="6FCD1670" w:rsidR="00D823E2" w:rsidRPr="0055512B" w:rsidRDefault="00D823E2" w:rsidP="001950BE">
      <w:pPr>
        <w:spacing w:line="276" w:lineRule="auto"/>
      </w:pPr>
    </w:p>
    <w:p w14:paraId="1823D0D3" w14:textId="77777777" w:rsidR="00BC0F4B" w:rsidRPr="0055512B" w:rsidRDefault="00B97199" w:rsidP="002E5BE9">
      <w:pPr>
        <w:pStyle w:val="ListParagraph"/>
        <w:numPr>
          <w:ilvl w:val="0"/>
          <w:numId w:val="43"/>
        </w:numPr>
        <w:spacing w:line="276" w:lineRule="auto"/>
        <w:rPr>
          <w:b/>
        </w:rPr>
      </w:pPr>
      <w:r w:rsidRPr="0055512B">
        <w:rPr>
          <w:b/>
        </w:rPr>
        <w:t xml:space="preserve">GÉNÉRALITÉS </w:t>
      </w:r>
    </w:p>
    <w:p w14:paraId="2516C5DE" w14:textId="08ADF91D" w:rsidR="00BC0F4B" w:rsidRPr="0055512B" w:rsidRDefault="00BC0F4B" w:rsidP="001950BE">
      <w:pPr>
        <w:tabs>
          <w:tab w:val="left" w:pos="580"/>
        </w:tabs>
        <w:spacing w:line="276" w:lineRule="auto"/>
        <w:rPr>
          <w:rFonts w:eastAsia="Arial"/>
          <w:b/>
        </w:rPr>
      </w:pPr>
    </w:p>
    <w:p w14:paraId="75B191AA" w14:textId="1B16D289" w:rsidR="00BC0F4B" w:rsidRPr="0055512B" w:rsidRDefault="00B97199" w:rsidP="002E5BE9">
      <w:pPr>
        <w:pStyle w:val="ListParagraph"/>
        <w:numPr>
          <w:ilvl w:val="1"/>
          <w:numId w:val="43"/>
        </w:numPr>
        <w:tabs>
          <w:tab w:val="left" w:pos="580"/>
        </w:tabs>
        <w:spacing w:line="276" w:lineRule="auto"/>
        <w:rPr>
          <w:rFonts w:eastAsia="Arial"/>
          <w:b/>
        </w:rPr>
      </w:pPr>
      <w:r w:rsidRPr="0055512B">
        <w:rPr>
          <w:rFonts w:eastAsia="Arial"/>
          <w:b/>
        </w:rPr>
        <w:t>OBJE</w:t>
      </w:r>
      <w:r w:rsidR="00D5491B" w:rsidRPr="0055512B">
        <w:rPr>
          <w:rFonts w:eastAsia="Arial"/>
          <w:b/>
        </w:rPr>
        <w:t>C</w:t>
      </w:r>
      <w:r w:rsidRPr="0055512B">
        <w:rPr>
          <w:rFonts w:eastAsia="Arial"/>
          <w:b/>
        </w:rPr>
        <w:t>TIFS DU MANUEL</w:t>
      </w:r>
      <w:r w:rsidR="0055512B" w:rsidRPr="0055512B">
        <w:rPr>
          <w:rFonts w:eastAsia="Arial"/>
          <w:b/>
        </w:rPr>
        <w:t xml:space="preserve"> </w:t>
      </w:r>
      <w:r w:rsidR="00D5491B" w:rsidRPr="0055512B">
        <w:rPr>
          <w:rFonts w:eastAsia="Arial"/>
          <w:b/>
        </w:rPr>
        <w:t>D’OPERATIONS</w:t>
      </w:r>
      <w:r w:rsidRPr="0055512B">
        <w:rPr>
          <w:rFonts w:eastAsia="Arial"/>
          <w:b/>
        </w:rPr>
        <w:t xml:space="preserve"> </w:t>
      </w:r>
      <w:r w:rsidR="00D5491B" w:rsidRPr="0055512B">
        <w:rPr>
          <w:rFonts w:eastAsia="Arial"/>
          <w:b/>
        </w:rPr>
        <w:t>CONSOLID</w:t>
      </w:r>
      <w:r w:rsidRPr="0055512B">
        <w:rPr>
          <w:rFonts w:eastAsia="Arial"/>
          <w:b/>
        </w:rPr>
        <w:t xml:space="preserve">É </w:t>
      </w:r>
    </w:p>
    <w:p w14:paraId="382E138E" w14:textId="77777777" w:rsidR="00BC0F4B" w:rsidRPr="0055512B" w:rsidRDefault="00BC0F4B" w:rsidP="007A4D4E">
      <w:pPr>
        <w:spacing w:line="276" w:lineRule="auto"/>
        <w:jc w:val="both"/>
        <w:rPr>
          <w:rFonts w:eastAsia="Arial"/>
        </w:rPr>
      </w:pPr>
      <w:r w:rsidRPr="0055512B">
        <w:rPr>
          <w:rFonts w:eastAsia="Arial"/>
        </w:rPr>
        <w:t xml:space="preserve">L’objectif du Manuel d’Opérations </w:t>
      </w:r>
      <w:r w:rsidR="00D3545F" w:rsidRPr="0055512B">
        <w:rPr>
          <w:rFonts w:eastAsia="Arial"/>
        </w:rPr>
        <w:t>consolid</w:t>
      </w:r>
      <w:r w:rsidRPr="0055512B">
        <w:rPr>
          <w:rFonts w:eastAsia="Arial"/>
        </w:rPr>
        <w:t xml:space="preserve">é est d’établir les normes et procédures pour l’exécution des  programmes suivants : </w:t>
      </w:r>
    </w:p>
    <w:p w14:paraId="5AB0FE88" w14:textId="77777777" w:rsidR="00BC0F4B" w:rsidRPr="0055512B" w:rsidRDefault="00553B26" w:rsidP="007A4D4E">
      <w:pPr>
        <w:pStyle w:val="ListParagraph"/>
        <w:numPr>
          <w:ilvl w:val="0"/>
          <w:numId w:val="3"/>
        </w:numPr>
        <w:spacing w:line="276" w:lineRule="auto"/>
        <w:jc w:val="both"/>
        <w:rPr>
          <w:rFonts w:eastAsia="Arial"/>
        </w:rPr>
      </w:pPr>
      <w:r w:rsidRPr="0055512B">
        <w:rPr>
          <w:rFonts w:eastAsia="Arial"/>
        </w:rPr>
        <w:t>HA-L1044</w:t>
      </w:r>
      <w:r w:rsidR="00BC0F4B" w:rsidRPr="0055512B">
        <w:rPr>
          <w:rFonts w:eastAsia="Arial"/>
        </w:rPr>
        <w:t>, intitulé "Projet d</w:t>
      </w:r>
      <w:r w:rsidR="00805673" w:rsidRPr="0055512B">
        <w:rPr>
          <w:rFonts w:eastAsia="Arial" w:cs="Times New Roman"/>
        </w:rPr>
        <w:t>’</w:t>
      </w:r>
      <w:r w:rsidR="00BC0F4B" w:rsidRPr="0055512B">
        <w:rPr>
          <w:rFonts w:eastAsia="Arial"/>
        </w:rPr>
        <w:t>Eau et d</w:t>
      </w:r>
      <w:r w:rsidR="00B06FB4" w:rsidRPr="0055512B">
        <w:rPr>
          <w:rFonts w:eastAsia="Arial" w:cs="Times New Roman"/>
        </w:rPr>
        <w:t>’</w:t>
      </w:r>
      <w:r w:rsidR="00BC0F4B" w:rsidRPr="0055512B">
        <w:rPr>
          <w:rFonts w:eastAsia="Arial"/>
        </w:rPr>
        <w:t>Assainissement pour Port-au-Prince".</w:t>
      </w:r>
    </w:p>
    <w:p w14:paraId="5321A057" w14:textId="77777777" w:rsidR="00BC0F4B" w:rsidRPr="0055512B" w:rsidRDefault="00BC0F4B" w:rsidP="007A4D4E">
      <w:pPr>
        <w:pStyle w:val="ListParagraph"/>
        <w:numPr>
          <w:ilvl w:val="0"/>
          <w:numId w:val="3"/>
        </w:numPr>
        <w:spacing w:line="276" w:lineRule="auto"/>
        <w:jc w:val="both"/>
        <w:rPr>
          <w:rFonts w:eastAsia="Arial"/>
        </w:rPr>
      </w:pPr>
      <w:r w:rsidRPr="0055512B">
        <w:t>HA-L1075, intitulé "Projet d’Eau et d’Assainissement pour Port-au-Prince II"</w:t>
      </w:r>
    </w:p>
    <w:p w14:paraId="4C1109E3" w14:textId="77777777" w:rsidR="00BC0F4B" w:rsidRPr="0055512B" w:rsidRDefault="00BC0F4B" w:rsidP="007A4D4E">
      <w:pPr>
        <w:pStyle w:val="ListParagraph"/>
        <w:numPr>
          <w:ilvl w:val="0"/>
          <w:numId w:val="3"/>
        </w:numPr>
        <w:spacing w:line="276" w:lineRule="auto"/>
        <w:jc w:val="both"/>
        <w:rPr>
          <w:rFonts w:eastAsia="Arial"/>
        </w:rPr>
      </w:pPr>
      <w:r w:rsidRPr="0055512B">
        <w:t>HA-L1103, intitulé "Projet d’Eau et d’Assainissement pour Port-au-Prince III"</w:t>
      </w:r>
    </w:p>
    <w:p w14:paraId="44B532F7" w14:textId="77777777" w:rsidR="00BC0F4B" w:rsidRPr="0055512B" w:rsidRDefault="00BC0F4B" w:rsidP="007A4D4E">
      <w:pPr>
        <w:pStyle w:val="ListParagraph"/>
        <w:spacing w:line="276" w:lineRule="auto"/>
        <w:jc w:val="both"/>
        <w:rPr>
          <w:rFonts w:eastAsia="Arial"/>
        </w:rPr>
      </w:pPr>
    </w:p>
    <w:p w14:paraId="7670FDFA" w14:textId="77777777" w:rsidR="00BC0F4B" w:rsidRPr="0055512B" w:rsidRDefault="00BC0F4B" w:rsidP="007A4D4E">
      <w:pPr>
        <w:spacing w:line="276" w:lineRule="auto"/>
        <w:jc w:val="both"/>
        <w:rPr>
          <w:rFonts w:eastAsia="Arial"/>
        </w:rPr>
      </w:pPr>
      <w:r w:rsidRPr="0055512B">
        <w:rPr>
          <w:rFonts w:eastAsia="Arial"/>
        </w:rPr>
        <w:t>On entend par Programme l</w:t>
      </w:r>
      <w:r w:rsidR="00B97199" w:rsidRPr="0055512B">
        <w:rPr>
          <w:rFonts w:eastAsia="Arial" w:cs="Times New Roman"/>
        </w:rPr>
        <w:t>’</w:t>
      </w:r>
      <w:r w:rsidRPr="0055512B">
        <w:rPr>
          <w:rFonts w:eastAsia="Arial"/>
        </w:rPr>
        <w:t>ensemble des composantes et de ses activités dont l</w:t>
      </w:r>
      <w:r w:rsidR="00B97199" w:rsidRPr="0055512B">
        <w:rPr>
          <w:rFonts w:eastAsia="Arial" w:cs="Times New Roman"/>
        </w:rPr>
        <w:t>’</w:t>
      </w:r>
      <w:r w:rsidR="00B97199" w:rsidRPr="0055512B">
        <w:rPr>
          <w:rFonts w:eastAsia="Arial"/>
        </w:rPr>
        <w:t xml:space="preserve">exécution sera financée par ces </w:t>
      </w:r>
      <w:r w:rsidRPr="0055512B">
        <w:rPr>
          <w:rFonts w:eastAsia="Arial"/>
        </w:rPr>
        <w:t xml:space="preserve"> accord</w:t>
      </w:r>
      <w:r w:rsidR="00B97199" w:rsidRPr="0055512B">
        <w:rPr>
          <w:rFonts w:eastAsia="Arial"/>
        </w:rPr>
        <w:t>s</w:t>
      </w:r>
      <w:r w:rsidRPr="0055512B">
        <w:rPr>
          <w:rFonts w:eastAsia="Arial"/>
        </w:rPr>
        <w:t xml:space="preserve"> de don.</w:t>
      </w:r>
    </w:p>
    <w:p w14:paraId="67CC4E43" w14:textId="77777777" w:rsidR="00BC0F4B" w:rsidRPr="0055512B" w:rsidRDefault="00BC0F4B" w:rsidP="007A4D4E">
      <w:pPr>
        <w:spacing w:line="276" w:lineRule="auto"/>
        <w:jc w:val="both"/>
        <w:rPr>
          <w:rFonts w:eastAsia="Times New Roman"/>
        </w:rPr>
      </w:pPr>
    </w:p>
    <w:p w14:paraId="23E356A7" w14:textId="77777777" w:rsidR="00BC0F4B" w:rsidRPr="0055512B" w:rsidRDefault="00BC0F4B" w:rsidP="007A4D4E">
      <w:pPr>
        <w:spacing w:line="276" w:lineRule="auto"/>
        <w:jc w:val="both"/>
        <w:rPr>
          <w:rFonts w:eastAsia="Arial"/>
        </w:rPr>
      </w:pPr>
      <w:r w:rsidRPr="0055512B">
        <w:rPr>
          <w:rFonts w:eastAsia="Arial"/>
        </w:rPr>
        <w:t>Ce Manuel prétend être un guide pratique et le document de référence à consulter par tous les organismes et les personnes physiques et/ou morales qui prennent part à l'exécution, le financement et</w:t>
      </w:r>
      <w:r w:rsidR="00550E13" w:rsidRPr="0055512B">
        <w:rPr>
          <w:rFonts w:eastAsia="Arial"/>
        </w:rPr>
        <w:t xml:space="preserve">/ou l'administration de ces trois programmes : </w:t>
      </w:r>
    </w:p>
    <w:p w14:paraId="6380173D" w14:textId="77777777" w:rsidR="00BC0F4B" w:rsidRPr="0055512B" w:rsidRDefault="00BC0F4B" w:rsidP="007A4D4E">
      <w:pPr>
        <w:spacing w:line="276" w:lineRule="auto"/>
        <w:jc w:val="both"/>
        <w:rPr>
          <w:rFonts w:eastAsia="Times New Roman"/>
        </w:rPr>
      </w:pPr>
    </w:p>
    <w:p w14:paraId="44085F71" w14:textId="77777777" w:rsidR="00BC0F4B" w:rsidRPr="0055512B" w:rsidRDefault="00BC0F4B" w:rsidP="007A4D4E">
      <w:pPr>
        <w:numPr>
          <w:ilvl w:val="0"/>
          <w:numId w:val="1"/>
        </w:numPr>
        <w:tabs>
          <w:tab w:val="left" w:pos="1080"/>
        </w:tabs>
        <w:spacing w:line="276" w:lineRule="auto"/>
        <w:ind w:left="720" w:hanging="360"/>
        <w:jc w:val="both"/>
        <w:rPr>
          <w:rFonts w:eastAsia="Times New Roman"/>
        </w:rPr>
      </w:pPr>
      <w:r w:rsidRPr="0055512B">
        <w:rPr>
          <w:rFonts w:eastAsia="Arial"/>
        </w:rPr>
        <w:t>Le Ministère des Travaux Publics, Transport et Communications (MTPTC), entité de tutelle de la Direction Nationale de l´Eau Potable et de l´Assainissement (DINEPA),</w:t>
      </w:r>
    </w:p>
    <w:p w14:paraId="10425B8E" w14:textId="77777777" w:rsidR="00BC0F4B" w:rsidRPr="0055512B" w:rsidRDefault="00BC0F4B" w:rsidP="007A4D4E">
      <w:pPr>
        <w:numPr>
          <w:ilvl w:val="0"/>
          <w:numId w:val="1"/>
        </w:numPr>
        <w:tabs>
          <w:tab w:val="left" w:pos="1080"/>
        </w:tabs>
        <w:spacing w:line="276" w:lineRule="auto"/>
        <w:ind w:left="720" w:hanging="360"/>
        <w:jc w:val="both"/>
        <w:rPr>
          <w:rFonts w:eastAsia="Times New Roman"/>
        </w:rPr>
      </w:pPr>
      <w:r w:rsidRPr="0055512B">
        <w:rPr>
          <w:rFonts w:eastAsia="Arial"/>
        </w:rPr>
        <w:t>La Direction Nationale de l'Eau Potable et de l'Assainissement (DINEPA), mandataire de l´Etat pour le contrôle et la réglementation des systèmes d´AEPA et unité d'exécution du présent Programme,</w:t>
      </w:r>
    </w:p>
    <w:p w14:paraId="5CBF0078" w14:textId="77777777" w:rsidR="00BC0F4B" w:rsidRPr="0055512B" w:rsidRDefault="00BC0F4B" w:rsidP="007A4D4E">
      <w:pPr>
        <w:numPr>
          <w:ilvl w:val="0"/>
          <w:numId w:val="1"/>
        </w:numPr>
        <w:tabs>
          <w:tab w:val="left" w:pos="1080"/>
        </w:tabs>
        <w:spacing w:line="276" w:lineRule="auto"/>
        <w:ind w:left="720" w:hanging="360"/>
        <w:jc w:val="both"/>
        <w:rPr>
          <w:rFonts w:eastAsia="Times New Roman"/>
        </w:rPr>
      </w:pPr>
      <w:r w:rsidRPr="0055512B">
        <w:rPr>
          <w:rFonts w:eastAsia="Arial"/>
        </w:rPr>
        <w:t>L´OREPA Ouest (Office Régional d´Eau Potable et d´Assainisse</w:t>
      </w:r>
      <w:r w:rsidR="00805673" w:rsidRPr="0055512B">
        <w:rPr>
          <w:rFonts w:eastAsia="Arial"/>
        </w:rPr>
        <w:t xml:space="preserve">ment de la Région Ouest), </w:t>
      </w:r>
      <w:r w:rsidRPr="0055512B">
        <w:rPr>
          <w:rFonts w:eastAsia="Arial"/>
        </w:rPr>
        <w:t xml:space="preserve"> </w:t>
      </w:r>
      <w:r w:rsidR="00B95F25" w:rsidRPr="0055512B">
        <w:rPr>
          <w:rFonts w:eastAsia="Arial"/>
        </w:rPr>
        <w:t>responsable des activités de Passation de Marché sur les trois programmes.</w:t>
      </w:r>
    </w:p>
    <w:p w14:paraId="2681EA0A" w14:textId="77777777" w:rsidR="00BC0F4B" w:rsidRPr="0055512B" w:rsidRDefault="007515D4" w:rsidP="007A4D4E">
      <w:pPr>
        <w:numPr>
          <w:ilvl w:val="0"/>
          <w:numId w:val="1"/>
        </w:numPr>
        <w:tabs>
          <w:tab w:val="left" w:pos="1080"/>
        </w:tabs>
        <w:spacing w:line="276" w:lineRule="auto"/>
        <w:ind w:left="720" w:hanging="360"/>
        <w:jc w:val="both"/>
        <w:rPr>
          <w:rFonts w:eastAsia="Times New Roman"/>
        </w:rPr>
      </w:pPr>
      <w:r w:rsidRPr="0055512B">
        <w:rPr>
          <w:rFonts w:eastAsia="Arial"/>
        </w:rPr>
        <w:t xml:space="preserve">Le CTE-RMPP (Centre Technique d’Exploitation de la Région Métropolitaine de Port-au-Prince), maître d´ouvrage dans le cadre de ces programmes. </w:t>
      </w:r>
    </w:p>
    <w:p w14:paraId="60FC516E" w14:textId="77777777" w:rsidR="00BC0F4B" w:rsidRPr="0055512B" w:rsidRDefault="00BC0F4B" w:rsidP="007A4D4E">
      <w:pPr>
        <w:numPr>
          <w:ilvl w:val="0"/>
          <w:numId w:val="1"/>
        </w:numPr>
        <w:tabs>
          <w:tab w:val="left" w:pos="1080"/>
        </w:tabs>
        <w:spacing w:line="276" w:lineRule="auto"/>
        <w:ind w:left="720" w:hanging="360"/>
        <w:jc w:val="both"/>
        <w:rPr>
          <w:rFonts w:eastAsia="Times New Roman"/>
        </w:rPr>
      </w:pPr>
      <w:r w:rsidRPr="0055512B">
        <w:rPr>
          <w:rFonts w:eastAsia="Arial"/>
        </w:rPr>
        <w:t>La Banque Interaméricaine de Développement (BID),</w:t>
      </w:r>
    </w:p>
    <w:p w14:paraId="4ACCD3F5" w14:textId="77777777" w:rsidR="00BC0F4B" w:rsidRPr="0055512B" w:rsidRDefault="00BC0F4B" w:rsidP="007A4D4E">
      <w:pPr>
        <w:numPr>
          <w:ilvl w:val="0"/>
          <w:numId w:val="1"/>
        </w:numPr>
        <w:tabs>
          <w:tab w:val="left" w:pos="1080"/>
        </w:tabs>
        <w:spacing w:line="276" w:lineRule="auto"/>
        <w:ind w:left="720" w:hanging="360"/>
        <w:jc w:val="both"/>
        <w:rPr>
          <w:rFonts w:eastAsia="Times New Roman"/>
        </w:rPr>
      </w:pPr>
      <w:r w:rsidRPr="0055512B">
        <w:rPr>
          <w:rFonts w:eastAsia="Arial"/>
        </w:rPr>
        <w:t>L</w:t>
      </w:r>
      <w:r w:rsidR="00805673" w:rsidRPr="0055512B">
        <w:rPr>
          <w:rFonts w:eastAsia="Arial"/>
        </w:rPr>
        <w:t>’</w:t>
      </w:r>
      <w:r w:rsidRPr="0055512B">
        <w:rPr>
          <w:rFonts w:eastAsia="Arial"/>
        </w:rPr>
        <w:t>Agence Espagnole de Coopération Internationale pour le Développement (AECID)</w:t>
      </w:r>
    </w:p>
    <w:p w14:paraId="2EEC4688" w14:textId="77777777" w:rsidR="00BC0F4B" w:rsidRPr="0055512B" w:rsidRDefault="00BC0F4B" w:rsidP="007A4D4E">
      <w:pPr>
        <w:spacing w:line="276" w:lineRule="auto"/>
        <w:jc w:val="both"/>
        <w:rPr>
          <w:rFonts w:eastAsia="Times New Roman"/>
        </w:rPr>
      </w:pPr>
    </w:p>
    <w:p w14:paraId="395A91CB" w14:textId="77777777" w:rsidR="00BC0F4B" w:rsidRPr="0055512B" w:rsidRDefault="00BC0F4B" w:rsidP="007A4D4E">
      <w:pPr>
        <w:spacing w:line="276" w:lineRule="auto"/>
        <w:jc w:val="both"/>
        <w:rPr>
          <w:rFonts w:eastAsia="Arial"/>
        </w:rPr>
      </w:pPr>
      <w:r w:rsidRPr="0055512B">
        <w:rPr>
          <w:rFonts w:eastAsia="Arial"/>
        </w:rPr>
        <w:t>Ces dispositions devront aussi être communiquées aux autres participants du Programme, chacun suivant la partie qui le concerne:</w:t>
      </w:r>
    </w:p>
    <w:p w14:paraId="6297F009" w14:textId="77777777" w:rsidR="00BC0F4B" w:rsidRPr="0055512B" w:rsidRDefault="00BC0F4B" w:rsidP="007A4D4E">
      <w:pPr>
        <w:spacing w:line="276" w:lineRule="auto"/>
        <w:jc w:val="both"/>
        <w:rPr>
          <w:rFonts w:eastAsia="Times New Roman"/>
        </w:rPr>
      </w:pPr>
    </w:p>
    <w:p w14:paraId="79E07A8F" w14:textId="77777777" w:rsidR="00BC0F4B" w:rsidRPr="0055512B" w:rsidRDefault="00BC0F4B" w:rsidP="007A4D4E">
      <w:pPr>
        <w:numPr>
          <w:ilvl w:val="0"/>
          <w:numId w:val="2"/>
        </w:numPr>
        <w:tabs>
          <w:tab w:val="left" w:pos="1080"/>
        </w:tabs>
        <w:spacing w:line="276" w:lineRule="auto"/>
        <w:ind w:left="1080" w:hanging="370"/>
        <w:jc w:val="both"/>
        <w:rPr>
          <w:rFonts w:eastAsia="Times New Roman"/>
        </w:rPr>
      </w:pPr>
      <w:r w:rsidRPr="0055512B">
        <w:rPr>
          <w:rFonts w:eastAsia="Arial"/>
        </w:rPr>
        <w:t>autres prestataires de services contractuels du projet,</w:t>
      </w:r>
    </w:p>
    <w:p w14:paraId="33CAB25E" w14:textId="77777777" w:rsidR="00BC0F4B" w:rsidRPr="0055512B" w:rsidRDefault="00BC0F4B" w:rsidP="007A4D4E">
      <w:pPr>
        <w:numPr>
          <w:ilvl w:val="0"/>
          <w:numId w:val="2"/>
        </w:numPr>
        <w:tabs>
          <w:tab w:val="left" w:pos="1080"/>
        </w:tabs>
        <w:spacing w:line="276" w:lineRule="auto"/>
        <w:ind w:left="1080" w:hanging="370"/>
        <w:jc w:val="both"/>
        <w:rPr>
          <w:rFonts w:eastAsia="Times New Roman"/>
        </w:rPr>
      </w:pPr>
      <w:r w:rsidRPr="0055512B">
        <w:rPr>
          <w:rFonts w:eastAsia="Arial"/>
        </w:rPr>
        <w:t>les consultants,</w:t>
      </w:r>
    </w:p>
    <w:p w14:paraId="022981B7" w14:textId="77777777" w:rsidR="00BC0F4B" w:rsidRPr="0055512B" w:rsidRDefault="00BC0F4B" w:rsidP="007A4D4E">
      <w:pPr>
        <w:numPr>
          <w:ilvl w:val="0"/>
          <w:numId w:val="2"/>
        </w:numPr>
        <w:tabs>
          <w:tab w:val="left" w:pos="1080"/>
        </w:tabs>
        <w:spacing w:line="276" w:lineRule="auto"/>
        <w:ind w:left="1080" w:hanging="370"/>
        <w:jc w:val="both"/>
        <w:rPr>
          <w:rFonts w:eastAsia="Times New Roman"/>
        </w:rPr>
      </w:pPr>
      <w:r w:rsidRPr="0055512B">
        <w:rPr>
          <w:rFonts w:eastAsia="Arial"/>
        </w:rPr>
        <w:t>les partenaires individuels et institutionnels du projet,</w:t>
      </w:r>
    </w:p>
    <w:p w14:paraId="0D61FA7D" w14:textId="77777777" w:rsidR="00BC0F4B" w:rsidRPr="0055512B" w:rsidRDefault="00BC0F4B" w:rsidP="007A4D4E">
      <w:pPr>
        <w:numPr>
          <w:ilvl w:val="0"/>
          <w:numId w:val="2"/>
        </w:numPr>
        <w:tabs>
          <w:tab w:val="left" w:pos="1080"/>
        </w:tabs>
        <w:spacing w:line="276" w:lineRule="auto"/>
        <w:ind w:left="1080" w:hanging="370"/>
        <w:jc w:val="both"/>
        <w:rPr>
          <w:rFonts w:eastAsia="Times New Roman"/>
        </w:rPr>
      </w:pPr>
      <w:r w:rsidRPr="0055512B">
        <w:rPr>
          <w:rFonts w:eastAsia="Arial"/>
        </w:rPr>
        <w:t>les auditeurs,</w:t>
      </w:r>
    </w:p>
    <w:p w14:paraId="02D338F3" w14:textId="77777777" w:rsidR="00BC0F4B" w:rsidRPr="0055512B" w:rsidRDefault="00550E13" w:rsidP="007A4D4E">
      <w:pPr>
        <w:numPr>
          <w:ilvl w:val="0"/>
          <w:numId w:val="2"/>
        </w:numPr>
        <w:tabs>
          <w:tab w:val="left" w:pos="1080"/>
        </w:tabs>
        <w:spacing w:line="276" w:lineRule="auto"/>
        <w:ind w:left="1080" w:hanging="370"/>
        <w:jc w:val="both"/>
        <w:rPr>
          <w:rFonts w:eastAsia="Times New Roman"/>
        </w:rPr>
      </w:pPr>
      <w:r w:rsidRPr="0055512B">
        <w:rPr>
          <w:rFonts w:eastAsia="Arial"/>
        </w:rPr>
        <w:t>les responsables de l’</w:t>
      </w:r>
      <w:r w:rsidR="00BC0F4B" w:rsidRPr="0055512B">
        <w:rPr>
          <w:rFonts w:eastAsia="Arial"/>
        </w:rPr>
        <w:t>évaluation.</w:t>
      </w:r>
    </w:p>
    <w:p w14:paraId="7C3C7AD8" w14:textId="77777777" w:rsidR="00BC0F4B" w:rsidRPr="0055512B" w:rsidRDefault="00BC0F4B" w:rsidP="007A4D4E">
      <w:pPr>
        <w:spacing w:line="276" w:lineRule="auto"/>
        <w:jc w:val="both"/>
        <w:rPr>
          <w:rFonts w:eastAsia="Times New Roman"/>
        </w:rPr>
      </w:pPr>
    </w:p>
    <w:p w14:paraId="3741B5FF" w14:textId="77777777" w:rsidR="00BC0F4B" w:rsidRPr="0055512B" w:rsidRDefault="00BC0F4B" w:rsidP="007A4D4E">
      <w:pPr>
        <w:spacing w:line="276" w:lineRule="auto"/>
        <w:jc w:val="both"/>
        <w:rPr>
          <w:rFonts w:eastAsia="Arial"/>
        </w:rPr>
      </w:pPr>
      <w:r w:rsidRPr="0055512B">
        <w:rPr>
          <w:rFonts w:eastAsia="Arial"/>
        </w:rPr>
        <w:t>Les tâches d´entretien, de la mise à jour, de la diffusion et du contrôle de l'utilisation de la dernière version de ce document relèvent de la DINEPA.</w:t>
      </w:r>
    </w:p>
    <w:p w14:paraId="6EEFB60D" w14:textId="77777777" w:rsidR="00BC0F4B" w:rsidRPr="0055512B" w:rsidRDefault="00BC0F4B" w:rsidP="007A4D4E">
      <w:pPr>
        <w:spacing w:line="276" w:lineRule="auto"/>
        <w:jc w:val="both"/>
        <w:rPr>
          <w:rFonts w:eastAsia="Times New Roman"/>
        </w:rPr>
      </w:pPr>
    </w:p>
    <w:p w14:paraId="7D27F652" w14:textId="77777777" w:rsidR="00BC0F4B" w:rsidRPr="0055512B" w:rsidRDefault="00BC0F4B" w:rsidP="007A4D4E">
      <w:pPr>
        <w:spacing w:line="276" w:lineRule="auto"/>
        <w:jc w:val="both"/>
        <w:rPr>
          <w:rFonts w:eastAsia="Arial"/>
        </w:rPr>
      </w:pPr>
      <w:r w:rsidRPr="0055512B">
        <w:rPr>
          <w:rFonts w:eastAsia="Arial"/>
        </w:rPr>
        <w:t>En cas</w:t>
      </w:r>
      <w:r w:rsidR="00550E13" w:rsidRPr="0055512B">
        <w:rPr>
          <w:rFonts w:eastAsia="Arial"/>
        </w:rPr>
        <w:t xml:space="preserve"> de différence entre les Accords </w:t>
      </w:r>
      <w:r w:rsidRPr="0055512B">
        <w:rPr>
          <w:rFonts w:eastAsia="Arial"/>
        </w:rPr>
        <w:t>de Don</w:t>
      </w:r>
      <w:r w:rsidR="00550E13" w:rsidRPr="0055512B">
        <w:rPr>
          <w:rFonts w:eastAsia="Arial"/>
        </w:rPr>
        <w:t xml:space="preserve"> des trois programmes mentionnés</w:t>
      </w:r>
      <w:r w:rsidRPr="0055512B">
        <w:rPr>
          <w:rFonts w:eastAsia="Arial"/>
        </w:rPr>
        <w:t xml:space="preserve"> </w:t>
      </w:r>
      <w:r w:rsidR="00550E13" w:rsidRPr="0055512B">
        <w:rPr>
          <w:rFonts w:eastAsia="Arial"/>
        </w:rPr>
        <w:t>et le présent Manuel, les Accords  de Don ont</w:t>
      </w:r>
      <w:r w:rsidRPr="0055512B">
        <w:rPr>
          <w:rFonts w:eastAsia="Arial"/>
        </w:rPr>
        <w:t xml:space="preserve"> toujours valeur prépondérante.</w:t>
      </w:r>
    </w:p>
    <w:p w14:paraId="0121B3AF" w14:textId="77777777" w:rsidR="00D0325E" w:rsidRPr="0055512B" w:rsidRDefault="00D0325E" w:rsidP="007A4D4E">
      <w:pPr>
        <w:spacing w:line="276" w:lineRule="auto"/>
        <w:jc w:val="both"/>
        <w:rPr>
          <w:rFonts w:eastAsia="Times New Roman"/>
        </w:rPr>
      </w:pPr>
    </w:p>
    <w:p w14:paraId="04F6F8D9" w14:textId="77777777" w:rsidR="00BC0F4B" w:rsidRPr="0055512B" w:rsidRDefault="00BC0F4B" w:rsidP="007A4D4E">
      <w:pPr>
        <w:spacing w:line="276" w:lineRule="auto"/>
        <w:jc w:val="both"/>
        <w:rPr>
          <w:rFonts w:eastAsia="Times New Roman"/>
        </w:rPr>
      </w:pPr>
    </w:p>
    <w:p w14:paraId="11B5601F" w14:textId="77777777" w:rsidR="00553B26" w:rsidRPr="0055512B" w:rsidRDefault="00B97199" w:rsidP="007A4D4E">
      <w:pPr>
        <w:pStyle w:val="ListParagraph"/>
        <w:numPr>
          <w:ilvl w:val="1"/>
          <w:numId w:val="35"/>
        </w:numPr>
        <w:tabs>
          <w:tab w:val="left" w:pos="580"/>
        </w:tabs>
        <w:spacing w:line="276" w:lineRule="auto"/>
        <w:jc w:val="both"/>
        <w:rPr>
          <w:rFonts w:eastAsia="Arial"/>
          <w:b/>
        </w:rPr>
      </w:pPr>
      <w:r w:rsidRPr="0055512B">
        <w:rPr>
          <w:rFonts w:eastAsia="Arial"/>
          <w:b/>
        </w:rPr>
        <w:t xml:space="preserve">PORTÉE ET STRUCTURE </w:t>
      </w:r>
    </w:p>
    <w:p w14:paraId="76354894" w14:textId="77777777" w:rsidR="00553B26" w:rsidRPr="0055512B" w:rsidRDefault="00553B26" w:rsidP="007A4D4E">
      <w:pPr>
        <w:spacing w:line="276" w:lineRule="auto"/>
        <w:jc w:val="both"/>
        <w:rPr>
          <w:rFonts w:eastAsia="Times New Roman"/>
        </w:rPr>
      </w:pPr>
    </w:p>
    <w:p w14:paraId="752E42FD" w14:textId="77777777" w:rsidR="00553B26" w:rsidRPr="0055512B" w:rsidRDefault="00553B26" w:rsidP="007A4D4E">
      <w:pPr>
        <w:spacing w:line="276" w:lineRule="auto"/>
        <w:jc w:val="both"/>
        <w:rPr>
          <w:rFonts w:eastAsia="Arial"/>
        </w:rPr>
      </w:pPr>
      <w:r w:rsidRPr="0055512B">
        <w:rPr>
          <w:rFonts w:eastAsia="Arial"/>
        </w:rPr>
        <w:t>Ce manuel est divisé en 2 parties:</w:t>
      </w:r>
    </w:p>
    <w:p w14:paraId="0ACCE59D" w14:textId="77777777" w:rsidR="00553B26" w:rsidRPr="0055512B" w:rsidRDefault="00553B26" w:rsidP="007A4D4E">
      <w:pPr>
        <w:numPr>
          <w:ilvl w:val="0"/>
          <w:numId w:val="4"/>
        </w:numPr>
        <w:tabs>
          <w:tab w:val="left" w:pos="720"/>
        </w:tabs>
        <w:spacing w:line="276" w:lineRule="auto"/>
        <w:ind w:left="900" w:hanging="360"/>
        <w:jc w:val="both"/>
        <w:rPr>
          <w:rFonts w:eastAsia="Symbol"/>
        </w:rPr>
      </w:pPr>
      <w:r w:rsidRPr="0055512B">
        <w:rPr>
          <w:rFonts w:eastAsia="Arial"/>
        </w:rPr>
        <w:t>la prem</w:t>
      </w:r>
      <w:r w:rsidR="00805673" w:rsidRPr="0055512B">
        <w:rPr>
          <w:rFonts w:eastAsia="Arial"/>
        </w:rPr>
        <w:t>ière partie décrit</w:t>
      </w:r>
      <w:r w:rsidRPr="0055512B">
        <w:rPr>
          <w:rFonts w:eastAsia="Arial"/>
        </w:rPr>
        <w:t xml:space="preserve"> les principes d’administration des programmes HA-L1044, HA-L1075 et HA-L1103</w:t>
      </w:r>
    </w:p>
    <w:p w14:paraId="71917BB1" w14:textId="77777777" w:rsidR="00553B26" w:rsidRPr="0055512B" w:rsidRDefault="00553B26" w:rsidP="007A4D4E">
      <w:pPr>
        <w:numPr>
          <w:ilvl w:val="0"/>
          <w:numId w:val="4"/>
        </w:numPr>
        <w:tabs>
          <w:tab w:val="left" w:pos="720"/>
        </w:tabs>
        <w:spacing w:line="276" w:lineRule="auto"/>
        <w:ind w:left="900" w:hanging="360"/>
        <w:jc w:val="both"/>
        <w:rPr>
          <w:rFonts w:eastAsia="Symbol"/>
        </w:rPr>
      </w:pPr>
      <w:r w:rsidRPr="0055512B">
        <w:rPr>
          <w:rFonts w:eastAsia="Arial"/>
        </w:rPr>
        <w:t>la deuxième partie, les annexes, présente de manière détaillée les différentes procédures et documents de référence qui seront utilisés par le personnel en charge d’administrer ces programmes.</w:t>
      </w:r>
    </w:p>
    <w:p w14:paraId="75433653" w14:textId="77777777" w:rsidR="00553B26" w:rsidRPr="0055512B" w:rsidRDefault="00553B26" w:rsidP="007A4D4E">
      <w:pPr>
        <w:spacing w:line="276" w:lineRule="auto"/>
        <w:jc w:val="both"/>
        <w:rPr>
          <w:rFonts w:eastAsia="Times New Roman"/>
        </w:rPr>
      </w:pPr>
    </w:p>
    <w:p w14:paraId="2E880644" w14:textId="77777777" w:rsidR="00553B26" w:rsidRPr="0055512B" w:rsidRDefault="00553B26" w:rsidP="007A4D4E">
      <w:pPr>
        <w:spacing w:line="276" w:lineRule="auto"/>
        <w:jc w:val="both"/>
        <w:rPr>
          <w:rFonts w:eastAsia="Arial"/>
        </w:rPr>
      </w:pPr>
      <w:r w:rsidRPr="0055512B">
        <w:rPr>
          <w:rFonts w:eastAsia="Arial"/>
        </w:rPr>
        <w:t xml:space="preserve">Le manuel </w:t>
      </w:r>
      <w:r w:rsidR="00D3545F" w:rsidRPr="0055512B">
        <w:rPr>
          <w:rFonts w:eastAsia="Arial"/>
        </w:rPr>
        <w:t>consolid</w:t>
      </w:r>
      <w:r w:rsidRPr="0055512B">
        <w:rPr>
          <w:rFonts w:eastAsia="Arial"/>
        </w:rPr>
        <w:t>é se veut donc un guide pratique auquel chaque intervenant des  programmes (responsable financier, ingénieur, responsable en passation de marché, personnel administratif… etc.) pourra se référer en cas de doute sur la procédure à utiliser ou les documents en vigueur dans son secteur.</w:t>
      </w:r>
    </w:p>
    <w:p w14:paraId="336518C6" w14:textId="77777777" w:rsidR="00553B26" w:rsidRPr="0055512B" w:rsidRDefault="00553B26" w:rsidP="007A4D4E">
      <w:pPr>
        <w:spacing w:line="276" w:lineRule="auto"/>
        <w:jc w:val="both"/>
        <w:rPr>
          <w:rFonts w:eastAsia="Times New Roman"/>
        </w:rPr>
      </w:pPr>
    </w:p>
    <w:p w14:paraId="48743500" w14:textId="77777777" w:rsidR="008C2FAA" w:rsidRPr="0055512B" w:rsidRDefault="00B97199" w:rsidP="002E5BE9">
      <w:pPr>
        <w:pStyle w:val="ListParagraph"/>
        <w:numPr>
          <w:ilvl w:val="1"/>
          <w:numId w:val="35"/>
        </w:numPr>
        <w:spacing w:line="276" w:lineRule="auto"/>
        <w:rPr>
          <w:b/>
        </w:rPr>
      </w:pPr>
      <w:r w:rsidRPr="0055512B">
        <w:rPr>
          <w:b/>
        </w:rPr>
        <w:t xml:space="preserve">MODIFICATIONS </w:t>
      </w:r>
      <w:r w:rsidR="00553B26" w:rsidRPr="0055512B">
        <w:rPr>
          <w:b/>
        </w:rPr>
        <w:t xml:space="preserve"> </w:t>
      </w:r>
      <w:r w:rsidR="00805673" w:rsidRPr="0055512B">
        <w:rPr>
          <w:b/>
        </w:rPr>
        <w:t xml:space="preserve">ET MISES À JOUR </w:t>
      </w:r>
    </w:p>
    <w:p w14:paraId="2D222F5F" w14:textId="77777777" w:rsidR="00553B26" w:rsidRPr="0055512B" w:rsidRDefault="00553B26" w:rsidP="001950BE">
      <w:pPr>
        <w:spacing w:line="276" w:lineRule="auto"/>
        <w:rPr>
          <w:b/>
        </w:rPr>
      </w:pPr>
    </w:p>
    <w:p w14:paraId="13801858" w14:textId="77777777" w:rsidR="00553B26" w:rsidRPr="0055512B" w:rsidRDefault="00553B26" w:rsidP="007A4D4E">
      <w:pPr>
        <w:spacing w:line="276" w:lineRule="auto"/>
        <w:jc w:val="both"/>
      </w:pPr>
      <w:r w:rsidRPr="0055512B">
        <w:t>Les tâches d´entretien, de la mise à jour, de la diffusion et du contrôle de l'utilisation de la dernière version de ce document relèvent de la DINEPA. Celle-ci transmettra la version révisée à la représentation de la BID en Haïti pour non-objection. Une révision du manuel pourra être effectuée au besoin en vue d’identifier les sections obsolètes ainsi que les nouvelles exigences identifiées pendant l’exécution du programme. La mise à jour du manuel peut être motivée par exemple :</w:t>
      </w:r>
    </w:p>
    <w:p w14:paraId="3432B0BA" w14:textId="77777777" w:rsidR="00553B26" w:rsidRPr="0055512B" w:rsidRDefault="00553B26" w:rsidP="007A4D4E">
      <w:pPr>
        <w:pStyle w:val="ListParagraph"/>
        <w:numPr>
          <w:ilvl w:val="0"/>
          <w:numId w:val="6"/>
        </w:numPr>
        <w:spacing w:line="276" w:lineRule="auto"/>
        <w:jc w:val="both"/>
      </w:pPr>
      <w:r w:rsidRPr="0055512B">
        <w:t>Les changements de structure ou des activités ;</w:t>
      </w:r>
    </w:p>
    <w:p w14:paraId="17B2915C" w14:textId="77777777" w:rsidR="00553B26" w:rsidRPr="0055512B" w:rsidRDefault="00553B26" w:rsidP="007A4D4E">
      <w:pPr>
        <w:pStyle w:val="ListParagraph"/>
        <w:numPr>
          <w:ilvl w:val="0"/>
          <w:numId w:val="6"/>
        </w:numPr>
        <w:spacing w:line="276" w:lineRule="auto"/>
        <w:jc w:val="both"/>
      </w:pPr>
      <w:r w:rsidRPr="0055512B">
        <w:t>Des situations nouvelles qui nécessitent le changement ou l’amélioration des procédures ;</w:t>
      </w:r>
    </w:p>
    <w:p w14:paraId="387F3C55" w14:textId="77777777" w:rsidR="00553B26" w:rsidRPr="0055512B" w:rsidRDefault="00553B26" w:rsidP="007A4D4E">
      <w:pPr>
        <w:pStyle w:val="ListParagraph"/>
        <w:numPr>
          <w:ilvl w:val="0"/>
          <w:numId w:val="6"/>
        </w:numPr>
        <w:spacing w:line="276" w:lineRule="auto"/>
        <w:jc w:val="both"/>
      </w:pPr>
      <w:r w:rsidRPr="0055512B">
        <w:t>Des changements rendus nécessaires par l’application de textes et décrets concernant les lois et règles en vigueur ;</w:t>
      </w:r>
    </w:p>
    <w:p w14:paraId="043A4E6B" w14:textId="77777777" w:rsidR="00553B26" w:rsidRPr="0055512B" w:rsidRDefault="00553B26" w:rsidP="007A4D4E">
      <w:pPr>
        <w:pStyle w:val="ListParagraph"/>
        <w:numPr>
          <w:ilvl w:val="0"/>
          <w:numId w:val="6"/>
        </w:numPr>
        <w:spacing w:line="276" w:lineRule="auto"/>
        <w:jc w:val="both"/>
      </w:pPr>
      <w:r w:rsidRPr="0055512B">
        <w:t>Des modifications en ce qui concerne le personnel et les tâches lui incombant ;</w:t>
      </w:r>
    </w:p>
    <w:p w14:paraId="4BDF0190" w14:textId="77777777" w:rsidR="00553B26" w:rsidRPr="0055512B" w:rsidRDefault="00553B26" w:rsidP="007A4D4E">
      <w:pPr>
        <w:pStyle w:val="ListParagraph"/>
        <w:numPr>
          <w:ilvl w:val="0"/>
          <w:numId w:val="6"/>
        </w:numPr>
        <w:spacing w:line="276" w:lineRule="auto"/>
        <w:jc w:val="both"/>
      </w:pPr>
      <w:r w:rsidRPr="0055512B">
        <w:t>Des aménagements dans l’organisation du Projet ;</w:t>
      </w:r>
    </w:p>
    <w:p w14:paraId="454BCEF9" w14:textId="77777777" w:rsidR="00553B26" w:rsidRPr="0055512B" w:rsidRDefault="00553B26" w:rsidP="007A4D4E">
      <w:pPr>
        <w:pStyle w:val="ListParagraph"/>
        <w:numPr>
          <w:ilvl w:val="0"/>
          <w:numId w:val="6"/>
        </w:numPr>
        <w:spacing w:line="276" w:lineRule="auto"/>
        <w:jc w:val="both"/>
      </w:pPr>
      <w:r w:rsidRPr="0055512B">
        <w:t>L’identification de problème ou de dysfonctionnement dans cette procédure.</w:t>
      </w:r>
    </w:p>
    <w:p w14:paraId="0850023F" w14:textId="77777777" w:rsidR="00553B26" w:rsidRPr="0055512B" w:rsidRDefault="00553B26" w:rsidP="007A4D4E">
      <w:pPr>
        <w:spacing w:line="276" w:lineRule="auto"/>
        <w:jc w:val="both"/>
      </w:pPr>
    </w:p>
    <w:p w14:paraId="0072F1EC" w14:textId="77777777" w:rsidR="00553B26" w:rsidRPr="0055512B" w:rsidRDefault="00553B26" w:rsidP="007A4D4E">
      <w:pPr>
        <w:spacing w:line="276" w:lineRule="auto"/>
        <w:jc w:val="both"/>
      </w:pPr>
      <w:r w:rsidRPr="0055512B">
        <w:lastRenderedPageBreak/>
        <w:t xml:space="preserve">Lorsque la modification des procédures existantes est envisagée, la DINEPA convoque une réunion à laquelle doivent participer tous les agents susceptibles d’être concernés par ces modifications. A l’issue de cette réunion, un procès-verbal est établi indiquant les éléments suivants : </w:t>
      </w:r>
    </w:p>
    <w:p w14:paraId="54B7A5B4" w14:textId="77777777" w:rsidR="00553B26" w:rsidRPr="0055512B" w:rsidRDefault="00553B26" w:rsidP="007A4D4E">
      <w:pPr>
        <w:spacing w:line="276" w:lineRule="auto"/>
        <w:jc w:val="both"/>
      </w:pPr>
    </w:p>
    <w:p w14:paraId="245CC25C" w14:textId="77777777" w:rsidR="00553B26" w:rsidRPr="0055512B" w:rsidRDefault="00553B26" w:rsidP="007A4D4E">
      <w:pPr>
        <w:numPr>
          <w:ilvl w:val="0"/>
          <w:numId w:val="5"/>
        </w:numPr>
        <w:spacing w:line="276" w:lineRule="auto"/>
        <w:jc w:val="both"/>
      </w:pPr>
      <w:r w:rsidRPr="0055512B">
        <w:t>les procédures devant être modifiées ;</w:t>
      </w:r>
    </w:p>
    <w:p w14:paraId="15990BCE" w14:textId="77777777" w:rsidR="00553B26" w:rsidRPr="0055512B" w:rsidRDefault="00553B26" w:rsidP="007A4D4E">
      <w:pPr>
        <w:numPr>
          <w:ilvl w:val="0"/>
          <w:numId w:val="5"/>
        </w:numPr>
        <w:spacing w:line="276" w:lineRule="auto"/>
        <w:jc w:val="both"/>
      </w:pPr>
      <w:r w:rsidRPr="0055512B">
        <w:t>les raisons pour lesquelles les modifications sont demandées ;</w:t>
      </w:r>
    </w:p>
    <w:p w14:paraId="2B66A325" w14:textId="77777777" w:rsidR="00553B26" w:rsidRPr="0055512B" w:rsidRDefault="00553B26" w:rsidP="007A4D4E">
      <w:pPr>
        <w:numPr>
          <w:ilvl w:val="0"/>
          <w:numId w:val="5"/>
        </w:numPr>
        <w:spacing w:line="276" w:lineRule="auto"/>
        <w:jc w:val="both"/>
      </w:pPr>
      <w:r w:rsidRPr="0055512B">
        <w:t>la personne chargée de rédiger les nouvelles procédures à inclure dans le manuel.</w:t>
      </w:r>
    </w:p>
    <w:p w14:paraId="1B8D9CF5" w14:textId="77777777" w:rsidR="00553B26" w:rsidRPr="0055512B" w:rsidRDefault="00553B26" w:rsidP="007A4D4E">
      <w:pPr>
        <w:spacing w:line="276" w:lineRule="auto"/>
        <w:ind w:left="900"/>
        <w:jc w:val="both"/>
      </w:pPr>
    </w:p>
    <w:p w14:paraId="22CB26AB" w14:textId="77777777" w:rsidR="00553B26" w:rsidRPr="0055512B" w:rsidRDefault="00553B26" w:rsidP="007A4D4E">
      <w:pPr>
        <w:spacing w:line="276" w:lineRule="auto"/>
        <w:jc w:val="both"/>
      </w:pPr>
      <w:r w:rsidRPr="0055512B">
        <w:t>Toute révision du manuel doit obtenir la non-objection de la BID.</w:t>
      </w:r>
    </w:p>
    <w:p w14:paraId="6697226B" w14:textId="77777777" w:rsidR="00F10653" w:rsidRPr="0055512B" w:rsidRDefault="00F10653" w:rsidP="007A4D4E">
      <w:pPr>
        <w:spacing w:line="276" w:lineRule="auto"/>
        <w:jc w:val="both"/>
      </w:pPr>
    </w:p>
    <w:p w14:paraId="4F105AD5" w14:textId="77777777" w:rsidR="00E25E12" w:rsidRPr="0055512B" w:rsidRDefault="00E25E12" w:rsidP="007A4D4E">
      <w:pPr>
        <w:pStyle w:val="ListParagraph"/>
        <w:numPr>
          <w:ilvl w:val="0"/>
          <w:numId w:val="7"/>
        </w:numPr>
        <w:spacing w:line="276" w:lineRule="auto"/>
        <w:jc w:val="both"/>
        <w:rPr>
          <w:rFonts w:eastAsia="Arial"/>
          <w:b/>
        </w:rPr>
      </w:pPr>
      <w:r w:rsidRPr="0055512B">
        <w:rPr>
          <w:rFonts w:eastAsia="Arial"/>
          <w:b/>
        </w:rPr>
        <w:t>PRESENTATION GENERALE DES PROGRAMME</w:t>
      </w:r>
      <w:r w:rsidR="00B06FB4" w:rsidRPr="0055512B">
        <w:rPr>
          <w:rFonts w:eastAsia="Arial"/>
          <w:b/>
        </w:rPr>
        <w:t xml:space="preserve">S EPA DE PORT-AU-PRINCE </w:t>
      </w:r>
    </w:p>
    <w:p w14:paraId="41796FCD" w14:textId="77777777" w:rsidR="00E25E12" w:rsidRPr="0055512B" w:rsidRDefault="00E25E12" w:rsidP="007A4D4E">
      <w:pPr>
        <w:pStyle w:val="ListParagraph"/>
        <w:spacing w:line="276" w:lineRule="auto"/>
        <w:jc w:val="both"/>
      </w:pPr>
    </w:p>
    <w:p w14:paraId="6AC2DDD1" w14:textId="77777777" w:rsidR="00097FDC" w:rsidRPr="0055512B" w:rsidRDefault="00B06FB4" w:rsidP="007A4D4E">
      <w:pPr>
        <w:pStyle w:val="ListParagraph"/>
        <w:numPr>
          <w:ilvl w:val="1"/>
          <w:numId w:val="7"/>
        </w:numPr>
        <w:spacing w:line="276" w:lineRule="auto"/>
        <w:jc w:val="both"/>
        <w:rPr>
          <w:b/>
        </w:rPr>
      </w:pPr>
      <w:r w:rsidRPr="0055512B">
        <w:rPr>
          <w:b/>
        </w:rPr>
        <w:t xml:space="preserve">PRÉSENTATION </w:t>
      </w:r>
      <w:r w:rsidR="00097FDC" w:rsidRPr="0055512B">
        <w:rPr>
          <w:b/>
        </w:rPr>
        <w:t xml:space="preserve"> DU HA-L1044</w:t>
      </w:r>
    </w:p>
    <w:p w14:paraId="50C48CAB" w14:textId="77777777" w:rsidR="00097FDC" w:rsidRPr="0055512B" w:rsidRDefault="00097FDC" w:rsidP="007A4D4E">
      <w:pPr>
        <w:spacing w:line="276" w:lineRule="auto"/>
        <w:jc w:val="both"/>
        <w:rPr>
          <w:rFonts w:eastAsia="Times New Roman"/>
        </w:rPr>
      </w:pPr>
    </w:p>
    <w:p w14:paraId="1F554B9F" w14:textId="77777777" w:rsidR="00097FDC" w:rsidRPr="0055512B" w:rsidRDefault="00097FDC" w:rsidP="007A4D4E">
      <w:pPr>
        <w:pStyle w:val="ListParagraph"/>
        <w:numPr>
          <w:ilvl w:val="2"/>
          <w:numId w:val="7"/>
        </w:numPr>
        <w:tabs>
          <w:tab w:val="left" w:pos="720"/>
        </w:tabs>
        <w:spacing w:line="276" w:lineRule="auto"/>
        <w:jc w:val="both"/>
        <w:rPr>
          <w:rFonts w:eastAsia="Arial"/>
          <w:b/>
        </w:rPr>
      </w:pPr>
      <w:r w:rsidRPr="0055512B">
        <w:rPr>
          <w:rFonts w:eastAsia="Arial"/>
          <w:b/>
        </w:rPr>
        <w:t>Les Objectifs</w:t>
      </w:r>
      <w:r w:rsidR="00B405DC" w:rsidRPr="0055512B">
        <w:rPr>
          <w:rFonts w:eastAsia="Arial"/>
          <w:b/>
        </w:rPr>
        <w:t xml:space="preserve"> du HA-L1044</w:t>
      </w:r>
    </w:p>
    <w:p w14:paraId="2642E1E3" w14:textId="77777777" w:rsidR="00097FDC" w:rsidRPr="0055512B" w:rsidRDefault="00097FDC" w:rsidP="007A4D4E">
      <w:pPr>
        <w:spacing w:line="276" w:lineRule="auto"/>
        <w:jc w:val="both"/>
        <w:rPr>
          <w:rFonts w:eastAsia="Times New Roman"/>
        </w:rPr>
      </w:pPr>
    </w:p>
    <w:p w14:paraId="6EE0941C" w14:textId="77777777" w:rsidR="0039415C" w:rsidRPr="0055512B" w:rsidRDefault="00097FDC" w:rsidP="007A4D4E">
      <w:pPr>
        <w:spacing w:line="276" w:lineRule="auto"/>
        <w:jc w:val="both"/>
        <w:rPr>
          <w:rFonts w:eastAsia="Arial"/>
        </w:rPr>
      </w:pPr>
      <w:r w:rsidRPr="0055512B">
        <w:rPr>
          <w:rFonts w:eastAsia="Arial"/>
        </w:rPr>
        <w:t>Le programme HA-L1044/HA-X1021 entre dans la dynamique des objectifs que poursuivent la</w:t>
      </w:r>
      <w:r w:rsidR="0039415C" w:rsidRPr="0055512B">
        <w:rPr>
          <w:rFonts w:eastAsia="Arial"/>
        </w:rPr>
        <w:t xml:space="preserve"> DINEPA et son objectif général de : « Réorganiser le secteur de l´Eau Potable et l´Assainissement (EPA) dans la perspective de son développement et pour améliorer l'efficience, l'efficacité et l'équité dans la prestation des services fournis”</w:t>
      </w:r>
    </w:p>
    <w:p w14:paraId="389EDD6D" w14:textId="77777777" w:rsidR="0039415C" w:rsidRPr="0055512B" w:rsidRDefault="0039415C" w:rsidP="007A4D4E">
      <w:pPr>
        <w:spacing w:line="276" w:lineRule="auto"/>
        <w:jc w:val="both"/>
        <w:rPr>
          <w:rFonts w:eastAsia="Arial"/>
        </w:rPr>
      </w:pPr>
    </w:p>
    <w:p w14:paraId="41A15DC3" w14:textId="77777777" w:rsidR="0039415C" w:rsidRPr="0055512B" w:rsidRDefault="0039415C" w:rsidP="007A4D4E">
      <w:pPr>
        <w:spacing w:line="276" w:lineRule="auto"/>
        <w:jc w:val="both"/>
        <w:rPr>
          <w:rFonts w:eastAsia="Arial"/>
        </w:rPr>
      </w:pPr>
      <w:r w:rsidRPr="0055512B">
        <w:rPr>
          <w:rFonts w:eastAsia="Arial"/>
          <w:b/>
        </w:rPr>
        <w:t>L’objectif fondamental de l’opération de don est d</w:t>
      </w:r>
      <w:r w:rsidR="0050514F" w:rsidRPr="0055512B">
        <w:rPr>
          <w:rFonts w:eastAsia="Arial"/>
          <w:b/>
        </w:rPr>
        <w:t>e supporter le Gouvernement Haïtien</w:t>
      </w:r>
      <w:r w:rsidRPr="0055512B">
        <w:rPr>
          <w:rFonts w:eastAsia="Arial"/>
          <w:b/>
        </w:rPr>
        <w:t xml:space="preserve"> après le tremblement de terre de Janvier 2010 et de contribuer à la reconstruction des infrastructures d´approvisionnement d´eau les plus endommagées, au renforcement des institutions chargées de fournir des services d'eau et d'assainissement à Port-au-Prince et à la réhabilitation du réseau, tout en développant les services et en mettant en œuvre des solutions d'assainissement dans la ville de manière durable</w:t>
      </w:r>
      <w:r w:rsidRPr="0055512B">
        <w:rPr>
          <w:rFonts w:eastAsia="Arial"/>
        </w:rPr>
        <w:t>.</w:t>
      </w:r>
    </w:p>
    <w:p w14:paraId="6696E066" w14:textId="77777777" w:rsidR="0039415C" w:rsidRPr="0055512B" w:rsidRDefault="0039415C" w:rsidP="007A4D4E">
      <w:pPr>
        <w:spacing w:line="276" w:lineRule="auto"/>
        <w:jc w:val="both"/>
        <w:rPr>
          <w:rFonts w:eastAsia="Times New Roman"/>
        </w:rPr>
      </w:pPr>
    </w:p>
    <w:p w14:paraId="452B8BBC" w14:textId="77777777" w:rsidR="0039415C" w:rsidRPr="0055512B" w:rsidRDefault="0050514F" w:rsidP="007A4D4E">
      <w:pPr>
        <w:spacing w:line="276" w:lineRule="auto"/>
        <w:jc w:val="both"/>
        <w:rPr>
          <w:rFonts w:eastAsia="Arial"/>
        </w:rPr>
      </w:pPr>
      <w:r w:rsidRPr="0055512B">
        <w:rPr>
          <w:rFonts w:eastAsia="Arial"/>
        </w:rPr>
        <w:t>L’</w:t>
      </w:r>
      <w:r w:rsidR="0039415C" w:rsidRPr="0055512B">
        <w:rPr>
          <w:rFonts w:eastAsia="Arial"/>
        </w:rPr>
        <w:t>opération vise donc à exécuter des activités de renforcement institutionnel afin que la CAMEP et le personnel de la DINEPA se préparent pour améliorer la gestion des services à Port-au-Prince et pour exécuter correctement le projet HA-L1044/HA-X1021 et les projets futurs qui surviendront.</w:t>
      </w:r>
    </w:p>
    <w:p w14:paraId="329C8D9B" w14:textId="77777777" w:rsidR="0039415C" w:rsidRPr="0055512B" w:rsidRDefault="0039415C" w:rsidP="007A4D4E">
      <w:pPr>
        <w:spacing w:line="276" w:lineRule="auto"/>
        <w:jc w:val="both"/>
        <w:rPr>
          <w:rFonts w:eastAsia="Times New Roman"/>
        </w:rPr>
      </w:pPr>
    </w:p>
    <w:p w14:paraId="3AF132C6" w14:textId="77777777" w:rsidR="0039415C" w:rsidRPr="0055512B" w:rsidRDefault="0039415C" w:rsidP="007A4D4E">
      <w:pPr>
        <w:spacing w:line="276" w:lineRule="auto"/>
        <w:jc w:val="both"/>
        <w:rPr>
          <w:rFonts w:eastAsia="Arial"/>
        </w:rPr>
      </w:pPr>
      <w:r w:rsidRPr="0055512B">
        <w:rPr>
          <w:rFonts w:eastAsia="Arial"/>
        </w:rPr>
        <w:t xml:space="preserve">Le programme comprend 3 </w:t>
      </w:r>
      <w:r w:rsidRPr="0055512B">
        <w:rPr>
          <w:rFonts w:eastAsia="Arial"/>
          <w:u w:val="single"/>
        </w:rPr>
        <w:t>composantes</w:t>
      </w:r>
      <w:r w:rsidRPr="0055512B">
        <w:rPr>
          <w:rFonts w:eastAsia="Arial"/>
        </w:rPr>
        <w:t xml:space="preserve"> et sera financé par des dons de la Banque Interaméricaine de Développement à hauteur de 15 millions de dollars US et du Fonds de </w:t>
      </w:r>
      <w:r w:rsidRPr="0055512B">
        <w:rPr>
          <w:rFonts w:eastAsia="Arial"/>
        </w:rPr>
        <w:lastRenderedPageBreak/>
        <w:t>coopération pour l</w:t>
      </w:r>
      <w:r w:rsidR="00805673" w:rsidRPr="0055512B">
        <w:rPr>
          <w:rFonts w:eastAsia="Arial" w:cs="Times New Roman"/>
        </w:rPr>
        <w:t>’</w:t>
      </w:r>
      <w:r w:rsidRPr="0055512B">
        <w:rPr>
          <w:rFonts w:eastAsia="Arial"/>
        </w:rPr>
        <w:t>eau et l</w:t>
      </w:r>
      <w:r w:rsidR="00805673" w:rsidRPr="0055512B">
        <w:rPr>
          <w:rFonts w:eastAsia="Arial" w:cs="Times New Roman"/>
        </w:rPr>
        <w:t>’</w:t>
      </w:r>
      <w:r w:rsidRPr="0055512B">
        <w:rPr>
          <w:rFonts w:eastAsia="Arial"/>
        </w:rPr>
        <w:t>assainissement du Gouvernement Espagnol pour un montant de 35 millions de dollars US.</w:t>
      </w:r>
    </w:p>
    <w:p w14:paraId="5235AA00" w14:textId="77777777" w:rsidR="00B405DC" w:rsidRPr="0055512B" w:rsidRDefault="00B405DC" w:rsidP="001950BE">
      <w:pPr>
        <w:spacing w:line="276" w:lineRule="auto"/>
        <w:rPr>
          <w:rFonts w:eastAsia="Arial"/>
          <w:b/>
        </w:rPr>
      </w:pPr>
    </w:p>
    <w:p w14:paraId="6FC79432" w14:textId="77777777" w:rsidR="0039415C" w:rsidRPr="0055512B" w:rsidRDefault="0039415C" w:rsidP="002E5BE9">
      <w:pPr>
        <w:pStyle w:val="ListParagraph"/>
        <w:numPr>
          <w:ilvl w:val="2"/>
          <w:numId w:val="36"/>
        </w:numPr>
        <w:tabs>
          <w:tab w:val="left" w:pos="720"/>
        </w:tabs>
        <w:spacing w:line="276" w:lineRule="auto"/>
        <w:rPr>
          <w:rFonts w:eastAsia="Arial"/>
          <w:b/>
        </w:rPr>
      </w:pPr>
      <w:r w:rsidRPr="0055512B">
        <w:rPr>
          <w:rFonts w:eastAsia="Arial"/>
          <w:b/>
        </w:rPr>
        <w:t>Les composantes</w:t>
      </w:r>
      <w:r w:rsidR="00B405DC" w:rsidRPr="0055512B">
        <w:rPr>
          <w:rFonts w:eastAsia="Arial"/>
          <w:b/>
        </w:rPr>
        <w:t xml:space="preserve"> du HA-L1044</w:t>
      </w:r>
    </w:p>
    <w:p w14:paraId="568D25F8" w14:textId="77777777" w:rsidR="0039415C" w:rsidRPr="0055512B" w:rsidRDefault="0039415C" w:rsidP="001950BE">
      <w:pPr>
        <w:spacing w:line="276" w:lineRule="auto"/>
        <w:rPr>
          <w:rFonts w:eastAsia="Times New Roman"/>
        </w:rPr>
      </w:pPr>
    </w:p>
    <w:p w14:paraId="7FF672D5" w14:textId="77777777" w:rsidR="0039415C" w:rsidRPr="0055512B" w:rsidRDefault="0039415C" w:rsidP="002E5BE9">
      <w:pPr>
        <w:pStyle w:val="ListParagraph"/>
        <w:numPr>
          <w:ilvl w:val="3"/>
          <w:numId w:val="36"/>
        </w:numPr>
        <w:tabs>
          <w:tab w:val="left" w:pos="862"/>
        </w:tabs>
        <w:spacing w:line="276" w:lineRule="auto"/>
        <w:rPr>
          <w:rFonts w:eastAsia="Arial"/>
          <w:b/>
        </w:rPr>
      </w:pPr>
      <w:r w:rsidRPr="0055512B">
        <w:rPr>
          <w:rFonts w:eastAsia="Arial"/>
          <w:b/>
        </w:rPr>
        <w:t>Composante 1 (US$17.0 millions). Renforcement Ins</w:t>
      </w:r>
      <w:r w:rsidR="000153C6" w:rsidRPr="0055512B">
        <w:rPr>
          <w:rFonts w:eastAsia="Arial"/>
          <w:b/>
        </w:rPr>
        <w:t>titutionnel</w:t>
      </w:r>
      <w:r w:rsidR="0050514F" w:rsidRPr="0055512B">
        <w:rPr>
          <w:rFonts w:eastAsia="Arial"/>
          <w:b/>
        </w:rPr>
        <w:t xml:space="preserve"> du CTE RMPP</w:t>
      </w:r>
      <w:r w:rsidR="000153C6" w:rsidRPr="0055512B">
        <w:rPr>
          <w:rFonts w:eastAsia="Arial"/>
          <w:b/>
        </w:rPr>
        <w:t xml:space="preserve"> de la</w:t>
      </w:r>
      <w:r w:rsidRPr="0055512B">
        <w:rPr>
          <w:rFonts w:eastAsia="Arial"/>
          <w:b/>
        </w:rPr>
        <w:t xml:space="preserve"> DINEPA</w:t>
      </w:r>
    </w:p>
    <w:p w14:paraId="2CA04A1E" w14:textId="77777777" w:rsidR="0039415C" w:rsidRPr="0055512B" w:rsidRDefault="0039415C" w:rsidP="001950BE">
      <w:pPr>
        <w:spacing w:line="276" w:lineRule="auto"/>
        <w:rPr>
          <w:rFonts w:eastAsia="Times New Roman"/>
        </w:rPr>
      </w:pPr>
    </w:p>
    <w:p w14:paraId="1C483ABD" w14:textId="77777777" w:rsidR="0039415C" w:rsidRPr="0055512B" w:rsidRDefault="0039415C" w:rsidP="00F57DF9">
      <w:pPr>
        <w:spacing w:line="276" w:lineRule="auto"/>
        <w:jc w:val="both"/>
        <w:rPr>
          <w:rFonts w:eastAsia="Arial"/>
        </w:rPr>
      </w:pPr>
      <w:r w:rsidRPr="0055512B">
        <w:rPr>
          <w:rFonts w:eastAsia="Arial"/>
        </w:rPr>
        <w:t>Cette composante vise la branche GESTION DES INVESTISSEMENTS ET PREINVESTISSEMENTS et la branche MISE EN PLACE ET RENFORCEMENT DE LA DINEPA.</w:t>
      </w:r>
    </w:p>
    <w:p w14:paraId="1A023656" w14:textId="77777777" w:rsidR="0039415C" w:rsidRPr="0055512B" w:rsidRDefault="0039415C" w:rsidP="00F57DF9">
      <w:pPr>
        <w:spacing w:line="276" w:lineRule="auto"/>
        <w:jc w:val="both"/>
        <w:rPr>
          <w:rFonts w:eastAsia="Times New Roman"/>
        </w:rPr>
      </w:pPr>
    </w:p>
    <w:p w14:paraId="61EB3444" w14:textId="77777777" w:rsidR="0039415C" w:rsidRPr="0055512B" w:rsidRDefault="0039415C" w:rsidP="00F57DF9">
      <w:pPr>
        <w:spacing w:line="276" w:lineRule="auto"/>
        <w:jc w:val="both"/>
        <w:rPr>
          <w:rFonts w:eastAsia="Arial"/>
        </w:rPr>
      </w:pPr>
      <w:r w:rsidRPr="0055512B">
        <w:rPr>
          <w:rFonts w:eastAsia="Arial"/>
        </w:rPr>
        <w:t>Cette composante financera un contra</w:t>
      </w:r>
      <w:r w:rsidR="0050514F" w:rsidRPr="0055512B">
        <w:rPr>
          <w:rFonts w:eastAsia="Arial"/>
        </w:rPr>
        <w:t>t d’</w:t>
      </w:r>
      <w:r w:rsidRPr="0055512B">
        <w:rPr>
          <w:rFonts w:eastAsia="Arial"/>
        </w:rPr>
        <w:t xml:space="preserve">Assistance Technique Opérationnelle à but </w:t>
      </w:r>
      <w:r w:rsidR="0050514F" w:rsidRPr="0055512B">
        <w:rPr>
          <w:rFonts w:eastAsia="Arial"/>
        </w:rPr>
        <w:t>non lucratif pour aider le CTE</w:t>
      </w:r>
      <w:r w:rsidR="0093220A" w:rsidRPr="0055512B">
        <w:rPr>
          <w:rFonts w:eastAsia="Arial"/>
        </w:rPr>
        <w:t>-</w:t>
      </w:r>
      <w:r w:rsidR="0050514F" w:rsidRPr="0055512B">
        <w:rPr>
          <w:rFonts w:eastAsia="Arial"/>
        </w:rPr>
        <w:t>RMPP</w:t>
      </w:r>
      <w:r w:rsidRPr="0055512B">
        <w:rPr>
          <w:rFonts w:eastAsia="Arial"/>
        </w:rPr>
        <w:t xml:space="preserve"> dans la gestion du réseau d'</w:t>
      </w:r>
      <w:r w:rsidR="0050514F" w:rsidRPr="0055512B">
        <w:rPr>
          <w:rFonts w:eastAsia="Arial"/>
        </w:rPr>
        <w:t>eau potable à Port-au-Prince. L’</w:t>
      </w:r>
      <w:r w:rsidRPr="0055512B">
        <w:rPr>
          <w:rFonts w:eastAsia="Arial"/>
        </w:rPr>
        <w:t>Assistance Technique Opérationnelle a comme objectifs principaux:</w:t>
      </w:r>
    </w:p>
    <w:p w14:paraId="1741094B" w14:textId="77777777" w:rsidR="0039415C" w:rsidRPr="0055512B" w:rsidRDefault="0039415C" w:rsidP="00F57DF9">
      <w:pPr>
        <w:spacing w:line="276" w:lineRule="auto"/>
        <w:jc w:val="both"/>
        <w:rPr>
          <w:rFonts w:eastAsia="Times New Roman"/>
        </w:rPr>
      </w:pPr>
    </w:p>
    <w:p w14:paraId="350E4E00" w14:textId="77777777" w:rsidR="005C4B0A" w:rsidRPr="0055512B" w:rsidRDefault="0039415C" w:rsidP="00F57DF9">
      <w:pPr>
        <w:pStyle w:val="ListParagraph"/>
        <w:numPr>
          <w:ilvl w:val="0"/>
          <w:numId w:val="41"/>
        </w:numPr>
        <w:tabs>
          <w:tab w:val="left" w:pos="1000"/>
        </w:tabs>
        <w:spacing w:line="276" w:lineRule="auto"/>
        <w:jc w:val="both"/>
        <w:rPr>
          <w:rFonts w:eastAsia="Wingdings"/>
          <w:vertAlign w:val="superscript"/>
        </w:rPr>
      </w:pPr>
      <w:r w:rsidRPr="0055512B">
        <w:rPr>
          <w:rFonts w:eastAsia="Arial"/>
        </w:rPr>
        <w:t>Remettre en place les réseaux, restaurer les services dans le court terme par des actions d</w:t>
      </w:r>
      <w:r w:rsidR="00805673" w:rsidRPr="0055512B">
        <w:rPr>
          <w:rFonts w:eastAsia="Arial" w:cs="Times New Roman"/>
        </w:rPr>
        <w:t>’</w:t>
      </w:r>
      <w:r w:rsidRPr="0055512B">
        <w:rPr>
          <w:rFonts w:eastAsia="Arial"/>
        </w:rPr>
        <w:t>urgence et jeter les bases et assurer la mise en œuvre des actions nécessaires pour que les services se trouvent dans une situation stable et offrent la possibilité d</w:t>
      </w:r>
      <w:r w:rsidR="00805673" w:rsidRPr="0055512B">
        <w:rPr>
          <w:rFonts w:eastAsia="Arial" w:cs="Times New Roman"/>
        </w:rPr>
        <w:t>’</w:t>
      </w:r>
      <w:r w:rsidRPr="0055512B">
        <w:rPr>
          <w:rFonts w:eastAsia="Arial"/>
        </w:rPr>
        <w:t>une expansion future et efficace.</w:t>
      </w:r>
    </w:p>
    <w:p w14:paraId="00D321FB" w14:textId="77777777" w:rsidR="0039415C" w:rsidRPr="0055512B" w:rsidRDefault="005C4B0A" w:rsidP="00F57DF9">
      <w:pPr>
        <w:pStyle w:val="ListParagraph"/>
        <w:numPr>
          <w:ilvl w:val="0"/>
          <w:numId w:val="41"/>
        </w:numPr>
        <w:tabs>
          <w:tab w:val="left" w:pos="1000"/>
        </w:tabs>
        <w:spacing w:line="276" w:lineRule="auto"/>
        <w:jc w:val="both"/>
        <w:rPr>
          <w:rFonts w:eastAsia="Wingdings"/>
          <w:vertAlign w:val="superscript"/>
        </w:rPr>
      </w:pPr>
      <w:r w:rsidRPr="0055512B">
        <w:rPr>
          <w:rFonts w:eastAsia="Arial"/>
        </w:rPr>
        <w:t>Transformer l’</w:t>
      </w:r>
      <w:r w:rsidR="0039415C" w:rsidRPr="0055512B">
        <w:rPr>
          <w:rFonts w:eastAsia="Arial"/>
        </w:rPr>
        <w:t>opérateur public en une entité efficace ca</w:t>
      </w:r>
      <w:r w:rsidRPr="0055512B">
        <w:rPr>
          <w:rFonts w:eastAsia="Arial"/>
        </w:rPr>
        <w:t>pable de fournir les services d’eau potable et d’</w:t>
      </w:r>
      <w:r w:rsidR="0039415C" w:rsidRPr="0055512B">
        <w:rPr>
          <w:rFonts w:eastAsia="Arial"/>
        </w:rPr>
        <w:t>assainissement à la popu</w:t>
      </w:r>
      <w:r w:rsidRPr="0055512B">
        <w:rPr>
          <w:rFonts w:eastAsia="Arial"/>
        </w:rPr>
        <w:t>lation de manière durable. En d’autres mots, il s’</w:t>
      </w:r>
      <w:r w:rsidR="0039415C" w:rsidRPr="0055512B">
        <w:rPr>
          <w:rFonts w:eastAsia="Arial"/>
        </w:rPr>
        <w:t>agit de transformer la CAMEP actuelle en une nouvelle entité en charge du</w:t>
      </w:r>
      <w:r w:rsidRPr="0055512B">
        <w:rPr>
          <w:rFonts w:eastAsia="Arial"/>
        </w:rPr>
        <w:t xml:space="preserve"> </w:t>
      </w:r>
      <w:r w:rsidRPr="0055512B">
        <w:rPr>
          <w:rFonts w:eastAsia="Wingdings"/>
          <w:vertAlign w:val="superscript"/>
        </w:rPr>
        <w:t></w:t>
      </w:r>
      <w:r w:rsidR="0039415C" w:rsidRPr="0055512B">
        <w:rPr>
          <w:rFonts w:eastAsia="Arial"/>
        </w:rPr>
        <w:t>Système d´Approvisionnement en Eau Potable (SAEP) de la Région Métropolitaine de Port-au-Prince, plus performan</w:t>
      </w:r>
      <w:r w:rsidRPr="0055512B">
        <w:rPr>
          <w:rFonts w:eastAsia="Arial"/>
        </w:rPr>
        <w:t>te et qui rende les services qu’</w:t>
      </w:r>
      <w:r w:rsidR="0039415C" w:rsidRPr="0055512B">
        <w:rPr>
          <w:rFonts w:eastAsia="Arial"/>
        </w:rPr>
        <w:t>en attendent la population et les services publics, en attendant la transformation finale de cette institution comme prévue dans la Loi-Cadre.</w:t>
      </w:r>
    </w:p>
    <w:p w14:paraId="3ECB54B4" w14:textId="77777777" w:rsidR="0039415C" w:rsidRPr="0055512B" w:rsidRDefault="0039415C" w:rsidP="00F57DF9">
      <w:pPr>
        <w:spacing w:line="276" w:lineRule="auto"/>
        <w:jc w:val="both"/>
        <w:rPr>
          <w:rFonts w:eastAsia="Times New Roman"/>
        </w:rPr>
      </w:pPr>
    </w:p>
    <w:p w14:paraId="197D51EA" w14:textId="77777777" w:rsidR="0039415C" w:rsidRPr="0055512B" w:rsidRDefault="0039415C" w:rsidP="00F57DF9">
      <w:pPr>
        <w:spacing w:line="276" w:lineRule="auto"/>
        <w:jc w:val="both"/>
        <w:rPr>
          <w:rFonts w:eastAsia="Arial"/>
        </w:rPr>
      </w:pPr>
      <w:r w:rsidRPr="0055512B">
        <w:rPr>
          <w:rFonts w:eastAsia="Arial"/>
        </w:rPr>
        <w:t>Les activités principales seront</w:t>
      </w:r>
      <w:r w:rsidR="001E00E6" w:rsidRPr="0055512B">
        <w:rPr>
          <w:rFonts w:eastAsia="Arial"/>
        </w:rPr>
        <w:t xml:space="preserve"> les suivantes </w:t>
      </w:r>
      <w:r w:rsidRPr="0055512B">
        <w:rPr>
          <w:rFonts w:eastAsia="Arial"/>
        </w:rPr>
        <w:t>:</w:t>
      </w:r>
    </w:p>
    <w:p w14:paraId="77BC38C0" w14:textId="77777777" w:rsidR="0039415C" w:rsidRPr="0055512B" w:rsidRDefault="0039415C" w:rsidP="00F57DF9">
      <w:pPr>
        <w:pStyle w:val="ListParagraph"/>
        <w:numPr>
          <w:ilvl w:val="0"/>
          <w:numId w:val="8"/>
        </w:numPr>
        <w:tabs>
          <w:tab w:val="left" w:pos="1000"/>
        </w:tabs>
        <w:spacing w:line="276" w:lineRule="auto"/>
        <w:jc w:val="both"/>
        <w:rPr>
          <w:rFonts w:eastAsia="Wingdings"/>
          <w:vertAlign w:val="superscript"/>
        </w:rPr>
      </w:pPr>
      <w:r w:rsidRPr="0055512B">
        <w:rPr>
          <w:rFonts w:eastAsia="Arial"/>
        </w:rPr>
        <w:t>Orienter la direction de l</w:t>
      </w:r>
      <w:r w:rsidR="005C4B0A" w:rsidRPr="0055512B">
        <w:rPr>
          <w:rFonts w:eastAsia="Arial" w:cs="Times New Roman"/>
        </w:rPr>
        <w:t>’</w:t>
      </w:r>
      <w:r w:rsidR="005C4B0A" w:rsidRPr="0055512B">
        <w:rPr>
          <w:rFonts w:eastAsia="Arial"/>
        </w:rPr>
        <w:t>entité</w:t>
      </w:r>
    </w:p>
    <w:p w14:paraId="0ADA072D" w14:textId="77777777" w:rsidR="0039415C" w:rsidRPr="0055512B" w:rsidRDefault="0039415C" w:rsidP="00F57DF9">
      <w:pPr>
        <w:pStyle w:val="ListParagraph"/>
        <w:numPr>
          <w:ilvl w:val="0"/>
          <w:numId w:val="8"/>
        </w:numPr>
        <w:tabs>
          <w:tab w:val="left" w:pos="1000"/>
        </w:tabs>
        <w:spacing w:line="276" w:lineRule="auto"/>
        <w:jc w:val="both"/>
        <w:rPr>
          <w:rFonts w:eastAsia="Wingdings"/>
          <w:vertAlign w:val="superscript"/>
        </w:rPr>
      </w:pPr>
      <w:r w:rsidRPr="0055512B">
        <w:rPr>
          <w:rFonts w:eastAsia="Arial"/>
        </w:rPr>
        <w:t>Aider et améliorer la gestion administrative et financière de l</w:t>
      </w:r>
      <w:r w:rsidR="005C4B0A" w:rsidRPr="0055512B">
        <w:rPr>
          <w:rFonts w:eastAsia="Arial" w:cs="Times New Roman"/>
        </w:rPr>
        <w:t>’</w:t>
      </w:r>
      <w:r w:rsidR="005C4B0A" w:rsidRPr="0055512B">
        <w:rPr>
          <w:rFonts w:eastAsia="Arial"/>
        </w:rPr>
        <w:t>entité</w:t>
      </w:r>
    </w:p>
    <w:p w14:paraId="695212B3" w14:textId="77777777" w:rsidR="0039415C" w:rsidRPr="0055512B" w:rsidRDefault="0039415C" w:rsidP="00F57DF9">
      <w:pPr>
        <w:pStyle w:val="ListParagraph"/>
        <w:numPr>
          <w:ilvl w:val="0"/>
          <w:numId w:val="8"/>
        </w:numPr>
        <w:tabs>
          <w:tab w:val="left" w:pos="1000"/>
        </w:tabs>
        <w:spacing w:line="276" w:lineRule="auto"/>
        <w:jc w:val="both"/>
        <w:rPr>
          <w:rFonts w:eastAsia="Wingdings"/>
          <w:vertAlign w:val="superscript"/>
        </w:rPr>
      </w:pPr>
      <w:r w:rsidRPr="0055512B">
        <w:rPr>
          <w:rFonts w:eastAsia="Arial"/>
        </w:rPr>
        <w:t>Aider et améliorer la gestion commercial</w:t>
      </w:r>
      <w:r w:rsidR="005C4B0A" w:rsidRPr="0055512B">
        <w:rPr>
          <w:rFonts w:eastAsia="Arial"/>
        </w:rPr>
        <w:t>e et opérationnelle de l’entité</w:t>
      </w:r>
    </w:p>
    <w:p w14:paraId="0CA45691" w14:textId="77777777" w:rsidR="0039415C" w:rsidRPr="0055512B" w:rsidRDefault="0039415C" w:rsidP="00F57DF9">
      <w:pPr>
        <w:pStyle w:val="ListParagraph"/>
        <w:numPr>
          <w:ilvl w:val="0"/>
          <w:numId w:val="8"/>
        </w:numPr>
        <w:tabs>
          <w:tab w:val="left" w:pos="1000"/>
        </w:tabs>
        <w:spacing w:line="276" w:lineRule="auto"/>
        <w:jc w:val="both"/>
        <w:rPr>
          <w:rFonts w:eastAsia="Wingdings"/>
          <w:vertAlign w:val="superscript"/>
        </w:rPr>
      </w:pPr>
      <w:r w:rsidRPr="0055512B">
        <w:rPr>
          <w:rFonts w:eastAsia="Arial"/>
        </w:rPr>
        <w:t>Entretenir le réseau et assurer la protection des sources captées</w:t>
      </w:r>
    </w:p>
    <w:p w14:paraId="17999D9E" w14:textId="77777777" w:rsidR="007515D4" w:rsidRPr="0055512B" w:rsidRDefault="008D6A90" w:rsidP="00F57DF9">
      <w:pPr>
        <w:pStyle w:val="ListParagraph"/>
        <w:numPr>
          <w:ilvl w:val="0"/>
          <w:numId w:val="8"/>
        </w:numPr>
        <w:tabs>
          <w:tab w:val="left" w:pos="1000"/>
        </w:tabs>
        <w:spacing w:line="276" w:lineRule="auto"/>
        <w:jc w:val="both"/>
        <w:rPr>
          <w:rFonts w:eastAsia="Wingdings"/>
          <w:vertAlign w:val="superscript"/>
        </w:rPr>
      </w:pPr>
      <w:r w:rsidRPr="0055512B">
        <w:rPr>
          <w:rFonts w:eastAsia="Arial"/>
        </w:rPr>
        <w:t>Appuyer la gestion des</w:t>
      </w:r>
      <w:r w:rsidR="001E00E6" w:rsidRPr="0055512B">
        <w:rPr>
          <w:rFonts w:eastAsia="Arial"/>
        </w:rPr>
        <w:t xml:space="preserve"> travaux de réhabilitation et d’</w:t>
      </w:r>
      <w:r w:rsidRPr="0055512B">
        <w:rPr>
          <w:rFonts w:eastAsia="Arial"/>
        </w:rPr>
        <w:t>urgence</w:t>
      </w:r>
    </w:p>
    <w:p w14:paraId="7B407EED" w14:textId="77777777" w:rsidR="007515D4" w:rsidRPr="0055512B" w:rsidRDefault="008D6A90" w:rsidP="00F57DF9">
      <w:pPr>
        <w:pStyle w:val="ListParagraph"/>
        <w:numPr>
          <w:ilvl w:val="0"/>
          <w:numId w:val="8"/>
        </w:numPr>
        <w:tabs>
          <w:tab w:val="left" w:pos="1000"/>
        </w:tabs>
        <w:spacing w:line="276" w:lineRule="auto"/>
        <w:jc w:val="both"/>
        <w:rPr>
          <w:rFonts w:eastAsia="Wingdings"/>
          <w:vertAlign w:val="superscript"/>
        </w:rPr>
      </w:pPr>
      <w:r w:rsidRPr="0055512B">
        <w:rPr>
          <w:rFonts w:eastAsia="Arial"/>
        </w:rPr>
        <w:t>Ap</w:t>
      </w:r>
      <w:r w:rsidR="001E00E6" w:rsidRPr="0055512B">
        <w:rPr>
          <w:rFonts w:eastAsia="Arial"/>
        </w:rPr>
        <w:t>puyer la gestion du programme d’</w:t>
      </w:r>
      <w:r w:rsidRPr="0055512B">
        <w:rPr>
          <w:rFonts w:eastAsia="Arial"/>
        </w:rPr>
        <w:t>investissements, c</w:t>
      </w:r>
      <w:r w:rsidR="001E00E6" w:rsidRPr="0055512B">
        <w:rPr>
          <w:rFonts w:eastAsia="Arial"/>
        </w:rPr>
        <w:t>’</w:t>
      </w:r>
      <w:r w:rsidRPr="0055512B">
        <w:rPr>
          <w:rFonts w:eastAsia="Arial"/>
        </w:rPr>
        <w:t>est à dire identifier, prioriser, soumettre à la DINEPA les projets d</w:t>
      </w:r>
      <w:r w:rsidR="001E00E6" w:rsidRPr="0055512B">
        <w:rPr>
          <w:rFonts w:eastAsia="Arial" w:cs="Times New Roman"/>
        </w:rPr>
        <w:t>’</w:t>
      </w:r>
      <w:r w:rsidR="001E00E6" w:rsidRPr="0055512B">
        <w:rPr>
          <w:rFonts w:eastAsia="Arial"/>
        </w:rPr>
        <w:t>investissements, notamment d’</w:t>
      </w:r>
      <w:r w:rsidRPr="0055512B">
        <w:rPr>
          <w:rFonts w:eastAsia="Arial"/>
        </w:rPr>
        <w:t>extension du réseau, commander et réceptionner les études, préparer et recommander la passation de marché, supe</w:t>
      </w:r>
      <w:r w:rsidR="001E00E6" w:rsidRPr="0055512B">
        <w:rPr>
          <w:rFonts w:eastAsia="Arial"/>
        </w:rPr>
        <w:t>rviser et recevoir les projets d’</w:t>
      </w:r>
      <w:r w:rsidRPr="0055512B">
        <w:rPr>
          <w:rFonts w:eastAsia="Arial"/>
        </w:rPr>
        <w:t>investissements</w:t>
      </w:r>
    </w:p>
    <w:p w14:paraId="745243B4" w14:textId="77777777" w:rsidR="007515D4" w:rsidRPr="0055512B" w:rsidRDefault="008D6A90" w:rsidP="00F57DF9">
      <w:pPr>
        <w:pStyle w:val="ListParagraph"/>
        <w:numPr>
          <w:ilvl w:val="0"/>
          <w:numId w:val="8"/>
        </w:numPr>
        <w:tabs>
          <w:tab w:val="left" w:pos="1000"/>
        </w:tabs>
        <w:spacing w:line="276" w:lineRule="auto"/>
        <w:jc w:val="both"/>
        <w:rPr>
          <w:rFonts w:eastAsia="Wingdings"/>
          <w:vertAlign w:val="superscript"/>
        </w:rPr>
      </w:pPr>
      <w:r w:rsidRPr="0055512B">
        <w:rPr>
          <w:rFonts w:eastAsia="Arial"/>
        </w:rPr>
        <w:t>Proposer et mettre en place</w:t>
      </w:r>
      <w:r w:rsidR="001E00E6" w:rsidRPr="0055512B">
        <w:rPr>
          <w:rFonts w:eastAsia="Arial"/>
        </w:rPr>
        <w:t xml:space="preserve"> un plan de réorganisation de l’</w:t>
      </w:r>
      <w:r w:rsidRPr="0055512B">
        <w:rPr>
          <w:rFonts w:eastAsia="Arial"/>
        </w:rPr>
        <w:t>entreprise</w:t>
      </w:r>
    </w:p>
    <w:p w14:paraId="12FC491A" w14:textId="77777777" w:rsidR="007515D4" w:rsidRPr="0055512B" w:rsidRDefault="008D6A90" w:rsidP="00F57DF9">
      <w:pPr>
        <w:pStyle w:val="ListParagraph"/>
        <w:numPr>
          <w:ilvl w:val="0"/>
          <w:numId w:val="8"/>
        </w:numPr>
        <w:tabs>
          <w:tab w:val="left" w:pos="1000"/>
        </w:tabs>
        <w:spacing w:line="276" w:lineRule="auto"/>
        <w:jc w:val="both"/>
        <w:rPr>
          <w:rFonts w:eastAsia="Wingdings"/>
          <w:vertAlign w:val="superscript"/>
        </w:rPr>
      </w:pPr>
      <w:r w:rsidRPr="0055512B">
        <w:rPr>
          <w:rFonts w:eastAsia="Arial"/>
        </w:rPr>
        <w:lastRenderedPageBreak/>
        <w:t>Mettre en place des procédures de travail et des outils de gestion appropriés</w:t>
      </w:r>
    </w:p>
    <w:p w14:paraId="738D35E5" w14:textId="77777777" w:rsidR="007515D4" w:rsidRPr="0055512B" w:rsidRDefault="008D6A90" w:rsidP="00F57DF9">
      <w:pPr>
        <w:pStyle w:val="ListParagraph"/>
        <w:numPr>
          <w:ilvl w:val="0"/>
          <w:numId w:val="8"/>
        </w:numPr>
        <w:tabs>
          <w:tab w:val="left" w:pos="1000"/>
        </w:tabs>
        <w:spacing w:line="276" w:lineRule="auto"/>
        <w:jc w:val="both"/>
        <w:rPr>
          <w:rFonts w:eastAsia="Wingdings"/>
          <w:vertAlign w:val="superscript"/>
        </w:rPr>
      </w:pPr>
      <w:r w:rsidRPr="0055512B">
        <w:rPr>
          <w:rFonts w:eastAsia="Arial"/>
        </w:rPr>
        <w:t>Former le personnel aux procédures de travail et aux outils de gestion</w:t>
      </w:r>
    </w:p>
    <w:p w14:paraId="0B598F07" w14:textId="77777777" w:rsidR="007515D4" w:rsidRPr="0055512B" w:rsidRDefault="008D6A90" w:rsidP="00F57DF9">
      <w:pPr>
        <w:pStyle w:val="ListParagraph"/>
        <w:numPr>
          <w:ilvl w:val="0"/>
          <w:numId w:val="8"/>
        </w:numPr>
        <w:tabs>
          <w:tab w:val="left" w:pos="1000"/>
        </w:tabs>
        <w:spacing w:line="276" w:lineRule="auto"/>
        <w:jc w:val="both"/>
        <w:rPr>
          <w:rFonts w:eastAsia="Wingdings"/>
          <w:vertAlign w:val="superscript"/>
        </w:rPr>
      </w:pPr>
      <w:r w:rsidRPr="0055512B">
        <w:rPr>
          <w:rFonts w:eastAsia="Arial"/>
        </w:rPr>
        <w:t>Aider à la gestion du changement</w:t>
      </w:r>
    </w:p>
    <w:p w14:paraId="05D0A456" w14:textId="77777777" w:rsidR="008D6A90" w:rsidRPr="0055512B" w:rsidRDefault="008D6A90" w:rsidP="00F57DF9">
      <w:pPr>
        <w:pStyle w:val="ListParagraph"/>
        <w:numPr>
          <w:ilvl w:val="0"/>
          <w:numId w:val="8"/>
        </w:numPr>
        <w:tabs>
          <w:tab w:val="left" w:pos="1000"/>
        </w:tabs>
        <w:spacing w:line="276" w:lineRule="auto"/>
        <w:jc w:val="both"/>
        <w:rPr>
          <w:rFonts w:eastAsia="Wingdings"/>
          <w:vertAlign w:val="superscript"/>
        </w:rPr>
      </w:pPr>
      <w:r w:rsidRPr="0055512B">
        <w:rPr>
          <w:rFonts w:eastAsia="Arial"/>
        </w:rPr>
        <w:t>Conseiller la DINEPA sur les différentes possibilités pour une planification et une gestion optimale du SAEP de Port-au-Prince en accordance avec la Loi-Cadre.</w:t>
      </w:r>
    </w:p>
    <w:p w14:paraId="303D31D6" w14:textId="77777777" w:rsidR="009D1D90" w:rsidRPr="0055512B" w:rsidRDefault="009D1D90" w:rsidP="00F57DF9">
      <w:pPr>
        <w:tabs>
          <w:tab w:val="left" w:pos="1000"/>
        </w:tabs>
        <w:spacing w:line="276" w:lineRule="auto"/>
        <w:jc w:val="both"/>
        <w:rPr>
          <w:rFonts w:eastAsia="Arial"/>
        </w:rPr>
      </w:pPr>
    </w:p>
    <w:p w14:paraId="36ADBA3B" w14:textId="77777777" w:rsidR="009D1D90" w:rsidRPr="0055512B" w:rsidRDefault="00390CAB" w:rsidP="00F57DF9">
      <w:pPr>
        <w:tabs>
          <w:tab w:val="left" w:pos="860"/>
        </w:tabs>
        <w:spacing w:line="276" w:lineRule="auto"/>
        <w:jc w:val="both"/>
        <w:rPr>
          <w:rFonts w:eastAsia="Arial"/>
          <w:b/>
        </w:rPr>
      </w:pPr>
      <w:r w:rsidRPr="0055512B">
        <w:rPr>
          <w:rFonts w:eastAsia="Arial"/>
          <w:b/>
        </w:rPr>
        <w:t xml:space="preserve">2.2.2.2  </w:t>
      </w:r>
      <w:r w:rsidR="009D1D90" w:rsidRPr="0055512B">
        <w:rPr>
          <w:rFonts w:eastAsia="Arial"/>
          <w:b/>
        </w:rPr>
        <w:t>Composante 2 (US$29.50 millions). Investissements en eau potable et assainissement</w:t>
      </w:r>
    </w:p>
    <w:p w14:paraId="41CE3AF5" w14:textId="77777777" w:rsidR="009D1D90" w:rsidRPr="0055512B" w:rsidRDefault="009D1D90" w:rsidP="00F57DF9">
      <w:pPr>
        <w:spacing w:line="276" w:lineRule="auto"/>
        <w:jc w:val="both"/>
        <w:rPr>
          <w:rFonts w:eastAsia="Times New Roman"/>
        </w:rPr>
      </w:pPr>
    </w:p>
    <w:p w14:paraId="1FB89476" w14:textId="77777777" w:rsidR="009D1D90" w:rsidRPr="0055512B" w:rsidRDefault="009D1D90" w:rsidP="00F57DF9">
      <w:pPr>
        <w:spacing w:line="276" w:lineRule="auto"/>
        <w:jc w:val="both"/>
        <w:rPr>
          <w:rFonts w:eastAsia="Arial"/>
        </w:rPr>
      </w:pPr>
      <w:r w:rsidRPr="0055512B">
        <w:rPr>
          <w:rFonts w:eastAsia="Arial"/>
        </w:rPr>
        <w:t>Cette composante vise la branche GESTION DES INVESTISSEMENTS ET PREINVESTISSEMENTS.</w:t>
      </w:r>
    </w:p>
    <w:p w14:paraId="072422FA" w14:textId="77777777" w:rsidR="009D1D90" w:rsidRPr="0055512B" w:rsidRDefault="009D1D90" w:rsidP="00F57DF9">
      <w:pPr>
        <w:spacing w:line="276" w:lineRule="auto"/>
        <w:jc w:val="both"/>
        <w:rPr>
          <w:rFonts w:eastAsia="Times New Roman"/>
        </w:rPr>
      </w:pPr>
    </w:p>
    <w:p w14:paraId="105E7577" w14:textId="77777777" w:rsidR="009D1D90" w:rsidRPr="0055512B" w:rsidRDefault="009D1D90" w:rsidP="00F57DF9">
      <w:pPr>
        <w:spacing w:line="276" w:lineRule="auto"/>
        <w:jc w:val="both"/>
        <w:rPr>
          <w:rFonts w:eastAsia="Arial"/>
        </w:rPr>
      </w:pPr>
      <w:r w:rsidRPr="0055512B">
        <w:rPr>
          <w:rFonts w:eastAsia="Arial"/>
        </w:rPr>
        <w:t>Cette composante financera les activités suivantes:</w:t>
      </w:r>
    </w:p>
    <w:p w14:paraId="12CD02E4" w14:textId="77777777" w:rsidR="009D1D90" w:rsidRPr="0055512B" w:rsidRDefault="009D1D90" w:rsidP="00F57DF9">
      <w:pPr>
        <w:spacing w:line="276" w:lineRule="auto"/>
        <w:jc w:val="both"/>
        <w:rPr>
          <w:rFonts w:eastAsia="Times New Roman"/>
        </w:rPr>
      </w:pPr>
    </w:p>
    <w:p w14:paraId="5DF4A231" w14:textId="77777777" w:rsidR="009D1D90" w:rsidRPr="0055512B" w:rsidRDefault="009D1D90" w:rsidP="00F57DF9">
      <w:pPr>
        <w:numPr>
          <w:ilvl w:val="0"/>
          <w:numId w:val="9"/>
        </w:numPr>
        <w:tabs>
          <w:tab w:val="left" w:pos="624"/>
        </w:tabs>
        <w:spacing w:line="276" w:lineRule="auto"/>
        <w:ind w:left="1080" w:hanging="828"/>
        <w:jc w:val="both"/>
        <w:rPr>
          <w:rFonts w:eastAsia="Arial"/>
        </w:rPr>
      </w:pPr>
      <w:r w:rsidRPr="0055512B">
        <w:rPr>
          <w:rFonts w:eastAsia="Arial"/>
        </w:rPr>
        <w:t>la réparation des réservoirs endommagés par le tremblement de terre ou par le manque d'entretien;</w:t>
      </w:r>
    </w:p>
    <w:p w14:paraId="0CFF28F1" w14:textId="77777777" w:rsidR="009D1D90" w:rsidRPr="0055512B" w:rsidRDefault="009D1D90" w:rsidP="00F57DF9">
      <w:pPr>
        <w:spacing w:line="276" w:lineRule="auto"/>
        <w:jc w:val="both"/>
        <w:rPr>
          <w:rFonts w:eastAsia="Arial"/>
        </w:rPr>
      </w:pPr>
    </w:p>
    <w:p w14:paraId="33D251AF" w14:textId="77777777" w:rsidR="009D1D90" w:rsidRPr="0055512B" w:rsidRDefault="009D1D90" w:rsidP="00F57DF9">
      <w:pPr>
        <w:numPr>
          <w:ilvl w:val="0"/>
          <w:numId w:val="9"/>
        </w:numPr>
        <w:tabs>
          <w:tab w:val="left" w:pos="620"/>
        </w:tabs>
        <w:spacing w:line="276" w:lineRule="auto"/>
        <w:ind w:left="620" w:hanging="416"/>
        <w:jc w:val="both"/>
        <w:rPr>
          <w:rFonts w:eastAsia="Arial"/>
        </w:rPr>
      </w:pPr>
      <w:r w:rsidRPr="0055512B">
        <w:rPr>
          <w:rFonts w:eastAsia="Arial"/>
        </w:rPr>
        <w:t>la réhabilitation de stations de pompage, canalisations d'eau, sources et puits;</w:t>
      </w:r>
    </w:p>
    <w:p w14:paraId="26947FE4" w14:textId="77777777" w:rsidR="009D1D90" w:rsidRPr="0055512B" w:rsidRDefault="007A4D4E" w:rsidP="00F57DF9">
      <w:pPr>
        <w:tabs>
          <w:tab w:val="left" w:pos="1000"/>
        </w:tabs>
        <w:spacing w:line="276" w:lineRule="auto"/>
        <w:jc w:val="both"/>
        <w:rPr>
          <w:rFonts w:eastAsia="Arial"/>
        </w:rPr>
      </w:pPr>
      <w:r w:rsidRPr="0055512B">
        <w:rPr>
          <w:rFonts w:eastAsia="Arial"/>
        </w:rPr>
        <w:t xml:space="preserve">          </w:t>
      </w:r>
      <w:r w:rsidR="009D1D90" w:rsidRPr="0055512B">
        <w:rPr>
          <w:rFonts w:eastAsia="Arial"/>
        </w:rPr>
        <w:t>la protection des bassins versants et sources</w:t>
      </w:r>
    </w:p>
    <w:p w14:paraId="29FB1516" w14:textId="77777777" w:rsidR="009D1D90" w:rsidRPr="0055512B" w:rsidRDefault="009D1D90" w:rsidP="00F57DF9">
      <w:pPr>
        <w:numPr>
          <w:ilvl w:val="0"/>
          <w:numId w:val="10"/>
        </w:numPr>
        <w:tabs>
          <w:tab w:val="left" w:pos="620"/>
        </w:tabs>
        <w:spacing w:line="276" w:lineRule="auto"/>
        <w:ind w:left="620" w:hanging="479"/>
        <w:jc w:val="both"/>
        <w:rPr>
          <w:rFonts w:eastAsia="Arial"/>
        </w:rPr>
      </w:pPr>
      <w:r w:rsidRPr="0055512B">
        <w:rPr>
          <w:rFonts w:eastAsia="Arial"/>
        </w:rPr>
        <w:t>la réparation des fuites d'eau;</w:t>
      </w:r>
    </w:p>
    <w:p w14:paraId="2064BCDE" w14:textId="77777777" w:rsidR="009D1D90" w:rsidRPr="0055512B" w:rsidRDefault="009D1D90" w:rsidP="00F57DF9">
      <w:pPr>
        <w:spacing w:line="276" w:lineRule="auto"/>
        <w:jc w:val="both"/>
        <w:rPr>
          <w:rFonts w:eastAsia="Arial"/>
        </w:rPr>
      </w:pPr>
    </w:p>
    <w:p w14:paraId="53AE5C40" w14:textId="77777777" w:rsidR="009D1D90" w:rsidRPr="0055512B" w:rsidRDefault="009D1D90" w:rsidP="00F57DF9">
      <w:pPr>
        <w:numPr>
          <w:ilvl w:val="0"/>
          <w:numId w:val="10"/>
        </w:numPr>
        <w:tabs>
          <w:tab w:val="left" w:pos="620"/>
        </w:tabs>
        <w:spacing w:line="276" w:lineRule="auto"/>
        <w:ind w:left="620" w:hanging="428"/>
        <w:jc w:val="both"/>
        <w:rPr>
          <w:rFonts w:eastAsia="Arial"/>
        </w:rPr>
      </w:pPr>
      <w:r w:rsidRPr="0055512B">
        <w:rPr>
          <w:rFonts w:eastAsia="Arial"/>
        </w:rPr>
        <w:t>la fourniture d'eau aux zones de logements temporaires;</w:t>
      </w:r>
    </w:p>
    <w:p w14:paraId="6315E7A7" w14:textId="77777777" w:rsidR="009D1D90" w:rsidRPr="0055512B" w:rsidRDefault="009D1D90" w:rsidP="00F57DF9">
      <w:pPr>
        <w:spacing w:line="276" w:lineRule="auto"/>
        <w:jc w:val="both"/>
        <w:rPr>
          <w:rFonts w:eastAsia="Arial"/>
        </w:rPr>
      </w:pPr>
    </w:p>
    <w:p w14:paraId="5A64DACB" w14:textId="77777777" w:rsidR="009D1D90" w:rsidRPr="0055512B" w:rsidRDefault="009D1D90" w:rsidP="00F57DF9">
      <w:pPr>
        <w:numPr>
          <w:ilvl w:val="0"/>
          <w:numId w:val="10"/>
        </w:numPr>
        <w:tabs>
          <w:tab w:val="left" w:pos="620"/>
        </w:tabs>
        <w:spacing w:line="276" w:lineRule="auto"/>
        <w:ind w:left="620" w:hanging="479"/>
        <w:jc w:val="both"/>
        <w:rPr>
          <w:rFonts w:eastAsia="Arial"/>
        </w:rPr>
      </w:pPr>
      <w:r w:rsidRPr="0055512B">
        <w:rPr>
          <w:rFonts w:eastAsia="Arial"/>
        </w:rPr>
        <w:t>l'installation de macro-compteurs;</w:t>
      </w:r>
    </w:p>
    <w:p w14:paraId="6A2A7184" w14:textId="77777777" w:rsidR="009D1D90" w:rsidRPr="0055512B" w:rsidRDefault="009D1D90" w:rsidP="00F57DF9">
      <w:pPr>
        <w:spacing w:line="276" w:lineRule="auto"/>
        <w:jc w:val="both"/>
        <w:rPr>
          <w:rFonts w:eastAsia="Arial"/>
        </w:rPr>
      </w:pPr>
    </w:p>
    <w:p w14:paraId="7951B1A3" w14:textId="77777777" w:rsidR="009D1D90" w:rsidRPr="0055512B" w:rsidRDefault="009D1D90" w:rsidP="00F57DF9">
      <w:pPr>
        <w:numPr>
          <w:ilvl w:val="0"/>
          <w:numId w:val="10"/>
        </w:numPr>
        <w:tabs>
          <w:tab w:val="left" w:pos="620"/>
        </w:tabs>
        <w:spacing w:line="276" w:lineRule="auto"/>
        <w:ind w:left="620" w:hanging="527"/>
        <w:jc w:val="both"/>
        <w:rPr>
          <w:rFonts w:eastAsia="Arial"/>
        </w:rPr>
      </w:pPr>
      <w:r w:rsidRPr="0055512B">
        <w:rPr>
          <w:rFonts w:eastAsia="Arial"/>
        </w:rPr>
        <w:t>l'achat de générateurs;</w:t>
      </w:r>
    </w:p>
    <w:p w14:paraId="4E18AE81" w14:textId="77777777" w:rsidR="009D1D90" w:rsidRPr="0055512B" w:rsidRDefault="009D1D90" w:rsidP="00F57DF9">
      <w:pPr>
        <w:spacing w:line="276" w:lineRule="auto"/>
        <w:jc w:val="both"/>
        <w:rPr>
          <w:rFonts w:eastAsia="Arial"/>
        </w:rPr>
      </w:pPr>
    </w:p>
    <w:p w14:paraId="23EB611C" w14:textId="77777777" w:rsidR="009D1D90" w:rsidRPr="0055512B" w:rsidRDefault="009D1D90" w:rsidP="00F57DF9">
      <w:pPr>
        <w:numPr>
          <w:ilvl w:val="0"/>
          <w:numId w:val="10"/>
        </w:numPr>
        <w:tabs>
          <w:tab w:val="left" w:pos="620"/>
        </w:tabs>
        <w:spacing w:line="276" w:lineRule="auto"/>
        <w:ind w:left="620" w:hanging="575"/>
        <w:jc w:val="both"/>
        <w:rPr>
          <w:rFonts w:eastAsia="Arial"/>
        </w:rPr>
      </w:pPr>
      <w:r w:rsidRPr="0055512B">
        <w:rPr>
          <w:rFonts w:eastAsia="Arial"/>
        </w:rPr>
        <w:t>l'installation de kiosques où les connexions individuelles ne sont pas viables ; et</w:t>
      </w:r>
    </w:p>
    <w:p w14:paraId="17F92546" w14:textId="77777777" w:rsidR="009D1D90" w:rsidRPr="0055512B" w:rsidRDefault="009D1D90" w:rsidP="00F57DF9">
      <w:pPr>
        <w:spacing w:line="276" w:lineRule="auto"/>
        <w:jc w:val="both"/>
        <w:rPr>
          <w:rFonts w:eastAsia="Arial"/>
        </w:rPr>
      </w:pPr>
    </w:p>
    <w:p w14:paraId="4C17A773" w14:textId="77777777" w:rsidR="009D1D90" w:rsidRPr="0055512B" w:rsidRDefault="009D1D90" w:rsidP="00F57DF9">
      <w:pPr>
        <w:numPr>
          <w:ilvl w:val="0"/>
          <w:numId w:val="10"/>
        </w:numPr>
        <w:tabs>
          <w:tab w:val="left" w:pos="620"/>
        </w:tabs>
        <w:spacing w:line="276" w:lineRule="auto"/>
        <w:ind w:left="620" w:hanging="479"/>
        <w:jc w:val="both"/>
        <w:rPr>
          <w:rFonts w:eastAsia="Arial"/>
        </w:rPr>
      </w:pPr>
      <w:r w:rsidRPr="0055512B">
        <w:rPr>
          <w:rFonts w:eastAsia="Arial"/>
        </w:rPr>
        <w:t>l'expansion du service lorsque c'est possible.</w:t>
      </w:r>
    </w:p>
    <w:p w14:paraId="427FC962" w14:textId="77777777" w:rsidR="009D1D90" w:rsidRPr="0055512B" w:rsidRDefault="009D1D90" w:rsidP="00F57DF9">
      <w:pPr>
        <w:spacing w:line="276" w:lineRule="auto"/>
        <w:jc w:val="both"/>
        <w:rPr>
          <w:rFonts w:eastAsia="Times New Roman"/>
        </w:rPr>
      </w:pPr>
    </w:p>
    <w:p w14:paraId="3B5D8FF1" w14:textId="77777777" w:rsidR="009D1D90" w:rsidRPr="0055512B" w:rsidRDefault="009D1D90" w:rsidP="00F57DF9">
      <w:pPr>
        <w:spacing w:line="276" w:lineRule="auto"/>
        <w:jc w:val="both"/>
        <w:rPr>
          <w:rFonts w:eastAsia="Arial"/>
        </w:rPr>
      </w:pPr>
      <w:r w:rsidRPr="0055512B">
        <w:rPr>
          <w:rFonts w:eastAsia="Arial"/>
        </w:rPr>
        <w:t>Dans le cadre de cette composante des études seront effectuées pour:</w:t>
      </w:r>
    </w:p>
    <w:p w14:paraId="0F67D424" w14:textId="77777777" w:rsidR="009D1D90" w:rsidRPr="0055512B" w:rsidRDefault="009D1D90" w:rsidP="00F57DF9">
      <w:pPr>
        <w:spacing w:line="276" w:lineRule="auto"/>
        <w:jc w:val="both"/>
        <w:rPr>
          <w:rFonts w:eastAsia="Times New Roman"/>
        </w:rPr>
      </w:pPr>
    </w:p>
    <w:p w14:paraId="1D42166A" w14:textId="77777777" w:rsidR="009D1D90" w:rsidRPr="0055512B" w:rsidRDefault="009D1D90" w:rsidP="00F57DF9">
      <w:pPr>
        <w:numPr>
          <w:ilvl w:val="0"/>
          <w:numId w:val="11"/>
        </w:numPr>
        <w:tabs>
          <w:tab w:val="left" w:pos="624"/>
        </w:tabs>
        <w:spacing w:line="276" w:lineRule="auto"/>
        <w:ind w:left="720" w:hanging="358"/>
        <w:jc w:val="both"/>
        <w:rPr>
          <w:rFonts w:eastAsia="Arial"/>
        </w:rPr>
      </w:pPr>
      <w:r w:rsidRPr="0055512B">
        <w:rPr>
          <w:rFonts w:eastAsia="Arial"/>
        </w:rPr>
        <w:t>identifier les réparations prioritaires et les travaux qui doivent être effectués sur le réseau de distribution ; et</w:t>
      </w:r>
    </w:p>
    <w:p w14:paraId="0B628FDE" w14:textId="77777777" w:rsidR="009D1D90" w:rsidRPr="0055512B" w:rsidRDefault="009D1D90" w:rsidP="00F57DF9">
      <w:pPr>
        <w:spacing w:line="276" w:lineRule="auto"/>
        <w:jc w:val="both"/>
        <w:rPr>
          <w:rFonts w:eastAsia="Arial"/>
        </w:rPr>
      </w:pPr>
    </w:p>
    <w:p w14:paraId="5F35E354" w14:textId="77777777" w:rsidR="009D1D90" w:rsidRPr="0055512B" w:rsidRDefault="009D1D90" w:rsidP="00F57DF9">
      <w:pPr>
        <w:numPr>
          <w:ilvl w:val="0"/>
          <w:numId w:val="11"/>
        </w:numPr>
        <w:tabs>
          <w:tab w:val="left" w:pos="620"/>
        </w:tabs>
        <w:spacing w:line="276" w:lineRule="auto"/>
        <w:ind w:left="620" w:hanging="258"/>
        <w:jc w:val="both"/>
        <w:rPr>
          <w:rFonts w:eastAsia="Arial"/>
        </w:rPr>
      </w:pPr>
      <w:r w:rsidRPr="0055512B">
        <w:rPr>
          <w:rFonts w:eastAsia="Arial"/>
        </w:rPr>
        <w:t>identifier des zones marginales où il est viable d’étendre la distribution de l'eau.</w:t>
      </w:r>
    </w:p>
    <w:p w14:paraId="315F09BF" w14:textId="77777777" w:rsidR="009D1D90" w:rsidRPr="0055512B" w:rsidRDefault="009D1D90" w:rsidP="00F57DF9">
      <w:pPr>
        <w:spacing w:line="276" w:lineRule="auto"/>
        <w:jc w:val="both"/>
        <w:rPr>
          <w:rFonts w:eastAsia="Times New Roman"/>
        </w:rPr>
      </w:pPr>
    </w:p>
    <w:p w14:paraId="2605C45F" w14:textId="77777777" w:rsidR="009D1D90" w:rsidRPr="0055512B" w:rsidRDefault="009D1D90" w:rsidP="00F57DF9">
      <w:pPr>
        <w:spacing w:line="276" w:lineRule="auto"/>
        <w:jc w:val="both"/>
        <w:rPr>
          <w:rFonts w:eastAsia="Arial"/>
        </w:rPr>
      </w:pPr>
      <w:r w:rsidRPr="0055512B">
        <w:rPr>
          <w:rFonts w:eastAsia="Arial"/>
        </w:rPr>
        <w:lastRenderedPageBreak/>
        <w:t>La DINEPA continuera à assurer l’approvisionnement d'eau aux logements temporaires et travaillera pour remplacer progressivement l’approvisionnement par le biais de camions avec de l'eau fournie par le réseau de la CAMEP lorsque cela est possible.</w:t>
      </w:r>
    </w:p>
    <w:p w14:paraId="464B3E23" w14:textId="77777777" w:rsidR="009D1D90" w:rsidRPr="0055512B" w:rsidRDefault="009D1D90" w:rsidP="00F57DF9">
      <w:pPr>
        <w:spacing w:line="276" w:lineRule="auto"/>
        <w:jc w:val="both"/>
        <w:rPr>
          <w:rFonts w:eastAsia="Arial"/>
        </w:rPr>
      </w:pPr>
      <w:r w:rsidRPr="0055512B">
        <w:rPr>
          <w:rFonts w:eastAsia="Arial"/>
        </w:rPr>
        <w:t>Vis-à-vis de l'assainissement, cette composante financera:</w:t>
      </w:r>
    </w:p>
    <w:p w14:paraId="4F9BA572" w14:textId="77777777" w:rsidR="009D1D90" w:rsidRPr="0055512B" w:rsidRDefault="009D1D90" w:rsidP="00F57DF9">
      <w:pPr>
        <w:numPr>
          <w:ilvl w:val="0"/>
          <w:numId w:val="12"/>
        </w:numPr>
        <w:tabs>
          <w:tab w:val="left" w:pos="620"/>
        </w:tabs>
        <w:spacing w:line="276" w:lineRule="auto"/>
        <w:ind w:left="620" w:hanging="258"/>
        <w:jc w:val="both"/>
        <w:rPr>
          <w:rFonts w:eastAsia="Arial"/>
        </w:rPr>
      </w:pPr>
      <w:r w:rsidRPr="0055512B">
        <w:rPr>
          <w:rFonts w:eastAsia="Arial"/>
        </w:rPr>
        <w:t>une étude diagnostique de la situation de l'assainissement à Port-au-Prince;</w:t>
      </w:r>
    </w:p>
    <w:p w14:paraId="2126F35D" w14:textId="77777777" w:rsidR="009D1D90" w:rsidRPr="0055512B" w:rsidRDefault="009D1D90" w:rsidP="00F57DF9">
      <w:pPr>
        <w:spacing w:line="276" w:lineRule="auto"/>
        <w:jc w:val="both"/>
        <w:rPr>
          <w:rFonts w:eastAsia="Arial"/>
        </w:rPr>
      </w:pPr>
    </w:p>
    <w:p w14:paraId="6E52EE4E" w14:textId="77777777" w:rsidR="009D1D90" w:rsidRPr="0055512B" w:rsidRDefault="009D1D90" w:rsidP="00F57DF9">
      <w:pPr>
        <w:numPr>
          <w:ilvl w:val="0"/>
          <w:numId w:val="12"/>
        </w:numPr>
        <w:tabs>
          <w:tab w:val="left" w:pos="684"/>
        </w:tabs>
        <w:spacing w:line="276" w:lineRule="auto"/>
        <w:ind w:left="1080" w:hanging="718"/>
        <w:jc w:val="both"/>
        <w:rPr>
          <w:rFonts w:eastAsia="Arial"/>
        </w:rPr>
      </w:pPr>
      <w:r w:rsidRPr="0055512B">
        <w:rPr>
          <w:rFonts w:eastAsia="Arial"/>
        </w:rPr>
        <w:t>la préparation d'un plan directeur pour un système d'assainissement au centre de la capitale;</w:t>
      </w:r>
    </w:p>
    <w:p w14:paraId="7E8D1706" w14:textId="77777777" w:rsidR="009D1D90" w:rsidRPr="0055512B" w:rsidRDefault="009D1D90" w:rsidP="00F57DF9">
      <w:pPr>
        <w:spacing w:line="276" w:lineRule="auto"/>
        <w:jc w:val="both"/>
        <w:rPr>
          <w:rFonts w:eastAsia="Arial"/>
        </w:rPr>
      </w:pPr>
    </w:p>
    <w:p w14:paraId="05B94894" w14:textId="77777777" w:rsidR="009D1D90" w:rsidRPr="0055512B" w:rsidRDefault="009D1D90" w:rsidP="00F57DF9">
      <w:pPr>
        <w:numPr>
          <w:ilvl w:val="0"/>
          <w:numId w:val="12"/>
        </w:numPr>
        <w:tabs>
          <w:tab w:val="left" w:pos="720"/>
        </w:tabs>
        <w:spacing w:line="276" w:lineRule="auto"/>
        <w:ind w:left="720" w:hanging="358"/>
        <w:jc w:val="both"/>
        <w:rPr>
          <w:rFonts w:eastAsia="Arial"/>
        </w:rPr>
      </w:pPr>
      <w:r w:rsidRPr="0055512B">
        <w:rPr>
          <w:rFonts w:eastAsia="Arial"/>
        </w:rPr>
        <w:t>l'évaluation de systèmes alternatifs pour l'assainissement dans d'autres zones de la ville;</w:t>
      </w:r>
    </w:p>
    <w:p w14:paraId="302211EF" w14:textId="77777777" w:rsidR="009D1D90" w:rsidRPr="0055512B" w:rsidRDefault="009D1D90" w:rsidP="00F57DF9">
      <w:pPr>
        <w:spacing w:line="276" w:lineRule="auto"/>
        <w:jc w:val="both"/>
        <w:rPr>
          <w:rFonts w:eastAsia="Arial"/>
        </w:rPr>
      </w:pPr>
    </w:p>
    <w:p w14:paraId="2616D232" w14:textId="77777777" w:rsidR="009D1D90" w:rsidRPr="0055512B" w:rsidRDefault="009D1D90" w:rsidP="00F57DF9">
      <w:pPr>
        <w:numPr>
          <w:ilvl w:val="0"/>
          <w:numId w:val="12"/>
        </w:numPr>
        <w:tabs>
          <w:tab w:val="left" w:pos="720"/>
        </w:tabs>
        <w:spacing w:line="276" w:lineRule="auto"/>
        <w:ind w:left="720" w:hanging="358"/>
        <w:jc w:val="both"/>
        <w:rPr>
          <w:rFonts w:eastAsia="Arial"/>
        </w:rPr>
      </w:pPr>
      <w:r w:rsidRPr="0055512B">
        <w:rPr>
          <w:rFonts w:eastAsia="Arial"/>
        </w:rPr>
        <w:t>des programmes de communication et de sensibilisation sur l'hygiène; et</w:t>
      </w:r>
    </w:p>
    <w:p w14:paraId="548A8FDF" w14:textId="77777777" w:rsidR="009D1D90" w:rsidRPr="0055512B" w:rsidRDefault="009D1D90" w:rsidP="00F57DF9">
      <w:pPr>
        <w:numPr>
          <w:ilvl w:val="0"/>
          <w:numId w:val="12"/>
        </w:numPr>
        <w:tabs>
          <w:tab w:val="left" w:pos="680"/>
        </w:tabs>
        <w:spacing w:line="276" w:lineRule="auto"/>
        <w:ind w:left="680" w:hanging="318"/>
        <w:jc w:val="both"/>
        <w:rPr>
          <w:rFonts w:eastAsia="Arial"/>
        </w:rPr>
      </w:pPr>
      <w:r w:rsidRPr="0055512B">
        <w:rPr>
          <w:rFonts w:eastAsia="Arial"/>
        </w:rPr>
        <w:t>l'installation des blocs sanitaires.</w:t>
      </w:r>
    </w:p>
    <w:p w14:paraId="62BE3155" w14:textId="77777777" w:rsidR="009D1D90" w:rsidRPr="0055512B" w:rsidRDefault="009D1D90" w:rsidP="00F57DF9">
      <w:pPr>
        <w:spacing w:line="276" w:lineRule="auto"/>
        <w:jc w:val="both"/>
        <w:rPr>
          <w:rFonts w:eastAsia="Times New Roman"/>
        </w:rPr>
      </w:pPr>
    </w:p>
    <w:p w14:paraId="3577631F" w14:textId="77777777" w:rsidR="009D1D90" w:rsidRPr="0055512B" w:rsidRDefault="009D1D90" w:rsidP="00F57DF9">
      <w:pPr>
        <w:spacing w:line="276" w:lineRule="auto"/>
        <w:jc w:val="both"/>
        <w:rPr>
          <w:rFonts w:eastAsia="Arial"/>
        </w:rPr>
      </w:pPr>
      <w:r w:rsidRPr="0055512B">
        <w:rPr>
          <w:rFonts w:eastAsia="Arial"/>
        </w:rPr>
        <w:t>L’Assistance Technique Opérationnelle contractée par la DINEPA devra, dans le cadre de son contrat, évaluer des options viables pour l'assainissement et mener les études correspondantes ainsi que la mise en œuvre des solutions sélectionnées.</w:t>
      </w:r>
    </w:p>
    <w:p w14:paraId="40225C8D" w14:textId="77777777" w:rsidR="009D1D90" w:rsidRPr="0055512B" w:rsidRDefault="009D1D90" w:rsidP="00F57DF9">
      <w:pPr>
        <w:spacing w:line="276" w:lineRule="auto"/>
        <w:jc w:val="both"/>
        <w:rPr>
          <w:rFonts w:eastAsia="Times New Roman"/>
        </w:rPr>
      </w:pPr>
    </w:p>
    <w:p w14:paraId="01456139" w14:textId="77777777" w:rsidR="009D1D90" w:rsidRPr="0055512B" w:rsidRDefault="009D1D90" w:rsidP="00F57DF9">
      <w:pPr>
        <w:spacing w:line="276" w:lineRule="auto"/>
        <w:jc w:val="both"/>
        <w:rPr>
          <w:rFonts w:eastAsia="Arial"/>
        </w:rPr>
      </w:pPr>
      <w:r w:rsidRPr="0055512B">
        <w:rPr>
          <w:rFonts w:eastAsia="Arial"/>
        </w:rPr>
        <w:t>Cette composante, supportée par les ressources du FECASALC, financera les activités qui avaient été initialement envisagées dans le prêt 1010/SF-HA pour Port-au-Prince et qui n'ont pas été effectuées.</w:t>
      </w:r>
    </w:p>
    <w:p w14:paraId="5DAF6C92" w14:textId="77777777" w:rsidR="009D1D90" w:rsidRPr="0055512B" w:rsidRDefault="009D1D90" w:rsidP="001950BE">
      <w:pPr>
        <w:spacing w:line="276" w:lineRule="auto"/>
        <w:rPr>
          <w:rFonts w:eastAsia="Arial"/>
        </w:rPr>
      </w:pPr>
    </w:p>
    <w:p w14:paraId="2DE504F8" w14:textId="77777777" w:rsidR="009D1D90" w:rsidRPr="0055512B" w:rsidRDefault="00390CAB" w:rsidP="002E5BE9">
      <w:pPr>
        <w:pStyle w:val="ListParagraph"/>
        <w:numPr>
          <w:ilvl w:val="3"/>
          <w:numId w:val="37"/>
        </w:numPr>
        <w:tabs>
          <w:tab w:val="left" w:pos="860"/>
        </w:tabs>
        <w:spacing w:line="276" w:lineRule="auto"/>
        <w:rPr>
          <w:rFonts w:eastAsia="Arial"/>
          <w:b/>
        </w:rPr>
      </w:pPr>
      <w:r w:rsidRPr="0055512B">
        <w:rPr>
          <w:rFonts w:eastAsia="Arial"/>
          <w:b/>
        </w:rPr>
        <w:t xml:space="preserve"> </w:t>
      </w:r>
      <w:r w:rsidR="009D1D90" w:rsidRPr="0055512B">
        <w:rPr>
          <w:rFonts w:eastAsia="Arial"/>
          <w:b/>
        </w:rPr>
        <w:t>Composante 3 (US$ 0.5 million). Contrôle de Filariose Lymphatique FL (LF) et des Helminthes Transmis par le Sol HTS (STH)</w:t>
      </w:r>
    </w:p>
    <w:p w14:paraId="45FC5A90" w14:textId="77777777" w:rsidR="009D1D90" w:rsidRPr="0055512B" w:rsidRDefault="009D1D90" w:rsidP="001950BE">
      <w:pPr>
        <w:spacing w:line="276" w:lineRule="auto"/>
        <w:rPr>
          <w:rFonts w:eastAsia="Times New Roman"/>
        </w:rPr>
      </w:pPr>
    </w:p>
    <w:p w14:paraId="7D2B1030" w14:textId="77777777" w:rsidR="009D1D90" w:rsidRPr="0055512B" w:rsidRDefault="009D1D90" w:rsidP="00F57DF9">
      <w:pPr>
        <w:spacing w:line="276" w:lineRule="auto"/>
        <w:jc w:val="both"/>
        <w:rPr>
          <w:rFonts w:eastAsia="Arial"/>
        </w:rPr>
      </w:pPr>
      <w:r w:rsidRPr="0055512B">
        <w:rPr>
          <w:rFonts w:eastAsia="Arial"/>
        </w:rPr>
        <w:t>Cette composante participe à un programme de la BID mené sur plusieurs pays pour éradiquer les géo-helminthes. Bien que financé sur le programme HA-L1044, ce volet ne sera pas « techniquement » géré par la DINEPA mais par le Ministère de la Santé. Les règles de fonctionnement entre les deux entités pour assurer la gestion administrative de cette composante seront définies ultérieurement à la signature du contrat de prêt et mises à jour dans le Manuel d’Opérations par la DINEPA.</w:t>
      </w:r>
    </w:p>
    <w:p w14:paraId="78190562" w14:textId="77777777" w:rsidR="00D51E58" w:rsidRPr="0055512B" w:rsidRDefault="00D51E58" w:rsidP="00F57DF9">
      <w:pPr>
        <w:spacing w:line="276" w:lineRule="auto"/>
        <w:jc w:val="both"/>
        <w:rPr>
          <w:rFonts w:eastAsia="Arial"/>
        </w:rPr>
      </w:pPr>
    </w:p>
    <w:p w14:paraId="72F07BDB" w14:textId="77777777" w:rsidR="00D51E58" w:rsidRPr="0055512B" w:rsidRDefault="00D51E58" w:rsidP="00F57DF9">
      <w:pPr>
        <w:spacing w:line="276" w:lineRule="auto"/>
        <w:ind w:left="40" w:right="40"/>
        <w:jc w:val="both"/>
        <w:rPr>
          <w:rFonts w:eastAsia="Arial"/>
        </w:rPr>
      </w:pPr>
      <w:r w:rsidRPr="0055512B">
        <w:rPr>
          <w:rFonts w:eastAsia="Arial"/>
        </w:rPr>
        <w:t>Cette composante vise à réduire les risques sanitaires. La provision d’eau potable et d’assainissement et les mesures d’hygiène aideront à contrôler la FL et le HTS dans les zones de Port-au-Prince bénéficiant du programme et à compléter les activités de la Division de la Protection Sociale et de la Santé (SPH) de la BID sous l'opération 257/GR-HA.</w:t>
      </w:r>
    </w:p>
    <w:p w14:paraId="0ECC791F" w14:textId="77777777" w:rsidR="00D51E58" w:rsidRPr="0055512B" w:rsidRDefault="00D51E58" w:rsidP="00F57DF9">
      <w:pPr>
        <w:spacing w:line="276" w:lineRule="auto"/>
        <w:ind w:left="40"/>
        <w:jc w:val="both"/>
        <w:rPr>
          <w:rFonts w:eastAsia="Arial"/>
        </w:rPr>
      </w:pPr>
      <w:r w:rsidRPr="0055512B">
        <w:rPr>
          <w:rFonts w:eastAsia="Arial"/>
        </w:rPr>
        <w:t>La composante financera:</w:t>
      </w:r>
    </w:p>
    <w:p w14:paraId="554F57C7" w14:textId="77777777" w:rsidR="00D51E58" w:rsidRPr="0055512B" w:rsidRDefault="00D51E58" w:rsidP="00F57DF9">
      <w:pPr>
        <w:numPr>
          <w:ilvl w:val="0"/>
          <w:numId w:val="13"/>
        </w:numPr>
        <w:tabs>
          <w:tab w:val="left" w:pos="664"/>
        </w:tabs>
        <w:spacing w:line="276" w:lineRule="auto"/>
        <w:ind w:left="1120" w:right="40" w:hanging="828"/>
        <w:jc w:val="both"/>
        <w:rPr>
          <w:rFonts w:eastAsia="Arial"/>
        </w:rPr>
      </w:pPr>
      <w:r w:rsidRPr="0055512B">
        <w:rPr>
          <w:rFonts w:eastAsia="Arial"/>
        </w:rPr>
        <w:lastRenderedPageBreak/>
        <w:t>des campagnes annuelles d'administration de médicaments de masse (MDA) avec Dietilcarbamacine et Albendazol pour la population en général;</w:t>
      </w:r>
    </w:p>
    <w:p w14:paraId="5FE74C00" w14:textId="77777777" w:rsidR="00D51E58" w:rsidRPr="0055512B" w:rsidRDefault="00D51E58" w:rsidP="00F57DF9">
      <w:pPr>
        <w:spacing w:line="276" w:lineRule="auto"/>
        <w:jc w:val="both"/>
        <w:rPr>
          <w:rFonts w:eastAsia="Arial"/>
        </w:rPr>
      </w:pPr>
    </w:p>
    <w:p w14:paraId="475B8C9E" w14:textId="77777777" w:rsidR="00D51E58" w:rsidRPr="0055512B" w:rsidRDefault="00D51E58" w:rsidP="00F57DF9">
      <w:pPr>
        <w:numPr>
          <w:ilvl w:val="0"/>
          <w:numId w:val="13"/>
        </w:numPr>
        <w:tabs>
          <w:tab w:val="left" w:pos="664"/>
        </w:tabs>
        <w:spacing w:line="276" w:lineRule="auto"/>
        <w:ind w:left="1120" w:right="40" w:hanging="876"/>
        <w:jc w:val="both"/>
        <w:rPr>
          <w:rFonts w:eastAsia="Arial"/>
        </w:rPr>
      </w:pPr>
      <w:r w:rsidRPr="0055512B">
        <w:rPr>
          <w:rFonts w:eastAsia="Arial"/>
        </w:rPr>
        <w:t>des programmes de communication et d'éducation sur l'hygiène, sur la transmission du LF et du STH et sur la prévention, surveillance et évaluation.</w:t>
      </w:r>
    </w:p>
    <w:p w14:paraId="1E2E6377" w14:textId="77777777" w:rsidR="00D51E58" w:rsidRPr="0055512B" w:rsidRDefault="00D51E58" w:rsidP="00F57DF9">
      <w:pPr>
        <w:spacing w:line="276" w:lineRule="auto"/>
        <w:jc w:val="both"/>
        <w:rPr>
          <w:rFonts w:eastAsia="Times New Roman"/>
        </w:rPr>
      </w:pPr>
    </w:p>
    <w:p w14:paraId="74AA8C71" w14:textId="77777777" w:rsidR="00390CAB" w:rsidRPr="0055512B" w:rsidRDefault="00D51E58" w:rsidP="00F57DF9">
      <w:pPr>
        <w:spacing w:line="276" w:lineRule="auto"/>
        <w:ind w:left="40" w:right="40"/>
        <w:jc w:val="both"/>
        <w:rPr>
          <w:rFonts w:eastAsia="Arial"/>
        </w:rPr>
      </w:pPr>
      <w:r w:rsidRPr="0055512B">
        <w:rPr>
          <w:rFonts w:eastAsia="Arial"/>
        </w:rPr>
        <w:t>L'exécution, effectuée par le Ministère de la Santé et l'évaluation des mécanismes seront les mêmes que ceux utilisés par la division de la SPH. Un accord devra être signé entre la DINEPA et le Ministère de la Santé pour l’exécution de cette composante.</w:t>
      </w:r>
    </w:p>
    <w:p w14:paraId="4DDABE71" w14:textId="77777777" w:rsidR="00390CAB" w:rsidRPr="0055512B" w:rsidRDefault="00390CAB" w:rsidP="00F57DF9">
      <w:pPr>
        <w:spacing w:line="276" w:lineRule="auto"/>
        <w:jc w:val="both"/>
        <w:rPr>
          <w:rFonts w:eastAsia="Arial"/>
        </w:rPr>
      </w:pPr>
    </w:p>
    <w:p w14:paraId="5BC8C466" w14:textId="77777777" w:rsidR="00DA7E25" w:rsidRPr="0055512B" w:rsidRDefault="00DA7E25" w:rsidP="00F57DF9">
      <w:pPr>
        <w:pStyle w:val="ListParagraph"/>
        <w:numPr>
          <w:ilvl w:val="1"/>
          <w:numId w:val="37"/>
        </w:numPr>
        <w:tabs>
          <w:tab w:val="left" w:pos="620"/>
        </w:tabs>
        <w:spacing w:line="276" w:lineRule="auto"/>
        <w:jc w:val="both"/>
        <w:rPr>
          <w:rFonts w:eastAsia="Arial"/>
          <w:b/>
        </w:rPr>
      </w:pPr>
      <w:r w:rsidRPr="0055512B">
        <w:rPr>
          <w:rFonts w:eastAsia="Arial"/>
          <w:b/>
        </w:rPr>
        <w:t>RESSOURCES FINANCIERES DU PROGRAMME</w:t>
      </w:r>
    </w:p>
    <w:p w14:paraId="4023649B" w14:textId="77777777" w:rsidR="00DA7E25" w:rsidRPr="0055512B" w:rsidRDefault="00DA7E25" w:rsidP="00F57DF9">
      <w:pPr>
        <w:spacing w:line="276" w:lineRule="auto"/>
        <w:jc w:val="both"/>
        <w:rPr>
          <w:rFonts w:eastAsia="Times New Roman"/>
        </w:rPr>
      </w:pPr>
    </w:p>
    <w:p w14:paraId="28D76933" w14:textId="77777777" w:rsidR="00DA7E25" w:rsidRPr="0055512B" w:rsidRDefault="00DA7E25" w:rsidP="00F57DF9">
      <w:pPr>
        <w:spacing w:line="276" w:lineRule="auto"/>
        <w:ind w:left="40" w:right="40"/>
        <w:jc w:val="both"/>
        <w:rPr>
          <w:rFonts w:eastAsia="Arial"/>
        </w:rPr>
      </w:pPr>
      <w:r w:rsidRPr="0055512B">
        <w:rPr>
          <w:rFonts w:eastAsia="Arial"/>
        </w:rPr>
        <w:t>Le programme financera le renforcement de la capacité de la DINEPA dans les domaines de l'approvisionnement, la gestion financière, la tutelle technique et la surveillance de l'environnement. Il est envisagé l'embauche</w:t>
      </w:r>
      <w:r w:rsidR="00390CAB" w:rsidRPr="0055512B">
        <w:rPr>
          <w:rFonts w:eastAsia="Arial"/>
        </w:rPr>
        <w:t xml:space="preserve"> d'un gestionnaire de projet, d’</w:t>
      </w:r>
      <w:r w:rsidRPr="0055512B">
        <w:rPr>
          <w:rFonts w:eastAsia="Arial"/>
        </w:rPr>
        <w:t>un spécia</w:t>
      </w:r>
      <w:r w:rsidR="00390CAB" w:rsidRPr="0055512B">
        <w:rPr>
          <w:rFonts w:eastAsia="Arial"/>
        </w:rPr>
        <w:t>liste en approvisionnement et d’</w:t>
      </w:r>
      <w:r w:rsidRPr="0055512B">
        <w:rPr>
          <w:rFonts w:eastAsia="Arial"/>
        </w:rPr>
        <w:t>un gestionnaire f</w:t>
      </w:r>
      <w:r w:rsidR="00390CAB" w:rsidRPr="0055512B">
        <w:rPr>
          <w:rFonts w:eastAsia="Arial"/>
        </w:rPr>
        <w:t>inancier, tous les trois dédiés au programme. L’</w:t>
      </w:r>
      <w:r w:rsidRPr="0055512B">
        <w:rPr>
          <w:rFonts w:eastAsia="Arial"/>
        </w:rPr>
        <w:t>opération financera également le suivi et le contrôle des travaux, l'éval</w:t>
      </w:r>
      <w:r w:rsidR="00390CAB" w:rsidRPr="0055512B">
        <w:rPr>
          <w:rFonts w:eastAsia="Arial"/>
        </w:rPr>
        <w:t>uation du progrès, l'audit et l’</w:t>
      </w:r>
      <w:r w:rsidRPr="0055512B">
        <w:rPr>
          <w:rFonts w:eastAsia="Arial"/>
        </w:rPr>
        <w:t>évaluation de l'impact du programme. Les coûts de programme sont répartis comme suit</w:t>
      </w:r>
      <w:r w:rsidR="00F57DF9" w:rsidRPr="0055512B">
        <w:rPr>
          <w:rFonts w:eastAsia="Arial"/>
        </w:rPr>
        <w:t> :</w:t>
      </w:r>
    </w:p>
    <w:p w14:paraId="6AEB89AA" w14:textId="77777777" w:rsidR="00DA7E25" w:rsidRPr="0055512B" w:rsidRDefault="00DA7E25" w:rsidP="00F57DF9">
      <w:pPr>
        <w:spacing w:line="276" w:lineRule="auto"/>
        <w:jc w:val="both"/>
        <w:rPr>
          <w:rFonts w:eastAsia="Times New Roman"/>
        </w:rPr>
      </w:pPr>
    </w:p>
    <w:tbl>
      <w:tblPr>
        <w:tblW w:w="9600" w:type="dxa"/>
        <w:tblInd w:w="10" w:type="dxa"/>
        <w:tblLayout w:type="fixed"/>
        <w:tblCellMar>
          <w:left w:w="0" w:type="dxa"/>
          <w:right w:w="0" w:type="dxa"/>
        </w:tblCellMar>
        <w:tblLook w:val="0000" w:firstRow="0" w:lastRow="0" w:firstColumn="0" w:lastColumn="0" w:noHBand="0" w:noVBand="0"/>
      </w:tblPr>
      <w:tblGrid>
        <w:gridCol w:w="340"/>
        <w:gridCol w:w="4500"/>
        <w:gridCol w:w="1260"/>
        <w:gridCol w:w="1420"/>
        <w:gridCol w:w="1540"/>
        <w:gridCol w:w="540"/>
      </w:tblGrid>
      <w:tr w:rsidR="00DA7E25" w:rsidRPr="0055512B" w14:paraId="4A142866" w14:textId="77777777" w:rsidTr="00F57DF9">
        <w:trPr>
          <w:trHeight w:val="185"/>
        </w:trPr>
        <w:tc>
          <w:tcPr>
            <w:tcW w:w="340" w:type="dxa"/>
            <w:tcBorders>
              <w:top w:val="single" w:sz="8" w:space="0" w:color="auto"/>
              <w:left w:val="single" w:sz="8" w:space="0" w:color="auto"/>
            </w:tcBorders>
            <w:shd w:val="clear" w:color="auto" w:fill="auto"/>
            <w:vAlign w:val="bottom"/>
          </w:tcPr>
          <w:p w14:paraId="690D2B2D" w14:textId="77777777" w:rsidR="00DA7E25" w:rsidRPr="0055512B" w:rsidRDefault="00DA7E25" w:rsidP="001950BE">
            <w:pPr>
              <w:spacing w:line="276" w:lineRule="auto"/>
              <w:rPr>
                <w:rFonts w:eastAsia="Times New Roman"/>
              </w:rPr>
            </w:pPr>
          </w:p>
        </w:tc>
        <w:tc>
          <w:tcPr>
            <w:tcW w:w="4500" w:type="dxa"/>
            <w:tcBorders>
              <w:top w:val="single" w:sz="8" w:space="0" w:color="auto"/>
              <w:right w:val="single" w:sz="8" w:space="0" w:color="auto"/>
            </w:tcBorders>
            <w:shd w:val="clear" w:color="auto" w:fill="auto"/>
            <w:vAlign w:val="bottom"/>
          </w:tcPr>
          <w:p w14:paraId="393E5742" w14:textId="77777777" w:rsidR="00DA7E25" w:rsidRPr="0055512B" w:rsidRDefault="00DA7E25" w:rsidP="001950BE">
            <w:pPr>
              <w:spacing w:line="276" w:lineRule="auto"/>
              <w:ind w:left="1440"/>
              <w:rPr>
                <w:rFonts w:eastAsia="Arial"/>
                <w:b/>
              </w:rPr>
            </w:pPr>
            <w:r w:rsidRPr="0055512B">
              <w:rPr>
                <w:rFonts w:eastAsia="Arial"/>
                <w:b/>
              </w:rPr>
              <w:t>Composantes (US$)</w:t>
            </w:r>
          </w:p>
        </w:tc>
        <w:tc>
          <w:tcPr>
            <w:tcW w:w="1260" w:type="dxa"/>
            <w:tcBorders>
              <w:top w:val="single" w:sz="8" w:space="0" w:color="auto"/>
              <w:right w:val="single" w:sz="8" w:space="0" w:color="auto"/>
            </w:tcBorders>
            <w:shd w:val="clear" w:color="auto" w:fill="auto"/>
            <w:vAlign w:val="bottom"/>
          </w:tcPr>
          <w:p w14:paraId="27A646C2" w14:textId="77777777" w:rsidR="00DA7E25" w:rsidRPr="0055512B" w:rsidRDefault="00DA7E25" w:rsidP="001950BE">
            <w:pPr>
              <w:spacing w:line="276" w:lineRule="auto"/>
              <w:ind w:right="440"/>
              <w:rPr>
                <w:rFonts w:eastAsia="Arial"/>
                <w:b/>
              </w:rPr>
            </w:pPr>
            <w:r w:rsidRPr="0055512B">
              <w:rPr>
                <w:rFonts w:eastAsia="Arial"/>
                <w:b/>
              </w:rPr>
              <w:t>BID</w:t>
            </w:r>
          </w:p>
        </w:tc>
        <w:tc>
          <w:tcPr>
            <w:tcW w:w="1420" w:type="dxa"/>
            <w:tcBorders>
              <w:top w:val="single" w:sz="8" w:space="0" w:color="auto"/>
              <w:right w:val="single" w:sz="8" w:space="0" w:color="auto"/>
            </w:tcBorders>
            <w:shd w:val="clear" w:color="auto" w:fill="auto"/>
            <w:vAlign w:val="bottom"/>
          </w:tcPr>
          <w:p w14:paraId="30F55AC4" w14:textId="77777777" w:rsidR="00DA7E25" w:rsidRPr="0055512B" w:rsidRDefault="00DA7E25" w:rsidP="001950BE">
            <w:pPr>
              <w:spacing w:line="276" w:lineRule="auto"/>
              <w:ind w:right="280"/>
              <w:rPr>
                <w:rFonts w:eastAsia="Arial"/>
                <w:b/>
              </w:rPr>
            </w:pPr>
            <w:r w:rsidRPr="0055512B">
              <w:rPr>
                <w:rFonts w:eastAsia="Arial"/>
                <w:b/>
              </w:rPr>
              <w:t>Fonds</w:t>
            </w:r>
          </w:p>
        </w:tc>
        <w:tc>
          <w:tcPr>
            <w:tcW w:w="1540" w:type="dxa"/>
            <w:tcBorders>
              <w:top w:val="single" w:sz="8" w:space="0" w:color="auto"/>
              <w:right w:val="single" w:sz="8" w:space="0" w:color="auto"/>
            </w:tcBorders>
            <w:shd w:val="clear" w:color="auto" w:fill="auto"/>
            <w:vAlign w:val="bottom"/>
          </w:tcPr>
          <w:p w14:paraId="4FA7E652" w14:textId="77777777" w:rsidR="00DA7E25" w:rsidRPr="0055512B" w:rsidRDefault="00DA7E25" w:rsidP="001950BE">
            <w:pPr>
              <w:spacing w:line="276" w:lineRule="auto"/>
              <w:ind w:right="280"/>
              <w:rPr>
                <w:rFonts w:eastAsia="Arial"/>
                <w:b/>
              </w:rPr>
            </w:pPr>
            <w:r w:rsidRPr="0055512B">
              <w:rPr>
                <w:rFonts w:eastAsia="Arial"/>
                <w:b/>
              </w:rPr>
              <w:t>Total projet</w:t>
            </w:r>
          </w:p>
        </w:tc>
        <w:tc>
          <w:tcPr>
            <w:tcW w:w="540" w:type="dxa"/>
            <w:tcBorders>
              <w:top w:val="single" w:sz="8" w:space="0" w:color="auto"/>
              <w:right w:val="single" w:sz="8" w:space="0" w:color="auto"/>
            </w:tcBorders>
            <w:shd w:val="clear" w:color="auto" w:fill="auto"/>
            <w:vAlign w:val="bottom"/>
          </w:tcPr>
          <w:p w14:paraId="773BBED0" w14:textId="77777777" w:rsidR="00DA7E25" w:rsidRPr="0055512B" w:rsidRDefault="00DA7E25" w:rsidP="001950BE">
            <w:pPr>
              <w:spacing w:line="276" w:lineRule="auto"/>
              <w:ind w:left="180"/>
              <w:rPr>
                <w:rFonts w:eastAsia="Arial"/>
                <w:b/>
              </w:rPr>
            </w:pPr>
            <w:r w:rsidRPr="0055512B">
              <w:rPr>
                <w:rFonts w:eastAsia="Arial"/>
                <w:b/>
              </w:rPr>
              <w:t>%</w:t>
            </w:r>
          </w:p>
        </w:tc>
      </w:tr>
      <w:tr w:rsidR="00DA7E25" w:rsidRPr="0055512B" w14:paraId="6293AF7B" w14:textId="77777777" w:rsidTr="00F57DF9">
        <w:trPr>
          <w:trHeight w:val="226"/>
        </w:trPr>
        <w:tc>
          <w:tcPr>
            <w:tcW w:w="340" w:type="dxa"/>
            <w:tcBorders>
              <w:left w:val="single" w:sz="8" w:space="0" w:color="auto"/>
            </w:tcBorders>
            <w:shd w:val="clear" w:color="auto" w:fill="auto"/>
            <w:vAlign w:val="bottom"/>
          </w:tcPr>
          <w:p w14:paraId="025EAE32" w14:textId="77777777" w:rsidR="00DA7E25" w:rsidRPr="0055512B" w:rsidRDefault="00DA7E25" w:rsidP="001950BE">
            <w:pPr>
              <w:spacing w:line="276" w:lineRule="auto"/>
              <w:rPr>
                <w:rFonts w:eastAsia="Times New Roman"/>
              </w:rPr>
            </w:pPr>
          </w:p>
        </w:tc>
        <w:tc>
          <w:tcPr>
            <w:tcW w:w="4500" w:type="dxa"/>
            <w:tcBorders>
              <w:right w:val="single" w:sz="8" w:space="0" w:color="auto"/>
            </w:tcBorders>
            <w:shd w:val="clear" w:color="auto" w:fill="auto"/>
            <w:vAlign w:val="bottom"/>
          </w:tcPr>
          <w:p w14:paraId="054D5F2D" w14:textId="77777777" w:rsidR="00DA7E25" w:rsidRPr="0055512B" w:rsidRDefault="00DA7E25" w:rsidP="001950BE">
            <w:pPr>
              <w:spacing w:line="276" w:lineRule="auto"/>
              <w:rPr>
                <w:rFonts w:eastAsia="Times New Roman"/>
              </w:rPr>
            </w:pPr>
          </w:p>
        </w:tc>
        <w:tc>
          <w:tcPr>
            <w:tcW w:w="1260" w:type="dxa"/>
            <w:tcBorders>
              <w:right w:val="single" w:sz="8" w:space="0" w:color="auto"/>
            </w:tcBorders>
            <w:shd w:val="clear" w:color="auto" w:fill="auto"/>
            <w:vAlign w:val="bottom"/>
          </w:tcPr>
          <w:p w14:paraId="0448FEDF" w14:textId="77777777" w:rsidR="00DA7E25" w:rsidRPr="0055512B" w:rsidRDefault="00DA7E25" w:rsidP="001950BE">
            <w:pPr>
              <w:spacing w:line="276" w:lineRule="auto"/>
              <w:rPr>
                <w:rFonts w:eastAsia="Times New Roman"/>
              </w:rPr>
            </w:pPr>
          </w:p>
        </w:tc>
        <w:tc>
          <w:tcPr>
            <w:tcW w:w="1420" w:type="dxa"/>
            <w:tcBorders>
              <w:right w:val="single" w:sz="8" w:space="0" w:color="auto"/>
            </w:tcBorders>
            <w:shd w:val="clear" w:color="auto" w:fill="auto"/>
            <w:vAlign w:val="bottom"/>
          </w:tcPr>
          <w:p w14:paraId="7F6659FC" w14:textId="77777777" w:rsidR="00DA7E25" w:rsidRPr="0055512B" w:rsidRDefault="00DA7E25" w:rsidP="001950BE">
            <w:pPr>
              <w:spacing w:line="276" w:lineRule="auto"/>
              <w:ind w:right="100"/>
              <w:rPr>
                <w:rFonts w:eastAsia="Arial"/>
                <w:b/>
                <w:vertAlign w:val="superscript"/>
              </w:rPr>
            </w:pPr>
            <w:r w:rsidRPr="0055512B">
              <w:rPr>
                <w:rFonts w:eastAsia="Arial"/>
                <w:b/>
              </w:rPr>
              <w:t>Espagnol</w:t>
            </w:r>
            <w:r w:rsidRPr="0055512B">
              <w:rPr>
                <w:rFonts w:eastAsia="Arial"/>
                <w:b/>
                <w:vertAlign w:val="superscript"/>
              </w:rPr>
              <w:t>10</w:t>
            </w:r>
          </w:p>
        </w:tc>
        <w:tc>
          <w:tcPr>
            <w:tcW w:w="1540" w:type="dxa"/>
            <w:tcBorders>
              <w:right w:val="single" w:sz="8" w:space="0" w:color="auto"/>
            </w:tcBorders>
            <w:shd w:val="clear" w:color="auto" w:fill="auto"/>
            <w:vAlign w:val="bottom"/>
          </w:tcPr>
          <w:p w14:paraId="14971735" w14:textId="77777777" w:rsidR="00DA7E25" w:rsidRPr="0055512B" w:rsidRDefault="00DA7E25" w:rsidP="001950BE">
            <w:pPr>
              <w:spacing w:line="276" w:lineRule="auto"/>
              <w:rPr>
                <w:rFonts w:eastAsia="Times New Roman"/>
              </w:rPr>
            </w:pPr>
          </w:p>
        </w:tc>
        <w:tc>
          <w:tcPr>
            <w:tcW w:w="540" w:type="dxa"/>
            <w:tcBorders>
              <w:right w:val="single" w:sz="8" w:space="0" w:color="auto"/>
            </w:tcBorders>
            <w:shd w:val="clear" w:color="auto" w:fill="auto"/>
            <w:vAlign w:val="bottom"/>
          </w:tcPr>
          <w:p w14:paraId="0362062D" w14:textId="77777777" w:rsidR="00DA7E25" w:rsidRPr="0055512B" w:rsidRDefault="00DA7E25" w:rsidP="001950BE">
            <w:pPr>
              <w:spacing w:line="276" w:lineRule="auto"/>
              <w:rPr>
                <w:rFonts w:eastAsia="Times New Roman"/>
              </w:rPr>
            </w:pPr>
          </w:p>
        </w:tc>
      </w:tr>
      <w:tr w:rsidR="00DA7E25" w:rsidRPr="0055512B" w14:paraId="66A8F421" w14:textId="77777777" w:rsidTr="00F57DF9">
        <w:trPr>
          <w:trHeight w:val="68"/>
        </w:trPr>
        <w:tc>
          <w:tcPr>
            <w:tcW w:w="4840" w:type="dxa"/>
            <w:gridSpan w:val="2"/>
            <w:tcBorders>
              <w:left w:val="single" w:sz="8" w:space="0" w:color="auto"/>
              <w:bottom w:val="single" w:sz="8" w:space="0" w:color="auto"/>
              <w:right w:val="single" w:sz="8" w:space="0" w:color="auto"/>
            </w:tcBorders>
            <w:shd w:val="clear" w:color="auto" w:fill="auto"/>
            <w:vAlign w:val="bottom"/>
          </w:tcPr>
          <w:p w14:paraId="56BFF84B" w14:textId="77777777" w:rsidR="00DA7E25" w:rsidRPr="0055512B" w:rsidRDefault="00DA7E25" w:rsidP="001950BE">
            <w:pPr>
              <w:spacing w:line="276" w:lineRule="auto"/>
              <w:rPr>
                <w:rFonts w:eastAsia="Times New Roman"/>
              </w:rPr>
            </w:pPr>
          </w:p>
        </w:tc>
        <w:tc>
          <w:tcPr>
            <w:tcW w:w="1260" w:type="dxa"/>
            <w:tcBorders>
              <w:bottom w:val="single" w:sz="8" w:space="0" w:color="auto"/>
              <w:right w:val="single" w:sz="8" w:space="0" w:color="auto"/>
            </w:tcBorders>
            <w:shd w:val="clear" w:color="auto" w:fill="auto"/>
            <w:vAlign w:val="bottom"/>
          </w:tcPr>
          <w:p w14:paraId="1DA543B1" w14:textId="77777777" w:rsidR="00DA7E25" w:rsidRPr="0055512B" w:rsidRDefault="00DA7E25" w:rsidP="001950BE">
            <w:pPr>
              <w:spacing w:line="276" w:lineRule="auto"/>
              <w:rPr>
                <w:rFonts w:eastAsia="Times New Roman"/>
              </w:rPr>
            </w:pPr>
          </w:p>
        </w:tc>
        <w:tc>
          <w:tcPr>
            <w:tcW w:w="1420" w:type="dxa"/>
            <w:tcBorders>
              <w:bottom w:val="single" w:sz="8" w:space="0" w:color="auto"/>
              <w:right w:val="single" w:sz="8" w:space="0" w:color="auto"/>
            </w:tcBorders>
            <w:shd w:val="clear" w:color="auto" w:fill="auto"/>
            <w:vAlign w:val="bottom"/>
          </w:tcPr>
          <w:p w14:paraId="6822AD19" w14:textId="77777777" w:rsidR="00DA7E25" w:rsidRPr="0055512B" w:rsidRDefault="00DA7E25" w:rsidP="001950BE">
            <w:pPr>
              <w:spacing w:line="276" w:lineRule="auto"/>
              <w:rPr>
                <w:rFonts w:eastAsia="Times New Roman"/>
              </w:rPr>
            </w:pPr>
          </w:p>
        </w:tc>
        <w:tc>
          <w:tcPr>
            <w:tcW w:w="1540" w:type="dxa"/>
            <w:tcBorders>
              <w:bottom w:val="single" w:sz="8" w:space="0" w:color="auto"/>
              <w:right w:val="single" w:sz="8" w:space="0" w:color="auto"/>
            </w:tcBorders>
            <w:shd w:val="clear" w:color="auto" w:fill="auto"/>
            <w:vAlign w:val="bottom"/>
          </w:tcPr>
          <w:p w14:paraId="15578315" w14:textId="77777777" w:rsidR="00DA7E25" w:rsidRPr="0055512B" w:rsidRDefault="00DA7E25" w:rsidP="001950BE">
            <w:pPr>
              <w:spacing w:line="276" w:lineRule="auto"/>
              <w:rPr>
                <w:rFonts w:eastAsia="Times New Roman"/>
              </w:rPr>
            </w:pPr>
          </w:p>
        </w:tc>
        <w:tc>
          <w:tcPr>
            <w:tcW w:w="540" w:type="dxa"/>
            <w:tcBorders>
              <w:bottom w:val="single" w:sz="8" w:space="0" w:color="auto"/>
              <w:right w:val="single" w:sz="8" w:space="0" w:color="auto"/>
            </w:tcBorders>
            <w:shd w:val="clear" w:color="auto" w:fill="auto"/>
            <w:vAlign w:val="bottom"/>
          </w:tcPr>
          <w:p w14:paraId="594C7ECA" w14:textId="77777777" w:rsidR="00DA7E25" w:rsidRPr="0055512B" w:rsidRDefault="00DA7E25" w:rsidP="001950BE">
            <w:pPr>
              <w:spacing w:line="276" w:lineRule="auto"/>
              <w:rPr>
                <w:rFonts w:eastAsia="Times New Roman"/>
              </w:rPr>
            </w:pPr>
          </w:p>
        </w:tc>
      </w:tr>
      <w:tr w:rsidR="00DA7E25" w:rsidRPr="0055512B" w14:paraId="0A976350" w14:textId="77777777" w:rsidTr="00F57DF9">
        <w:trPr>
          <w:trHeight w:val="170"/>
        </w:trPr>
        <w:tc>
          <w:tcPr>
            <w:tcW w:w="4840" w:type="dxa"/>
            <w:gridSpan w:val="2"/>
            <w:tcBorders>
              <w:left w:val="single" w:sz="8" w:space="0" w:color="auto"/>
              <w:bottom w:val="single" w:sz="8" w:space="0" w:color="auto"/>
              <w:right w:val="single" w:sz="8" w:space="0" w:color="auto"/>
            </w:tcBorders>
            <w:shd w:val="clear" w:color="auto" w:fill="auto"/>
            <w:vAlign w:val="bottom"/>
          </w:tcPr>
          <w:p w14:paraId="7AAA93A4" w14:textId="77777777" w:rsidR="00DA7E25" w:rsidRPr="0055512B" w:rsidRDefault="00DA7E25" w:rsidP="001950BE">
            <w:pPr>
              <w:spacing w:line="276" w:lineRule="auto"/>
              <w:ind w:left="120"/>
              <w:rPr>
                <w:rFonts w:eastAsia="Arial"/>
              </w:rPr>
            </w:pPr>
            <w:r w:rsidRPr="0055512B">
              <w:rPr>
                <w:rFonts w:eastAsia="Arial"/>
              </w:rPr>
              <w:t>Gestion du projet</w:t>
            </w:r>
          </w:p>
        </w:tc>
        <w:tc>
          <w:tcPr>
            <w:tcW w:w="1260" w:type="dxa"/>
            <w:tcBorders>
              <w:bottom w:val="single" w:sz="8" w:space="0" w:color="auto"/>
              <w:right w:val="single" w:sz="8" w:space="0" w:color="auto"/>
            </w:tcBorders>
            <w:shd w:val="clear" w:color="auto" w:fill="auto"/>
            <w:vAlign w:val="bottom"/>
          </w:tcPr>
          <w:p w14:paraId="7CEEEBDE" w14:textId="77777777" w:rsidR="00DA7E25" w:rsidRPr="0055512B" w:rsidRDefault="00DA7E25" w:rsidP="001950BE">
            <w:pPr>
              <w:spacing w:line="276" w:lineRule="auto"/>
              <w:ind w:right="40"/>
              <w:rPr>
                <w:rFonts w:eastAsia="Arial"/>
              </w:rPr>
            </w:pPr>
            <w:r w:rsidRPr="0055512B">
              <w:rPr>
                <w:rFonts w:eastAsia="Arial"/>
              </w:rPr>
              <w:t>1, 500,000</w:t>
            </w:r>
          </w:p>
        </w:tc>
        <w:tc>
          <w:tcPr>
            <w:tcW w:w="1420" w:type="dxa"/>
            <w:tcBorders>
              <w:bottom w:val="single" w:sz="8" w:space="0" w:color="auto"/>
              <w:right w:val="single" w:sz="8" w:space="0" w:color="auto"/>
            </w:tcBorders>
            <w:shd w:val="clear" w:color="auto" w:fill="auto"/>
            <w:vAlign w:val="bottom"/>
          </w:tcPr>
          <w:p w14:paraId="74DB9610" w14:textId="77777777" w:rsidR="00DA7E25" w:rsidRPr="0055512B" w:rsidRDefault="00DA7E25" w:rsidP="001950BE">
            <w:pPr>
              <w:spacing w:line="276" w:lineRule="auto"/>
              <w:ind w:right="40"/>
              <w:rPr>
                <w:rFonts w:eastAsia="Arial"/>
              </w:rPr>
            </w:pPr>
            <w:r w:rsidRPr="0055512B">
              <w:rPr>
                <w:rFonts w:eastAsia="Arial"/>
              </w:rPr>
              <w:t>1, 500,000</w:t>
            </w:r>
          </w:p>
        </w:tc>
        <w:tc>
          <w:tcPr>
            <w:tcW w:w="1540" w:type="dxa"/>
            <w:tcBorders>
              <w:bottom w:val="single" w:sz="8" w:space="0" w:color="auto"/>
              <w:right w:val="single" w:sz="8" w:space="0" w:color="auto"/>
            </w:tcBorders>
            <w:shd w:val="clear" w:color="auto" w:fill="auto"/>
            <w:vAlign w:val="bottom"/>
          </w:tcPr>
          <w:p w14:paraId="2718CBBD" w14:textId="77777777" w:rsidR="00DA7E25" w:rsidRPr="0055512B" w:rsidRDefault="00DA7E25" w:rsidP="001950BE">
            <w:pPr>
              <w:spacing w:line="276" w:lineRule="auto"/>
              <w:ind w:right="40"/>
              <w:rPr>
                <w:rFonts w:eastAsia="Arial"/>
              </w:rPr>
            </w:pPr>
            <w:r w:rsidRPr="0055512B">
              <w:rPr>
                <w:rFonts w:eastAsia="Arial"/>
              </w:rPr>
              <w:t>3, 000,000</w:t>
            </w:r>
          </w:p>
        </w:tc>
        <w:tc>
          <w:tcPr>
            <w:tcW w:w="540" w:type="dxa"/>
            <w:tcBorders>
              <w:bottom w:val="single" w:sz="8" w:space="0" w:color="auto"/>
              <w:right w:val="single" w:sz="8" w:space="0" w:color="auto"/>
            </w:tcBorders>
            <w:shd w:val="clear" w:color="auto" w:fill="auto"/>
            <w:vAlign w:val="bottom"/>
          </w:tcPr>
          <w:p w14:paraId="7D4CE919" w14:textId="77777777" w:rsidR="00DA7E25" w:rsidRPr="0055512B" w:rsidRDefault="00DA7E25" w:rsidP="001950BE">
            <w:pPr>
              <w:spacing w:line="276" w:lineRule="auto"/>
              <w:ind w:left="80"/>
              <w:rPr>
                <w:rFonts w:eastAsia="Arial"/>
              </w:rPr>
            </w:pPr>
            <w:r w:rsidRPr="0055512B">
              <w:rPr>
                <w:rFonts w:eastAsia="Arial"/>
              </w:rPr>
              <w:t>6</w:t>
            </w:r>
          </w:p>
        </w:tc>
      </w:tr>
      <w:tr w:rsidR="00DA7E25" w:rsidRPr="0055512B" w14:paraId="535B8796" w14:textId="77777777" w:rsidTr="00F57DF9">
        <w:trPr>
          <w:trHeight w:val="235"/>
        </w:trPr>
        <w:tc>
          <w:tcPr>
            <w:tcW w:w="4840" w:type="dxa"/>
            <w:gridSpan w:val="2"/>
            <w:tcBorders>
              <w:left w:val="single" w:sz="8" w:space="0" w:color="auto"/>
              <w:right w:val="single" w:sz="8" w:space="0" w:color="auto"/>
            </w:tcBorders>
            <w:shd w:val="clear" w:color="auto" w:fill="auto"/>
            <w:vAlign w:val="bottom"/>
          </w:tcPr>
          <w:p w14:paraId="6CC9B805" w14:textId="77777777" w:rsidR="00DA7E25" w:rsidRPr="0055512B" w:rsidRDefault="00DA7E25" w:rsidP="001950BE">
            <w:pPr>
              <w:spacing w:line="276" w:lineRule="auto"/>
              <w:ind w:left="120"/>
              <w:rPr>
                <w:rFonts w:eastAsia="Arial"/>
                <w:b/>
              </w:rPr>
            </w:pPr>
            <w:r w:rsidRPr="0055512B">
              <w:rPr>
                <w:rFonts w:eastAsia="Arial"/>
                <w:b/>
              </w:rPr>
              <w:t>1. Renforcement institutionnel de la CAMEP et de la DINEPA</w:t>
            </w:r>
          </w:p>
        </w:tc>
        <w:tc>
          <w:tcPr>
            <w:tcW w:w="1260" w:type="dxa"/>
            <w:tcBorders>
              <w:right w:val="single" w:sz="8" w:space="0" w:color="auto"/>
            </w:tcBorders>
            <w:shd w:val="clear" w:color="auto" w:fill="auto"/>
            <w:vAlign w:val="bottom"/>
          </w:tcPr>
          <w:p w14:paraId="11A58E5B" w14:textId="77777777" w:rsidR="00DA7E25" w:rsidRPr="0055512B" w:rsidRDefault="00DA7E25" w:rsidP="001950BE">
            <w:pPr>
              <w:spacing w:line="276" w:lineRule="auto"/>
              <w:rPr>
                <w:rFonts w:eastAsia="Times New Roman"/>
              </w:rPr>
            </w:pPr>
          </w:p>
        </w:tc>
        <w:tc>
          <w:tcPr>
            <w:tcW w:w="1420" w:type="dxa"/>
            <w:tcBorders>
              <w:right w:val="single" w:sz="8" w:space="0" w:color="auto"/>
            </w:tcBorders>
            <w:shd w:val="clear" w:color="auto" w:fill="auto"/>
            <w:vAlign w:val="bottom"/>
          </w:tcPr>
          <w:p w14:paraId="1752FA53" w14:textId="77777777" w:rsidR="00DA7E25" w:rsidRPr="0055512B" w:rsidRDefault="00DA7E25" w:rsidP="001950BE">
            <w:pPr>
              <w:spacing w:line="276" w:lineRule="auto"/>
              <w:rPr>
                <w:rFonts w:eastAsia="Times New Roman"/>
              </w:rPr>
            </w:pPr>
          </w:p>
        </w:tc>
        <w:tc>
          <w:tcPr>
            <w:tcW w:w="1540" w:type="dxa"/>
            <w:tcBorders>
              <w:right w:val="single" w:sz="8" w:space="0" w:color="auto"/>
            </w:tcBorders>
            <w:shd w:val="clear" w:color="auto" w:fill="auto"/>
            <w:vAlign w:val="bottom"/>
          </w:tcPr>
          <w:p w14:paraId="6559FDA5" w14:textId="77777777" w:rsidR="00DA7E25" w:rsidRPr="0055512B" w:rsidRDefault="00DA7E25" w:rsidP="001950BE">
            <w:pPr>
              <w:spacing w:line="276" w:lineRule="auto"/>
              <w:rPr>
                <w:rFonts w:eastAsia="Times New Roman"/>
              </w:rPr>
            </w:pPr>
          </w:p>
        </w:tc>
        <w:tc>
          <w:tcPr>
            <w:tcW w:w="540" w:type="dxa"/>
            <w:tcBorders>
              <w:right w:val="single" w:sz="8" w:space="0" w:color="auto"/>
            </w:tcBorders>
            <w:shd w:val="clear" w:color="auto" w:fill="auto"/>
            <w:vAlign w:val="bottom"/>
          </w:tcPr>
          <w:p w14:paraId="48648552" w14:textId="77777777" w:rsidR="00DA7E25" w:rsidRPr="0055512B" w:rsidRDefault="00DA7E25" w:rsidP="001950BE">
            <w:pPr>
              <w:spacing w:line="276" w:lineRule="auto"/>
              <w:rPr>
                <w:rFonts w:eastAsia="Times New Roman"/>
              </w:rPr>
            </w:pPr>
          </w:p>
        </w:tc>
      </w:tr>
      <w:tr w:rsidR="00DA7E25" w:rsidRPr="0055512B" w14:paraId="41FA5219" w14:textId="77777777" w:rsidTr="00F57DF9">
        <w:trPr>
          <w:trHeight w:val="254"/>
        </w:trPr>
        <w:tc>
          <w:tcPr>
            <w:tcW w:w="340" w:type="dxa"/>
            <w:tcBorders>
              <w:left w:val="single" w:sz="8" w:space="0" w:color="auto"/>
            </w:tcBorders>
            <w:shd w:val="clear" w:color="auto" w:fill="auto"/>
            <w:vAlign w:val="bottom"/>
          </w:tcPr>
          <w:p w14:paraId="796D5570" w14:textId="77777777" w:rsidR="00DA7E25" w:rsidRPr="0055512B" w:rsidRDefault="00DA7E25" w:rsidP="001950BE">
            <w:pPr>
              <w:spacing w:line="276" w:lineRule="auto"/>
              <w:ind w:left="120"/>
              <w:rPr>
                <w:rFonts w:eastAsia="Arial"/>
                <w:w w:val="89"/>
              </w:rPr>
            </w:pPr>
            <w:r w:rsidRPr="0055512B">
              <w:rPr>
                <w:rFonts w:eastAsia="Arial"/>
                <w:w w:val="89"/>
              </w:rPr>
              <w:t>1.1</w:t>
            </w:r>
          </w:p>
        </w:tc>
        <w:tc>
          <w:tcPr>
            <w:tcW w:w="4500" w:type="dxa"/>
            <w:tcBorders>
              <w:right w:val="single" w:sz="8" w:space="0" w:color="auto"/>
            </w:tcBorders>
            <w:shd w:val="clear" w:color="auto" w:fill="auto"/>
            <w:vAlign w:val="bottom"/>
          </w:tcPr>
          <w:p w14:paraId="7273A29E" w14:textId="18436692" w:rsidR="00DA7E25" w:rsidRPr="0055512B" w:rsidRDefault="00DA7E25" w:rsidP="001950BE">
            <w:pPr>
              <w:spacing w:line="276" w:lineRule="auto"/>
              <w:ind w:left="40"/>
              <w:rPr>
                <w:rFonts w:eastAsia="Arial"/>
              </w:rPr>
            </w:pPr>
            <w:r w:rsidRPr="0055512B">
              <w:rPr>
                <w:rFonts w:eastAsia="Arial"/>
              </w:rPr>
              <w:t>Paiement de l</w:t>
            </w:r>
            <w:r w:rsidR="00672E98" w:rsidRPr="0055512B">
              <w:rPr>
                <w:rFonts w:ascii="Times New Roman" w:eastAsia="Arial" w:hAnsi="Times New Roman" w:cs="Times New Roman"/>
              </w:rPr>
              <w:t>’</w:t>
            </w:r>
            <w:r w:rsidRPr="0055512B">
              <w:rPr>
                <w:rFonts w:eastAsia="Arial"/>
              </w:rPr>
              <w:t>assistance technique opérationnelle</w:t>
            </w:r>
          </w:p>
        </w:tc>
        <w:tc>
          <w:tcPr>
            <w:tcW w:w="1260" w:type="dxa"/>
            <w:tcBorders>
              <w:right w:val="single" w:sz="8" w:space="0" w:color="auto"/>
            </w:tcBorders>
            <w:shd w:val="clear" w:color="auto" w:fill="auto"/>
            <w:vAlign w:val="bottom"/>
          </w:tcPr>
          <w:p w14:paraId="59328E31" w14:textId="77777777" w:rsidR="00DA7E25" w:rsidRPr="0055512B" w:rsidRDefault="00DA7E25" w:rsidP="001950BE">
            <w:pPr>
              <w:spacing w:line="276" w:lineRule="auto"/>
              <w:ind w:right="40"/>
              <w:rPr>
                <w:rFonts w:eastAsia="Arial"/>
              </w:rPr>
            </w:pPr>
            <w:r w:rsidRPr="0055512B">
              <w:rPr>
                <w:rFonts w:eastAsia="Arial"/>
              </w:rPr>
              <w:t>4, 000,000</w:t>
            </w:r>
          </w:p>
        </w:tc>
        <w:tc>
          <w:tcPr>
            <w:tcW w:w="1420" w:type="dxa"/>
            <w:tcBorders>
              <w:right w:val="single" w:sz="8" w:space="0" w:color="auto"/>
            </w:tcBorders>
            <w:shd w:val="clear" w:color="auto" w:fill="auto"/>
            <w:vAlign w:val="bottom"/>
          </w:tcPr>
          <w:p w14:paraId="0385E551" w14:textId="77777777" w:rsidR="00DA7E25" w:rsidRPr="0055512B" w:rsidRDefault="00DA7E25" w:rsidP="001950BE">
            <w:pPr>
              <w:spacing w:line="276" w:lineRule="auto"/>
              <w:ind w:right="40"/>
              <w:rPr>
                <w:rFonts w:eastAsia="Arial"/>
              </w:rPr>
            </w:pPr>
            <w:r w:rsidRPr="0055512B">
              <w:rPr>
                <w:rFonts w:eastAsia="Arial"/>
              </w:rPr>
              <w:t>4, 000,000</w:t>
            </w:r>
          </w:p>
        </w:tc>
        <w:tc>
          <w:tcPr>
            <w:tcW w:w="1540" w:type="dxa"/>
            <w:tcBorders>
              <w:right w:val="single" w:sz="8" w:space="0" w:color="auto"/>
            </w:tcBorders>
            <w:shd w:val="clear" w:color="auto" w:fill="auto"/>
            <w:vAlign w:val="bottom"/>
          </w:tcPr>
          <w:p w14:paraId="42BAFD09" w14:textId="77777777" w:rsidR="00DA7E25" w:rsidRPr="0055512B" w:rsidRDefault="00DA7E25" w:rsidP="001950BE">
            <w:pPr>
              <w:spacing w:line="276" w:lineRule="auto"/>
              <w:rPr>
                <w:rFonts w:eastAsia="Times New Roman"/>
              </w:rPr>
            </w:pPr>
          </w:p>
        </w:tc>
        <w:tc>
          <w:tcPr>
            <w:tcW w:w="540" w:type="dxa"/>
            <w:tcBorders>
              <w:right w:val="single" w:sz="8" w:space="0" w:color="auto"/>
            </w:tcBorders>
            <w:shd w:val="clear" w:color="auto" w:fill="auto"/>
            <w:vAlign w:val="bottom"/>
          </w:tcPr>
          <w:p w14:paraId="1A8A2D58" w14:textId="77777777" w:rsidR="00DA7E25" w:rsidRPr="0055512B" w:rsidRDefault="00DA7E25" w:rsidP="001950BE">
            <w:pPr>
              <w:spacing w:line="276" w:lineRule="auto"/>
              <w:rPr>
                <w:rFonts w:eastAsia="Times New Roman"/>
              </w:rPr>
            </w:pPr>
          </w:p>
        </w:tc>
      </w:tr>
      <w:tr w:rsidR="00DA7E25" w:rsidRPr="0055512B" w14:paraId="3742FFE8" w14:textId="77777777" w:rsidTr="00F57DF9">
        <w:trPr>
          <w:trHeight w:val="182"/>
        </w:trPr>
        <w:tc>
          <w:tcPr>
            <w:tcW w:w="340" w:type="dxa"/>
            <w:tcBorders>
              <w:left w:val="single" w:sz="8" w:space="0" w:color="auto"/>
            </w:tcBorders>
            <w:shd w:val="clear" w:color="auto" w:fill="auto"/>
            <w:vAlign w:val="bottom"/>
          </w:tcPr>
          <w:p w14:paraId="3B2C6DB6" w14:textId="77777777" w:rsidR="00DA7E25" w:rsidRPr="0055512B" w:rsidRDefault="00DA7E25" w:rsidP="001950BE">
            <w:pPr>
              <w:spacing w:line="276" w:lineRule="auto"/>
              <w:ind w:left="120"/>
              <w:rPr>
                <w:rFonts w:eastAsia="Arial"/>
                <w:w w:val="89"/>
              </w:rPr>
            </w:pPr>
            <w:r w:rsidRPr="0055512B">
              <w:rPr>
                <w:rFonts w:eastAsia="Arial"/>
                <w:w w:val="89"/>
              </w:rPr>
              <w:t>1.2</w:t>
            </w:r>
          </w:p>
        </w:tc>
        <w:tc>
          <w:tcPr>
            <w:tcW w:w="4500" w:type="dxa"/>
            <w:tcBorders>
              <w:right w:val="single" w:sz="8" w:space="0" w:color="auto"/>
            </w:tcBorders>
            <w:shd w:val="clear" w:color="auto" w:fill="auto"/>
            <w:vAlign w:val="bottom"/>
          </w:tcPr>
          <w:p w14:paraId="3279B6C9" w14:textId="77777777" w:rsidR="00DA7E25" w:rsidRPr="0055512B" w:rsidRDefault="00DA7E25" w:rsidP="001950BE">
            <w:pPr>
              <w:spacing w:line="276" w:lineRule="auto"/>
              <w:ind w:left="40"/>
              <w:rPr>
                <w:rFonts w:eastAsia="Arial"/>
              </w:rPr>
            </w:pPr>
            <w:r w:rsidRPr="0055512B">
              <w:rPr>
                <w:rFonts w:eastAsia="Arial"/>
              </w:rPr>
              <w:t>Coûts O &amp; M</w:t>
            </w:r>
          </w:p>
        </w:tc>
        <w:tc>
          <w:tcPr>
            <w:tcW w:w="1260" w:type="dxa"/>
            <w:tcBorders>
              <w:right w:val="single" w:sz="8" w:space="0" w:color="auto"/>
            </w:tcBorders>
            <w:shd w:val="clear" w:color="auto" w:fill="auto"/>
            <w:vAlign w:val="bottom"/>
          </w:tcPr>
          <w:p w14:paraId="0266046E" w14:textId="77777777" w:rsidR="00DA7E25" w:rsidRPr="0055512B" w:rsidRDefault="00DA7E25" w:rsidP="001950BE">
            <w:pPr>
              <w:spacing w:line="276" w:lineRule="auto"/>
              <w:ind w:right="40"/>
              <w:rPr>
                <w:rFonts w:eastAsia="Arial"/>
              </w:rPr>
            </w:pPr>
            <w:r w:rsidRPr="0055512B">
              <w:rPr>
                <w:rFonts w:eastAsia="Arial"/>
              </w:rPr>
              <w:t>4, 000,000</w:t>
            </w:r>
          </w:p>
        </w:tc>
        <w:tc>
          <w:tcPr>
            <w:tcW w:w="1420" w:type="dxa"/>
            <w:tcBorders>
              <w:right w:val="single" w:sz="8" w:space="0" w:color="auto"/>
            </w:tcBorders>
            <w:shd w:val="clear" w:color="auto" w:fill="auto"/>
            <w:vAlign w:val="bottom"/>
          </w:tcPr>
          <w:p w14:paraId="1EC4A769" w14:textId="77777777" w:rsidR="00DA7E25" w:rsidRPr="0055512B" w:rsidRDefault="00DA7E25" w:rsidP="001950BE">
            <w:pPr>
              <w:spacing w:line="276" w:lineRule="auto"/>
              <w:ind w:right="40"/>
              <w:rPr>
                <w:rFonts w:eastAsia="Arial"/>
              </w:rPr>
            </w:pPr>
            <w:r w:rsidRPr="0055512B">
              <w:rPr>
                <w:rFonts w:eastAsia="Arial"/>
              </w:rPr>
              <w:t>4, 000,000</w:t>
            </w:r>
          </w:p>
        </w:tc>
        <w:tc>
          <w:tcPr>
            <w:tcW w:w="1540" w:type="dxa"/>
            <w:tcBorders>
              <w:right w:val="single" w:sz="8" w:space="0" w:color="auto"/>
            </w:tcBorders>
            <w:shd w:val="clear" w:color="auto" w:fill="auto"/>
            <w:vAlign w:val="bottom"/>
          </w:tcPr>
          <w:p w14:paraId="79572A81" w14:textId="77777777" w:rsidR="00DA7E25" w:rsidRPr="0055512B" w:rsidRDefault="00DA7E25" w:rsidP="001950BE">
            <w:pPr>
              <w:spacing w:line="276" w:lineRule="auto"/>
              <w:ind w:right="40"/>
              <w:rPr>
                <w:rFonts w:eastAsia="Arial"/>
              </w:rPr>
            </w:pPr>
            <w:r w:rsidRPr="0055512B">
              <w:rPr>
                <w:rFonts w:eastAsia="Arial"/>
              </w:rPr>
              <w:t>17, 000,000</w:t>
            </w:r>
          </w:p>
        </w:tc>
        <w:tc>
          <w:tcPr>
            <w:tcW w:w="540" w:type="dxa"/>
            <w:tcBorders>
              <w:right w:val="single" w:sz="8" w:space="0" w:color="auto"/>
            </w:tcBorders>
            <w:shd w:val="clear" w:color="auto" w:fill="auto"/>
            <w:vAlign w:val="bottom"/>
          </w:tcPr>
          <w:p w14:paraId="20069306" w14:textId="77777777" w:rsidR="00DA7E25" w:rsidRPr="0055512B" w:rsidRDefault="00DA7E25" w:rsidP="001950BE">
            <w:pPr>
              <w:spacing w:line="276" w:lineRule="auto"/>
              <w:ind w:left="80"/>
              <w:rPr>
                <w:rFonts w:eastAsia="Arial"/>
              </w:rPr>
            </w:pPr>
            <w:r w:rsidRPr="0055512B">
              <w:rPr>
                <w:rFonts w:eastAsia="Arial"/>
              </w:rPr>
              <w:t>34</w:t>
            </w:r>
          </w:p>
        </w:tc>
      </w:tr>
      <w:tr w:rsidR="00DA7E25" w:rsidRPr="0055512B" w14:paraId="5D0651F5" w14:textId="77777777" w:rsidTr="00F57DF9">
        <w:trPr>
          <w:trHeight w:val="185"/>
        </w:trPr>
        <w:tc>
          <w:tcPr>
            <w:tcW w:w="340" w:type="dxa"/>
            <w:tcBorders>
              <w:left w:val="single" w:sz="8" w:space="0" w:color="auto"/>
            </w:tcBorders>
            <w:shd w:val="clear" w:color="auto" w:fill="auto"/>
            <w:vAlign w:val="bottom"/>
          </w:tcPr>
          <w:p w14:paraId="20604000" w14:textId="77777777" w:rsidR="00DA7E25" w:rsidRPr="0055512B" w:rsidRDefault="00DA7E25" w:rsidP="001950BE">
            <w:pPr>
              <w:spacing w:line="276" w:lineRule="auto"/>
              <w:ind w:left="120"/>
              <w:rPr>
                <w:rFonts w:eastAsia="Arial"/>
                <w:w w:val="89"/>
              </w:rPr>
            </w:pPr>
            <w:r w:rsidRPr="0055512B">
              <w:rPr>
                <w:rFonts w:eastAsia="Arial"/>
                <w:w w:val="89"/>
              </w:rPr>
              <w:t>1.3</w:t>
            </w:r>
          </w:p>
        </w:tc>
        <w:tc>
          <w:tcPr>
            <w:tcW w:w="4500" w:type="dxa"/>
            <w:tcBorders>
              <w:right w:val="single" w:sz="8" w:space="0" w:color="auto"/>
            </w:tcBorders>
            <w:shd w:val="clear" w:color="auto" w:fill="auto"/>
            <w:vAlign w:val="bottom"/>
          </w:tcPr>
          <w:p w14:paraId="2783F5E0" w14:textId="77777777" w:rsidR="00DA7E25" w:rsidRPr="0055512B" w:rsidRDefault="00DA7E25" w:rsidP="001950BE">
            <w:pPr>
              <w:spacing w:line="276" w:lineRule="auto"/>
              <w:ind w:left="40"/>
              <w:rPr>
                <w:rFonts w:eastAsia="Arial"/>
              </w:rPr>
            </w:pPr>
            <w:r w:rsidRPr="0055512B">
              <w:rPr>
                <w:rFonts w:eastAsia="Arial"/>
              </w:rPr>
              <w:t>Formation et transfert de connaissance</w:t>
            </w:r>
          </w:p>
        </w:tc>
        <w:tc>
          <w:tcPr>
            <w:tcW w:w="1260" w:type="dxa"/>
            <w:tcBorders>
              <w:right w:val="single" w:sz="8" w:space="0" w:color="auto"/>
            </w:tcBorders>
            <w:shd w:val="clear" w:color="auto" w:fill="auto"/>
            <w:vAlign w:val="bottom"/>
          </w:tcPr>
          <w:p w14:paraId="0C7C5CDB" w14:textId="77777777" w:rsidR="00DA7E25" w:rsidRPr="0055512B" w:rsidRDefault="00DA7E25" w:rsidP="001950BE">
            <w:pPr>
              <w:spacing w:line="276" w:lineRule="auto"/>
              <w:ind w:right="60"/>
              <w:rPr>
                <w:rFonts w:eastAsia="Arial"/>
              </w:rPr>
            </w:pPr>
            <w:r w:rsidRPr="0055512B">
              <w:rPr>
                <w:rFonts w:eastAsia="Arial"/>
              </w:rPr>
              <w:t>500,000</w:t>
            </w:r>
          </w:p>
        </w:tc>
        <w:tc>
          <w:tcPr>
            <w:tcW w:w="1420" w:type="dxa"/>
            <w:tcBorders>
              <w:right w:val="single" w:sz="8" w:space="0" w:color="auto"/>
            </w:tcBorders>
            <w:shd w:val="clear" w:color="auto" w:fill="auto"/>
            <w:vAlign w:val="bottom"/>
          </w:tcPr>
          <w:p w14:paraId="1A03062B" w14:textId="77777777" w:rsidR="00DA7E25" w:rsidRPr="0055512B" w:rsidRDefault="00DA7E25" w:rsidP="001950BE">
            <w:pPr>
              <w:spacing w:line="276" w:lineRule="auto"/>
              <w:ind w:right="40"/>
              <w:rPr>
                <w:rFonts w:eastAsia="Arial"/>
              </w:rPr>
            </w:pPr>
            <w:r w:rsidRPr="0055512B">
              <w:rPr>
                <w:rFonts w:eastAsia="Arial"/>
              </w:rPr>
              <w:t>500,000</w:t>
            </w:r>
          </w:p>
        </w:tc>
        <w:tc>
          <w:tcPr>
            <w:tcW w:w="1540" w:type="dxa"/>
            <w:tcBorders>
              <w:right w:val="single" w:sz="8" w:space="0" w:color="auto"/>
            </w:tcBorders>
            <w:shd w:val="clear" w:color="auto" w:fill="auto"/>
            <w:vAlign w:val="bottom"/>
          </w:tcPr>
          <w:p w14:paraId="0110537A" w14:textId="77777777" w:rsidR="00DA7E25" w:rsidRPr="0055512B" w:rsidRDefault="00DA7E25" w:rsidP="001950BE">
            <w:pPr>
              <w:spacing w:line="276" w:lineRule="auto"/>
              <w:rPr>
                <w:rFonts w:eastAsia="Times New Roman"/>
              </w:rPr>
            </w:pPr>
          </w:p>
        </w:tc>
        <w:tc>
          <w:tcPr>
            <w:tcW w:w="540" w:type="dxa"/>
            <w:tcBorders>
              <w:right w:val="single" w:sz="8" w:space="0" w:color="auto"/>
            </w:tcBorders>
            <w:shd w:val="clear" w:color="auto" w:fill="auto"/>
            <w:vAlign w:val="bottom"/>
          </w:tcPr>
          <w:p w14:paraId="6A5F171B" w14:textId="77777777" w:rsidR="00DA7E25" w:rsidRPr="0055512B" w:rsidRDefault="00DA7E25" w:rsidP="001950BE">
            <w:pPr>
              <w:spacing w:line="276" w:lineRule="auto"/>
              <w:rPr>
                <w:rFonts w:eastAsia="Times New Roman"/>
              </w:rPr>
            </w:pPr>
          </w:p>
        </w:tc>
      </w:tr>
      <w:tr w:rsidR="00DA7E25" w:rsidRPr="0055512B" w14:paraId="090E78B3" w14:textId="77777777" w:rsidTr="00F57DF9">
        <w:trPr>
          <w:trHeight w:val="189"/>
        </w:trPr>
        <w:tc>
          <w:tcPr>
            <w:tcW w:w="4840" w:type="dxa"/>
            <w:gridSpan w:val="2"/>
            <w:tcBorders>
              <w:left w:val="single" w:sz="8" w:space="0" w:color="auto"/>
              <w:bottom w:val="single" w:sz="8" w:space="0" w:color="auto"/>
              <w:right w:val="single" w:sz="8" w:space="0" w:color="auto"/>
            </w:tcBorders>
            <w:shd w:val="clear" w:color="auto" w:fill="auto"/>
            <w:vAlign w:val="bottom"/>
          </w:tcPr>
          <w:p w14:paraId="5682FF91" w14:textId="77777777" w:rsidR="00DA7E25" w:rsidRPr="0055512B" w:rsidRDefault="00DA7E25" w:rsidP="001950BE">
            <w:pPr>
              <w:spacing w:line="276" w:lineRule="auto"/>
              <w:rPr>
                <w:rFonts w:eastAsia="Times New Roman"/>
              </w:rPr>
            </w:pPr>
          </w:p>
        </w:tc>
        <w:tc>
          <w:tcPr>
            <w:tcW w:w="1260" w:type="dxa"/>
            <w:tcBorders>
              <w:bottom w:val="single" w:sz="8" w:space="0" w:color="auto"/>
              <w:right w:val="single" w:sz="8" w:space="0" w:color="auto"/>
            </w:tcBorders>
            <w:shd w:val="clear" w:color="auto" w:fill="auto"/>
            <w:vAlign w:val="bottom"/>
          </w:tcPr>
          <w:p w14:paraId="7A93362A" w14:textId="77777777" w:rsidR="00DA7E25" w:rsidRPr="0055512B" w:rsidRDefault="00DA7E25" w:rsidP="001950BE">
            <w:pPr>
              <w:spacing w:line="276" w:lineRule="auto"/>
              <w:rPr>
                <w:rFonts w:eastAsia="Times New Roman"/>
              </w:rPr>
            </w:pPr>
          </w:p>
        </w:tc>
        <w:tc>
          <w:tcPr>
            <w:tcW w:w="1420" w:type="dxa"/>
            <w:tcBorders>
              <w:bottom w:val="single" w:sz="8" w:space="0" w:color="auto"/>
              <w:right w:val="single" w:sz="8" w:space="0" w:color="auto"/>
            </w:tcBorders>
            <w:shd w:val="clear" w:color="auto" w:fill="auto"/>
            <w:vAlign w:val="bottom"/>
          </w:tcPr>
          <w:p w14:paraId="7C91D6F3" w14:textId="77777777" w:rsidR="00DA7E25" w:rsidRPr="0055512B" w:rsidRDefault="00DA7E25" w:rsidP="001950BE">
            <w:pPr>
              <w:spacing w:line="276" w:lineRule="auto"/>
              <w:rPr>
                <w:rFonts w:eastAsia="Times New Roman"/>
              </w:rPr>
            </w:pPr>
          </w:p>
        </w:tc>
        <w:tc>
          <w:tcPr>
            <w:tcW w:w="1540" w:type="dxa"/>
            <w:tcBorders>
              <w:bottom w:val="single" w:sz="8" w:space="0" w:color="auto"/>
              <w:right w:val="single" w:sz="8" w:space="0" w:color="auto"/>
            </w:tcBorders>
            <w:shd w:val="clear" w:color="auto" w:fill="auto"/>
            <w:vAlign w:val="bottom"/>
          </w:tcPr>
          <w:p w14:paraId="01F0257D" w14:textId="77777777" w:rsidR="00DA7E25" w:rsidRPr="0055512B" w:rsidRDefault="00DA7E25" w:rsidP="001950BE">
            <w:pPr>
              <w:spacing w:line="276" w:lineRule="auto"/>
              <w:rPr>
                <w:rFonts w:eastAsia="Times New Roman"/>
              </w:rPr>
            </w:pPr>
          </w:p>
        </w:tc>
        <w:tc>
          <w:tcPr>
            <w:tcW w:w="540" w:type="dxa"/>
            <w:tcBorders>
              <w:bottom w:val="single" w:sz="8" w:space="0" w:color="auto"/>
              <w:right w:val="single" w:sz="8" w:space="0" w:color="auto"/>
            </w:tcBorders>
            <w:shd w:val="clear" w:color="auto" w:fill="auto"/>
            <w:vAlign w:val="bottom"/>
          </w:tcPr>
          <w:p w14:paraId="74DACD9A" w14:textId="77777777" w:rsidR="00DA7E25" w:rsidRPr="0055512B" w:rsidRDefault="00DA7E25" w:rsidP="001950BE">
            <w:pPr>
              <w:spacing w:line="276" w:lineRule="auto"/>
              <w:rPr>
                <w:rFonts w:eastAsia="Times New Roman"/>
              </w:rPr>
            </w:pPr>
          </w:p>
        </w:tc>
      </w:tr>
      <w:tr w:rsidR="00DA7E25" w:rsidRPr="0055512B" w14:paraId="579345F9" w14:textId="77777777" w:rsidTr="00F57DF9">
        <w:trPr>
          <w:trHeight w:val="166"/>
        </w:trPr>
        <w:tc>
          <w:tcPr>
            <w:tcW w:w="4840" w:type="dxa"/>
            <w:gridSpan w:val="2"/>
            <w:tcBorders>
              <w:left w:val="single" w:sz="8" w:space="0" w:color="auto"/>
              <w:right w:val="single" w:sz="8" w:space="0" w:color="auto"/>
            </w:tcBorders>
            <w:shd w:val="clear" w:color="auto" w:fill="auto"/>
            <w:vAlign w:val="bottom"/>
          </w:tcPr>
          <w:p w14:paraId="0B3916DD" w14:textId="77777777" w:rsidR="00DA7E25" w:rsidRPr="0055512B" w:rsidRDefault="00DA7E25" w:rsidP="001950BE">
            <w:pPr>
              <w:spacing w:line="276" w:lineRule="auto"/>
              <w:ind w:left="120"/>
              <w:rPr>
                <w:rFonts w:eastAsia="Arial"/>
                <w:b/>
              </w:rPr>
            </w:pPr>
            <w:r w:rsidRPr="0055512B">
              <w:rPr>
                <w:rFonts w:eastAsia="Arial"/>
                <w:b/>
              </w:rPr>
              <w:t>2. Investissements en eau potable et assainissement</w:t>
            </w:r>
          </w:p>
        </w:tc>
        <w:tc>
          <w:tcPr>
            <w:tcW w:w="1260" w:type="dxa"/>
            <w:tcBorders>
              <w:right w:val="single" w:sz="8" w:space="0" w:color="auto"/>
            </w:tcBorders>
            <w:shd w:val="clear" w:color="auto" w:fill="auto"/>
            <w:vAlign w:val="bottom"/>
          </w:tcPr>
          <w:p w14:paraId="282ED9BA" w14:textId="77777777" w:rsidR="00DA7E25" w:rsidRPr="0055512B" w:rsidRDefault="00DA7E25" w:rsidP="001950BE">
            <w:pPr>
              <w:spacing w:line="276" w:lineRule="auto"/>
              <w:rPr>
                <w:rFonts w:eastAsia="Times New Roman"/>
              </w:rPr>
            </w:pPr>
          </w:p>
        </w:tc>
        <w:tc>
          <w:tcPr>
            <w:tcW w:w="1420" w:type="dxa"/>
            <w:tcBorders>
              <w:right w:val="single" w:sz="8" w:space="0" w:color="auto"/>
            </w:tcBorders>
            <w:shd w:val="clear" w:color="auto" w:fill="auto"/>
            <w:vAlign w:val="bottom"/>
          </w:tcPr>
          <w:p w14:paraId="28638C50" w14:textId="77777777" w:rsidR="00DA7E25" w:rsidRPr="0055512B" w:rsidRDefault="00DA7E25" w:rsidP="001950BE">
            <w:pPr>
              <w:spacing w:line="276" w:lineRule="auto"/>
              <w:rPr>
                <w:rFonts w:eastAsia="Times New Roman"/>
              </w:rPr>
            </w:pPr>
          </w:p>
        </w:tc>
        <w:tc>
          <w:tcPr>
            <w:tcW w:w="1540" w:type="dxa"/>
            <w:tcBorders>
              <w:right w:val="single" w:sz="8" w:space="0" w:color="auto"/>
            </w:tcBorders>
            <w:shd w:val="clear" w:color="auto" w:fill="auto"/>
            <w:vAlign w:val="bottom"/>
          </w:tcPr>
          <w:p w14:paraId="0E0AA771" w14:textId="77777777" w:rsidR="00DA7E25" w:rsidRPr="0055512B" w:rsidRDefault="00DA7E25" w:rsidP="001950BE">
            <w:pPr>
              <w:spacing w:line="276" w:lineRule="auto"/>
              <w:rPr>
                <w:rFonts w:eastAsia="Times New Roman"/>
              </w:rPr>
            </w:pPr>
          </w:p>
        </w:tc>
        <w:tc>
          <w:tcPr>
            <w:tcW w:w="540" w:type="dxa"/>
            <w:tcBorders>
              <w:right w:val="single" w:sz="8" w:space="0" w:color="auto"/>
            </w:tcBorders>
            <w:shd w:val="clear" w:color="auto" w:fill="auto"/>
            <w:vAlign w:val="bottom"/>
          </w:tcPr>
          <w:p w14:paraId="49C64D60" w14:textId="77777777" w:rsidR="00DA7E25" w:rsidRPr="0055512B" w:rsidRDefault="00DA7E25" w:rsidP="001950BE">
            <w:pPr>
              <w:spacing w:line="276" w:lineRule="auto"/>
              <w:rPr>
                <w:rFonts w:eastAsia="Times New Roman"/>
              </w:rPr>
            </w:pPr>
          </w:p>
        </w:tc>
      </w:tr>
      <w:tr w:rsidR="00DA7E25" w:rsidRPr="0055512B" w14:paraId="4160A2BB" w14:textId="77777777" w:rsidTr="00F57DF9">
        <w:trPr>
          <w:trHeight w:val="187"/>
        </w:trPr>
        <w:tc>
          <w:tcPr>
            <w:tcW w:w="340" w:type="dxa"/>
            <w:tcBorders>
              <w:left w:val="single" w:sz="8" w:space="0" w:color="auto"/>
            </w:tcBorders>
            <w:shd w:val="clear" w:color="auto" w:fill="auto"/>
            <w:vAlign w:val="bottom"/>
          </w:tcPr>
          <w:p w14:paraId="47F04317" w14:textId="77777777" w:rsidR="00DA7E25" w:rsidRPr="0055512B" w:rsidRDefault="00DA7E25" w:rsidP="001950BE">
            <w:pPr>
              <w:spacing w:line="276" w:lineRule="auto"/>
              <w:ind w:left="120"/>
              <w:rPr>
                <w:rFonts w:eastAsia="Arial"/>
                <w:w w:val="89"/>
              </w:rPr>
            </w:pPr>
            <w:r w:rsidRPr="0055512B">
              <w:rPr>
                <w:rFonts w:eastAsia="Arial"/>
                <w:w w:val="89"/>
              </w:rPr>
              <w:t>2</w:t>
            </w:r>
            <w:r w:rsidR="00616241" w:rsidRPr="0055512B">
              <w:rPr>
                <w:rFonts w:eastAsia="Arial"/>
                <w:w w:val="89"/>
              </w:rPr>
              <w:t>.</w:t>
            </w:r>
          </w:p>
        </w:tc>
        <w:tc>
          <w:tcPr>
            <w:tcW w:w="4500" w:type="dxa"/>
            <w:tcBorders>
              <w:right w:val="single" w:sz="8" w:space="0" w:color="auto"/>
            </w:tcBorders>
            <w:shd w:val="clear" w:color="auto" w:fill="auto"/>
            <w:vAlign w:val="bottom"/>
          </w:tcPr>
          <w:p w14:paraId="674A96D4" w14:textId="77777777" w:rsidR="00DA7E25" w:rsidRPr="0055512B" w:rsidRDefault="00DA7E25" w:rsidP="00014E52">
            <w:pPr>
              <w:spacing w:line="276" w:lineRule="auto"/>
              <w:ind w:left="40"/>
            </w:pPr>
            <w:r w:rsidRPr="0055512B">
              <w:t>Etudes</w:t>
            </w:r>
          </w:p>
        </w:tc>
        <w:tc>
          <w:tcPr>
            <w:tcW w:w="1260" w:type="dxa"/>
            <w:tcBorders>
              <w:right w:val="single" w:sz="8" w:space="0" w:color="auto"/>
            </w:tcBorders>
            <w:shd w:val="clear" w:color="auto" w:fill="auto"/>
            <w:vAlign w:val="bottom"/>
          </w:tcPr>
          <w:p w14:paraId="33893C2D" w14:textId="77777777" w:rsidR="00DA7E25" w:rsidRPr="0055512B" w:rsidRDefault="00DA7E25" w:rsidP="001950BE">
            <w:pPr>
              <w:spacing w:line="276" w:lineRule="auto"/>
              <w:ind w:right="60"/>
              <w:rPr>
                <w:rFonts w:eastAsia="Arial"/>
              </w:rPr>
            </w:pPr>
            <w:r w:rsidRPr="0055512B">
              <w:rPr>
                <w:rFonts w:eastAsia="Arial"/>
              </w:rPr>
              <w:t>500,000</w:t>
            </w:r>
          </w:p>
        </w:tc>
        <w:tc>
          <w:tcPr>
            <w:tcW w:w="1420" w:type="dxa"/>
            <w:tcBorders>
              <w:right w:val="single" w:sz="8" w:space="0" w:color="auto"/>
            </w:tcBorders>
            <w:shd w:val="clear" w:color="auto" w:fill="auto"/>
            <w:vAlign w:val="bottom"/>
          </w:tcPr>
          <w:p w14:paraId="32D6592C" w14:textId="77777777" w:rsidR="00DA7E25" w:rsidRPr="0055512B" w:rsidRDefault="00DA7E25" w:rsidP="001950BE">
            <w:pPr>
              <w:spacing w:line="276" w:lineRule="auto"/>
              <w:ind w:right="40"/>
              <w:rPr>
                <w:rFonts w:eastAsia="Arial"/>
              </w:rPr>
            </w:pPr>
            <w:r w:rsidRPr="0055512B">
              <w:rPr>
                <w:rFonts w:eastAsia="Arial"/>
              </w:rPr>
              <w:t>2, 000,000</w:t>
            </w:r>
          </w:p>
        </w:tc>
        <w:tc>
          <w:tcPr>
            <w:tcW w:w="1540" w:type="dxa"/>
            <w:tcBorders>
              <w:right w:val="single" w:sz="8" w:space="0" w:color="auto"/>
            </w:tcBorders>
            <w:shd w:val="clear" w:color="auto" w:fill="auto"/>
            <w:vAlign w:val="bottom"/>
          </w:tcPr>
          <w:p w14:paraId="6427CA1E" w14:textId="77777777" w:rsidR="00DA7E25" w:rsidRPr="0055512B" w:rsidRDefault="00DA7E25" w:rsidP="001950BE">
            <w:pPr>
              <w:spacing w:line="276" w:lineRule="auto"/>
              <w:rPr>
                <w:rFonts w:eastAsia="Times New Roman"/>
              </w:rPr>
            </w:pPr>
          </w:p>
        </w:tc>
        <w:tc>
          <w:tcPr>
            <w:tcW w:w="540" w:type="dxa"/>
            <w:tcBorders>
              <w:right w:val="single" w:sz="8" w:space="0" w:color="auto"/>
            </w:tcBorders>
            <w:shd w:val="clear" w:color="auto" w:fill="auto"/>
            <w:vAlign w:val="bottom"/>
          </w:tcPr>
          <w:p w14:paraId="6581D8A2" w14:textId="77777777" w:rsidR="00DA7E25" w:rsidRPr="0055512B" w:rsidRDefault="00DA7E25" w:rsidP="001950BE">
            <w:pPr>
              <w:spacing w:line="276" w:lineRule="auto"/>
              <w:rPr>
                <w:rFonts w:eastAsia="Times New Roman"/>
              </w:rPr>
            </w:pPr>
          </w:p>
        </w:tc>
      </w:tr>
      <w:tr w:rsidR="00DA7E25" w:rsidRPr="0055512B" w14:paraId="6FF64082" w14:textId="77777777" w:rsidTr="00F57DF9">
        <w:trPr>
          <w:trHeight w:val="185"/>
        </w:trPr>
        <w:tc>
          <w:tcPr>
            <w:tcW w:w="340" w:type="dxa"/>
            <w:vMerge w:val="restart"/>
            <w:tcBorders>
              <w:left w:val="single" w:sz="8" w:space="0" w:color="auto"/>
            </w:tcBorders>
            <w:shd w:val="clear" w:color="auto" w:fill="auto"/>
            <w:vAlign w:val="bottom"/>
          </w:tcPr>
          <w:p w14:paraId="334FBEA5" w14:textId="77777777" w:rsidR="00DA7E25" w:rsidRPr="0055512B" w:rsidRDefault="00616241" w:rsidP="001950BE">
            <w:pPr>
              <w:spacing w:line="276" w:lineRule="auto"/>
              <w:ind w:left="120"/>
              <w:rPr>
                <w:rFonts w:eastAsia="Arial"/>
                <w:w w:val="89"/>
              </w:rPr>
            </w:pPr>
            <w:r w:rsidRPr="0055512B">
              <w:rPr>
                <w:rFonts w:eastAsia="Arial"/>
                <w:w w:val="89"/>
              </w:rPr>
              <w:t>2.</w:t>
            </w:r>
          </w:p>
        </w:tc>
        <w:tc>
          <w:tcPr>
            <w:tcW w:w="4500" w:type="dxa"/>
            <w:vMerge w:val="restart"/>
            <w:tcBorders>
              <w:right w:val="single" w:sz="8" w:space="0" w:color="auto"/>
            </w:tcBorders>
            <w:shd w:val="clear" w:color="auto" w:fill="auto"/>
            <w:vAlign w:val="bottom"/>
          </w:tcPr>
          <w:p w14:paraId="15518A33" w14:textId="77777777" w:rsidR="00DA7E25" w:rsidRPr="0055512B" w:rsidRDefault="00DA7E25" w:rsidP="00616241">
            <w:pPr>
              <w:spacing w:line="276" w:lineRule="auto"/>
              <w:rPr>
                <w:rFonts w:eastAsia="Arial"/>
              </w:rPr>
            </w:pPr>
            <w:r w:rsidRPr="0055512B">
              <w:rPr>
                <w:rFonts w:eastAsia="Arial"/>
              </w:rPr>
              <w:t>Investissements</w:t>
            </w:r>
          </w:p>
        </w:tc>
        <w:tc>
          <w:tcPr>
            <w:tcW w:w="1260" w:type="dxa"/>
            <w:tcBorders>
              <w:right w:val="single" w:sz="8" w:space="0" w:color="auto"/>
            </w:tcBorders>
            <w:shd w:val="clear" w:color="auto" w:fill="auto"/>
            <w:vAlign w:val="bottom"/>
          </w:tcPr>
          <w:p w14:paraId="742F7A3A" w14:textId="77777777" w:rsidR="00DA7E25" w:rsidRPr="0055512B" w:rsidRDefault="00DA7E25" w:rsidP="001950BE">
            <w:pPr>
              <w:spacing w:line="276" w:lineRule="auto"/>
              <w:ind w:right="40"/>
              <w:rPr>
                <w:rFonts w:eastAsia="Arial"/>
              </w:rPr>
            </w:pPr>
            <w:r w:rsidRPr="0055512B">
              <w:rPr>
                <w:rFonts w:eastAsia="Arial"/>
              </w:rPr>
              <w:t>4, 000,000</w:t>
            </w:r>
          </w:p>
        </w:tc>
        <w:tc>
          <w:tcPr>
            <w:tcW w:w="1420" w:type="dxa"/>
            <w:tcBorders>
              <w:right w:val="single" w:sz="8" w:space="0" w:color="auto"/>
            </w:tcBorders>
            <w:shd w:val="clear" w:color="auto" w:fill="auto"/>
            <w:vAlign w:val="bottom"/>
          </w:tcPr>
          <w:p w14:paraId="5C70E9A5" w14:textId="77777777" w:rsidR="00DA7E25" w:rsidRPr="0055512B" w:rsidRDefault="00DA7E25" w:rsidP="001950BE">
            <w:pPr>
              <w:spacing w:line="276" w:lineRule="auto"/>
              <w:ind w:right="40"/>
              <w:rPr>
                <w:rFonts w:eastAsia="Arial"/>
              </w:rPr>
            </w:pPr>
            <w:r w:rsidRPr="0055512B">
              <w:rPr>
                <w:rFonts w:eastAsia="Arial"/>
              </w:rPr>
              <w:t>23, 000,000</w:t>
            </w:r>
          </w:p>
        </w:tc>
        <w:tc>
          <w:tcPr>
            <w:tcW w:w="1540" w:type="dxa"/>
            <w:tcBorders>
              <w:right w:val="single" w:sz="8" w:space="0" w:color="auto"/>
            </w:tcBorders>
            <w:shd w:val="clear" w:color="auto" w:fill="auto"/>
            <w:vAlign w:val="bottom"/>
          </w:tcPr>
          <w:p w14:paraId="72C05267" w14:textId="77777777" w:rsidR="00DA7E25" w:rsidRPr="0055512B" w:rsidRDefault="00DA7E25" w:rsidP="001950BE">
            <w:pPr>
              <w:spacing w:line="276" w:lineRule="auto"/>
              <w:ind w:right="40"/>
              <w:rPr>
                <w:rFonts w:eastAsia="Arial"/>
              </w:rPr>
            </w:pPr>
            <w:r w:rsidRPr="0055512B">
              <w:rPr>
                <w:rFonts w:eastAsia="Arial"/>
              </w:rPr>
              <w:t>29, 500,000</w:t>
            </w:r>
          </w:p>
        </w:tc>
        <w:tc>
          <w:tcPr>
            <w:tcW w:w="540" w:type="dxa"/>
            <w:tcBorders>
              <w:right w:val="single" w:sz="8" w:space="0" w:color="auto"/>
            </w:tcBorders>
            <w:shd w:val="clear" w:color="auto" w:fill="auto"/>
            <w:vAlign w:val="bottom"/>
          </w:tcPr>
          <w:p w14:paraId="57263619" w14:textId="77777777" w:rsidR="00DA7E25" w:rsidRPr="0055512B" w:rsidRDefault="00DA7E25" w:rsidP="001950BE">
            <w:pPr>
              <w:spacing w:line="276" w:lineRule="auto"/>
              <w:ind w:left="80"/>
              <w:rPr>
                <w:rFonts w:eastAsia="Arial"/>
              </w:rPr>
            </w:pPr>
            <w:r w:rsidRPr="0055512B">
              <w:rPr>
                <w:rFonts w:eastAsia="Arial"/>
              </w:rPr>
              <w:t>59</w:t>
            </w:r>
          </w:p>
        </w:tc>
      </w:tr>
      <w:tr w:rsidR="00DA7E25" w:rsidRPr="0055512B" w14:paraId="5EB87EBC" w14:textId="77777777" w:rsidTr="00F57DF9">
        <w:trPr>
          <w:trHeight w:val="91"/>
        </w:trPr>
        <w:tc>
          <w:tcPr>
            <w:tcW w:w="340" w:type="dxa"/>
            <w:vMerge/>
            <w:tcBorders>
              <w:left w:val="single" w:sz="8" w:space="0" w:color="auto"/>
            </w:tcBorders>
            <w:shd w:val="clear" w:color="auto" w:fill="auto"/>
            <w:vAlign w:val="bottom"/>
          </w:tcPr>
          <w:p w14:paraId="5515BCDA" w14:textId="77777777" w:rsidR="00DA7E25" w:rsidRPr="0055512B" w:rsidRDefault="00DA7E25" w:rsidP="001950BE">
            <w:pPr>
              <w:spacing w:line="276" w:lineRule="auto"/>
              <w:rPr>
                <w:rFonts w:eastAsia="Times New Roman"/>
              </w:rPr>
            </w:pPr>
          </w:p>
        </w:tc>
        <w:tc>
          <w:tcPr>
            <w:tcW w:w="4500" w:type="dxa"/>
            <w:vMerge/>
            <w:tcBorders>
              <w:right w:val="single" w:sz="8" w:space="0" w:color="auto"/>
            </w:tcBorders>
            <w:shd w:val="clear" w:color="auto" w:fill="auto"/>
            <w:vAlign w:val="bottom"/>
          </w:tcPr>
          <w:p w14:paraId="3DFADA53" w14:textId="77777777" w:rsidR="00DA7E25" w:rsidRPr="0055512B" w:rsidRDefault="00DA7E25" w:rsidP="001950BE">
            <w:pPr>
              <w:spacing w:line="276" w:lineRule="auto"/>
              <w:rPr>
                <w:rFonts w:eastAsia="Times New Roman"/>
              </w:rPr>
            </w:pPr>
          </w:p>
        </w:tc>
        <w:tc>
          <w:tcPr>
            <w:tcW w:w="1260" w:type="dxa"/>
            <w:tcBorders>
              <w:right w:val="single" w:sz="8" w:space="0" w:color="auto"/>
            </w:tcBorders>
            <w:shd w:val="clear" w:color="auto" w:fill="auto"/>
            <w:vAlign w:val="bottom"/>
          </w:tcPr>
          <w:p w14:paraId="5B9687E7" w14:textId="77777777" w:rsidR="00DA7E25" w:rsidRPr="0055512B" w:rsidRDefault="00DA7E25" w:rsidP="001950BE">
            <w:pPr>
              <w:spacing w:line="276" w:lineRule="auto"/>
              <w:rPr>
                <w:rFonts w:eastAsia="Times New Roman"/>
              </w:rPr>
            </w:pPr>
          </w:p>
        </w:tc>
        <w:tc>
          <w:tcPr>
            <w:tcW w:w="1420" w:type="dxa"/>
            <w:tcBorders>
              <w:right w:val="single" w:sz="8" w:space="0" w:color="auto"/>
            </w:tcBorders>
            <w:shd w:val="clear" w:color="auto" w:fill="auto"/>
            <w:vAlign w:val="bottom"/>
          </w:tcPr>
          <w:p w14:paraId="38E89C62" w14:textId="77777777" w:rsidR="00DA7E25" w:rsidRPr="0055512B" w:rsidRDefault="00DA7E25" w:rsidP="001950BE">
            <w:pPr>
              <w:spacing w:line="276" w:lineRule="auto"/>
              <w:rPr>
                <w:rFonts w:eastAsia="Times New Roman"/>
              </w:rPr>
            </w:pPr>
          </w:p>
        </w:tc>
        <w:tc>
          <w:tcPr>
            <w:tcW w:w="1540" w:type="dxa"/>
            <w:tcBorders>
              <w:right w:val="single" w:sz="8" w:space="0" w:color="auto"/>
            </w:tcBorders>
            <w:shd w:val="clear" w:color="auto" w:fill="auto"/>
            <w:vAlign w:val="bottom"/>
          </w:tcPr>
          <w:p w14:paraId="4EC431EB" w14:textId="77777777" w:rsidR="00DA7E25" w:rsidRPr="0055512B" w:rsidRDefault="00DA7E25" w:rsidP="001950BE">
            <w:pPr>
              <w:spacing w:line="276" w:lineRule="auto"/>
              <w:rPr>
                <w:rFonts w:eastAsia="Times New Roman"/>
              </w:rPr>
            </w:pPr>
          </w:p>
        </w:tc>
        <w:tc>
          <w:tcPr>
            <w:tcW w:w="540" w:type="dxa"/>
            <w:tcBorders>
              <w:right w:val="single" w:sz="8" w:space="0" w:color="auto"/>
            </w:tcBorders>
            <w:shd w:val="clear" w:color="auto" w:fill="auto"/>
            <w:vAlign w:val="bottom"/>
          </w:tcPr>
          <w:p w14:paraId="57BBE7CD" w14:textId="77777777" w:rsidR="00DA7E25" w:rsidRPr="0055512B" w:rsidRDefault="00DA7E25" w:rsidP="001950BE">
            <w:pPr>
              <w:spacing w:line="276" w:lineRule="auto"/>
              <w:rPr>
                <w:rFonts w:eastAsia="Times New Roman"/>
              </w:rPr>
            </w:pPr>
          </w:p>
        </w:tc>
      </w:tr>
      <w:tr w:rsidR="00DA7E25" w:rsidRPr="0055512B" w14:paraId="17EADA61" w14:textId="77777777" w:rsidTr="00F57DF9">
        <w:trPr>
          <w:trHeight w:val="98"/>
        </w:trPr>
        <w:tc>
          <w:tcPr>
            <w:tcW w:w="340" w:type="dxa"/>
            <w:tcBorders>
              <w:left w:val="single" w:sz="8" w:space="0" w:color="auto"/>
              <w:bottom w:val="single" w:sz="8" w:space="0" w:color="auto"/>
            </w:tcBorders>
            <w:shd w:val="clear" w:color="auto" w:fill="auto"/>
            <w:vAlign w:val="bottom"/>
          </w:tcPr>
          <w:p w14:paraId="66E2D546" w14:textId="77777777" w:rsidR="00DA7E25" w:rsidRPr="0055512B" w:rsidRDefault="00DA7E25" w:rsidP="001950BE">
            <w:pPr>
              <w:spacing w:line="276" w:lineRule="auto"/>
              <w:rPr>
                <w:rFonts w:eastAsia="Times New Roman"/>
              </w:rPr>
            </w:pPr>
          </w:p>
        </w:tc>
        <w:tc>
          <w:tcPr>
            <w:tcW w:w="4500" w:type="dxa"/>
            <w:tcBorders>
              <w:bottom w:val="single" w:sz="8" w:space="0" w:color="auto"/>
              <w:right w:val="single" w:sz="8" w:space="0" w:color="auto"/>
            </w:tcBorders>
            <w:shd w:val="clear" w:color="auto" w:fill="auto"/>
            <w:vAlign w:val="bottom"/>
          </w:tcPr>
          <w:p w14:paraId="271CDC9C" w14:textId="77777777" w:rsidR="00DA7E25" w:rsidRPr="0055512B" w:rsidRDefault="00DA7E25" w:rsidP="001950BE">
            <w:pPr>
              <w:spacing w:line="276" w:lineRule="auto"/>
              <w:rPr>
                <w:rFonts w:eastAsia="Times New Roman"/>
              </w:rPr>
            </w:pPr>
          </w:p>
        </w:tc>
        <w:tc>
          <w:tcPr>
            <w:tcW w:w="1260" w:type="dxa"/>
            <w:tcBorders>
              <w:bottom w:val="single" w:sz="8" w:space="0" w:color="auto"/>
              <w:right w:val="single" w:sz="8" w:space="0" w:color="auto"/>
            </w:tcBorders>
            <w:shd w:val="clear" w:color="auto" w:fill="auto"/>
            <w:vAlign w:val="bottom"/>
          </w:tcPr>
          <w:p w14:paraId="19482205" w14:textId="77777777" w:rsidR="00DA7E25" w:rsidRPr="0055512B" w:rsidRDefault="00DA7E25" w:rsidP="001950BE">
            <w:pPr>
              <w:spacing w:line="276" w:lineRule="auto"/>
              <w:rPr>
                <w:rFonts w:eastAsia="Times New Roman"/>
              </w:rPr>
            </w:pPr>
          </w:p>
        </w:tc>
        <w:tc>
          <w:tcPr>
            <w:tcW w:w="1420" w:type="dxa"/>
            <w:tcBorders>
              <w:bottom w:val="single" w:sz="8" w:space="0" w:color="auto"/>
              <w:right w:val="single" w:sz="8" w:space="0" w:color="auto"/>
            </w:tcBorders>
            <w:shd w:val="clear" w:color="auto" w:fill="auto"/>
            <w:vAlign w:val="bottom"/>
          </w:tcPr>
          <w:p w14:paraId="7F4DC905" w14:textId="77777777" w:rsidR="00DA7E25" w:rsidRPr="0055512B" w:rsidRDefault="00DA7E25" w:rsidP="001950BE">
            <w:pPr>
              <w:spacing w:line="276" w:lineRule="auto"/>
              <w:rPr>
                <w:rFonts w:eastAsia="Times New Roman"/>
              </w:rPr>
            </w:pPr>
          </w:p>
        </w:tc>
        <w:tc>
          <w:tcPr>
            <w:tcW w:w="1540" w:type="dxa"/>
            <w:tcBorders>
              <w:bottom w:val="single" w:sz="8" w:space="0" w:color="auto"/>
              <w:right w:val="single" w:sz="8" w:space="0" w:color="auto"/>
            </w:tcBorders>
            <w:shd w:val="clear" w:color="auto" w:fill="auto"/>
            <w:vAlign w:val="bottom"/>
          </w:tcPr>
          <w:p w14:paraId="6625AF4A" w14:textId="77777777" w:rsidR="00DA7E25" w:rsidRPr="0055512B" w:rsidRDefault="00DA7E25" w:rsidP="001950BE">
            <w:pPr>
              <w:spacing w:line="276" w:lineRule="auto"/>
              <w:rPr>
                <w:rFonts w:eastAsia="Times New Roman"/>
              </w:rPr>
            </w:pPr>
          </w:p>
        </w:tc>
        <w:tc>
          <w:tcPr>
            <w:tcW w:w="540" w:type="dxa"/>
            <w:tcBorders>
              <w:bottom w:val="single" w:sz="8" w:space="0" w:color="auto"/>
              <w:right w:val="single" w:sz="8" w:space="0" w:color="auto"/>
            </w:tcBorders>
            <w:shd w:val="clear" w:color="auto" w:fill="auto"/>
            <w:vAlign w:val="bottom"/>
          </w:tcPr>
          <w:p w14:paraId="4EC28811" w14:textId="77777777" w:rsidR="00DA7E25" w:rsidRPr="0055512B" w:rsidRDefault="00DA7E25" w:rsidP="001950BE">
            <w:pPr>
              <w:spacing w:line="276" w:lineRule="auto"/>
              <w:rPr>
                <w:rFonts w:eastAsia="Times New Roman"/>
              </w:rPr>
            </w:pPr>
          </w:p>
        </w:tc>
      </w:tr>
      <w:tr w:rsidR="00DA7E25" w:rsidRPr="0055512B" w14:paraId="4CE0C40C" w14:textId="77777777" w:rsidTr="00F57DF9">
        <w:trPr>
          <w:trHeight w:val="168"/>
        </w:trPr>
        <w:tc>
          <w:tcPr>
            <w:tcW w:w="340" w:type="dxa"/>
            <w:tcBorders>
              <w:left w:val="single" w:sz="8" w:space="0" w:color="auto"/>
            </w:tcBorders>
            <w:shd w:val="clear" w:color="auto" w:fill="auto"/>
            <w:vAlign w:val="bottom"/>
          </w:tcPr>
          <w:p w14:paraId="27C88BCA" w14:textId="77777777" w:rsidR="00DA7E25" w:rsidRPr="0055512B" w:rsidRDefault="00DA7E25" w:rsidP="001950BE">
            <w:pPr>
              <w:spacing w:line="276" w:lineRule="auto"/>
              <w:ind w:left="120"/>
              <w:rPr>
                <w:rFonts w:eastAsia="Arial"/>
                <w:b/>
              </w:rPr>
            </w:pPr>
          </w:p>
        </w:tc>
        <w:tc>
          <w:tcPr>
            <w:tcW w:w="4500" w:type="dxa"/>
            <w:tcBorders>
              <w:right w:val="single" w:sz="8" w:space="0" w:color="auto"/>
            </w:tcBorders>
            <w:shd w:val="clear" w:color="auto" w:fill="auto"/>
            <w:vAlign w:val="bottom"/>
          </w:tcPr>
          <w:p w14:paraId="53A781F9" w14:textId="77777777" w:rsidR="00DA7E25" w:rsidRPr="0055512B" w:rsidRDefault="0059447A" w:rsidP="0059447A">
            <w:pPr>
              <w:spacing w:line="276" w:lineRule="auto"/>
              <w:rPr>
                <w:rFonts w:eastAsia="Arial"/>
                <w:b/>
              </w:rPr>
            </w:pPr>
            <w:r w:rsidRPr="0055512B">
              <w:rPr>
                <w:rFonts w:eastAsia="Arial"/>
                <w:b/>
              </w:rPr>
              <w:t>3.</w:t>
            </w:r>
            <w:r w:rsidR="00DA7E25" w:rsidRPr="0055512B">
              <w:rPr>
                <w:rFonts w:eastAsia="Arial"/>
                <w:b/>
              </w:rPr>
              <w:t xml:space="preserve">Contrôle </w:t>
            </w:r>
            <w:r w:rsidRPr="0055512B">
              <w:rPr>
                <w:rFonts w:eastAsia="Arial"/>
                <w:b/>
              </w:rPr>
              <w:t xml:space="preserve">de la Filariose Lymphatique et </w:t>
            </w:r>
            <w:r w:rsidR="00DA7E25" w:rsidRPr="0055512B">
              <w:rPr>
                <w:rFonts w:eastAsia="Arial"/>
                <w:b/>
              </w:rPr>
              <w:lastRenderedPageBreak/>
              <w:t>de la Transmission</w:t>
            </w:r>
            <w:r w:rsidRPr="0055512B">
              <w:rPr>
                <w:rFonts w:eastAsia="Arial"/>
                <w:b/>
              </w:rPr>
              <w:t xml:space="preserve"> des Helminthes</w:t>
            </w:r>
          </w:p>
        </w:tc>
        <w:tc>
          <w:tcPr>
            <w:tcW w:w="1260" w:type="dxa"/>
            <w:tcBorders>
              <w:right w:val="single" w:sz="8" w:space="0" w:color="auto"/>
            </w:tcBorders>
            <w:shd w:val="clear" w:color="auto" w:fill="auto"/>
            <w:vAlign w:val="bottom"/>
          </w:tcPr>
          <w:p w14:paraId="5C321322" w14:textId="77777777" w:rsidR="00DA7E25" w:rsidRPr="0055512B" w:rsidRDefault="00DA7E25" w:rsidP="001950BE">
            <w:pPr>
              <w:spacing w:line="276" w:lineRule="auto"/>
              <w:ind w:right="60"/>
              <w:rPr>
                <w:rFonts w:eastAsia="Arial"/>
              </w:rPr>
            </w:pPr>
            <w:r w:rsidRPr="0055512B">
              <w:rPr>
                <w:rFonts w:eastAsia="Arial"/>
              </w:rPr>
              <w:lastRenderedPageBreak/>
              <w:t>500,000</w:t>
            </w:r>
          </w:p>
        </w:tc>
        <w:tc>
          <w:tcPr>
            <w:tcW w:w="1420" w:type="dxa"/>
            <w:tcBorders>
              <w:right w:val="single" w:sz="8" w:space="0" w:color="auto"/>
            </w:tcBorders>
            <w:shd w:val="clear" w:color="auto" w:fill="auto"/>
            <w:vAlign w:val="bottom"/>
          </w:tcPr>
          <w:p w14:paraId="0814EBDA" w14:textId="77777777" w:rsidR="00DA7E25" w:rsidRPr="0055512B" w:rsidRDefault="00DA7E25" w:rsidP="001950BE">
            <w:pPr>
              <w:spacing w:line="276" w:lineRule="auto"/>
              <w:rPr>
                <w:rFonts w:eastAsia="Times New Roman"/>
              </w:rPr>
            </w:pPr>
          </w:p>
        </w:tc>
        <w:tc>
          <w:tcPr>
            <w:tcW w:w="1540" w:type="dxa"/>
            <w:tcBorders>
              <w:right w:val="single" w:sz="8" w:space="0" w:color="auto"/>
            </w:tcBorders>
            <w:shd w:val="clear" w:color="auto" w:fill="auto"/>
            <w:vAlign w:val="bottom"/>
          </w:tcPr>
          <w:p w14:paraId="25A8BE46" w14:textId="77777777" w:rsidR="00DA7E25" w:rsidRPr="0055512B" w:rsidRDefault="00DA7E25" w:rsidP="001950BE">
            <w:pPr>
              <w:spacing w:line="276" w:lineRule="auto"/>
              <w:ind w:right="60"/>
              <w:rPr>
                <w:rFonts w:eastAsia="Arial"/>
              </w:rPr>
            </w:pPr>
            <w:r w:rsidRPr="0055512B">
              <w:rPr>
                <w:rFonts w:eastAsia="Arial"/>
              </w:rPr>
              <w:t>500,000</w:t>
            </w:r>
          </w:p>
        </w:tc>
        <w:tc>
          <w:tcPr>
            <w:tcW w:w="540" w:type="dxa"/>
            <w:tcBorders>
              <w:right w:val="single" w:sz="8" w:space="0" w:color="auto"/>
            </w:tcBorders>
            <w:shd w:val="clear" w:color="auto" w:fill="auto"/>
            <w:vAlign w:val="bottom"/>
          </w:tcPr>
          <w:p w14:paraId="5598401F" w14:textId="77777777" w:rsidR="00DA7E25" w:rsidRPr="0055512B" w:rsidRDefault="00DA7E25" w:rsidP="001950BE">
            <w:pPr>
              <w:spacing w:line="276" w:lineRule="auto"/>
              <w:ind w:left="80"/>
              <w:rPr>
                <w:rFonts w:eastAsia="Arial"/>
              </w:rPr>
            </w:pPr>
            <w:r w:rsidRPr="0055512B">
              <w:rPr>
                <w:rFonts w:eastAsia="Arial"/>
              </w:rPr>
              <w:t>1</w:t>
            </w:r>
          </w:p>
        </w:tc>
      </w:tr>
      <w:tr w:rsidR="00DA7E25" w:rsidRPr="0055512B" w14:paraId="04E93BDA" w14:textId="77777777" w:rsidTr="00F57DF9">
        <w:trPr>
          <w:trHeight w:val="182"/>
        </w:trPr>
        <w:tc>
          <w:tcPr>
            <w:tcW w:w="4840" w:type="dxa"/>
            <w:gridSpan w:val="2"/>
            <w:tcBorders>
              <w:left w:val="single" w:sz="8" w:space="0" w:color="auto"/>
              <w:right w:val="single" w:sz="8" w:space="0" w:color="auto"/>
            </w:tcBorders>
            <w:shd w:val="clear" w:color="auto" w:fill="auto"/>
            <w:vAlign w:val="bottom"/>
          </w:tcPr>
          <w:p w14:paraId="65CDD194" w14:textId="77777777" w:rsidR="00DA7E25" w:rsidRPr="0055512B" w:rsidRDefault="00DA7E25" w:rsidP="001950BE">
            <w:pPr>
              <w:spacing w:line="276" w:lineRule="auto"/>
              <w:ind w:left="120"/>
              <w:rPr>
                <w:rFonts w:eastAsia="Arial"/>
                <w:b/>
              </w:rPr>
            </w:pPr>
          </w:p>
        </w:tc>
        <w:tc>
          <w:tcPr>
            <w:tcW w:w="1260" w:type="dxa"/>
            <w:tcBorders>
              <w:right w:val="single" w:sz="8" w:space="0" w:color="auto"/>
            </w:tcBorders>
            <w:shd w:val="clear" w:color="auto" w:fill="auto"/>
            <w:vAlign w:val="bottom"/>
          </w:tcPr>
          <w:p w14:paraId="23EE1713" w14:textId="77777777" w:rsidR="00DA7E25" w:rsidRPr="0055512B" w:rsidRDefault="00DA7E25" w:rsidP="001950BE">
            <w:pPr>
              <w:spacing w:line="276" w:lineRule="auto"/>
              <w:rPr>
                <w:rFonts w:eastAsia="Times New Roman"/>
              </w:rPr>
            </w:pPr>
          </w:p>
        </w:tc>
        <w:tc>
          <w:tcPr>
            <w:tcW w:w="1420" w:type="dxa"/>
            <w:tcBorders>
              <w:right w:val="single" w:sz="8" w:space="0" w:color="auto"/>
            </w:tcBorders>
            <w:shd w:val="clear" w:color="auto" w:fill="auto"/>
            <w:vAlign w:val="bottom"/>
          </w:tcPr>
          <w:p w14:paraId="7FF7F47D" w14:textId="77777777" w:rsidR="00DA7E25" w:rsidRPr="0055512B" w:rsidRDefault="00DA7E25" w:rsidP="001950BE">
            <w:pPr>
              <w:spacing w:line="276" w:lineRule="auto"/>
              <w:rPr>
                <w:rFonts w:eastAsia="Times New Roman"/>
              </w:rPr>
            </w:pPr>
          </w:p>
        </w:tc>
        <w:tc>
          <w:tcPr>
            <w:tcW w:w="1540" w:type="dxa"/>
            <w:tcBorders>
              <w:right w:val="single" w:sz="8" w:space="0" w:color="auto"/>
            </w:tcBorders>
            <w:shd w:val="clear" w:color="auto" w:fill="auto"/>
            <w:vAlign w:val="bottom"/>
          </w:tcPr>
          <w:p w14:paraId="666B4F47" w14:textId="77777777" w:rsidR="00DA7E25" w:rsidRPr="0055512B" w:rsidRDefault="00DA7E25" w:rsidP="001950BE">
            <w:pPr>
              <w:spacing w:line="276" w:lineRule="auto"/>
              <w:rPr>
                <w:rFonts w:eastAsia="Times New Roman"/>
              </w:rPr>
            </w:pPr>
          </w:p>
        </w:tc>
        <w:tc>
          <w:tcPr>
            <w:tcW w:w="540" w:type="dxa"/>
            <w:tcBorders>
              <w:right w:val="single" w:sz="8" w:space="0" w:color="auto"/>
            </w:tcBorders>
            <w:shd w:val="clear" w:color="auto" w:fill="auto"/>
            <w:vAlign w:val="bottom"/>
          </w:tcPr>
          <w:p w14:paraId="3DCD37FA" w14:textId="77777777" w:rsidR="00DA7E25" w:rsidRPr="0055512B" w:rsidRDefault="00DA7E25" w:rsidP="001950BE">
            <w:pPr>
              <w:spacing w:line="276" w:lineRule="auto"/>
              <w:rPr>
                <w:rFonts w:eastAsia="Times New Roman"/>
              </w:rPr>
            </w:pPr>
          </w:p>
        </w:tc>
      </w:tr>
      <w:tr w:rsidR="00DA7E25" w:rsidRPr="0055512B" w14:paraId="7B385797" w14:textId="77777777" w:rsidTr="00F57DF9">
        <w:trPr>
          <w:trHeight w:val="191"/>
        </w:trPr>
        <w:tc>
          <w:tcPr>
            <w:tcW w:w="4840" w:type="dxa"/>
            <w:gridSpan w:val="2"/>
            <w:tcBorders>
              <w:left w:val="single" w:sz="8" w:space="0" w:color="auto"/>
              <w:bottom w:val="single" w:sz="8" w:space="0" w:color="auto"/>
              <w:right w:val="single" w:sz="8" w:space="0" w:color="auto"/>
            </w:tcBorders>
            <w:shd w:val="clear" w:color="auto" w:fill="auto"/>
            <w:vAlign w:val="bottom"/>
          </w:tcPr>
          <w:p w14:paraId="02A9DF5C" w14:textId="77777777" w:rsidR="00DA7E25" w:rsidRPr="0055512B" w:rsidRDefault="00DA7E25" w:rsidP="001950BE">
            <w:pPr>
              <w:spacing w:line="276" w:lineRule="auto"/>
              <w:rPr>
                <w:rFonts w:eastAsia="Times New Roman"/>
              </w:rPr>
            </w:pPr>
          </w:p>
        </w:tc>
        <w:tc>
          <w:tcPr>
            <w:tcW w:w="1260" w:type="dxa"/>
            <w:tcBorders>
              <w:bottom w:val="single" w:sz="8" w:space="0" w:color="auto"/>
              <w:right w:val="single" w:sz="8" w:space="0" w:color="auto"/>
            </w:tcBorders>
            <w:shd w:val="clear" w:color="auto" w:fill="auto"/>
            <w:vAlign w:val="bottom"/>
          </w:tcPr>
          <w:p w14:paraId="49EA72A3" w14:textId="77777777" w:rsidR="00DA7E25" w:rsidRPr="0055512B" w:rsidRDefault="00DA7E25" w:rsidP="001950BE">
            <w:pPr>
              <w:spacing w:line="276" w:lineRule="auto"/>
              <w:rPr>
                <w:rFonts w:eastAsia="Times New Roman"/>
              </w:rPr>
            </w:pPr>
          </w:p>
        </w:tc>
        <w:tc>
          <w:tcPr>
            <w:tcW w:w="1420" w:type="dxa"/>
            <w:tcBorders>
              <w:bottom w:val="single" w:sz="8" w:space="0" w:color="auto"/>
              <w:right w:val="single" w:sz="8" w:space="0" w:color="auto"/>
            </w:tcBorders>
            <w:shd w:val="clear" w:color="auto" w:fill="auto"/>
            <w:vAlign w:val="bottom"/>
          </w:tcPr>
          <w:p w14:paraId="423CA31F" w14:textId="77777777" w:rsidR="00DA7E25" w:rsidRPr="0055512B" w:rsidRDefault="00DA7E25" w:rsidP="001950BE">
            <w:pPr>
              <w:spacing w:line="276" w:lineRule="auto"/>
              <w:rPr>
                <w:rFonts w:eastAsia="Times New Roman"/>
              </w:rPr>
            </w:pPr>
          </w:p>
        </w:tc>
        <w:tc>
          <w:tcPr>
            <w:tcW w:w="1540" w:type="dxa"/>
            <w:tcBorders>
              <w:bottom w:val="single" w:sz="8" w:space="0" w:color="auto"/>
              <w:right w:val="single" w:sz="8" w:space="0" w:color="auto"/>
            </w:tcBorders>
            <w:shd w:val="clear" w:color="auto" w:fill="auto"/>
            <w:vAlign w:val="bottom"/>
          </w:tcPr>
          <w:p w14:paraId="2B4AA6D1" w14:textId="77777777" w:rsidR="00DA7E25" w:rsidRPr="0055512B" w:rsidRDefault="00DA7E25" w:rsidP="001950BE">
            <w:pPr>
              <w:spacing w:line="276" w:lineRule="auto"/>
              <w:rPr>
                <w:rFonts w:eastAsia="Times New Roman"/>
              </w:rPr>
            </w:pPr>
          </w:p>
        </w:tc>
        <w:tc>
          <w:tcPr>
            <w:tcW w:w="540" w:type="dxa"/>
            <w:tcBorders>
              <w:bottom w:val="single" w:sz="8" w:space="0" w:color="auto"/>
              <w:right w:val="single" w:sz="8" w:space="0" w:color="auto"/>
            </w:tcBorders>
            <w:shd w:val="clear" w:color="auto" w:fill="auto"/>
            <w:vAlign w:val="bottom"/>
          </w:tcPr>
          <w:p w14:paraId="69EE6F7F" w14:textId="77777777" w:rsidR="00DA7E25" w:rsidRPr="0055512B" w:rsidRDefault="00DA7E25" w:rsidP="001950BE">
            <w:pPr>
              <w:spacing w:line="276" w:lineRule="auto"/>
              <w:rPr>
                <w:rFonts w:eastAsia="Times New Roman"/>
              </w:rPr>
            </w:pPr>
          </w:p>
        </w:tc>
      </w:tr>
      <w:tr w:rsidR="00DA7E25" w:rsidRPr="0055512B" w14:paraId="193FCFAC" w14:textId="77777777" w:rsidTr="00F57DF9">
        <w:trPr>
          <w:trHeight w:val="171"/>
        </w:trPr>
        <w:tc>
          <w:tcPr>
            <w:tcW w:w="4840" w:type="dxa"/>
            <w:gridSpan w:val="2"/>
            <w:tcBorders>
              <w:left w:val="single" w:sz="8" w:space="0" w:color="auto"/>
              <w:bottom w:val="single" w:sz="8" w:space="0" w:color="auto"/>
              <w:right w:val="single" w:sz="8" w:space="0" w:color="auto"/>
            </w:tcBorders>
            <w:shd w:val="clear" w:color="auto" w:fill="auto"/>
            <w:vAlign w:val="bottom"/>
          </w:tcPr>
          <w:p w14:paraId="3B8530BF" w14:textId="77777777" w:rsidR="00DA7E25" w:rsidRPr="0055512B" w:rsidRDefault="00DA7E25" w:rsidP="001950BE">
            <w:pPr>
              <w:spacing w:line="276" w:lineRule="auto"/>
              <w:ind w:left="120"/>
              <w:rPr>
                <w:rFonts w:eastAsia="Arial"/>
                <w:b/>
              </w:rPr>
            </w:pPr>
            <w:r w:rsidRPr="0055512B">
              <w:rPr>
                <w:rFonts w:eastAsia="Arial"/>
                <w:b/>
              </w:rPr>
              <w:t>Total</w:t>
            </w:r>
          </w:p>
        </w:tc>
        <w:tc>
          <w:tcPr>
            <w:tcW w:w="1260" w:type="dxa"/>
            <w:tcBorders>
              <w:bottom w:val="single" w:sz="8" w:space="0" w:color="auto"/>
              <w:right w:val="single" w:sz="8" w:space="0" w:color="auto"/>
            </w:tcBorders>
            <w:shd w:val="clear" w:color="auto" w:fill="auto"/>
            <w:vAlign w:val="bottom"/>
          </w:tcPr>
          <w:p w14:paraId="7FABD0A5" w14:textId="77777777" w:rsidR="00DA7E25" w:rsidRPr="0055512B" w:rsidRDefault="00DA7E25" w:rsidP="001950BE">
            <w:pPr>
              <w:spacing w:line="276" w:lineRule="auto"/>
              <w:ind w:right="40"/>
              <w:rPr>
                <w:rFonts w:eastAsia="Arial"/>
              </w:rPr>
            </w:pPr>
            <w:r w:rsidRPr="0055512B">
              <w:rPr>
                <w:rFonts w:eastAsia="Arial"/>
              </w:rPr>
              <w:t>15, 000,000</w:t>
            </w:r>
          </w:p>
        </w:tc>
        <w:tc>
          <w:tcPr>
            <w:tcW w:w="1420" w:type="dxa"/>
            <w:tcBorders>
              <w:bottom w:val="single" w:sz="8" w:space="0" w:color="auto"/>
              <w:right w:val="single" w:sz="8" w:space="0" w:color="auto"/>
            </w:tcBorders>
            <w:shd w:val="clear" w:color="auto" w:fill="auto"/>
            <w:vAlign w:val="bottom"/>
          </w:tcPr>
          <w:p w14:paraId="7D705228" w14:textId="77777777" w:rsidR="00DA7E25" w:rsidRPr="0055512B" w:rsidRDefault="00DA7E25" w:rsidP="001950BE">
            <w:pPr>
              <w:spacing w:line="276" w:lineRule="auto"/>
              <w:ind w:right="40"/>
              <w:rPr>
                <w:rFonts w:eastAsia="Arial"/>
              </w:rPr>
            </w:pPr>
            <w:r w:rsidRPr="0055512B">
              <w:rPr>
                <w:rFonts w:eastAsia="Arial"/>
              </w:rPr>
              <w:t>35, 000,000</w:t>
            </w:r>
          </w:p>
        </w:tc>
        <w:tc>
          <w:tcPr>
            <w:tcW w:w="1540" w:type="dxa"/>
            <w:tcBorders>
              <w:bottom w:val="single" w:sz="8" w:space="0" w:color="auto"/>
              <w:right w:val="single" w:sz="8" w:space="0" w:color="auto"/>
            </w:tcBorders>
            <w:shd w:val="clear" w:color="auto" w:fill="auto"/>
            <w:vAlign w:val="bottom"/>
          </w:tcPr>
          <w:p w14:paraId="590CD16D" w14:textId="77777777" w:rsidR="00DA7E25" w:rsidRPr="0055512B" w:rsidRDefault="00DA7E25" w:rsidP="001950BE">
            <w:pPr>
              <w:spacing w:line="276" w:lineRule="auto"/>
              <w:ind w:right="40"/>
              <w:rPr>
                <w:rFonts w:eastAsia="Arial"/>
              </w:rPr>
            </w:pPr>
            <w:r w:rsidRPr="0055512B">
              <w:rPr>
                <w:rFonts w:eastAsia="Arial"/>
              </w:rPr>
              <w:t>50, 000,000</w:t>
            </w:r>
          </w:p>
        </w:tc>
        <w:tc>
          <w:tcPr>
            <w:tcW w:w="540" w:type="dxa"/>
            <w:tcBorders>
              <w:bottom w:val="single" w:sz="8" w:space="0" w:color="auto"/>
              <w:right w:val="single" w:sz="8" w:space="0" w:color="auto"/>
            </w:tcBorders>
            <w:shd w:val="clear" w:color="auto" w:fill="auto"/>
            <w:vAlign w:val="bottom"/>
          </w:tcPr>
          <w:p w14:paraId="5BCB170A" w14:textId="77777777" w:rsidR="00DA7E25" w:rsidRPr="0055512B" w:rsidRDefault="00DA7E25" w:rsidP="001950BE">
            <w:pPr>
              <w:spacing w:line="276" w:lineRule="auto"/>
              <w:ind w:left="80"/>
              <w:rPr>
                <w:rFonts w:eastAsia="Arial"/>
              </w:rPr>
            </w:pPr>
            <w:r w:rsidRPr="0055512B">
              <w:rPr>
                <w:rFonts w:eastAsia="Arial"/>
              </w:rPr>
              <w:t>100</w:t>
            </w:r>
          </w:p>
        </w:tc>
      </w:tr>
    </w:tbl>
    <w:p w14:paraId="400EC8AF" w14:textId="77777777" w:rsidR="00DC6BE9" w:rsidRPr="0055512B" w:rsidRDefault="00DC6BE9" w:rsidP="001950BE">
      <w:pPr>
        <w:tabs>
          <w:tab w:val="left" w:pos="1000"/>
        </w:tabs>
        <w:spacing w:line="276" w:lineRule="auto"/>
        <w:rPr>
          <w:rFonts w:eastAsia="Arial"/>
        </w:rPr>
      </w:pPr>
    </w:p>
    <w:p w14:paraId="1235BB31" w14:textId="77777777" w:rsidR="00DA7E25" w:rsidRPr="0055512B" w:rsidRDefault="00DA7E25" w:rsidP="002E5BE9">
      <w:pPr>
        <w:pStyle w:val="ListParagraph"/>
        <w:numPr>
          <w:ilvl w:val="1"/>
          <w:numId w:val="37"/>
        </w:numPr>
        <w:tabs>
          <w:tab w:val="left" w:pos="580"/>
        </w:tabs>
        <w:spacing w:line="276" w:lineRule="auto"/>
        <w:rPr>
          <w:rFonts w:eastAsia="Arial"/>
          <w:b/>
        </w:rPr>
      </w:pPr>
      <w:r w:rsidRPr="0055512B">
        <w:rPr>
          <w:rFonts w:eastAsia="Arial"/>
          <w:b/>
        </w:rPr>
        <w:t>APPROCHE STRATEGIQUE</w:t>
      </w:r>
    </w:p>
    <w:p w14:paraId="325B0392" w14:textId="77777777" w:rsidR="00DA7E25" w:rsidRPr="0055512B" w:rsidRDefault="00DA7E25" w:rsidP="001950BE">
      <w:pPr>
        <w:spacing w:line="276" w:lineRule="auto"/>
        <w:rPr>
          <w:rFonts w:eastAsia="Times New Roman"/>
        </w:rPr>
      </w:pPr>
    </w:p>
    <w:p w14:paraId="68A4B76D" w14:textId="77777777" w:rsidR="00DA7E25" w:rsidRPr="0055512B" w:rsidRDefault="00DA7E25" w:rsidP="00BD0DCC">
      <w:pPr>
        <w:spacing w:line="276" w:lineRule="auto"/>
        <w:jc w:val="both"/>
        <w:rPr>
          <w:rFonts w:eastAsia="Arial"/>
        </w:rPr>
      </w:pPr>
      <w:r w:rsidRPr="0055512B">
        <w:rPr>
          <w:rFonts w:eastAsia="Arial"/>
        </w:rPr>
        <w:t>La stratégie du programme est de:</w:t>
      </w:r>
    </w:p>
    <w:p w14:paraId="121DC411" w14:textId="77777777" w:rsidR="00DA7E25" w:rsidRPr="0055512B" w:rsidRDefault="00DA7E25" w:rsidP="00BD0DCC">
      <w:pPr>
        <w:spacing w:line="276" w:lineRule="auto"/>
        <w:jc w:val="both"/>
        <w:rPr>
          <w:rFonts w:eastAsia="Times New Roman"/>
        </w:rPr>
      </w:pPr>
    </w:p>
    <w:p w14:paraId="1AF77022" w14:textId="77777777" w:rsidR="00DA7E25" w:rsidRPr="0055512B" w:rsidRDefault="00DA7E25" w:rsidP="00BD0DCC">
      <w:pPr>
        <w:numPr>
          <w:ilvl w:val="0"/>
          <w:numId w:val="14"/>
        </w:numPr>
        <w:tabs>
          <w:tab w:val="left" w:pos="621"/>
        </w:tabs>
        <w:spacing w:line="276" w:lineRule="auto"/>
        <w:ind w:left="640" w:hanging="355"/>
        <w:jc w:val="both"/>
        <w:rPr>
          <w:rFonts w:eastAsia="Symbol"/>
        </w:rPr>
      </w:pPr>
      <w:r w:rsidRPr="0055512B">
        <w:rPr>
          <w:rFonts w:eastAsia="Arial"/>
        </w:rPr>
        <w:t>Réhabiliter et étendre le système d</w:t>
      </w:r>
      <w:r w:rsidR="00FD419E" w:rsidRPr="0055512B">
        <w:rPr>
          <w:rFonts w:ascii="Times New Roman" w:eastAsia="Arial" w:hAnsi="Times New Roman" w:cs="Times New Roman"/>
        </w:rPr>
        <w:t>’</w:t>
      </w:r>
      <w:r w:rsidRPr="0055512B">
        <w:rPr>
          <w:rFonts w:eastAsia="Arial"/>
        </w:rPr>
        <w:t>eau potable de Port-au-Prince afin d</w:t>
      </w:r>
      <w:r w:rsidR="00FD419E" w:rsidRPr="0055512B">
        <w:rPr>
          <w:rFonts w:ascii="Times New Roman" w:eastAsia="Arial" w:hAnsi="Times New Roman" w:cs="Times New Roman"/>
        </w:rPr>
        <w:t>’</w:t>
      </w:r>
      <w:r w:rsidRPr="0055512B">
        <w:rPr>
          <w:rFonts w:eastAsia="Arial"/>
        </w:rPr>
        <w:t>assurer la provision d</w:t>
      </w:r>
      <w:r w:rsidR="00FD419E" w:rsidRPr="0055512B">
        <w:rPr>
          <w:rFonts w:ascii="Times New Roman" w:eastAsia="Arial" w:hAnsi="Times New Roman" w:cs="Times New Roman"/>
        </w:rPr>
        <w:t>’</w:t>
      </w:r>
      <w:r w:rsidRPr="0055512B">
        <w:rPr>
          <w:rFonts w:eastAsia="Arial"/>
        </w:rPr>
        <w:t>eau potable de manière durable à la population et de renforcer les capacités de la DINEPA et de l´opérateur public du système d´AEPA de Port-au-Prince en accord avec la Loi Cadre approuvée en mars 2009.</w:t>
      </w:r>
    </w:p>
    <w:p w14:paraId="2195856C" w14:textId="77777777" w:rsidR="00DA7E25" w:rsidRPr="0055512B" w:rsidRDefault="00DA7E25" w:rsidP="00BD0DCC">
      <w:pPr>
        <w:spacing w:line="276" w:lineRule="auto"/>
        <w:jc w:val="both"/>
        <w:rPr>
          <w:rFonts w:eastAsia="Symbol"/>
        </w:rPr>
      </w:pPr>
    </w:p>
    <w:p w14:paraId="002C3523" w14:textId="77777777" w:rsidR="00DA7E25" w:rsidRPr="0055512B" w:rsidRDefault="00DA7E25" w:rsidP="00BD0DCC">
      <w:pPr>
        <w:numPr>
          <w:ilvl w:val="0"/>
          <w:numId w:val="14"/>
        </w:numPr>
        <w:tabs>
          <w:tab w:val="left" w:pos="621"/>
        </w:tabs>
        <w:spacing w:line="276" w:lineRule="auto"/>
        <w:ind w:left="640" w:hanging="355"/>
        <w:jc w:val="both"/>
        <w:rPr>
          <w:rFonts w:eastAsia="Symbol"/>
        </w:rPr>
      </w:pPr>
      <w:r w:rsidRPr="0055512B">
        <w:rPr>
          <w:rFonts w:eastAsia="Arial"/>
        </w:rPr>
        <w:t>Développer et renforcer en tête de la DINEPA et, après sa création, de l´OREPA Ouest et de l´UTE du SAEP de Port-au-Prince, la mise en opération de l</w:t>
      </w:r>
      <w:r w:rsidR="00FD419E" w:rsidRPr="0055512B">
        <w:rPr>
          <w:rFonts w:ascii="Times New Roman" w:eastAsia="Arial" w:hAnsi="Times New Roman" w:cs="Times New Roman"/>
        </w:rPr>
        <w:t>’</w:t>
      </w:r>
      <w:r w:rsidRPr="0055512B">
        <w:rPr>
          <w:rFonts w:eastAsia="Arial"/>
        </w:rPr>
        <w:t>organisation définie par la Loi Cadre pour Port-au-Prince.</w:t>
      </w:r>
    </w:p>
    <w:p w14:paraId="3AFF3C55" w14:textId="77777777" w:rsidR="007515D4" w:rsidRPr="0055512B" w:rsidRDefault="007515D4" w:rsidP="00BD0DCC">
      <w:pPr>
        <w:spacing w:line="276" w:lineRule="auto"/>
        <w:jc w:val="both"/>
        <w:rPr>
          <w:rFonts w:eastAsia="Times New Roman"/>
        </w:rPr>
      </w:pPr>
    </w:p>
    <w:p w14:paraId="6CBA60B2" w14:textId="77777777" w:rsidR="00DA7E25" w:rsidRPr="0055512B" w:rsidRDefault="00DA7E25" w:rsidP="00BD0DCC">
      <w:pPr>
        <w:spacing w:line="276" w:lineRule="auto"/>
        <w:jc w:val="both"/>
        <w:rPr>
          <w:rFonts w:eastAsia="Times New Roman"/>
        </w:rPr>
      </w:pPr>
    </w:p>
    <w:p w14:paraId="451C7065" w14:textId="77777777" w:rsidR="00DA7E25" w:rsidRPr="0055512B" w:rsidRDefault="00DA7E25" w:rsidP="00BD0DCC">
      <w:pPr>
        <w:pStyle w:val="ListParagraph"/>
        <w:numPr>
          <w:ilvl w:val="2"/>
          <w:numId w:val="38"/>
        </w:numPr>
        <w:tabs>
          <w:tab w:val="left" w:pos="720"/>
        </w:tabs>
        <w:spacing w:line="276" w:lineRule="auto"/>
        <w:jc w:val="both"/>
        <w:rPr>
          <w:rFonts w:eastAsia="Arial"/>
          <w:b/>
        </w:rPr>
      </w:pPr>
      <w:r w:rsidRPr="0055512B">
        <w:rPr>
          <w:rFonts w:eastAsia="Arial"/>
          <w:b/>
        </w:rPr>
        <w:t>Approche Participative</w:t>
      </w:r>
    </w:p>
    <w:p w14:paraId="6F10A389" w14:textId="77777777" w:rsidR="00DA7E25" w:rsidRPr="0055512B" w:rsidRDefault="00DA7E25" w:rsidP="00BD0DCC">
      <w:pPr>
        <w:spacing w:line="276" w:lineRule="auto"/>
        <w:jc w:val="both"/>
        <w:rPr>
          <w:rFonts w:eastAsia="Times New Roman"/>
        </w:rPr>
      </w:pPr>
    </w:p>
    <w:p w14:paraId="6C5EBE98" w14:textId="77777777" w:rsidR="00DA7E25" w:rsidRPr="0055512B" w:rsidRDefault="00DA7E25" w:rsidP="00BD0DCC">
      <w:pPr>
        <w:spacing w:line="276" w:lineRule="auto"/>
        <w:jc w:val="both"/>
        <w:rPr>
          <w:rFonts w:eastAsia="Arial"/>
        </w:rPr>
      </w:pPr>
      <w:r w:rsidRPr="0055512B">
        <w:rPr>
          <w:rFonts w:eastAsia="Arial"/>
        </w:rPr>
        <w:t>C</w:t>
      </w:r>
      <w:r w:rsidR="009D3874" w:rsidRPr="0055512B">
        <w:rPr>
          <w:rFonts w:ascii="Times New Roman" w:eastAsia="Arial" w:hAnsi="Times New Roman" w:cs="Times New Roman"/>
        </w:rPr>
        <w:t>’</w:t>
      </w:r>
      <w:r w:rsidRPr="0055512B">
        <w:rPr>
          <w:rFonts w:eastAsia="Arial"/>
        </w:rPr>
        <w:t>est la demande des ménages qui doit structurer le(s) niveau(x) de service offert(s) aux usagers dans le cadre du Programme HA-L1044/HA-X1021 pour les communautés urbaines et périurbaines de Port-au-Prince.</w:t>
      </w:r>
    </w:p>
    <w:p w14:paraId="09C2C8EE" w14:textId="77777777" w:rsidR="007515D4" w:rsidRPr="0055512B" w:rsidRDefault="007515D4" w:rsidP="00BD0DCC">
      <w:pPr>
        <w:spacing w:line="276" w:lineRule="auto"/>
        <w:jc w:val="both"/>
        <w:rPr>
          <w:rFonts w:eastAsia="Arial"/>
        </w:rPr>
      </w:pPr>
    </w:p>
    <w:p w14:paraId="10A301BE" w14:textId="77777777" w:rsidR="00DA7E25" w:rsidRPr="0055512B" w:rsidRDefault="00DA7E25" w:rsidP="00BD0DCC">
      <w:pPr>
        <w:spacing w:line="276" w:lineRule="auto"/>
        <w:jc w:val="both"/>
        <w:rPr>
          <w:rFonts w:eastAsia="Arial"/>
        </w:rPr>
      </w:pPr>
      <w:r w:rsidRPr="0055512B">
        <w:rPr>
          <w:rFonts w:eastAsia="Arial"/>
        </w:rPr>
        <w:t xml:space="preserve">Cela suppose de bien comprendre comment les ménages ont accès aux services avant le programme, quel est le rôle exact des femmes dans la communauté et quel est </w:t>
      </w:r>
      <w:r w:rsidR="00390CAB" w:rsidRPr="0055512B">
        <w:rPr>
          <w:rFonts w:eastAsia="Arial"/>
        </w:rPr>
        <w:t>l’usage de l’</w:t>
      </w:r>
      <w:r w:rsidRPr="0055512B">
        <w:rPr>
          <w:rFonts w:eastAsia="Arial"/>
        </w:rPr>
        <w:t xml:space="preserve">eau, et de les informer soigneusement sur les choix possibles en fonction de leur volonté à payer pour les différents niveaux de service auxquels ils peuvent avoir </w:t>
      </w:r>
      <w:r w:rsidR="00B405DC" w:rsidRPr="0055512B">
        <w:rPr>
          <w:rFonts w:eastAsia="Arial"/>
        </w:rPr>
        <w:t>accès (pour l’eau comme pour l’</w:t>
      </w:r>
      <w:r w:rsidRPr="0055512B">
        <w:rPr>
          <w:rFonts w:eastAsia="Arial"/>
        </w:rPr>
        <w:t>assainissement). Par niveau de service on entend essentiellement la distanc</w:t>
      </w:r>
      <w:r w:rsidR="00B405DC" w:rsidRPr="0055512B">
        <w:rPr>
          <w:rFonts w:eastAsia="Arial"/>
        </w:rPr>
        <w:t>e entre le site de fourniture d’</w:t>
      </w:r>
      <w:r w:rsidRPr="0055512B">
        <w:rPr>
          <w:rFonts w:eastAsia="Arial"/>
        </w:rPr>
        <w:t>eau et la résidence; ainsi un branchement privé est un meilleur niveau q</w:t>
      </w:r>
      <w:r w:rsidR="00B405DC" w:rsidRPr="0055512B">
        <w:rPr>
          <w:rFonts w:eastAsia="Arial"/>
        </w:rPr>
        <w:t>ue l’</w:t>
      </w:r>
      <w:r w:rsidRPr="0055512B">
        <w:rPr>
          <w:rFonts w:eastAsia="Arial"/>
        </w:rPr>
        <w:t>obligation de se rendre à un kiosque ou à une pompe.</w:t>
      </w:r>
    </w:p>
    <w:p w14:paraId="5886A11A" w14:textId="77777777" w:rsidR="007515D4" w:rsidRPr="0055512B" w:rsidRDefault="007515D4" w:rsidP="00BD0DCC">
      <w:pPr>
        <w:spacing w:line="276" w:lineRule="auto"/>
        <w:jc w:val="both"/>
        <w:rPr>
          <w:rFonts w:eastAsia="Arial"/>
        </w:rPr>
      </w:pPr>
    </w:p>
    <w:p w14:paraId="3FDF3C6F" w14:textId="77777777" w:rsidR="00DA7E25" w:rsidRPr="0055512B" w:rsidRDefault="00DA7E25" w:rsidP="00BD0DCC">
      <w:pPr>
        <w:spacing w:line="276" w:lineRule="auto"/>
        <w:jc w:val="both"/>
        <w:rPr>
          <w:rFonts w:eastAsia="Arial"/>
        </w:rPr>
      </w:pPr>
      <w:r w:rsidRPr="0055512B">
        <w:rPr>
          <w:rFonts w:eastAsia="Arial"/>
        </w:rPr>
        <w:t>La phase de faisabilité du programme c</w:t>
      </w:r>
      <w:r w:rsidR="00B405DC" w:rsidRPr="0055512B">
        <w:rPr>
          <w:rFonts w:eastAsia="Arial"/>
        </w:rPr>
        <w:t>omprendra donc la réalisation d’</w:t>
      </w:r>
      <w:r w:rsidRPr="0055512B">
        <w:rPr>
          <w:rFonts w:eastAsia="Arial"/>
        </w:rPr>
        <w:t xml:space="preserve">enquêtes destinées à mieux comprendre quelle est la demande des usagers (eau et assainissement). Ces enquêtes seront réalisées </w:t>
      </w:r>
      <w:r w:rsidR="00B405DC" w:rsidRPr="0055512B">
        <w:rPr>
          <w:rFonts w:eastAsia="Arial"/>
        </w:rPr>
        <w:t>par l’</w:t>
      </w:r>
      <w:r w:rsidRPr="0055512B">
        <w:rPr>
          <w:rFonts w:eastAsia="Arial"/>
        </w:rPr>
        <w:t>Assistance T</w:t>
      </w:r>
      <w:r w:rsidR="00B405DC" w:rsidRPr="0055512B">
        <w:rPr>
          <w:rFonts w:eastAsia="Arial"/>
        </w:rPr>
        <w:t>echnique Opérationnelle, avec l’</w:t>
      </w:r>
      <w:r w:rsidRPr="0055512B">
        <w:rPr>
          <w:rFonts w:eastAsia="Arial"/>
        </w:rPr>
        <w:t>a</w:t>
      </w:r>
      <w:r w:rsidR="00B405DC" w:rsidRPr="0055512B">
        <w:rPr>
          <w:rFonts w:eastAsia="Arial"/>
        </w:rPr>
        <w:t>ccompagnement de la DINEPA et l’</w:t>
      </w:r>
      <w:r w:rsidRPr="0055512B">
        <w:rPr>
          <w:rFonts w:eastAsia="Arial"/>
        </w:rPr>
        <w:t>aide des fonctionnaires de la CAMEP et des personnes ressources qui représentent la communauté. Elle devra permettre de répondre à des questions telles que: quel est le niveau de service actuel ? Quel est le niveau de service souhait</w:t>
      </w:r>
      <w:r w:rsidR="00B405DC" w:rsidRPr="0055512B">
        <w:rPr>
          <w:rFonts w:eastAsia="Arial"/>
        </w:rPr>
        <w:t>é par les diverses catégories d’</w:t>
      </w:r>
      <w:r w:rsidRPr="0055512B">
        <w:rPr>
          <w:rFonts w:eastAsia="Arial"/>
        </w:rPr>
        <w:t>usagers dont le nombre doit être quan</w:t>
      </w:r>
      <w:r w:rsidR="00B405DC" w:rsidRPr="0055512B">
        <w:rPr>
          <w:rFonts w:eastAsia="Arial"/>
        </w:rPr>
        <w:t xml:space="preserve">tifié? </w:t>
      </w:r>
      <w:r w:rsidR="00B405DC" w:rsidRPr="0055512B">
        <w:rPr>
          <w:rFonts w:eastAsia="Arial"/>
        </w:rPr>
        <w:lastRenderedPageBreak/>
        <w:t>Quel est le budget que l’</w:t>
      </w:r>
      <w:r w:rsidRPr="0055512B">
        <w:rPr>
          <w:rFonts w:eastAsia="Arial"/>
        </w:rPr>
        <w:t>usager est capable et prêt à consacrer pour ce service souhaité (Capacité et Volonté de Payer)? Cette enquête sera réalisée dans tous les quartiers qui seront desservis par le programme. Elle impliquera au moins 25% des ménages de chaque communauté.</w:t>
      </w:r>
    </w:p>
    <w:p w14:paraId="721E4DEE" w14:textId="77777777" w:rsidR="00DA7E25" w:rsidRPr="0055512B" w:rsidRDefault="00DA7E25" w:rsidP="00BD0DCC">
      <w:pPr>
        <w:spacing w:line="276" w:lineRule="auto"/>
        <w:jc w:val="both"/>
        <w:rPr>
          <w:rFonts w:eastAsia="Times New Roman"/>
        </w:rPr>
      </w:pPr>
    </w:p>
    <w:p w14:paraId="0FA09AFA" w14:textId="77777777" w:rsidR="00DA7E25" w:rsidRPr="0055512B" w:rsidRDefault="00DA7E25" w:rsidP="00BD0DCC">
      <w:pPr>
        <w:spacing w:line="276" w:lineRule="auto"/>
        <w:jc w:val="both"/>
        <w:rPr>
          <w:rFonts w:eastAsia="Arial"/>
        </w:rPr>
      </w:pPr>
      <w:r w:rsidRPr="0055512B">
        <w:rPr>
          <w:rFonts w:eastAsia="Arial"/>
        </w:rPr>
        <w:t>En fonction d</w:t>
      </w:r>
      <w:r w:rsidR="00B405DC" w:rsidRPr="0055512B">
        <w:rPr>
          <w:rFonts w:eastAsia="Arial"/>
        </w:rPr>
        <w:t>es résultats de ces enquêtes, l’</w:t>
      </w:r>
      <w:r w:rsidRPr="0055512B">
        <w:rPr>
          <w:rFonts w:eastAsia="Arial"/>
        </w:rPr>
        <w:t>Assistance Technique Opérationnelle présentera aux usagers différentes alternatives concernant notamment: le niveau de service, le type de gestion, l</w:t>
      </w:r>
      <w:r w:rsidR="00B405DC" w:rsidRPr="0055512B">
        <w:rPr>
          <w:rFonts w:eastAsia="Arial"/>
        </w:rPr>
        <w:t>a grille tarifaire, etc. pour l’</w:t>
      </w:r>
      <w:r w:rsidRPr="0055512B">
        <w:rPr>
          <w:rFonts w:eastAsia="Arial"/>
        </w:rPr>
        <w:t>amélioration du service dans toute la zone urbaine. Avant de passer à la phase de designs et de construction, la population devra avoir exprimé formellement son choix quant à ces différentes option</w:t>
      </w:r>
      <w:r w:rsidR="00B405DC" w:rsidRPr="0055512B">
        <w:rPr>
          <w:rFonts w:eastAsia="Arial"/>
        </w:rPr>
        <w:t>s. Ce choix sera la base pour l’</w:t>
      </w:r>
      <w:r w:rsidRPr="0055512B">
        <w:rPr>
          <w:rFonts w:eastAsia="Arial"/>
        </w:rPr>
        <w:t>élaboration de la faisabilité du projet.</w:t>
      </w:r>
    </w:p>
    <w:p w14:paraId="1F661182" w14:textId="77777777" w:rsidR="009D3874" w:rsidRPr="0055512B" w:rsidRDefault="009D3874" w:rsidP="00BD0DCC">
      <w:pPr>
        <w:spacing w:line="276" w:lineRule="auto"/>
        <w:jc w:val="both"/>
        <w:rPr>
          <w:rFonts w:eastAsia="Arial"/>
        </w:rPr>
      </w:pPr>
    </w:p>
    <w:p w14:paraId="29BA73E8" w14:textId="77777777" w:rsidR="00DA7E25" w:rsidRPr="0055512B" w:rsidRDefault="00DA7E25" w:rsidP="00BD0DCC">
      <w:pPr>
        <w:pStyle w:val="ListParagraph"/>
        <w:numPr>
          <w:ilvl w:val="2"/>
          <w:numId w:val="38"/>
        </w:numPr>
        <w:tabs>
          <w:tab w:val="left" w:pos="720"/>
        </w:tabs>
        <w:spacing w:line="276" w:lineRule="auto"/>
        <w:jc w:val="both"/>
        <w:rPr>
          <w:rFonts w:eastAsia="Arial"/>
          <w:b/>
        </w:rPr>
      </w:pPr>
      <w:r w:rsidRPr="0055512B">
        <w:rPr>
          <w:rFonts w:eastAsia="Arial"/>
          <w:b/>
        </w:rPr>
        <w:t>Établissement des tarifs d’eau potable</w:t>
      </w:r>
    </w:p>
    <w:p w14:paraId="70FD504A" w14:textId="77777777" w:rsidR="00DA7E25" w:rsidRPr="0055512B" w:rsidRDefault="00DA7E25" w:rsidP="00BD0DCC">
      <w:pPr>
        <w:spacing w:line="276" w:lineRule="auto"/>
        <w:jc w:val="both"/>
        <w:rPr>
          <w:rFonts w:eastAsia="Times New Roman"/>
        </w:rPr>
      </w:pPr>
    </w:p>
    <w:p w14:paraId="40FE0BE3" w14:textId="77777777" w:rsidR="00DA7E25" w:rsidRPr="0055512B" w:rsidRDefault="00DA7E25" w:rsidP="00BD0DCC">
      <w:pPr>
        <w:spacing w:line="276" w:lineRule="auto"/>
        <w:jc w:val="both"/>
        <w:rPr>
          <w:rFonts w:eastAsia="Arial"/>
        </w:rPr>
      </w:pPr>
      <w:r w:rsidRPr="0055512B">
        <w:rPr>
          <w:rFonts w:eastAsia="Arial"/>
        </w:rPr>
        <w:t>La tarification à établir devra permettre, au minimum, le recouvrement des frais</w:t>
      </w:r>
      <w:r w:rsidR="00B405DC" w:rsidRPr="0055512B">
        <w:rPr>
          <w:rFonts w:eastAsia="Arial"/>
        </w:rPr>
        <w:t xml:space="preserve"> de fonctionnement du service d’eau potable, c’</w:t>
      </w:r>
      <w:r w:rsidRPr="0055512B">
        <w:rPr>
          <w:rFonts w:eastAsia="Arial"/>
        </w:rPr>
        <w:t>est-à-dire les dépenses à couvrir pour que le service soit assuré au quotidien (salaires des plombiers ou rémunération du gestionnaire du SAEP, entretien et maintenance, réparations, carburant ou facture énergétiq</w:t>
      </w:r>
      <w:r w:rsidR="00B405DC" w:rsidRPr="0055512B">
        <w:rPr>
          <w:rFonts w:eastAsia="Arial"/>
        </w:rPr>
        <w:t>ue, produits de traitement et d’analyse de la qualité de l’</w:t>
      </w:r>
      <w:r w:rsidRPr="0055512B">
        <w:rPr>
          <w:rFonts w:eastAsia="Arial"/>
        </w:rPr>
        <w:t xml:space="preserve">eau, etc.). Étant donné que le programme bénéficie toute la population de la zone </w:t>
      </w:r>
      <w:r w:rsidR="00B405DC" w:rsidRPr="0055512B">
        <w:rPr>
          <w:rFonts w:eastAsia="Arial"/>
        </w:rPr>
        <w:t>urbaine de la ville, le tarif s’</w:t>
      </w:r>
      <w:r w:rsidRPr="0055512B">
        <w:rPr>
          <w:rFonts w:eastAsia="Arial"/>
        </w:rPr>
        <w:t>appliquera sur toute la population en assurant dans tout le processus l</w:t>
      </w:r>
      <w:r w:rsidR="00B405DC" w:rsidRPr="0055512B">
        <w:rPr>
          <w:rFonts w:eastAsia="Arial"/>
        </w:rPr>
        <w:t>’</w:t>
      </w:r>
      <w:r w:rsidRPr="0055512B">
        <w:rPr>
          <w:rFonts w:eastAsia="Arial"/>
        </w:rPr>
        <w:t>attention à la dimension sociale de l'eau et de l'assainissement, qui, en étant sans doute des biens économiques, sont aussi de biens sociaux.</w:t>
      </w:r>
    </w:p>
    <w:p w14:paraId="6D1AD79B" w14:textId="77777777" w:rsidR="00DA7E25" w:rsidRPr="0055512B" w:rsidRDefault="00DA7E25" w:rsidP="00BD0DCC">
      <w:pPr>
        <w:spacing w:line="276" w:lineRule="auto"/>
        <w:jc w:val="both"/>
        <w:rPr>
          <w:rFonts w:eastAsia="Times New Roman"/>
        </w:rPr>
      </w:pPr>
    </w:p>
    <w:p w14:paraId="39CE54D6" w14:textId="77777777" w:rsidR="00DA7E25" w:rsidRPr="0055512B" w:rsidRDefault="00DA7E25" w:rsidP="00BD0DCC">
      <w:pPr>
        <w:spacing w:line="276" w:lineRule="auto"/>
        <w:jc w:val="both"/>
        <w:rPr>
          <w:rFonts w:eastAsia="Arial"/>
        </w:rPr>
      </w:pPr>
      <w:r w:rsidRPr="0055512B">
        <w:rPr>
          <w:rFonts w:eastAsia="Arial"/>
        </w:rPr>
        <w:t xml:space="preserve">La couverture de ces coûts par les </w:t>
      </w:r>
      <w:r w:rsidR="00B405DC" w:rsidRPr="0055512B">
        <w:rPr>
          <w:rFonts w:eastAsia="Arial"/>
        </w:rPr>
        <w:t>recettes tarifaires constitue l’</w:t>
      </w:r>
      <w:r w:rsidRPr="0055512B">
        <w:rPr>
          <w:rFonts w:eastAsia="Arial"/>
        </w:rPr>
        <w:t>exigence minimale de faisabilité financière positive et donc de viabilité du système. Si ces coûts ne peuvent être couverts par la grille tarifaire la plus basse en raison de la faible c</w:t>
      </w:r>
      <w:r w:rsidR="00B405DC" w:rsidRPr="0055512B">
        <w:rPr>
          <w:rFonts w:eastAsia="Arial"/>
        </w:rPr>
        <w:t>apacité de payer des usagers, l’</w:t>
      </w:r>
      <w:r w:rsidRPr="0055512B">
        <w:rPr>
          <w:rFonts w:eastAsia="Arial"/>
        </w:rPr>
        <w:t>Assistance Technique Opérationnelle, la DINEPA et la CAMEP devront concevoir un SA</w:t>
      </w:r>
      <w:r w:rsidR="00B405DC" w:rsidRPr="0055512B">
        <w:rPr>
          <w:rFonts w:eastAsia="Arial"/>
        </w:rPr>
        <w:t>EP dont les coûts d’</w:t>
      </w:r>
      <w:r w:rsidRPr="0055512B">
        <w:rPr>
          <w:rFonts w:eastAsia="Arial"/>
        </w:rPr>
        <w:t>investissement satisferont aux cr</w:t>
      </w:r>
      <w:r w:rsidR="00B405DC" w:rsidRPr="0055512B">
        <w:rPr>
          <w:rFonts w:eastAsia="Arial"/>
        </w:rPr>
        <w:t>itères définis dont les coûts d’entretien et d’</w:t>
      </w:r>
      <w:r w:rsidRPr="0055512B">
        <w:rPr>
          <w:rFonts w:eastAsia="Arial"/>
        </w:rPr>
        <w:t>exploitation peuvent être couverts par des recettes compatibles avec la capacité et la volonté de payer des usagers.</w:t>
      </w:r>
    </w:p>
    <w:p w14:paraId="3B997593" w14:textId="77777777" w:rsidR="00DA7E25" w:rsidRPr="0055512B" w:rsidRDefault="00DA7E25" w:rsidP="00BD0DCC">
      <w:pPr>
        <w:spacing w:line="276" w:lineRule="auto"/>
        <w:jc w:val="both"/>
        <w:rPr>
          <w:rFonts w:eastAsia="Times New Roman"/>
        </w:rPr>
      </w:pPr>
    </w:p>
    <w:p w14:paraId="09406E75" w14:textId="77777777" w:rsidR="00DA7E25" w:rsidRPr="0055512B" w:rsidRDefault="00DA7E25" w:rsidP="00BD0DCC">
      <w:pPr>
        <w:spacing w:line="276" w:lineRule="auto"/>
        <w:jc w:val="both"/>
        <w:rPr>
          <w:rFonts w:eastAsia="Arial"/>
        </w:rPr>
      </w:pPr>
      <w:r w:rsidRPr="0055512B">
        <w:rPr>
          <w:rFonts w:eastAsia="Arial"/>
        </w:rPr>
        <w:t>Par grille tarifaire on entend un tableau qui pré</w:t>
      </w:r>
      <w:r w:rsidR="00B405DC" w:rsidRPr="0055512B">
        <w:rPr>
          <w:rFonts w:eastAsia="Arial"/>
        </w:rPr>
        <w:t>sente en ligne les catégories d’</w:t>
      </w:r>
      <w:r w:rsidRPr="0055512B">
        <w:rPr>
          <w:rFonts w:eastAsia="Arial"/>
        </w:rPr>
        <w:t>abonnés par niveau de service et en colonnes la</w:t>
      </w:r>
      <w:r w:rsidR="00B405DC" w:rsidRPr="0055512B">
        <w:rPr>
          <w:rFonts w:eastAsia="Arial"/>
        </w:rPr>
        <w:t xml:space="preserve"> consommation annuelle totale d’</w:t>
      </w:r>
      <w:r w:rsidRPr="0055512B">
        <w:rPr>
          <w:rFonts w:eastAsia="Arial"/>
        </w:rPr>
        <w:t>eau</w:t>
      </w:r>
      <w:r w:rsidR="00B405DC" w:rsidRPr="0055512B">
        <w:rPr>
          <w:rFonts w:eastAsia="Arial"/>
        </w:rPr>
        <w:t xml:space="preserve"> prévue pour chaque catégorie d’</w:t>
      </w:r>
      <w:r w:rsidRPr="0055512B">
        <w:rPr>
          <w:rFonts w:eastAsia="Arial"/>
        </w:rPr>
        <w:t>abonné, le tarif unitaire proposé (par m3, bockit ou autre unité) ainsi que les recettes totales pa</w:t>
      </w:r>
      <w:r w:rsidR="00B405DC" w:rsidRPr="0055512B">
        <w:rPr>
          <w:rFonts w:eastAsia="Arial"/>
        </w:rPr>
        <w:t>r catégories et pour l’</w:t>
      </w:r>
      <w:r w:rsidRPr="0055512B">
        <w:rPr>
          <w:rFonts w:eastAsia="Arial"/>
        </w:rPr>
        <w:t>ensemble du SAEP.</w:t>
      </w:r>
    </w:p>
    <w:p w14:paraId="07DA411E" w14:textId="77777777" w:rsidR="00DA7E25" w:rsidRPr="0055512B" w:rsidRDefault="00DA7E25" w:rsidP="00BD0DCC">
      <w:pPr>
        <w:spacing w:line="276" w:lineRule="auto"/>
        <w:jc w:val="both"/>
        <w:rPr>
          <w:rFonts w:eastAsia="Times New Roman"/>
        </w:rPr>
      </w:pPr>
    </w:p>
    <w:p w14:paraId="5B00E1BB" w14:textId="77777777" w:rsidR="00DA7E25" w:rsidRPr="0055512B" w:rsidRDefault="00B405DC" w:rsidP="00BD0DCC">
      <w:pPr>
        <w:spacing w:line="276" w:lineRule="auto"/>
        <w:jc w:val="both"/>
        <w:rPr>
          <w:rFonts w:eastAsia="Arial"/>
        </w:rPr>
      </w:pPr>
      <w:r w:rsidRPr="0055512B">
        <w:rPr>
          <w:rFonts w:eastAsia="Arial"/>
        </w:rPr>
        <w:t>Le calcul du prix de l’</w:t>
      </w:r>
      <w:r w:rsidR="00DA7E25" w:rsidRPr="0055512B">
        <w:rPr>
          <w:rFonts w:eastAsia="Arial"/>
        </w:rPr>
        <w:t>eau, pour chaque niveau de service (kiosque, borne fontaine, branchement p</w:t>
      </w:r>
      <w:r w:rsidRPr="0055512B">
        <w:rPr>
          <w:rFonts w:eastAsia="Arial"/>
        </w:rPr>
        <w:t>rivé, etc.), sera proposé par l</w:t>
      </w:r>
      <w:r w:rsidR="009D3874" w:rsidRPr="0055512B">
        <w:rPr>
          <w:rFonts w:eastAsia="Arial"/>
        </w:rPr>
        <w:t>’</w:t>
      </w:r>
      <w:r w:rsidR="00DA7E25" w:rsidRPr="0055512B">
        <w:rPr>
          <w:rFonts w:eastAsia="Arial"/>
        </w:rPr>
        <w:t>Assistance Techni</w:t>
      </w:r>
      <w:r w:rsidR="009D3874" w:rsidRPr="0055512B">
        <w:rPr>
          <w:rFonts w:eastAsia="Arial"/>
        </w:rPr>
        <w:t>que Opérationnelle à partir de l’</w:t>
      </w:r>
      <w:r w:rsidR="00DA7E25" w:rsidRPr="0055512B">
        <w:rPr>
          <w:rFonts w:eastAsia="Arial"/>
        </w:rPr>
        <w:t xml:space="preserve">estimation des charges de fonctionnement associées à chacun, de la consommation </w:t>
      </w:r>
      <w:r w:rsidR="00DA7E25" w:rsidRPr="0055512B">
        <w:rPr>
          <w:rFonts w:eastAsia="Arial"/>
        </w:rPr>
        <w:lastRenderedPageBreak/>
        <w:t>projetée ainsi que de la capacité de payer des usagers de chaque ty</w:t>
      </w:r>
      <w:r w:rsidRPr="0055512B">
        <w:rPr>
          <w:rFonts w:eastAsia="Arial"/>
        </w:rPr>
        <w:t>pe de service estimée lors de l’</w:t>
      </w:r>
      <w:r w:rsidR="00DA7E25" w:rsidRPr="0055512B">
        <w:rPr>
          <w:rFonts w:eastAsia="Arial"/>
        </w:rPr>
        <w:t>enquête.</w:t>
      </w:r>
    </w:p>
    <w:p w14:paraId="4BE0A7DD" w14:textId="77777777" w:rsidR="00DA7E25" w:rsidRPr="0055512B" w:rsidRDefault="00DA7E25" w:rsidP="00BD0DCC">
      <w:pPr>
        <w:spacing w:line="276" w:lineRule="auto"/>
        <w:jc w:val="both"/>
        <w:rPr>
          <w:rFonts w:eastAsia="Times New Roman"/>
        </w:rPr>
      </w:pPr>
    </w:p>
    <w:p w14:paraId="04949677" w14:textId="77777777" w:rsidR="00DA7E25" w:rsidRPr="0055512B" w:rsidRDefault="00B405DC" w:rsidP="00BD0DCC">
      <w:pPr>
        <w:spacing w:line="276" w:lineRule="auto"/>
        <w:jc w:val="both"/>
        <w:rPr>
          <w:rFonts w:eastAsia="Arial"/>
        </w:rPr>
      </w:pPr>
      <w:r w:rsidRPr="0055512B">
        <w:rPr>
          <w:rFonts w:eastAsia="Arial"/>
        </w:rPr>
        <w:t>L’</w:t>
      </w:r>
      <w:r w:rsidR="00DA7E25" w:rsidRPr="0055512B">
        <w:rPr>
          <w:rFonts w:eastAsia="Arial"/>
        </w:rPr>
        <w:t>Assistance Technique Opérationnelle présentera au moins 3</w:t>
      </w:r>
      <w:r w:rsidRPr="0055512B">
        <w:rPr>
          <w:rFonts w:eastAsia="Arial"/>
        </w:rPr>
        <w:t xml:space="preserve"> niveaux tarifaires. Certains d’</w:t>
      </w:r>
      <w:r w:rsidR="00DA7E25" w:rsidRPr="0055512B">
        <w:rPr>
          <w:rFonts w:eastAsia="Arial"/>
        </w:rPr>
        <w:t>entre eux pourront inclure, outre les coûts décrits ci-dessus qui son</w:t>
      </w:r>
      <w:r w:rsidRPr="0055512B">
        <w:rPr>
          <w:rFonts w:eastAsia="Arial"/>
        </w:rPr>
        <w:t>t le minimum, la constitution d’</w:t>
      </w:r>
      <w:r w:rsidR="00DA7E25" w:rsidRPr="0055512B">
        <w:rPr>
          <w:rFonts w:eastAsia="Arial"/>
        </w:rPr>
        <w:t>une réserve pour grosses réparations, la rémunération du p</w:t>
      </w:r>
      <w:r w:rsidR="00390CAB" w:rsidRPr="0055512B">
        <w:rPr>
          <w:rFonts w:eastAsia="Arial"/>
        </w:rPr>
        <w:t>lombier à temps plein plutôt qu’</w:t>
      </w:r>
      <w:r w:rsidR="00DA7E25" w:rsidRPr="0055512B">
        <w:rPr>
          <w:rFonts w:eastAsia="Arial"/>
        </w:rPr>
        <w:t>en fonction du te</w:t>
      </w:r>
      <w:r w:rsidR="00390CAB" w:rsidRPr="0055512B">
        <w:rPr>
          <w:rFonts w:eastAsia="Arial"/>
        </w:rPr>
        <w:t xml:space="preserve">mps consacré au système afin </w:t>
      </w:r>
      <w:r w:rsidR="009D3874" w:rsidRPr="0055512B">
        <w:rPr>
          <w:rFonts w:eastAsia="Arial"/>
        </w:rPr>
        <w:t>q</w:t>
      </w:r>
      <w:r w:rsidR="00390CAB" w:rsidRPr="0055512B">
        <w:rPr>
          <w:rFonts w:eastAsia="Arial"/>
        </w:rPr>
        <w:t>u</w:t>
      </w:r>
      <w:r w:rsidR="00747C65" w:rsidRPr="0055512B">
        <w:rPr>
          <w:rFonts w:eastAsia="Arial"/>
        </w:rPr>
        <w:t>’</w:t>
      </w:r>
      <w:r w:rsidR="00DA7E25" w:rsidRPr="0055512B">
        <w:rPr>
          <w:rFonts w:eastAsia="Arial"/>
        </w:rPr>
        <w:t>il pui</w:t>
      </w:r>
      <w:r w:rsidR="00390CAB" w:rsidRPr="0055512B">
        <w:rPr>
          <w:rFonts w:eastAsia="Arial"/>
        </w:rPr>
        <w:t>sse s’assurer qu’il n’y a pas d’</w:t>
      </w:r>
      <w:r w:rsidR="00DA7E25" w:rsidRPr="0055512B">
        <w:rPr>
          <w:rFonts w:eastAsia="Arial"/>
        </w:rPr>
        <w:t>abus de consommation pour des fins autres que domestique (jardinage) ou contournement du c</w:t>
      </w:r>
      <w:r w:rsidR="00390CAB" w:rsidRPr="0055512B">
        <w:rPr>
          <w:rFonts w:eastAsia="Arial"/>
        </w:rPr>
        <w:t>ompteur par des abonnés dotés d’</w:t>
      </w:r>
      <w:r w:rsidR="00DA7E25" w:rsidRPr="0055512B">
        <w:rPr>
          <w:rFonts w:eastAsia="Arial"/>
        </w:rPr>
        <w:t>un branchement privé ainsi que toute autre dépense ayant pour but de renforcer la viabilité du système et son amélioration ultérieure éventuelle (ex : branchement direct de tous les usagers).</w:t>
      </w:r>
    </w:p>
    <w:p w14:paraId="535D0A27" w14:textId="77777777" w:rsidR="00DA7E25" w:rsidRPr="0055512B" w:rsidRDefault="00DA7E25" w:rsidP="00BD0DCC">
      <w:pPr>
        <w:spacing w:line="276" w:lineRule="auto"/>
        <w:jc w:val="both"/>
        <w:rPr>
          <w:rFonts w:eastAsia="Times New Roman"/>
        </w:rPr>
      </w:pPr>
    </w:p>
    <w:p w14:paraId="335B597A" w14:textId="77777777" w:rsidR="00DA7E25" w:rsidRPr="0055512B" w:rsidRDefault="00B06FB4" w:rsidP="00BD0DCC">
      <w:pPr>
        <w:spacing w:line="276" w:lineRule="auto"/>
        <w:jc w:val="both"/>
        <w:rPr>
          <w:rFonts w:eastAsia="Arial"/>
        </w:rPr>
      </w:pPr>
      <w:r w:rsidRPr="0055512B">
        <w:rPr>
          <w:rFonts w:eastAsia="Arial"/>
        </w:rPr>
        <w:t>L’</w:t>
      </w:r>
      <w:r w:rsidR="00DA7E25" w:rsidRPr="0055512B">
        <w:rPr>
          <w:rFonts w:eastAsia="Arial"/>
        </w:rPr>
        <w:t>adoption du niveau tarifaire par la population sera faite en assemb</w:t>
      </w:r>
      <w:r w:rsidRPr="0055512B">
        <w:rPr>
          <w:rFonts w:eastAsia="Arial"/>
        </w:rPr>
        <w:t>lée générale dans le cadre de l’</w:t>
      </w:r>
      <w:r w:rsidR="00DA7E25" w:rsidRPr="0055512B">
        <w:rPr>
          <w:rFonts w:eastAsia="Arial"/>
        </w:rPr>
        <w:t>étude de faisabilité (analy</w:t>
      </w:r>
      <w:r w:rsidRPr="0055512B">
        <w:rPr>
          <w:rFonts w:eastAsia="Arial"/>
        </w:rPr>
        <w:t>se financière). Le personnel d’I</w:t>
      </w:r>
      <w:r w:rsidR="00DA7E25" w:rsidRPr="0055512B">
        <w:rPr>
          <w:rFonts w:eastAsia="Arial"/>
        </w:rPr>
        <w:t>ngénierie sociale devra motiver les femmes à participer à cette assemblée car ce sont elles qui habituellement gèrent le budget familial.</w:t>
      </w:r>
    </w:p>
    <w:p w14:paraId="528478F5" w14:textId="77777777" w:rsidR="00DA7E25" w:rsidRPr="0055512B" w:rsidRDefault="00DA7E25" w:rsidP="00BD0DCC">
      <w:pPr>
        <w:tabs>
          <w:tab w:val="left" w:pos="1000"/>
        </w:tabs>
        <w:spacing w:line="276" w:lineRule="auto"/>
        <w:jc w:val="both"/>
        <w:rPr>
          <w:rFonts w:eastAsia="Arial"/>
        </w:rPr>
      </w:pPr>
    </w:p>
    <w:p w14:paraId="3F212E77" w14:textId="77777777" w:rsidR="00DA7E25" w:rsidRPr="0055512B" w:rsidRDefault="00DA7E25" w:rsidP="00BD0DCC">
      <w:pPr>
        <w:spacing w:line="276" w:lineRule="auto"/>
        <w:jc w:val="both"/>
        <w:rPr>
          <w:rFonts w:eastAsia="Arial"/>
        </w:rPr>
      </w:pPr>
      <w:r w:rsidRPr="0055512B">
        <w:rPr>
          <w:rFonts w:eastAsia="Arial"/>
        </w:rPr>
        <w:t>Les tarifs devront être révisés au moins chaque année et éventuel</w:t>
      </w:r>
      <w:r w:rsidR="00B06FB4" w:rsidRPr="0055512B">
        <w:rPr>
          <w:rFonts w:eastAsia="Arial"/>
        </w:rPr>
        <w:t>lement ajustés en fonction de l’augmentation des coûts réels d’</w:t>
      </w:r>
      <w:r w:rsidRPr="0055512B">
        <w:rPr>
          <w:rFonts w:eastAsia="Arial"/>
        </w:rPr>
        <w:t>opération et entretien. Les nouveaux tarifs devront être approuvés en assemblée générale de la population.</w:t>
      </w:r>
    </w:p>
    <w:p w14:paraId="77004E70" w14:textId="77777777" w:rsidR="00DA7E25" w:rsidRPr="0055512B" w:rsidRDefault="00DA7E25" w:rsidP="00BD0DCC">
      <w:pPr>
        <w:spacing w:line="276" w:lineRule="auto"/>
        <w:jc w:val="both"/>
        <w:rPr>
          <w:rFonts w:eastAsia="Times New Roman"/>
        </w:rPr>
      </w:pPr>
    </w:p>
    <w:p w14:paraId="61CE1C44" w14:textId="77777777" w:rsidR="00DA7E25" w:rsidRPr="0055512B" w:rsidRDefault="00DA7E25" w:rsidP="002E5BE9">
      <w:pPr>
        <w:pStyle w:val="ListParagraph"/>
        <w:numPr>
          <w:ilvl w:val="1"/>
          <w:numId w:val="38"/>
        </w:numPr>
        <w:tabs>
          <w:tab w:val="left" w:pos="580"/>
        </w:tabs>
        <w:spacing w:line="276" w:lineRule="auto"/>
        <w:rPr>
          <w:rFonts w:eastAsia="Arial"/>
          <w:b/>
        </w:rPr>
      </w:pPr>
      <w:r w:rsidRPr="0055512B">
        <w:rPr>
          <w:rFonts w:eastAsia="Arial"/>
          <w:b/>
        </w:rPr>
        <w:t>INDICATEURS ET MATRICE DES RESULTATS DU PROGRAMME</w:t>
      </w:r>
    </w:p>
    <w:p w14:paraId="3B1F4707" w14:textId="77777777" w:rsidR="00DA7E25" w:rsidRPr="0055512B" w:rsidRDefault="00DA7E25" w:rsidP="001950BE">
      <w:pPr>
        <w:spacing w:line="276" w:lineRule="auto"/>
        <w:rPr>
          <w:rFonts w:eastAsia="Times New Roman"/>
        </w:rPr>
      </w:pPr>
    </w:p>
    <w:p w14:paraId="39F4A7B8" w14:textId="77777777" w:rsidR="00DA7E25" w:rsidRPr="0055512B" w:rsidRDefault="00BE2816" w:rsidP="002E5BE9">
      <w:pPr>
        <w:pStyle w:val="ListParagraph"/>
        <w:numPr>
          <w:ilvl w:val="2"/>
          <w:numId w:val="38"/>
        </w:numPr>
        <w:tabs>
          <w:tab w:val="left" w:pos="720"/>
        </w:tabs>
        <w:spacing w:line="276" w:lineRule="auto"/>
        <w:rPr>
          <w:rFonts w:eastAsia="Arial"/>
          <w:b/>
        </w:rPr>
      </w:pPr>
      <w:r w:rsidRPr="0055512B">
        <w:rPr>
          <w:rFonts w:eastAsia="Arial"/>
          <w:b/>
        </w:rPr>
        <w:t>Les indicateurs</w:t>
      </w:r>
    </w:p>
    <w:p w14:paraId="79D2FEF4" w14:textId="77777777" w:rsidR="00DA7E25" w:rsidRPr="0055512B" w:rsidRDefault="00DA7E25" w:rsidP="001950BE">
      <w:pPr>
        <w:spacing w:line="276" w:lineRule="auto"/>
        <w:rPr>
          <w:rFonts w:eastAsia="Times New Roman"/>
        </w:rPr>
      </w:pPr>
    </w:p>
    <w:p w14:paraId="2E8BD0ED" w14:textId="77777777" w:rsidR="00DA7E25" w:rsidRPr="0055512B" w:rsidRDefault="00B06FB4" w:rsidP="001950BE">
      <w:pPr>
        <w:spacing w:line="276" w:lineRule="auto"/>
        <w:rPr>
          <w:rFonts w:eastAsia="Arial"/>
        </w:rPr>
      </w:pPr>
      <w:r w:rsidRPr="0055512B">
        <w:rPr>
          <w:rFonts w:eastAsia="Arial"/>
        </w:rPr>
        <w:t>La DINEPA, la BID et l’</w:t>
      </w:r>
      <w:r w:rsidR="00DA7E25" w:rsidRPr="0055512B">
        <w:rPr>
          <w:rFonts w:eastAsia="Arial"/>
        </w:rPr>
        <w:t xml:space="preserve">AECID souhaitent définir des indicateurs-clés, faciles </w:t>
      </w:r>
      <w:r w:rsidRPr="0055512B">
        <w:rPr>
          <w:rFonts w:eastAsia="Arial"/>
        </w:rPr>
        <w:t>à mesurer et communs à l’</w:t>
      </w:r>
      <w:r w:rsidR="00DA7E25" w:rsidRPr="0055512B">
        <w:rPr>
          <w:rFonts w:eastAsia="Arial"/>
        </w:rPr>
        <w:t>ensemble des programmes EPA en Haïti, tous bailleurs confondus, qui permettent non seulement de suivre le développement des divers programmes mais aussi de contrôler le développement du secteur, des réformes et de la gestion des services au niveau urbain et rural au court, moyen et long termes.</w:t>
      </w:r>
    </w:p>
    <w:p w14:paraId="44DAD85B" w14:textId="77777777" w:rsidR="00DA7E25" w:rsidRPr="0055512B" w:rsidRDefault="00DA7E25" w:rsidP="001950BE">
      <w:pPr>
        <w:spacing w:line="276" w:lineRule="auto"/>
        <w:rPr>
          <w:rFonts w:eastAsia="Times New Roman"/>
        </w:rPr>
      </w:pPr>
    </w:p>
    <w:p w14:paraId="1AAB071C" w14:textId="77777777" w:rsidR="00DA7E25" w:rsidRPr="0055512B" w:rsidRDefault="00DA7E25" w:rsidP="001950BE">
      <w:pPr>
        <w:spacing w:line="276" w:lineRule="auto"/>
        <w:rPr>
          <w:rFonts w:eastAsia="Arial"/>
        </w:rPr>
      </w:pPr>
      <w:r w:rsidRPr="0055512B">
        <w:rPr>
          <w:rFonts w:eastAsia="Arial"/>
        </w:rPr>
        <w:t>Le développement de la matrice d'indicateurs de ce programme devra de même être cohérent avec l'exercice de conception des indicateurs et des procédures de suivi du FECASALC que la Coopération Espagnole et la Banque ont mené à bien.</w:t>
      </w:r>
    </w:p>
    <w:p w14:paraId="2E3C6DCD" w14:textId="77777777" w:rsidR="00DA7E25" w:rsidRPr="0055512B" w:rsidRDefault="00DA7E25" w:rsidP="001950BE">
      <w:pPr>
        <w:spacing w:line="276" w:lineRule="auto"/>
        <w:rPr>
          <w:rFonts w:eastAsia="Times New Roman"/>
        </w:rPr>
      </w:pPr>
    </w:p>
    <w:p w14:paraId="5F4D26E4" w14:textId="77777777" w:rsidR="00DA7E25" w:rsidRPr="0055512B" w:rsidRDefault="00DA7E25" w:rsidP="001950BE">
      <w:pPr>
        <w:spacing w:line="276" w:lineRule="auto"/>
        <w:rPr>
          <w:rFonts w:eastAsia="Arial"/>
        </w:rPr>
      </w:pPr>
      <w:r w:rsidRPr="0055512B">
        <w:rPr>
          <w:rFonts w:eastAsia="Arial"/>
        </w:rPr>
        <w:t xml:space="preserve">Ces indicateurs devront </w:t>
      </w:r>
      <w:r w:rsidR="00B06FB4" w:rsidRPr="0055512B">
        <w:rPr>
          <w:rFonts w:eastAsia="Arial"/>
        </w:rPr>
        <w:t>être gérés à l’aide de l’</w:t>
      </w:r>
      <w:r w:rsidRPr="0055512B">
        <w:rPr>
          <w:rFonts w:eastAsia="Arial"/>
        </w:rPr>
        <w:t>Observatoire du Secteur et devront permettr</w:t>
      </w:r>
      <w:r w:rsidR="00B06FB4" w:rsidRPr="0055512B">
        <w:rPr>
          <w:rFonts w:eastAsia="Arial"/>
        </w:rPr>
        <w:t>e de mesurer les résultats et l’</w:t>
      </w:r>
      <w:r w:rsidRPr="0055512B">
        <w:rPr>
          <w:rFonts w:eastAsia="Arial"/>
        </w:rPr>
        <w:t>impact du programme localement et nationalement ainsi que la gestion des services.</w:t>
      </w:r>
    </w:p>
    <w:p w14:paraId="2DD9D55E" w14:textId="77777777" w:rsidR="00DA7E25" w:rsidRPr="0055512B" w:rsidRDefault="00DA7E25" w:rsidP="001950BE">
      <w:pPr>
        <w:spacing w:line="276" w:lineRule="auto"/>
        <w:rPr>
          <w:rFonts w:eastAsia="Times New Roman"/>
        </w:rPr>
      </w:pPr>
    </w:p>
    <w:p w14:paraId="18DB3724" w14:textId="77777777" w:rsidR="00DA7E25" w:rsidRPr="0055512B" w:rsidRDefault="00DA7E25" w:rsidP="001950BE">
      <w:pPr>
        <w:spacing w:line="276" w:lineRule="auto"/>
        <w:rPr>
          <w:rFonts w:eastAsia="Arial"/>
        </w:rPr>
      </w:pPr>
      <w:r w:rsidRPr="0055512B">
        <w:rPr>
          <w:rFonts w:eastAsia="Arial"/>
        </w:rPr>
        <w:lastRenderedPageBreak/>
        <w:t>A cet égard, un consultant a été spécifiquement recruté à la DINEPA et le design de la structure, des indicateurs et des param</w:t>
      </w:r>
      <w:r w:rsidR="00B06FB4" w:rsidRPr="0055512B">
        <w:rPr>
          <w:rFonts w:eastAsia="Arial"/>
        </w:rPr>
        <w:t>ètres et variables du système d’</w:t>
      </w:r>
      <w:r w:rsidRPr="0055512B">
        <w:rPr>
          <w:rFonts w:eastAsia="Arial"/>
        </w:rPr>
        <w:t>information sont en procès de définition av</w:t>
      </w:r>
      <w:r w:rsidR="00B06FB4" w:rsidRPr="0055512B">
        <w:rPr>
          <w:rFonts w:eastAsia="Arial"/>
        </w:rPr>
        <w:t>ec une zone pilote (le Manuel d’</w:t>
      </w:r>
      <w:r w:rsidRPr="0055512B">
        <w:rPr>
          <w:rFonts w:eastAsia="Arial"/>
        </w:rPr>
        <w:t>opération sera mis à jour en ce sens, une fois la démarche aboutie).</w:t>
      </w:r>
      <w:r w:rsidR="0026283D" w:rsidRPr="0055512B">
        <w:rPr>
          <w:rFonts w:eastAsia="Arial"/>
        </w:rPr>
        <w:t xml:space="preserve"> </w:t>
      </w:r>
      <w:r w:rsidRPr="0055512B">
        <w:rPr>
          <w:rFonts w:eastAsia="Arial"/>
        </w:rPr>
        <w:t>Les procédures de colle</w:t>
      </w:r>
      <w:r w:rsidR="00B06FB4" w:rsidRPr="0055512B">
        <w:rPr>
          <w:rFonts w:eastAsia="Arial"/>
        </w:rPr>
        <w:t>cte d’</w:t>
      </w:r>
      <w:r w:rsidRPr="0055512B">
        <w:rPr>
          <w:rFonts w:eastAsia="Arial"/>
        </w:rPr>
        <w:t>informat</w:t>
      </w:r>
      <w:r w:rsidR="00B06FB4" w:rsidRPr="0055512B">
        <w:rPr>
          <w:rFonts w:eastAsia="Arial"/>
        </w:rPr>
        <w:t>ion au niveau urbain et rural s’</w:t>
      </w:r>
      <w:r w:rsidRPr="0055512B">
        <w:rPr>
          <w:rFonts w:eastAsia="Arial"/>
        </w:rPr>
        <w:t>appuient s</w:t>
      </w:r>
      <w:r w:rsidR="00B06FB4" w:rsidRPr="0055512B">
        <w:rPr>
          <w:rFonts w:eastAsia="Arial"/>
        </w:rPr>
        <w:t>ur des formulaires de capture d’</w:t>
      </w:r>
      <w:r w:rsidRPr="0055512B">
        <w:rPr>
          <w:rFonts w:eastAsia="Arial"/>
        </w:rPr>
        <w:t>information qui vont être testés dans la zone pilote.</w:t>
      </w:r>
    </w:p>
    <w:p w14:paraId="2CDF1833" w14:textId="77777777" w:rsidR="00DA7E25" w:rsidRPr="0055512B" w:rsidRDefault="00DA7E25" w:rsidP="002E5BE9">
      <w:pPr>
        <w:pStyle w:val="ListParagraph"/>
        <w:numPr>
          <w:ilvl w:val="2"/>
          <w:numId w:val="38"/>
        </w:numPr>
        <w:tabs>
          <w:tab w:val="left" w:pos="720"/>
        </w:tabs>
        <w:spacing w:line="276" w:lineRule="auto"/>
        <w:rPr>
          <w:rFonts w:eastAsia="Arial"/>
          <w:b/>
        </w:rPr>
      </w:pPr>
      <w:r w:rsidRPr="0055512B">
        <w:rPr>
          <w:rFonts w:eastAsia="Arial"/>
          <w:b/>
        </w:rPr>
        <w:t>La Matrice de Résultats et indicateurs</w:t>
      </w:r>
    </w:p>
    <w:p w14:paraId="05B0383E" w14:textId="77777777" w:rsidR="00DA7E25" w:rsidRPr="0055512B" w:rsidRDefault="00DA7E25" w:rsidP="001950BE">
      <w:pPr>
        <w:spacing w:line="276" w:lineRule="auto"/>
        <w:rPr>
          <w:rFonts w:eastAsia="Times New Roman"/>
        </w:rPr>
      </w:pPr>
    </w:p>
    <w:p w14:paraId="546A6296" w14:textId="77777777" w:rsidR="00DA7E25" w:rsidRPr="0055512B" w:rsidRDefault="00DA7E25" w:rsidP="0026283D">
      <w:pPr>
        <w:spacing w:line="276" w:lineRule="auto"/>
        <w:jc w:val="both"/>
        <w:rPr>
          <w:rFonts w:eastAsia="Arial"/>
        </w:rPr>
      </w:pPr>
      <w:r w:rsidRPr="0055512B">
        <w:rPr>
          <w:rFonts w:eastAsia="Arial"/>
        </w:rPr>
        <w:t>Au-delà de ces indicateurs généraux, la Matrice des résultats vise à définir les produits (Outputs) et résultats (Outcomes) à atteindre aux diverses étapes de programme et les indicateurs qui mesureront ces produits et résultats. Pour que cette mesure soit faite (idéalement ch</w:t>
      </w:r>
      <w:r w:rsidR="00B06FB4" w:rsidRPr="0055512B">
        <w:rPr>
          <w:rFonts w:eastAsia="Arial"/>
        </w:rPr>
        <w:t>aque année) il est nécessaire d’</w:t>
      </w:r>
      <w:r w:rsidRPr="0055512B">
        <w:rPr>
          <w:rFonts w:eastAsia="Arial"/>
        </w:rPr>
        <w:t>avoir la valeur initiale des indicateurs (appelée: ligne de base).</w:t>
      </w:r>
    </w:p>
    <w:p w14:paraId="1054F9F3" w14:textId="77777777" w:rsidR="00DA7E25" w:rsidRPr="0055512B" w:rsidRDefault="00DA7E25" w:rsidP="0026283D">
      <w:pPr>
        <w:spacing w:line="276" w:lineRule="auto"/>
        <w:jc w:val="both"/>
        <w:rPr>
          <w:rFonts w:eastAsia="Times New Roman"/>
        </w:rPr>
      </w:pPr>
    </w:p>
    <w:p w14:paraId="27059082" w14:textId="77777777" w:rsidR="00DA7E25" w:rsidRPr="0055512B" w:rsidRDefault="00DA7E25" w:rsidP="0026283D">
      <w:pPr>
        <w:spacing w:line="276" w:lineRule="auto"/>
        <w:jc w:val="both"/>
        <w:rPr>
          <w:rFonts w:eastAsia="Arial"/>
        </w:rPr>
      </w:pPr>
      <w:r w:rsidRPr="0055512B">
        <w:rPr>
          <w:rFonts w:eastAsia="Arial"/>
        </w:rPr>
        <w:t>Par exemple: on peut considérer comme le produit du p</w:t>
      </w:r>
      <w:r w:rsidR="00B06FB4" w:rsidRPr="0055512B">
        <w:rPr>
          <w:rFonts w:eastAsia="Arial"/>
        </w:rPr>
        <w:t>rogramme de sensibilisation à l’hygiène et l’assainissement l’achèvement d’</w:t>
      </w:r>
      <w:r w:rsidRPr="0055512B">
        <w:rPr>
          <w:rFonts w:eastAsia="Arial"/>
        </w:rPr>
        <w:t>une campagne de sensibilisation. Le résultat (conséquence du produit) devra ê</w:t>
      </w:r>
      <w:r w:rsidR="00B06FB4" w:rsidRPr="0055512B">
        <w:rPr>
          <w:rFonts w:eastAsia="Arial"/>
        </w:rPr>
        <w:t>tre le niveau d’I</w:t>
      </w:r>
      <w:r w:rsidRPr="0055512B">
        <w:rPr>
          <w:rFonts w:eastAsia="Arial"/>
        </w:rPr>
        <w:t xml:space="preserve">ntégration du message de la </w:t>
      </w:r>
      <w:r w:rsidR="00B06FB4" w:rsidRPr="0055512B">
        <w:rPr>
          <w:rFonts w:eastAsia="Arial"/>
        </w:rPr>
        <w:t>campagne et le degré d’</w:t>
      </w:r>
      <w:r w:rsidRPr="0055512B">
        <w:rPr>
          <w:rFonts w:eastAsia="Arial"/>
        </w:rPr>
        <w:t>application des recom</w:t>
      </w:r>
      <w:r w:rsidR="00B06FB4" w:rsidRPr="0055512B">
        <w:rPr>
          <w:rFonts w:eastAsia="Arial"/>
        </w:rPr>
        <w:t>mandations. Dans cet exemple, l’</w:t>
      </w:r>
      <w:r w:rsidRPr="0055512B">
        <w:rPr>
          <w:rFonts w:eastAsia="Arial"/>
        </w:rPr>
        <w:t>indicateur objectivement mesurable est le pourcentage de population capable de restituer le message.</w:t>
      </w:r>
    </w:p>
    <w:p w14:paraId="1B858BAB" w14:textId="77777777" w:rsidR="00DA7E25" w:rsidRPr="0055512B" w:rsidRDefault="00DA7E25" w:rsidP="0026283D">
      <w:pPr>
        <w:spacing w:line="276" w:lineRule="auto"/>
        <w:jc w:val="both"/>
        <w:rPr>
          <w:rFonts w:eastAsia="Arial"/>
        </w:rPr>
      </w:pPr>
    </w:p>
    <w:p w14:paraId="6D4BDAB0" w14:textId="77777777" w:rsidR="00DA7E25" w:rsidRPr="0055512B" w:rsidRDefault="00DA7E25" w:rsidP="0026283D">
      <w:pPr>
        <w:spacing w:line="276" w:lineRule="auto"/>
        <w:jc w:val="both"/>
        <w:rPr>
          <w:rFonts w:eastAsia="Arial"/>
        </w:rPr>
      </w:pPr>
      <w:r w:rsidRPr="0055512B">
        <w:rPr>
          <w:rFonts w:eastAsia="Arial"/>
        </w:rPr>
        <w:t xml:space="preserve">En </w:t>
      </w:r>
      <w:r w:rsidRPr="0055512B">
        <w:rPr>
          <w:rFonts w:eastAsia="Arial"/>
          <w:b/>
        </w:rPr>
        <w:t xml:space="preserve">Annexe </w:t>
      </w:r>
      <w:r w:rsidRPr="0055512B">
        <w:rPr>
          <w:rFonts w:eastAsia="Arial"/>
        </w:rPr>
        <w:t>, la Matrice de Résultats qui propose des Outputs, Outcomes et indicateurs ainsi que les valeurs à atteindre pour les principales composantes, et sous-composantes du programme.</w:t>
      </w:r>
    </w:p>
    <w:p w14:paraId="12117B4A" w14:textId="77777777" w:rsidR="00DA7E25" w:rsidRPr="0055512B" w:rsidRDefault="00DA7E25" w:rsidP="0026283D">
      <w:pPr>
        <w:spacing w:line="276" w:lineRule="auto"/>
        <w:jc w:val="both"/>
        <w:rPr>
          <w:rFonts w:eastAsia="Times New Roman"/>
        </w:rPr>
      </w:pPr>
    </w:p>
    <w:p w14:paraId="43B38858" w14:textId="77777777" w:rsidR="00DA7E25" w:rsidRPr="0055512B" w:rsidRDefault="00DA7E25" w:rsidP="0026283D">
      <w:pPr>
        <w:spacing w:line="276" w:lineRule="auto"/>
        <w:jc w:val="both"/>
        <w:rPr>
          <w:rFonts w:eastAsia="Arial"/>
        </w:rPr>
      </w:pPr>
      <w:r w:rsidRPr="0055512B">
        <w:rPr>
          <w:rFonts w:eastAsia="Arial"/>
        </w:rPr>
        <w:t>La ligne de base (valeur initiale de chaq</w:t>
      </w:r>
      <w:r w:rsidR="00B06FB4" w:rsidRPr="0055512B">
        <w:rPr>
          <w:rFonts w:eastAsia="Arial"/>
        </w:rPr>
        <w:t>ue indicateur) sera établie à l’</w:t>
      </w:r>
      <w:r w:rsidRPr="0055512B">
        <w:rPr>
          <w:rFonts w:eastAsia="Arial"/>
        </w:rPr>
        <w:t>entrée en exécution du programme HA-L1044/HA-X1021 et sera fixée par des études effectuées sur financement de ce don.</w:t>
      </w:r>
    </w:p>
    <w:p w14:paraId="5982763A" w14:textId="77777777" w:rsidR="000A745B" w:rsidRPr="0055512B" w:rsidRDefault="00BE2816" w:rsidP="0026283D">
      <w:pPr>
        <w:pStyle w:val="Heading1"/>
        <w:spacing w:line="276" w:lineRule="auto"/>
        <w:rPr>
          <w:rFonts w:ascii="Times" w:hAnsi="Times"/>
          <w:color w:val="auto"/>
          <w:sz w:val="24"/>
          <w:szCs w:val="24"/>
        </w:rPr>
      </w:pPr>
      <w:bookmarkStart w:id="1" w:name="_Toc363857084"/>
      <w:r w:rsidRPr="0055512B">
        <w:rPr>
          <w:rFonts w:ascii="Times" w:hAnsi="Times"/>
          <w:color w:val="auto"/>
          <w:sz w:val="24"/>
          <w:szCs w:val="24"/>
        </w:rPr>
        <w:t xml:space="preserve">2.2 </w:t>
      </w:r>
      <w:r w:rsidR="004C2841" w:rsidRPr="0055512B">
        <w:rPr>
          <w:rFonts w:ascii="Times" w:hAnsi="Times"/>
          <w:color w:val="auto"/>
          <w:sz w:val="24"/>
          <w:szCs w:val="24"/>
        </w:rPr>
        <w:t>P</w:t>
      </w:r>
      <w:r w:rsidRPr="0055512B">
        <w:rPr>
          <w:rFonts w:ascii="Times" w:hAnsi="Times"/>
          <w:color w:val="auto"/>
          <w:sz w:val="24"/>
          <w:szCs w:val="24"/>
        </w:rPr>
        <w:t>ROGRAMME</w:t>
      </w:r>
      <w:r w:rsidR="000A745B" w:rsidRPr="0055512B">
        <w:rPr>
          <w:rFonts w:ascii="Times" w:hAnsi="Times"/>
          <w:color w:val="auto"/>
          <w:sz w:val="24"/>
          <w:szCs w:val="24"/>
        </w:rPr>
        <w:t xml:space="preserve"> HA-L1075</w:t>
      </w:r>
      <w:bookmarkEnd w:id="1"/>
    </w:p>
    <w:p w14:paraId="7CFE7C3D" w14:textId="77777777" w:rsidR="000A745B" w:rsidRPr="0055512B" w:rsidRDefault="00BE2816" w:rsidP="0026283D">
      <w:pPr>
        <w:pStyle w:val="Heading2"/>
        <w:spacing w:line="276" w:lineRule="auto"/>
        <w:rPr>
          <w:rFonts w:ascii="Times" w:hAnsi="Times"/>
          <w:color w:val="auto"/>
          <w:sz w:val="24"/>
          <w:szCs w:val="24"/>
        </w:rPr>
      </w:pPr>
      <w:bookmarkStart w:id="2" w:name="_Toc274647398"/>
      <w:bookmarkStart w:id="3" w:name="_Toc239056113"/>
      <w:bookmarkStart w:id="4" w:name="_Toc239077215"/>
      <w:bookmarkStart w:id="5" w:name="_Toc395135825"/>
      <w:bookmarkStart w:id="6" w:name="_Toc363857085"/>
      <w:r w:rsidRPr="0055512B">
        <w:rPr>
          <w:rFonts w:ascii="Times" w:hAnsi="Times"/>
          <w:color w:val="auto"/>
          <w:sz w:val="24"/>
          <w:szCs w:val="24"/>
        </w:rPr>
        <w:t>2</w:t>
      </w:r>
      <w:r w:rsidR="000A745B" w:rsidRPr="0055512B">
        <w:rPr>
          <w:rFonts w:ascii="Times" w:hAnsi="Times"/>
          <w:color w:val="auto"/>
          <w:sz w:val="24"/>
          <w:szCs w:val="24"/>
        </w:rPr>
        <w:t>.</w:t>
      </w:r>
      <w:r w:rsidRPr="0055512B">
        <w:rPr>
          <w:rFonts w:ascii="Times" w:hAnsi="Times"/>
          <w:color w:val="auto"/>
          <w:sz w:val="24"/>
          <w:szCs w:val="24"/>
        </w:rPr>
        <w:t>2.1 OBJECTIFS DU PROGRAMME</w:t>
      </w:r>
      <w:r w:rsidR="000A745B" w:rsidRPr="0055512B">
        <w:rPr>
          <w:rFonts w:ascii="Times" w:hAnsi="Times"/>
          <w:color w:val="auto"/>
          <w:sz w:val="24"/>
          <w:szCs w:val="24"/>
        </w:rPr>
        <w:t xml:space="preserve"> </w:t>
      </w:r>
      <w:bookmarkEnd w:id="2"/>
      <w:bookmarkEnd w:id="3"/>
      <w:bookmarkEnd w:id="4"/>
      <w:r w:rsidR="000A745B" w:rsidRPr="0055512B">
        <w:rPr>
          <w:rFonts w:ascii="Times" w:hAnsi="Times"/>
          <w:color w:val="auto"/>
          <w:sz w:val="24"/>
          <w:szCs w:val="24"/>
        </w:rPr>
        <w:t>HA-L1075</w:t>
      </w:r>
      <w:bookmarkEnd w:id="5"/>
      <w:bookmarkEnd w:id="6"/>
    </w:p>
    <w:p w14:paraId="49F122F3" w14:textId="77777777" w:rsidR="000A745B" w:rsidRPr="0055512B" w:rsidRDefault="000A745B" w:rsidP="0026283D">
      <w:pPr>
        <w:pStyle w:val="BodyText"/>
        <w:spacing w:line="276" w:lineRule="auto"/>
        <w:rPr>
          <w:rFonts w:ascii="Times" w:hAnsi="Times"/>
          <w:sz w:val="24"/>
          <w:szCs w:val="24"/>
          <w:lang w:val="fr-FR"/>
        </w:rPr>
      </w:pPr>
    </w:p>
    <w:p w14:paraId="42D6A89B" w14:textId="77777777" w:rsidR="000A745B" w:rsidRPr="0055512B" w:rsidRDefault="000A745B" w:rsidP="0026283D">
      <w:pPr>
        <w:pStyle w:val="BodyText"/>
        <w:spacing w:line="276" w:lineRule="auto"/>
        <w:rPr>
          <w:rFonts w:ascii="Times" w:hAnsi="Times"/>
          <w:sz w:val="24"/>
          <w:szCs w:val="24"/>
          <w:lang w:val="fr-FR"/>
        </w:rPr>
      </w:pPr>
      <w:r w:rsidRPr="0055512B">
        <w:rPr>
          <w:rFonts w:ascii="Times" w:hAnsi="Times"/>
          <w:sz w:val="24"/>
          <w:szCs w:val="24"/>
          <w:lang w:val="fr-FR"/>
        </w:rPr>
        <w:t xml:space="preserve">Le programme a pour objectif d'améliorer l'accès à l'eau potable dans la Région Métropolitaine de Port-au-Prince (RMPP). Quatre résultats sont attendus: i) le Centre technique d’exploitation (CTE) de la RMPP est une entreprise efficiente en ce qui concerne la gestion technique, commerciale, administrative et financière ; ii) le CTE de la RMPP dispose des ressources financières suffisantes pour maintenir ses services et atteindre son équilibre financier ; iii) l'approvisionnement en eau s'est amélioré dans la RMPP, notamment pour les ménages défavorisés et dans les zones urbaines qui </w:t>
      </w:r>
      <w:r w:rsidRPr="0055512B">
        <w:rPr>
          <w:rFonts w:ascii="Times" w:hAnsi="Times"/>
          <w:sz w:val="24"/>
          <w:szCs w:val="24"/>
          <w:lang w:val="fr-FR"/>
        </w:rPr>
        <w:lastRenderedPageBreak/>
        <w:t>connaissent une croissance économique ; et iv) les conditions sont réunies pour éveiller l'intérêt de nouveaux bailleurs de fonds susceptibles d'investir dans le CTE de la RMPP.</w:t>
      </w:r>
    </w:p>
    <w:p w14:paraId="400F2477" w14:textId="77777777" w:rsidR="000A745B" w:rsidRPr="0055512B" w:rsidRDefault="00BE2816" w:rsidP="0026283D">
      <w:pPr>
        <w:pStyle w:val="Heading3"/>
        <w:spacing w:line="276" w:lineRule="auto"/>
        <w:rPr>
          <w:rFonts w:ascii="Times" w:hAnsi="Times"/>
          <w:color w:val="auto"/>
          <w:sz w:val="24"/>
          <w:szCs w:val="24"/>
        </w:rPr>
      </w:pPr>
      <w:bookmarkStart w:id="7" w:name="_Toc395135827"/>
      <w:bookmarkStart w:id="8" w:name="_Toc363857086"/>
      <w:r w:rsidRPr="0055512B">
        <w:rPr>
          <w:rFonts w:ascii="Times" w:hAnsi="Times"/>
          <w:color w:val="auto"/>
          <w:sz w:val="24"/>
          <w:szCs w:val="24"/>
        </w:rPr>
        <w:t xml:space="preserve">2.2.2 </w:t>
      </w:r>
      <w:r w:rsidR="000A745B" w:rsidRPr="0055512B">
        <w:rPr>
          <w:rFonts w:ascii="Times" w:hAnsi="Times"/>
          <w:color w:val="auto"/>
          <w:sz w:val="24"/>
          <w:szCs w:val="24"/>
        </w:rPr>
        <w:t xml:space="preserve"> LES COMPOSANTES</w:t>
      </w:r>
      <w:bookmarkEnd w:id="7"/>
      <w:bookmarkEnd w:id="8"/>
    </w:p>
    <w:p w14:paraId="1FF6C120" w14:textId="77777777" w:rsidR="000A745B" w:rsidRPr="0055512B" w:rsidRDefault="000A745B" w:rsidP="0026283D">
      <w:pPr>
        <w:pStyle w:val="BodyText"/>
        <w:spacing w:line="276" w:lineRule="auto"/>
        <w:rPr>
          <w:rFonts w:ascii="Times" w:hAnsi="Times" w:cs="Arial"/>
          <w:sz w:val="24"/>
          <w:szCs w:val="24"/>
          <w:lang w:val="fr-FR"/>
        </w:rPr>
      </w:pPr>
    </w:p>
    <w:p w14:paraId="585B9E92" w14:textId="77777777" w:rsidR="00DA7E25" w:rsidRPr="0055512B" w:rsidRDefault="000A745B" w:rsidP="0026283D">
      <w:pPr>
        <w:tabs>
          <w:tab w:val="left" w:pos="1000"/>
        </w:tabs>
        <w:spacing w:line="276" w:lineRule="auto"/>
        <w:jc w:val="both"/>
      </w:pPr>
      <w:r w:rsidRPr="0055512B">
        <w:rPr>
          <w:b/>
        </w:rPr>
        <w:t>Composante I (6,7 millions d'USD). Renforcement institutionnel du CTE de la RMPP</w:t>
      </w:r>
      <w:r w:rsidRPr="0055512B">
        <w:t>. Cette composante financera le prolongement de 3 ans du contrat de l'ATO.</w:t>
      </w:r>
    </w:p>
    <w:p w14:paraId="4DDF3ED9" w14:textId="77777777" w:rsidR="000A745B" w:rsidRPr="0055512B" w:rsidRDefault="000A745B" w:rsidP="0026283D">
      <w:pPr>
        <w:tabs>
          <w:tab w:val="left" w:pos="1000"/>
        </w:tabs>
        <w:spacing w:line="276" w:lineRule="auto"/>
        <w:jc w:val="both"/>
      </w:pPr>
    </w:p>
    <w:p w14:paraId="087AF5AF" w14:textId="77777777" w:rsidR="000A745B" w:rsidRPr="0055512B" w:rsidRDefault="000A745B" w:rsidP="0026283D">
      <w:pPr>
        <w:pStyle w:val="ListParagraph"/>
        <w:numPr>
          <w:ilvl w:val="0"/>
          <w:numId w:val="16"/>
        </w:numPr>
        <w:spacing w:line="276" w:lineRule="auto"/>
        <w:jc w:val="both"/>
      </w:pPr>
      <w:r w:rsidRPr="0055512B">
        <w:t xml:space="preserve">Les responsabilités quant à l'obtention des résultats seront partagées avec la direction du CTE RMPP. </w:t>
      </w:r>
    </w:p>
    <w:p w14:paraId="702FEECC" w14:textId="77777777" w:rsidR="000A745B" w:rsidRPr="0055512B" w:rsidRDefault="000A745B" w:rsidP="0026283D">
      <w:pPr>
        <w:pStyle w:val="ListParagraph"/>
        <w:numPr>
          <w:ilvl w:val="0"/>
          <w:numId w:val="16"/>
        </w:numPr>
        <w:spacing w:line="276" w:lineRule="auto"/>
        <w:jc w:val="both"/>
      </w:pPr>
      <w:r w:rsidRPr="0055512B">
        <w:rPr>
          <w:b/>
        </w:rPr>
        <w:t>Composante II (4,5 millions d'USD). Appui à l'exploitation et à la maintenance du CTE</w:t>
      </w:r>
      <w:r w:rsidRPr="0055512B">
        <w:t>. Cette composante couvrira de façon décroissante les frais d'exploitation et de maintenance (énergie, chlore et matériel de réparation). Les prévisions financières montrent qu'un ajustement des tarifs du prix de l'eau sera nécessaire à court terme (2015). L’amélioration de l’indicateur des Eaux Non facturées, lequel est un indicateur clé de performance, est un des principaux défis du projet.</w:t>
      </w:r>
    </w:p>
    <w:p w14:paraId="79E8F919" w14:textId="77777777" w:rsidR="000A745B" w:rsidRPr="0055512B" w:rsidRDefault="000A745B" w:rsidP="0026283D">
      <w:pPr>
        <w:pStyle w:val="ListParagraph"/>
        <w:numPr>
          <w:ilvl w:val="0"/>
          <w:numId w:val="16"/>
        </w:numPr>
        <w:spacing w:line="276" w:lineRule="auto"/>
        <w:jc w:val="both"/>
      </w:pPr>
      <w:r w:rsidRPr="0055512B">
        <w:rPr>
          <w:b/>
        </w:rPr>
        <w:t>Composante III (22,7 millions d'USD). Investissements dans des ouvrages d'eau potable</w:t>
      </w:r>
      <w:r w:rsidRPr="0055512B">
        <w:t xml:space="preserve">. Cette composante financera les ouvrages les plus urgents de réhabilitation d'infrastructures qui n'ont pas fait l'objet d'une remise en état lors de l’étape I et d'autres destinés à accroître la production et la couverture du réseau. Il est également prévu d'étendre le réseau pour amener l'eau dans des zones encore non desservies et de sectoriser pour mieux contrôler les flux. Pour les processus d'achat des matériaux et des marchés de travaux, les appels d'offres se feront séparément pour accélérer l’exécution. Les autres ouvrages, déjà pré-identifiés dans le Schéma directeur de l'eau de la RMPP, seront définis par l'étude portant sur de nouvelles sources de production, aujourd'hui en cours. En se fondant sur les résultats de cette étude, de nouveaux centres de production seront créés, notamment pour approvisionner les quartiers de la ville situés dans les hauteurs. Cette composante comprend en outre une étude pour un projet pilote d'assainissement consistant en un réseau </w:t>
      </w:r>
      <w:r w:rsidRPr="0055512B">
        <w:rPr>
          <w:lang w:eastAsia="es-ES"/>
        </w:rPr>
        <w:t>semi-urbain</w:t>
      </w:r>
      <w:r w:rsidRPr="0055512B">
        <w:t xml:space="preserve"> à Pétion-Ville et dont la construction pourrait être financée ultérieurement par un autre projet. </w:t>
      </w:r>
    </w:p>
    <w:p w14:paraId="79A930FC" w14:textId="77777777" w:rsidR="000A745B" w:rsidRPr="0055512B" w:rsidRDefault="000A745B" w:rsidP="0026283D">
      <w:pPr>
        <w:pStyle w:val="ListParagraph"/>
        <w:numPr>
          <w:ilvl w:val="0"/>
          <w:numId w:val="16"/>
        </w:numPr>
        <w:spacing w:line="276" w:lineRule="auto"/>
        <w:jc w:val="both"/>
      </w:pPr>
      <w:r w:rsidRPr="0055512B">
        <w:rPr>
          <w:b/>
        </w:rPr>
        <w:t>Administration du projet, frais courants et imprévus (1,6 million d'USD).</w:t>
      </w:r>
      <w:r w:rsidRPr="0055512B">
        <w:t xml:space="preserve"> Le projet fournira une aide à l'Unité d'exécution. Cependant, l'exécution sera conçue de telle sorte que cet appui ne dépassera pas 1,4% du coût total du projet (0,5 million d'USD). Le CTE de la RMPP participera pleinement à l'exécution.</w:t>
      </w:r>
    </w:p>
    <w:p w14:paraId="6AC92BF4" w14:textId="77777777" w:rsidR="000A745B" w:rsidRPr="0055512B" w:rsidRDefault="00BE2816" w:rsidP="0026283D">
      <w:pPr>
        <w:pStyle w:val="Heading2"/>
        <w:spacing w:line="276" w:lineRule="auto"/>
        <w:rPr>
          <w:rFonts w:ascii="Times" w:hAnsi="Times"/>
          <w:color w:val="auto"/>
          <w:sz w:val="24"/>
          <w:szCs w:val="24"/>
        </w:rPr>
      </w:pPr>
      <w:bookmarkStart w:id="9" w:name="_Toc395135828"/>
      <w:bookmarkStart w:id="10" w:name="_Toc363857087"/>
      <w:r w:rsidRPr="0055512B">
        <w:rPr>
          <w:rFonts w:ascii="Times" w:hAnsi="Times"/>
          <w:color w:val="auto"/>
          <w:sz w:val="24"/>
          <w:szCs w:val="24"/>
        </w:rPr>
        <w:t xml:space="preserve">2.2.3 </w:t>
      </w:r>
      <w:r w:rsidR="000A745B" w:rsidRPr="0055512B">
        <w:rPr>
          <w:rFonts w:ascii="Times" w:hAnsi="Times"/>
          <w:color w:val="auto"/>
          <w:sz w:val="24"/>
          <w:szCs w:val="24"/>
        </w:rPr>
        <w:t xml:space="preserve"> LES INDICATEURS CLES DE LA MATRICE DES RESULTATS</w:t>
      </w:r>
      <w:bookmarkEnd w:id="9"/>
      <w:bookmarkEnd w:id="10"/>
    </w:p>
    <w:p w14:paraId="42A82BF2" w14:textId="77777777" w:rsidR="000A745B" w:rsidRPr="0055512B" w:rsidRDefault="000A745B" w:rsidP="0026283D">
      <w:pPr>
        <w:pStyle w:val="Paragraph"/>
        <w:numPr>
          <w:ilvl w:val="0"/>
          <w:numId w:val="0"/>
        </w:numPr>
        <w:spacing w:before="60" w:after="60" w:line="276" w:lineRule="auto"/>
        <w:ind w:left="1296" w:hanging="1296"/>
        <w:rPr>
          <w:rFonts w:ascii="Times" w:hAnsi="Times" w:cs="Arial"/>
          <w:szCs w:val="24"/>
          <w:lang w:val="fr-FR"/>
        </w:rPr>
      </w:pPr>
    </w:p>
    <w:p w14:paraId="48AAC9F1" w14:textId="77777777" w:rsidR="000A745B" w:rsidRPr="0055512B" w:rsidRDefault="000A745B" w:rsidP="0026283D">
      <w:pPr>
        <w:pStyle w:val="Paragraph"/>
        <w:numPr>
          <w:ilvl w:val="0"/>
          <w:numId w:val="0"/>
        </w:numPr>
        <w:shd w:val="clear" w:color="auto" w:fill="FFFFFF"/>
        <w:spacing w:before="60" w:after="60" w:line="276" w:lineRule="auto"/>
        <w:outlineLvl w:val="9"/>
        <w:rPr>
          <w:rFonts w:ascii="Times" w:hAnsi="Times" w:cs="Arial"/>
          <w:szCs w:val="24"/>
          <w:lang w:val="fr-FR"/>
        </w:rPr>
      </w:pPr>
      <w:bookmarkStart w:id="11" w:name="_Toc363857088"/>
      <w:bookmarkStart w:id="12" w:name="_Toc363857610"/>
      <w:r w:rsidRPr="0055512B">
        <w:rPr>
          <w:rFonts w:ascii="Times" w:hAnsi="Times" w:cs="Arial"/>
          <w:szCs w:val="24"/>
          <w:lang w:val="fr-FR"/>
        </w:rPr>
        <w:t xml:space="preserve">Les indicateurs et leurs buts les plus importants figurent dans le Tableau 1. Grâce au projet, le CTE de la RMPP parviendra à un équilibre financier dès la 4e année, 250 000 </w:t>
      </w:r>
      <w:r w:rsidRPr="0055512B">
        <w:rPr>
          <w:rFonts w:ascii="Times" w:hAnsi="Times" w:cs="Arial"/>
          <w:szCs w:val="24"/>
          <w:lang w:val="fr-FR"/>
        </w:rPr>
        <w:lastRenderedPageBreak/>
        <w:t>habitants (51 000 ménages) de plus auront accès à l'eau fournie par le CTE, le nombre de ménages disposant d’un branchement particulier sera multiplié par deux (68 000 branchements en service garantissant un approvisionnement particulier ou partagé avec des voisins, ce qui totalise 79 700 ménages de plus) et le service de distribution sera amélioré.</w:t>
      </w:r>
      <w:bookmarkEnd w:id="11"/>
      <w:bookmarkEnd w:id="12"/>
    </w:p>
    <w:p w14:paraId="5B11F306" w14:textId="77777777" w:rsidR="000A745B" w:rsidRPr="0055512B" w:rsidRDefault="000A745B" w:rsidP="001950BE">
      <w:pPr>
        <w:pStyle w:val="Paragraph"/>
        <w:numPr>
          <w:ilvl w:val="0"/>
          <w:numId w:val="0"/>
        </w:numPr>
        <w:shd w:val="clear" w:color="auto" w:fill="FFFFFF"/>
        <w:spacing w:before="60" w:after="60" w:line="276" w:lineRule="auto"/>
        <w:jc w:val="left"/>
        <w:outlineLvl w:val="9"/>
        <w:rPr>
          <w:rFonts w:ascii="Times" w:hAnsi="Times" w:cs="Arial"/>
          <w:szCs w:val="24"/>
          <w:lang w:val="fr-FR"/>
        </w:rPr>
      </w:pPr>
    </w:p>
    <w:p w14:paraId="5AA50A2A" w14:textId="77777777" w:rsidR="000A745B" w:rsidRPr="0055512B" w:rsidRDefault="000A745B" w:rsidP="001950BE">
      <w:pPr>
        <w:spacing w:line="276" w:lineRule="auto"/>
      </w:pPr>
      <w:r w:rsidRPr="0055512B">
        <w:t>Tableau 1 - Indicateurs clés du projet</w:t>
      </w:r>
    </w:p>
    <w:tbl>
      <w:tblPr>
        <w:tblW w:w="87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36"/>
        <w:gridCol w:w="1276"/>
        <w:gridCol w:w="960"/>
      </w:tblGrid>
      <w:tr w:rsidR="000A745B" w:rsidRPr="0055512B" w14:paraId="78656246" w14:textId="77777777" w:rsidTr="000A745B">
        <w:trPr>
          <w:trHeight w:val="345"/>
        </w:trPr>
        <w:tc>
          <w:tcPr>
            <w:tcW w:w="6536" w:type="dxa"/>
            <w:shd w:val="clear" w:color="auto" w:fill="auto"/>
            <w:noWrap/>
            <w:vAlign w:val="bottom"/>
            <w:hideMark/>
          </w:tcPr>
          <w:p w14:paraId="0883D70F" w14:textId="77777777" w:rsidR="000A745B" w:rsidRPr="0055512B" w:rsidRDefault="000A745B" w:rsidP="001950BE">
            <w:pPr>
              <w:spacing w:before="80" w:after="80" w:line="276" w:lineRule="auto"/>
              <w:rPr>
                <w:rFonts w:cs="Arial"/>
                <w:b/>
                <w:bCs/>
                <w:color w:val="000000"/>
                <w:lang w:eastAsia="es-ES_tradnl"/>
              </w:rPr>
            </w:pPr>
            <w:r w:rsidRPr="0055512B">
              <w:rPr>
                <w:rFonts w:cs="Arial"/>
                <w:b/>
                <w:bCs/>
                <w:color w:val="000000"/>
                <w:lang w:eastAsia="es-ES_tradnl"/>
              </w:rPr>
              <w:t>Indicateurs</w:t>
            </w:r>
          </w:p>
        </w:tc>
        <w:tc>
          <w:tcPr>
            <w:tcW w:w="1276" w:type="dxa"/>
            <w:shd w:val="clear" w:color="auto" w:fill="auto"/>
            <w:noWrap/>
            <w:vAlign w:val="bottom"/>
            <w:hideMark/>
          </w:tcPr>
          <w:p w14:paraId="44DE2035" w14:textId="77777777" w:rsidR="000A745B" w:rsidRPr="0055512B" w:rsidRDefault="000A745B" w:rsidP="001950BE">
            <w:pPr>
              <w:spacing w:before="80" w:after="80" w:line="276" w:lineRule="auto"/>
              <w:rPr>
                <w:rFonts w:cs="Arial"/>
                <w:b/>
                <w:bCs/>
                <w:color w:val="000000"/>
                <w:lang w:eastAsia="es-ES_tradnl"/>
              </w:rPr>
            </w:pPr>
            <w:r w:rsidRPr="0055512B">
              <w:rPr>
                <w:rFonts w:cs="Arial"/>
                <w:b/>
                <w:bCs/>
                <w:color w:val="000000"/>
                <w:lang w:eastAsia="es-ES_tradnl"/>
              </w:rPr>
              <w:t>État des lieux</w:t>
            </w:r>
          </w:p>
        </w:tc>
        <w:tc>
          <w:tcPr>
            <w:tcW w:w="960" w:type="dxa"/>
            <w:shd w:val="clear" w:color="auto" w:fill="auto"/>
            <w:noWrap/>
            <w:vAlign w:val="bottom"/>
            <w:hideMark/>
          </w:tcPr>
          <w:p w14:paraId="18866F37" w14:textId="77777777" w:rsidR="000A745B" w:rsidRPr="0055512B" w:rsidRDefault="000A745B" w:rsidP="001950BE">
            <w:pPr>
              <w:spacing w:before="80" w:after="80" w:line="276" w:lineRule="auto"/>
              <w:rPr>
                <w:rFonts w:cs="Arial"/>
                <w:b/>
                <w:bCs/>
                <w:color w:val="000000"/>
                <w:lang w:eastAsia="es-ES_tradnl"/>
              </w:rPr>
            </w:pPr>
            <w:r w:rsidRPr="0055512B">
              <w:rPr>
                <w:rFonts w:cs="Arial"/>
                <w:b/>
                <w:bCs/>
                <w:color w:val="000000"/>
                <w:lang w:eastAsia="es-ES_tradnl"/>
              </w:rPr>
              <w:t>But</w:t>
            </w:r>
          </w:p>
        </w:tc>
      </w:tr>
      <w:tr w:rsidR="000A745B" w:rsidRPr="0055512B" w14:paraId="38BB1A3A" w14:textId="77777777" w:rsidTr="000A745B">
        <w:trPr>
          <w:trHeight w:val="311"/>
        </w:trPr>
        <w:tc>
          <w:tcPr>
            <w:tcW w:w="6536" w:type="dxa"/>
            <w:shd w:val="clear" w:color="auto" w:fill="auto"/>
            <w:noWrap/>
            <w:vAlign w:val="bottom"/>
            <w:hideMark/>
          </w:tcPr>
          <w:p w14:paraId="64781AB4"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Ratio d’exploitation (recettes annuelles d’exploitation /frais annuels d’exploitation)</w:t>
            </w:r>
          </w:p>
        </w:tc>
        <w:tc>
          <w:tcPr>
            <w:tcW w:w="1276" w:type="dxa"/>
            <w:shd w:val="clear" w:color="auto" w:fill="auto"/>
            <w:noWrap/>
            <w:vAlign w:val="bottom"/>
            <w:hideMark/>
          </w:tcPr>
          <w:p w14:paraId="6EA54E38"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 xml:space="preserve">  0,59</w:t>
            </w:r>
          </w:p>
        </w:tc>
        <w:tc>
          <w:tcPr>
            <w:tcW w:w="960" w:type="dxa"/>
            <w:shd w:val="clear" w:color="auto" w:fill="auto"/>
            <w:noWrap/>
            <w:vAlign w:val="bottom"/>
            <w:hideMark/>
          </w:tcPr>
          <w:p w14:paraId="56B6AA96"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 xml:space="preserve">  1,05</w:t>
            </w:r>
          </w:p>
        </w:tc>
      </w:tr>
      <w:tr w:rsidR="000A745B" w:rsidRPr="0055512B" w14:paraId="7CDC5C26" w14:textId="77777777" w:rsidTr="000A745B">
        <w:trPr>
          <w:trHeight w:val="255"/>
        </w:trPr>
        <w:tc>
          <w:tcPr>
            <w:tcW w:w="6536" w:type="dxa"/>
            <w:shd w:val="clear" w:color="auto" w:fill="auto"/>
            <w:noWrap/>
            <w:vAlign w:val="bottom"/>
            <w:hideMark/>
          </w:tcPr>
          <w:p w14:paraId="7CEA05D3"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Ménages ayant accès à l’eau fournie par le CTE de la RMPP</w:t>
            </w:r>
          </w:p>
        </w:tc>
        <w:tc>
          <w:tcPr>
            <w:tcW w:w="1276" w:type="dxa"/>
            <w:shd w:val="clear" w:color="auto" w:fill="auto"/>
            <w:noWrap/>
            <w:vAlign w:val="bottom"/>
            <w:hideMark/>
          </w:tcPr>
          <w:p w14:paraId="38EE58ED"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420 000</w:t>
            </w:r>
          </w:p>
        </w:tc>
        <w:tc>
          <w:tcPr>
            <w:tcW w:w="960" w:type="dxa"/>
            <w:shd w:val="clear" w:color="auto" w:fill="auto"/>
            <w:noWrap/>
            <w:vAlign w:val="bottom"/>
            <w:hideMark/>
          </w:tcPr>
          <w:p w14:paraId="2AD65DE1"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471 000</w:t>
            </w:r>
          </w:p>
        </w:tc>
      </w:tr>
      <w:tr w:rsidR="000A745B" w:rsidRPr="0055512B" w14:paraId="2EA3E22B" w14:textId="77777777" w:rsidTr="000A745B">
        <w:trPr>
          <w:trHeight w:val="255"/>
        </w:trPr>
        <w:tc>
          <w:tcPr>
            <w:tcW w:w="6536" w:type="dxa"/>
            <w:shd w:val="clear" w:color="auto" w:fill="auto"/>
            <w:noWrap/>
            <w:vAlign w:val="bottom"/>
            <w:hideMark/>
          </w:tcPr>
          <w:p w14:paraId="2CC80EB9"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Ménages de la RMPP disposant d’un branchement particulier d’eau potable du CTE</w:t>
            </w:r>
          </w:p>
        </w:tc>
        <w:tc>
          <w:tcPr>
            <w:tcW w:w="1276" w:type="dxa"/>
            <w:shd w:val="clear" w:color="auto" w:fill="auto"/>
            <w:noWrap/>
            <w:vAlign w:val="bottom"/>
            <w:hideMark/>
          </w:tcPr>
          <w:p w14:paraId="11E99EDC"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 xml:space="preserve">  86 300</w:t>
            </w:r>
          </w:p>
        </w:tc>
        <w:tc>
          <w:tcPr>
            <w:tcW w:w="960" w:type="dxa"/>
            <w:shd w:val="clear" w:color="auto" w:fill="auto"/>
            <w:noWrap/>
            <w:vAlign w:val="bottom"/>
            <w:hideMark/>
          </w:tcPr>
          <w:p w14:paraId="4A80149F"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166 000</w:t>
            </w:r>
          </w:p>
        </w:tc>
      </w:tr>
      <w:tr w:rsidR="000A745B" w:rsidRPr="0055512B" w14:paraId="45343569" w14:textId="77777777" w:rsidTr="000A745B">
        <w:trPr>
          <w:trHeight w:val="255"/>
        </w:trPr>
        <w:tc>
          <w:tcPr>
            <w:tcW w:w="6536" w:type="dxa"/>
            <w:shd w:val="clear" w:color="auto" w:fill="auto"/>
            <w:noWrap/>
            <w:vAlign w:val="bottom"/>
          </w:tcPr>
          <w:p w14:paraId="60284D42"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 de ménages (branchements en service) de la RMPP selon la continuité du service</w:t>
            </w:r>
          </w:p>
        </w:tc>
        <w:tc>
          <w:tcPr>
            <w:tcW w:w="1276" w:type="dxa"/>
            <w:shd w:val="clear" w:color="auto" w:fill="auto"/>
            <w:noWrap/>
            <w:vAlign w:val="bottom"/>
          </w:tcPr>
          <w:p w14:paraId="0528BB51" w14:textId="77777777" w:rsidR="000A745B" w:rsidRPr="0055512B" w:rsidRDefault="000A745B" w:rsidP="001950BE">
            <w:pPr>
              <w:spacing w:line="276" w:lineRule="auto"/>
              <w:rPr>
                <w:rFonts w:cs="Arial"/>
                <w:color w:val="000000"/>
                <w:lang w:eastAsia="es-ES_tradnl"/>
              </w:rPr>
            </w:pPr>
          </w:p>
        </w:tc>
        <w:tc>
          <w:tcPr>
            <w:tcW w:w="960" w:type="dxa"/>
            <w:shd w:val="clear" w:color="auto" w:fill="auto"/>
            <w:noWrap/>
            <w:vAlign w:val="bottom"/>
          </w:tcPr>
          <w:p w14:paraId="06A6B9D8" w14:textId="77777777" w:rsidR="000A745B" w:rsidRPr="0055512B" w:rsidRDefault="000A745B" w:rsidP="001950BE">
            <w:pPr>
              <w:spacing w:line="276" w:lineRule="auto"/>
              <w:rPr>
                <w:rFonts w:cs="Arial"/>
                <w:color w:val="000000"/>
                <w:lang w:eastAsia="es-ES_tradnl"/>
              </w:rPr>
            </w:pPr>
          </w:p>
        </w:tc>
      </w:tr>
      <w:tr w:rsidR="000A745B" w:rsidRPr="0055512B" w14:paraId="20CB9BCC" w14:textId="77777777" w:rsidTr="000A745B">
        <w:trPr>
          <w:trHeight w:val="255"/>
        </w:trPr>
        <w:tc>
          <w:tcPr>
            <w:tcW w:w="6536" w:type="dxa"/>
            <w:shd w:val="clear" w:color="auto" w:fill="auto"/>
            <w:noWrap/>
            <w:vAlign w:val="bottom"/>
            <w:hideMark/>
          </w:tcPr>
          <w:p w14:paraId="7EF1E1D8"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Moins de 14 heures/semaine</w:t>
            </w:r>
          </w:p>
        </w:tc>
        <w:tc>
          <w:tcPr>
            <w:tcW w:w="1276" w:type="dxa"/>
            <w:shd w:val="clear" w:color="auto" w:fill="auto"/>
            <w:noWrap/>
            <w:vAlign w:val="bottom"/>
            <w:hideMark/>
          </w:tcPr>
          <w:p w14:paraId="20722078"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60%</w:t>
            </w:r>
          </w:p>
        </w:tc>
        <w:tc>
          <w:tcPr>
            <w:tcW w:w="960" w:type="dxa"/>
            <w:shd w:val="clear" w:color="auto" w:fill="auto"/>
            <w:noWrap/>
            <w:vAlign w:val="bottom"/>
            <w:hideMark/>
          </w:tcPr>
          <w:p w14:paraId="55545EF4"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0%</w:t>
            </w:r>
          </w:p>
        </w:tc>
      </w:tr>
      <w:tr w:rsidR="000A745B" w:rsidRPr="0055512B" w14:paraId="0B65C8D6" w14:textId="77777777" w:rsidTr="000A745B">
        <w:trPr>
          <w:trHeight w:val="255"/>
        </w:trPr>
        <w:tc>
          <w:tcPr>
            <w:tcW w:w="6536" w:type="dxa"/>
            <w:shd w:val="clear" w:color="auto" w:fill="auto"/>
            <w:noWrap/>
            <w:vAlign w:val="bottom"/>
            <w:hideMark/>
          </w:tcPr>
          <w:p w14:paraId="3E249CD4"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Entre 14 et 35 heures/semaine</w:t>
            </w:r>
          </w:p>
        </w:tc>
        <w:tc>
          <w:tcPr>
            <w:tcW w:w="1276" w:type="dxa"/>
            <w:shd w:val="clear" w:color="auto" w:fill="auto"/>
            <w:noWrap/>
            <w:vAlign w:val="bottom"/>
            <w:hideMark/>
          </w:tcPr>
          <w:p w14:paraId="1DA141F1"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17%</w:t>
            </w:r>
          </w:p>
        </w:tc>
        <w:tc>
          <w:tcPr>
            <w:tcW w:w="960" w:type="dxa"/>
            <w:shd w:val="clear" w:color="auto" w:fill="auto"/>
            <w:noWrap/>
            <w:vAlign w:val="bottom"/>
            <w:hideMark/>
          </w:tcPr>
          <w:p w14:paraId="4E6B749F"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3%</w:t>
            </w:r>
          </w:p>
        </w:tc>
      </w:tr>
      <w:tr w:rsidR="000A745B" w:rsidRPr="0055512B" w14:paraId="4E86F554" w14:textId="77777777" w:rsidTr="000A745B">
        <w:trPr>
          <w:trHeight w:val="255"/>
        </w:trPr>
        <w:tc>
          <w:tcPr>
            <w:tcW w:w="6536" w:type="dxa"/>
            <w:shd w:val="clear" w:color="auto" w:fill="auto"/>
            <w:noWrap/>
            <w:vAlign w:val="bottom"/>
            <w:hideMark/>
          </w:tcPr>
          <w:p w14:paraId="5AD681BF"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Entre 35 et 140 heures/semaine</w:t>
            </w:r>
          </w:p>
        </w:tc>
        <w:tc>
          <w:tcPr>
            <w:tcW w:w="1276" w:type="dxa"/>
            <w:shd w:val="clear" w:color="auto" w:fill="auto"/>
            <w:noWrap/>
            <w:vAlign w:val="bottom"/>
            <w:hideMark/>
          </w:tcPr>
          <w:p w14:paraId="723C6B94"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15%</w:t>
            </w:r>
          </w:p>
        </w:tc>
        <w:tc>
          <w:tcPr>
            <w:tcW w:w="960" w:type="dxa"/>
            <w:shd w:val="clear" w:color="auto" w:fill="auto"/>
            <w:noWrap/>
            <w:vAlign w:val="bottom"/>
            <w:hideMark/>
          </w:tcPr>
          <w:p w14:paraId="12F7FBE3"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77%</w:t>
            </w:r>
          </w:p>
        </w:tc>
      </w:tr>
      <w:tr w:rsidR="000A745B" w:rsidRPr="0055512B" w14:paraId="6AA3574C" w14:textId="77777777" w:rsidTr="000A745B">
        <w:trPr>
          <w:trHeight w:val="255"/>
        </w:trPr>
        <w:tc>
          <w:tcPr>
            <w:tcW w:w="6536" w:type="dxa"/>
            <w:shd w:val="clear" w:color="auto" w:fill="auto"/>
            <w:noWrap/>
            <w:vAlign w:val="bottom"/>
            <w:hideMark/>
          </w:tcPr>
          <w:p w14:paraId="2A7E6465"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Plus de 140 heures/semaine</w:t>
            </w:r>
          </w:p>
        </w:tc>
        <w:tc>
          <w:tcPr>
            <w:tcW w:w="1276" w:type="dxa"/>
            <w:shd w:val="clear" w:color="auto" w:fill="auto"/>
            <w:noWrap/>
            <w:vAlign w:val="bottom"/>
            <w:hideMark/>
          </w:tcPr>
          <w:p w14:paraId="4DDE381A"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 xml:space="preserve">  8%</w:t>
            </w:r>
          </w:p>
        </w:tc>
        <w:tc>
          <w:tcPr>
            <w:tcW w:w="960" w:type="dxa"/>
            <w:shd w:val="clear" w:color="auto" w:fill="auto"/>
            <w:noWrap/>
            <w:vAlign w:val="bottom"/>
            <w:hideMark/>
          </w:tcPr>
          <w:p w14:paraId="611B2D3D"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20%</w:t>
            </w:r>
          </w:p>
        </w:tc>
      </w:tr>
    </w:tbl>
    <w:p w14:paraId="1758EC28" w14:textId="77777777" w:rsidR="000A745B" w:rsidRPr="0055512B" w:rsidRDefault="000A745B" w:rsidP="001950BE">
      <w:pPr>
        <w:tabs>
          <w:tab w:val="left" w:pos="1000"/>
        </w:tabs>
        <w:spacing w:line="276" w:lineRule="auto"/>
        <w:rPr>
          <w:rFonts w:eastAsia="Arial"/>
        </w:rPr>
      </w:pPr>
    </w:p>
    <w:p w14:paraId="49688370" w14:textId="77777777" w:rsidR="000A745B" w:rsidRPr="0055512B" w:rsidRDefault="009C4EB0" w:rsidP="001950BE">
      <w:pPr>
        <w:pStyle w:val="Heading2"/>
        <w:spacing w:line="276" w:lineRule="auto"/>
        <w:jc w:val="left"/>
        <w:rPr>
          <w:rFonts w:ascii="Times" w:hAnsi="Times"/>
          <w:color w:val="auto"/>
          <w:sz w:val="24"/>
          <w:szCs w:val="24"/>
        </w:rPr>
      </w:pPr>
      <w:bookmarkStart w:id="13" w:name="_Toc363857089"/>
      <w:r w:rsidRPr="0055512B">
        <w:rPr>
          <w:rFonts w:ascii="Times" w:hAnsi="Times"/>
          <w:color w:val="auto"/>
          <w:sz w:val="24"/>
          <w:szCs w:val="24"/>
        </w:rPr>
        <w:t xml:space="preserve">2.2.4 </w:t>
      </w:r>
      <w:r w:rsidR="000A745B" w:rsidRPr="0055512B">
        <w:rPr>
          <w:rFonts w:ascii="Times" w:hAnsi="Times"/>
          <w:color w:val="auto"/>
          <w:sz w:val="24"/>
          <w:szCs w:val="24"/>
        </w:rPr>
        <w:t xml:space="preserve"> STRUCTURE DU FINANCEMENT</w:t>
      </w:r>
      <w:bookmarkEnd w:id="13"/>
    </w:p>
    <w:p w14:paraId="49872F69" w14:textId="77777777" w:rsidR="004B75ED" w:rsidRPr="0055512B" w:rsidRDefault="004B75ED" w:rsidP="001950BE">
      <w:pPr>
        <w:spacing w:line="276" w:lineRule="auto"/>
      </w:pPr>
    </w:p>
    <w:p w14:paraId="6232B32C" w14:textId="77777777" w:rsidR="000A745B" w:rsidRPr="0055512B" w:rsidRDefault="000A745B" w:rsidP="004B75ED">
      <w:pPr>
        <w:spacing w:line="276" w:lineRule="auto"/>
        <w:jc w:val="both"/>
      </w:pPr>
      <w:r w:rsidRPr="0055512B">
        <w:t>Le bénéficiaire de cette opération sera la République d'Haïti, par le biais de son ministère des Travaux publics, Transports, Energie et Communications (MTPTEC). L'organisme d'exécution sera le CTE/RMPP.</w:t>
      </w:r>
      <w:r w:rsidRPr="0055512B">
        <w:rPr>
          <w:color w:val="000000"/>
        </w:rPr>
        <w:t xml:space="preserve"> </w:t>
      </w:r>
      <w:r w:rsidRPr="0055512B">
        <w:t>L’Organisme d’Exécution sera responsable de la gestion globale du Projet et assurera  notamment la planification, la préparation des rapports pour tous les aspects techniques et fiduciaires du Projet, l’exécution de toutes les activités de passation des marchés, la supervision des consultants ou entreprises engagés en vue de fournir de l’assistance technique et exécuter des travaux de construction, la gestion financière et comptable du Projet, y compris la soumission des requêtes de décaissement à la Banque, la gestion des risques, le suivi et l’évaluation, ainsi que le respect des conditions contractuelles établies dans l’Accord.</w:t>
      </w:r>
    </w:p>
    <w:p w14:paraId="4E108BA1" w14:textId="77777777" w:rsidR="000A745B" w:rsidRPr="0055512B" w:rsidRDefault="000A745B" w:rsidP="004B75ED">
      <w:pPr>
        <w:spacing w:line="276" w:lineRule="auto"/>
        <w:jc w:val="both"/>
      </w:pPr>
    </w:p>
    <w:p w14:paraId="6BC987DC" w14:textId="77777777" w:rsidR="000A745B" w:rsidRPr="0055512B" w:rsidRDefault="000A745B" w:rsidP="004B75ED">
      <w:pPr>
        <w:spacing w:line="276" w:lineRule="auto"/>
        <w:jc w:val="both"/>
      </w:pPr>
      <w:r w:rsidRPr="0055512B">
        <w:t xml:space="preserve"> Le coût total de l'opération s'élèvera à 35,5 millions d'USD.</w:t>
      </w:r>
    </w:p>
    <w:p w14:paraId="2D6E041A" w14:textId="34E0DEA2" w:rsidR="000A745B" w:rsidRDefault="000A745B" w:rsidP="004B75ED">
      <w:pPr>
        <w:spacing w:line="276" w:lineRule="auto"/>
        <w:jc w:val="both"/>
      </w:pPr>
    </w:p>
    <w:p w14:paraId="31C9C6D7" w14:textId="67CDA49F" w:rsidR="00922848" w:rsidRDefault="00922848" w:rsidP="004B75ED">
      <w:pPr>
        <w:spacing w:line="276" w:lineRule="auto"/>
        <w:jc w:val="both"/>
      </w:pPr>
    </w:p>
    <w:p w14:paraId="5731608C" w14:textId="3324D70D" w:rsidR="00922848" w:rsidRDefault="00922848" w:rsidP="004B75ED">
      <w:pPr>
        <w:spacing w:line="276" w:lineRule="auto"/>
        <w:jc w:val="both"/>
      </w:pPr>
    </w:p>
    <w:p w14:paraId="275ADD86" w14:textId="77777777" w:rsidR="00922848" w:rsidRPr="0055512B" w:rsidRDefault="00922848" w:rsidP="004B75ED">
      <w:pPr>
        <w:spacing w:line="276" w:lineRule="auto"/>
        <w:jc w:val="both"/>
      </w:pPr>
    </w:p>
    <w:p w14:paraId="70A0129D" w14:textId="77777777" w:rsidR="000A745B" w:rsidRPr="0055512B" w:rsidRDefault="000A745B" w:rsidP="001950BE">
      <w:pPr>
        <w:spacing w:line="276" w:lineRule="auto"/>
      </w:pPr>
      <w:r w:rsidRPr="0055512B">
        <w:lastRenderedPageBreak/>
        <w:t>Tableau 2 - Coûts du projet HA-L1075 (USD)</w:t>
      </w:r>
    </w:p>
    <w:tbl>
      <w:tblPr>
        <w:tblW w:w="893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75"/>
        <w:gridCol w:w="1497"/>
        <w:gridCol w:w="960"/>
      </w:tblGrid>
      <w:tr w:rsidR="000A745B" w:rsidRPr="0055512B" w14:paraId="7FFE9331" w14:textId="77777777" w:rsidTr="000A745B">
        <w:trPr>
          <w:trHeight w:val="179"/>
          <w:tblHeader/>
        </w:trPr>
        <w:tc>
          <w:tcPr>
            <w:tcW w:w="6475" w:type="dxa"/>
            <w:shd w:val="clear" w:color="auto" w:fill="auto"/>
            <w:noWrap/>
            <w:vAlign w:val="bottom"/>
            <w:hideMark/>
          </w:tcPr>
          <w:p w14:paraId="47F70194" w14:textId="77777777" w:rsidR="000A745B" w:rsidRPr="0055512B" w:rsidRDefault="000A745B" w:rsidP="001950BE">
            <w:pPr>
              <w:spacing w:line="276" w:lineRule="auto"/>
              <w:rPr>
                <w:rFonts w:cs="Arial"/>
                <w:b/>
                <w:bCs/>
                <w:color w:val="000000"/>
                <w:lang w:eastAsia="es-ES_tradnl"/>
              </w:rPr>
            </w:pPr>
            <w:bookmarkStart w:id="14" w:name="OLE_LINK1"/>
            <w:r w:rsidRPr="0055512B">
              <w:rPr>
                <w:rFonts w:cs="Arial"/>
                <w:b/>
                <w:bCs/>
                <w:color w:val="000000"/>
                <w:lang w:eastAsia="es-ES_tradnl"/>
              </w:rPr>
              <w:t>Catégorie</w:t>
            </w:r>
          </w:p>
        </w:tc>
        <w:tc>
          <w:tcPr>
            <w:tcW w:w="1497" w:type="dxa"/>
            <w:shd w:val="clear" w:color="auto" w:fill="auto"/>
            <w:noWrap/>
            <w:vAlign w:val="bottom"/>
            <w:hideMark/>
          </w:tcPr>
          <w:p w14:paraId="6A045E02" w14:textId="77777777" w:rsidR="000A745B" w:rsidRPr="0055512B" w:rsidRDefault="000A745B" w:rsidP="001950BE">
            <w:pPr>
              <w:spacing w:line="276" w:lineRule="auto"/>
              <w:rPr>
                <w:rFonts w:cs="Arial"/>
                <w:b/>
                <w:bCs/>
                <w:color w:val="000000"/>
                <w:lang w:eastAsia="es-ES_tradnl"/>
              </w:rPr>
            </w:pPr>
            <w:r w:rsidRPr="0055512B">
              <w:rPr>
                <w:rFonts w:cs="Arial"/>
                <w:b/>
                <w:bCs/>
                <w:color w:val="000000"/>
                <w:lang w:eastAsia="es-ES_tradnl"/>
              </w:rPr>
              <w:t>Financement</w:t>
            </w:r>
          </w:p>
        </w:tc>
        <w:tc>
          <w:tcPr>
            <w:tcW w:w="960" w:type="dxa"/>
            <w:shd w:val="clear" w:color="auto" w:fill="auto"/>
            <w:noWrap/>
            <w:vAlign w:val="bottom"/>
            <w:hideMark/>
          </w:tcPr>
          <w:p w14:paraId="44976B5C" w14:textId="77777777" w:rsidR="000A745B" w:rsidRPr="0055512B" w:rsidRDefault="000A745B" w:rsidP="001950BE">
            <w:pPr>
              <w:spacing w:line="276" w:lineRule="auto"/>
              <w:rPr>
                <w:rFonts w:cs="Arial"/>
                <w:b/>
                <w:bCs/>
                <w:color w:val="000000"/>
                <w:lang w:eastAsia="es-ES_tradnl"/>
              </w:rPr>
            </w:pPr>
            <w:r w:rsidRPr="0055512B">
              <w:rPr>
                <w:rFonts w:cs="Arial"/>
                <w:b/>
                <w:bCs/>
                <w:color w:val="000000"/>
                <w:lang w:eastAsia="es-ES_tradnl"/>
              </w:rPr>
              <w:t>%</w:t>
            </w:r>
          </w:p>
        </w:tc>
      </w:tr>
      <w:tr w:rsidR="000A745B" w:rsidRPr="0055512B" w14:paraId="1163BDCB" w14:textId="77777777" w:rsidTr="000A745B">
        <w:trPr>
          <w:trHeight w:val="255"/>
        </w:trPr>
        <w:tc>
          <w:tcPr>
            <w:tcW w:w="6475" w:type="dxa"/>
            <w:shd w:val="clear" w:color="auto" w:fill="auto"/>
            <w:noWrap/>
            <w:vAlign w:val="bottom"/>
            <w:hideMark/>
          </w:tcPr>
          <w:p w14:paraId="6461B8C8" w14:textId="77777777" w:rsidR="000A745B" w:rsidRPr="0055512B" w:rsidRDefault="000A745B" w:rsidP="001950BE">
            <w:pPr>
              <w:spacing w:line="276" w:lineRule="auto"/>
              <w:rPr>
                <w:rFonts w:cs="Arial"/>
                <w:b/>
                <w:bCs/>
                <w:color w:val="000000"/>
                <w:lang w:eastAsia="es-ES_tradnl"/>
              </w:rPr>
            </w:pPr>
            <w:r w:rsidRPr="0055512B">
              <w:rPr>
                <w:rFonts w:cs="Arial"/>
                <w:b/>
                <w:bCs/>
                <w:color w:val="000000"/>
                <w:lang w:eastAsia="es-ES_tradnl"/>
              </w:rPr>
              <w:t xml:space="preserve">I. Coûts directs </w:t>
            </w:r>
          </w:p>
        </w:tc>
        <w:tc>
          <w:tcPr>
            <w:tcW w:w="1497" w:type="dxa"/>
            <w:shd w:val="clear" w:color="auto" w:fill="auto"/>
            <w:noWrap/>
            <w:vAlign w:val="bottom"/>
            <w:hideMark/>
          </w:tcPr>
          <w:p w14:paraId="13FAC5C6" w14:textId="77777777" w:rsidR="000A745B" w:rsidRPr="0055512B" w:rsidRDefault="000A745B" w:rsidP="001950BE">
            <w:pPr>
              <w:spacing w:line="276" w:lineRule="auto"/>
              <w:rPr>
                <w:rFonts w:cs="Arial"/>
                <w:b/>
                <w:bCs/>
                <w:color w:val="000000"/>
                <w:lang w:eastAsia="es-ES_tradnl"/>
              </w:rPr>
            </w:pPr>
            <w:r w:rsidRPr="0055512B">
              <w:rPr>
                <w:rFonts w:cs="Arial"/>
                <w:b/>
                <w:bCs/>
                <w:color w:val="000000"/>
                <w:lang w:eastAsia="es-ES_tradnl"/>
              </w:rPr>
              <w:t>33 875 000</w:t>
            </w:r>
          </w:p>
        </w:tc>
        <w:tc>
          <w:tcPr>
            <w:tcW w:w="960" w:type="dxa"/>
            <w:shd w:val="clear" w:color="auto" w:fill="auto"/>
            <w:noWrap/>
            <w:vAlign w:val="bottom"/>
            <w:hideMark/>
          </w:tcPr>
          <w:p w14:paraId="1681ECBD" w14:textId="77777777" w:rsidR="000A745B" w:rsidRPr="0055512B" w:rsidRDefault="000A745B" w:rsidP="001950BE">
            <w:pPr>
              <w:spacing w:line="276" w:lineRule="auto"/>
              <w:rPr>
                <w:rFonts w:cs="Arial"/>
                <w:b/>
                <w:color w:val="000000"/>
                <w:lang w:eastAsia="es-ES_tradnl"/>
              </w:rPr>
            </w:pPr>
            <w:r w:rsidRPr="0055512B">
              <w:rPr>
                <w:rFonts w:cs="Arial"/>
                <w:b/>
                <w:color w:val="000000"/>
                <w:lang w:eastAsia="es-ES_tradnl"/>
              </w:rPr>
              <w:t>95,4%</w:t>
            </w:r>
          </w:p>
        </w:tc>
      </w:tr>
      <w:tr w:rsidR="000A745B" w:rsidRPr="0055512B" w14:paraId="135116E0" w14:textId="77777777" w:rsidTr="000A745B">
        <w:trPr>
          <w:trHeight w:val="255"/>
        </w:trPr>
        <w:tc>
          <w:tcPr>
            <w:tcW w:w="6475" w:type="dxa"/>
            <w:shd w:val="clear" w:color="auto" w:fill="auto"/>
            <w:noWrap/>
            <w:vAlign w:val="bottom"/>
            <w:hideMark/>
          </w:tcPr>
          <w:p w14:paraId="3A74D1E3"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I.1 Composante I : renforcement institutionnel du CTE/RMPP</w:t>
            </w:r>
          </w:p>
        </w:tc>
        <w:tc>
          <w:tcPr>
            <w:tcW w:w="1497" w:type="dxa"/>
            <w:shd w:val="clear" w:color="auto" w:fill="auto"/>
            <w:vAlign w:val="center"/>
            <w:hideMark/>
          </w:tcPr>
          <w:p w14:paraId="2EA4D3B2"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 xml:space="preserve">  6 700 000</w:t>
            </w:r>
          </w:p>
        </w:tc>
        <w:tc>
          <w:tcPr>
            <w:tcW w:w="960" w:type="dxa"/>
            <w:shd w:val="clear" w:color="auto" w:fill="auto"/>
            <w:noWrap/>
            <w:vAlign w:val="bottom"/>
            <w:hideMark/>
          </w:tcPr>
          <w:p w14:paraId="045A3287"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18,9%</w:t>
            </w:r>
          </w:p>
        </w:tc>
      </w:tr>
      <w:tr w:rsidR="000A745B" w:rsidRPr="0055512B" w14:paraId="3FB4542A" w14:textId="77777777" w:rsidTr="000A745B">
        <w:trPr>
          <w:trHeight w:val="255"/>
        </w:trPr>
        <w:tc>
          <w:tcPr>
            <w:tcW w:w="6475" w:type="dxa"/>
            <w:shd w:val="clear" w:color="auto" w:fill="auto"/>
            <w:noWrap/>
            <w:vAlign w:val="bottom"/>
            <w:hideMark/>
          </w:tcPr>
          <w:p w14:paraId="28E73AD6"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 xml:space="preserve">I.2 Composante II : appui à l’exploitation et à la maintenance </w:t>
            </w:r>
          </w:p>
        </w:tc>
        <w:tc>
          <w:tcPr>
            <w:tcW w:w="1497" w:type="dxa"/>
            <w:shd w:val="clear" w:color="auto" w:fill="auto"/>
            <w:vAlign w:val="center"/>
            <w:hideMark/>
          </w:tcPr>
          <w:p w14:paraId="49C8E4B4"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 xml:space="preserve"> 4 527 500</w:t>
            </w:r>
          </w:p>
        </w:tc>
        <w:tc>
          <w:tcPr>
            <w:tcW w:w="960" w:type="dxa"/>
            <w:shd w:val="clear" w:color="auto" w:fill="auto"/>
            <w:noWrap/>
            <w:vAlign w:val="bottom"/>
            <w:hideMark/>
          </w:tcPr>
          <w:p w14:paraId="3AFAB9BD"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12,8%</w:t>
            </w:r>
          </w:p>
        </w:tc>
      </w:tr>
      <w:tr w:rsidR="000A745B" w:rsidRPr="0055512B" w14:paraId="09FCA885" w14:textId="77777777" w:rsidTr="000A745B">
        <w:trPr>
          <w:trHeight w:val="255"/>
        </w:trPr>
        <w:tc>
          <w:tcPr>
            <w:tcW w:w="6475" w:type="dxa"/>
            <w:shd w:val="clear" w:color="auto" w:fill="auto"/>
            <w:noWrap/>
            <w:vAlign w:val="bottom"/>
            <w:hideMark/>
          </w:tcPr>
          <w:p w14:paraId="040D9432"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I.3 Composante III : investissements en ouvrages d’eau potable</w:t>
            </w:r>
          </w:p>
        </w:tc>
        <w:tc>
          <w:tcPr>
            <w:tcW w:w="1497" w:type="dxa"/>
            <w:shd w:val="clear" w:color="auto" w:fill="auto"/>
            <w:vAlign w:val="center"/>
            <w:hideMark/>
          </w:tcPr>
          <w:p w14:paraId="17FAF9D7"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22 647 500</w:t>
            </w:r>
          </w:p>
        </w:tc>
        <w:tc>
          <w:tcPr>
            <w:tcW w:w="960" w:type="dxa"/>
            <w:shd w:val="clear" w:color="auto" w:fill="auto"/>
            <w:noWrap/>
            <w:vAlign w:val="bottom"/>
            <w:hideMark/>
          </w:tcPr>
          <w:p w14:paraId="124F5F03"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63,8%</w:t>
            </w:r>
          </w:p>
        </w:tc>
      </w:tr>
      <w:tr w:rsidR="000A745B" w:rsidRPr="0055512B" w14:paraId="25A84DEA" w14:textId="77777777" w:rsidTr="000A745B">
        <w:trPr>
          <w:trHeight w:val="255"/>
        </w:trPr>
        <w:tc>
          <w:tcPr>
            <w:tcW w:w="6475" w:type="dxa"/>
            <w:shd w:val="clear" w:color="auto" w:fill="auto"/>
            <w:noWrap/>
            <w:vAlign w:val="bottom"/>
            <w:hideMark/>
          </w:tcPr>
          <w:p w14:paraId="3CD9B329" w14:textId="77777777" w:rsidR="000A745B" w:rsidRPr="0055512B" w:rsidRDefault="000A745B" w:rsidP="001950BE">
            <w:pPr>
              <w:spacing w:line="276" w:lineRule="auto"/>
              <w:rPr>
                <w:rFonts w:cs="Arial"/>
                <w:b/>
                <w:bCs/>
                <w:color w:val="000000"/>
                <w:lang w:eastAsia="es-ES_tradnl"/>
              </w:rPr>
            </w:pPr>
            <w:r w:rsidRPr="0055512B">
              <w:rPr>
                <w:rFonts w:cs="Arial"/>
                <w:b/>
                <w:bCs/>
                <w:color w:val="000000"/>
                <w:lang w:eastAsia="es-ES_tradnl"/>
              </w:rPr>
              <w:t>II. Administration du projet</w:t>
            </w:r>
          </w:p>
        </w:tc>
        <w:tc>
          <w:tcPr>
            <w:tcW w:w="1497" w:type="dxa"/>
            <w:shd w:val="clear" w:color="auto" w:fill="auto"/>
            <w:noWrap/>
            <w:vAlign w:val="bottom"/>
            <w:hideMark/>
          </w:tcPr>
          <w:p w14:paraId="06BAF242" w14:textId="77777777" w:rsidR="000A745B" w:rsidRPr="0055512B" w:rsidRDefault="000A745B" w:rsidP="001950BE">
            <w:pPr>
              <w:spacing w:line="276" w:lineRule="auto"/>
              <w:rPr>
                <w:rFonts w:cs="Arial"/>
                <w:b/>
                <w:bCs/>
                <w:color w:val="000000"/>
                <w:lang w:eastAsia="es-ES_tradnl"/>
              </w:rPr>
            </w:pPr>
            <w:r w:rsidRPr="0055512B">
              <w:rPr>
                <w:rFonts w:cs="Arial"/>
                <w:b/>
                <w:bCs/>
                <w:color w:val="000000"/>
                <w:lang w:eastAsia="es-ES_tradnl"/>
              </w:rPr>
              <w:t xml:space="preserve">    1 625 000</w:t>
            </w:r>
          </w:p>
        </w:tc>
        <w:tc>
          <w:tcPr>
            <w:tcW w:w="960" w:type="dxa"/>
            <w:shd w:val="clear" w:color="auto" w:fill="auto"/>
            <w:noWrap/>
            <w:vAlign w:val="bottom"/>
            <w:hideMark/>
          </w:tcPr>
          <w:p w14:paraId="4CEC7098" w14:textId="77777777" w:rsidR="000A745B" w:rsidRPr="0055512B" w:rsidRDefault="000A745B" w:rsidP="001950BE">
            <w:pPr>
              <w:spacing w:line="276" w:lineRule="auto"/>
              <w:rPr>
                <w:rFonts w:cs="Arial"/>
                <w:b/>
                <w:color w:val="000000"/>
                <w:lang w:eastAsia="es-ES_tradnl"/>
              </w:rPr>
            </w:pPr>
            <w:r w:rsidRPr="0055512B">
              <w:rPr>
                <w:rFonts w:cs="Arial"/>
                <w:b/>
                <w:color w:val="000000"/>
                <w:lang w:eastAsia="es-ES_tradnl"/>
              </w:rPr>
              <w:t>4,6%</w:t>
            </w:r>
          </w:p>
        </w:tc>
      </w:tr>
      <w:tr w:rsidR="000A745B" w:rsidRPr="0055512B" w14:paraId="12582F73" w14:textId="77777777" w:rsidTr="000A745B">
        <w:trPr>
          <w:trHeight w:val="255"/>
        </w:trPr>
        <w:tc>
          <w:tcPr>
            <w:tcW w:w="6475" w:type="dxa"/>
            <w:shd w:val="clear" w:color="auto" w:fill="auto"/>
            <w:noWrap/>
            <w:vAlign w:val="bottom"/>
            <w:hideMark/>
          </w:tcPr>
          <w:p w14:paraId="44C1C38E"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II.1 Administration du projet</w:t>
            </w:r>
          </w:p>
        </w:tc>
        <w:tc>
          <w:tcPr>
            <w:tcW w:w="1497" w:type="dxa"/>
            <w:shd w:val="clear" w:color="auto" w:fill="auto"/>
            <w:noWrap/>
            <w:vAlign w:val="bottom"/>
            <w:hideMark/>
          </w:tcPr>
          <w:p w14:paraId="5877E53E"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 xml:space="preserve">    500 000</w:t>
            </w:r>
          </w:p>
        </w:tc>
        <w:tc>
          <w:tcPr>
            <w:tcW w:w="960" w:type="dxa"/>
            <w:shd w:val="clear" w:color="auto" w:fill="auto"/>
            <w:noWrap/>
            <w:vAlign w:val="bottom"/>
            <w:hideMark/>
          </w:tcPr>
          <w:p w14:paraId="0AA26061"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1,4%</w:t>
            </w:r>
          </w:p>
        </w:tc>
      </w:tr>
      <w:tr w:rsidR="000A745B" w:rsidRPr="0055512B" w14:paraId="2143B380" w14:textId="77777777" w:rsidTr="000A745B">
        <w:trPr>
          <w:trHeight w:val="255"/>
        </w:trPr>
        <w:tc>
          <w:tcPr>
            <w:tcW w:w="6475" w:type="dxa"/>
            <w:shd w:val="clear" w:color="auto" w:fill="auto"/>
            <w:noWrap/>
            <w:vAlign w:val="bottom"/>
          </w:tcPr>
          <w:p w14:paraId="5C2109D2" w14:textId="77777777" w:rsidR="000A745B" w:rsidRPr="0055512B" w:rsidRDefault="000A745B" w:rsidP="001950BE">
            <w:pPr>
              <w:spacing w:line="276" w:lineRule="auto"/>
              <w:rPr>
                <w:rFonts w:cs="Arial"/>
                <w:bCs/>
                <w:color w:val="000000"/>
                <w:lang w:eastAsia="es-ES_tradnl"/>
              </w:rPr>
            </w:pPr>
            <w:r w:rsidRPr="0055512B">
              <w:rPr>
                <w:rFonts w:cs="Arial"/>
                <w:bCs/>
                <w:color w:val="000000"/>
                <w:lang w:eastAsia="es-ES_tradnl"/>
              </w:rPr>
              <w:t xml:space="preserve">       Unité d’exécution</w:t>
            </w:r>
          </w:p>
        </w:tc>
        <w:tc>
          <w:tcPr>
            <w:tcW w:w="1497" w:type="dxa"/>
            <w:shd w:val="clear" w:color="auto" w:fill="auto"/>
            <w:noWrap/>
            <w:vAlign w:val="bottom"/>
          </w:tcPr>
          <w:p w14:paraId="7A829C38" w14:textId="77777777" w:rsidR="000A745B" w:rsidRPr="0055512B" w:rsidRDefault="000A745B" w:rsidP="001950BE">
            <w:pPr>
              <w:spacing w:line="276" w:lineRule="auto"/>
              <w:rPr>
                <w:rFonts w:cs="Arial"/>
                <w:bCs/>
                <w:color w:val="000000"/>
                <w:lang w:eastAsia="es-ES_tradnl"/>
              </w:rPr>
            </w:pPr>
            <w:r w:rsidRPr="0055512B">
              <w:rPr>
                <w:rFonts w:cs="Arial"/>
                <w:bCs/>
                <w:color w:val="000000"/>
                <w:lang w:eastAsia="es-ES_tradnl"/>
              </w:rPr>
              <w:t xml:space="preserve">    500 000</w:t>
            </w:r>
          </w:p>
        </w:tc>
        <w:tc>
          <w:tcPr>
            <w:tcW w:w="960" w:type="dxa"/>
            <w:shd w:val="clear" w:color="auto" w:fill="auto"/>
            <w:noWrap/>
            <w:vAlign w:val="bottom"/>
          </w:tcPr>
          <w:p w14:paraId="7FB015DD" w14:textId="77777777" w:rsidR="000A745B" w:rsidRPr="0055512B" w:rsidRDefault="000A745B" w:rsidP="001950BE">
            <w:pPr>
              <w:spacing w:line="276" w:lineRule="auto"/>
              <w:rPr>
                <w:rFonts w:cs="Arial"/>
                <w:color w:val="000000"/>
                <w:lang w:eastAsia="es-ES_tradnl"/>
              </w:rPr>
            </w:pPr>
          </w:p>
        </w:tc>
      </w:tr>
      <w:tr w:rsidR="000A745B" w:rsidRPr="0055512B" w14:paraId="4F94A3E9" w14:textId="77777777" w:rsidTr="000A745B">
        <w:trPr>
          <w:trHeight w:val="255"/>
        </w:trPr>
        <w:tc>
          <w:tcPr>
            <w:tcW w:w="6475" w:type="dxa"/>
            <w:shd w:val="clear" w:color="auto" w:fill="auto"/>
            <w:noWrap/>
            <w:vAlign w:val="bottom"/>
            <w:hideMark/>
          </w:tcPr>
          <w:p w14:paraId="3D4A04D9" w14:textId="77777777" w:rsidR="000A745B" w:rsidRPr="0055512B" w:rsidRDefault="000A745B" w:rsidP="001950BE">
            <w:pPr>
              <w:spacing w:line="276" w:lineRule="auto"/>
              <w:rPr>
                <w:rFonts w:cs="Arial"/>
                <w:bCs/>
                <w:color w:val="000000"/>
                <w:lang w:eastAsia="es-ES_tradnl"/>
              </w:rPr>
            </w:pPr>
            <w:r w:rsidRPr="0055512B">
              <w:rPr>
                <w:rFonts w:cs="Arial"/>
                <w:color w:val="000000"/>
                <w:lang w:eastAsia="es-ES_tradnl"/>
              </w:rPr>
              <w:t>III. Coûts annexes directs</w:t>
            </w:r>
          </w:p>
        </w:tc>
        <w:tc>
          <w:tcPr>
            <w:tcW w:w="1497" w:type="dxa"/>
            <w:shd w:val="clear" w:color="auto" w:fill="auto"/>
            <w:noWrap/>
            <w:vAlign w:val="bottom"/>
            <w:hideMark/>
          </w:tcPr>
          <w:p w14:paraId="5BA8E062" w14:textId="77777777" w:rsidR="000A745B" w:rsidRPr="0055512B" w:rsidRDefault="000A745B" w:rsidP="001950BE">
            <w:pPr>
              <w:spacing w:line="276" w:lineRule="auto"/>
              <w:rPr>
                <w:rFonts w:cs="Arial"/>
                <w:bCs/>
                <w:color w:val="000000"/>
                <w:lang w:eastAsia="es-ES_tradnl"/>
              </w:rPr>
            </w:pPr>
            <w:r w:rsidRPr="0055512B">
              <w:rPr>
                <w:rFonts w:cs="Arial"/>
                <w:bCs/>
                <w:color w:val="000000"/>
                <w:lang w:eastAsia="es-ES_tradnl"/>
              </w:rPr>
              <w:t xml:space="preserve">    530 000</w:t>
            </w:r>
          </w:p>
        </w:tc>
        <w:tc>
          <w:tcPr>
            <w:tcW w:w="960" w:type="dxa"/>
            <w:shd w:val="clear" w:color="auto" w:fill="auto"/>
            <w:noWrap/>
            <w:vAlign w:val="bottom"/>
            <w:hideMark/>
          </w:tcPr>
          <w:p w14:paraId="78B4EA7D"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1,5%</w:t>
            </w:r>
          </w:p>
        </w:tc>
      </w:tr>
      <w:tr w:rsidR="000A745B" w:rsidRPr="0055512B" w14:paraId="49ACB74F" w14:textId="77777777" w:rsidTr="000A745B">
        <w:trPr>
          <w:trHeight w:val="255"/>
        </w:trPr>
        <w:tc>
          <w:tcPr>
            <w:tcW w:w="6475" w:type="dxa"/>
            <w:shd w:val="clear" w:color="auto" w:fill="auto"/>
            <w:noWrap/>
            <w:vAlign w:val="bottom"/>
            <w:hideMark/>
          </w:tcPr>
          <w:p w14:paraId="14610E12"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 xml:space="preserve">      Audits du projet</w:t>
            </w:r>
          </w:p>
        </w:tc>
        <w:tc>
          <w:tcPr>
            <w:tcW w:w="1497" w:type="dxa"/>
            <w:shd w:val="clear" w:color="auto" w:fill="auto"/>
            <w:vAlign w:val="center"/>
            <w:hideMark/>
          </w:tcPr>
          <w:p w14:paraId="6A6575A5"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 xml:space="preserve">    250 000</w:t>
            </w:r>
          </w:p>
        </w:tc>
        <w:tc>
          <w:tcPr>
            <w:tcW w:w="960" w:type="dxa"/>
            <w:shd w:val="clear" w:color="auto" w:fill="auto"/>
            <w:noWrap/>
            <w:vAlign w:val="bottom"/>
            <w:hideMark/>
          </w:tcPr>
          <w:p w14:paraId="515F221E"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0,7%</w:t>
            </w:r>
          </w:p>
        </w:tc>
      </w:tr>
      <w:tr w:rsidR="000A745B" w:rsidRPr="0055512B" w14:paraId="44AFAE81" w14:textId="77777777" w:rsidTr="000A745B">
        <w:trPr>
          <w:trHeight w:val="255"/>
        </w:trPr>
        <w:tc>
          <w:tcPr>
            <w:tcW w:w="6475" w:type="dxa"/>
            <w:shd w:val="clear" w:color="auto" w:fill="auto"/>
            <w:noWrap/>
            <w:vAlign w:val="bottom"/>
            <w:hideMark/>
          </w:tcPr>
          <w:p w14:paraId="02012672"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 xml:space="preserve">      Enquêtes finales d’évaluation</w:t>
            </w:r>
          </w:p>
        </w:tc>
        <w:tc>
          <w:tcPr>
            <w:tcW w:w="1497" w:type="dxa"/>
            <w:shd w:val="clear" w:color="auto" w:fill="auto"/>
            <w:vAlign w:val="center"/>
            <w:hideMark/>
          </w:tcPr>
          <w:p w14:paraId="012CA79A"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 xml:space="preserve">    180 000</w:t>
            </w:r>
          </w:p>
        </w:tc>
        <w:tc>
          <w:tcPr>
            <w:tcW w:w="960" w:type="dxa"/>
            <w:shd w:val="clear" w:color="auto" w:fill="auto"/>
            <w:noWrap/>
            <w:vAlign w:val="bottom"/>
            <w:hideMark/>
          </w:tcPr>
          <w:p w14:paraId="29267DAA"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0,5%</w:t>
            </w:r>
          </w:p>
        </w:tc>
      </w:tr>
      <w:tr w:rsidR="000A745B" w:rsidRPr="0055512B" w14:paraId="56096E8F" w14:textId="77777777" w:rsidTr="000A745B">
        <w:trPr>
          <w:trHeight w:val="255"/>
        </w:trPr>
        <w:tc>
          <w:tcPr>
            <w:tcW w:w="6475" w:type="dxa"/>
            <w:shd w:val="clear" w:color="auto" w:fill="auto"/>
            <w:noWrap/>
            <w:vAlign w:val="bottom"/>
            <w:hideMark/>
          </w:tcPr>
          <w:p w14:paraId="22C66A10"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 xml:space="preserve">      Suivi et évaluation</w:t>
            </w:r>
          </w:p>
        </w:tc>
        <w:tc>
          <w:tcPr>
            <w:tcW w:w="1497" w:type="dxa"/>
            <w:shd w:val="clear" w:color="auto" w:fill="auto"/>
            <w:vAlign w:val="center"/>
            <w:hideMark/>
          </w:tcPr>
          <w:p w14:paraId="30DFA5DB"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 xml:space="preserve">    100 000</w:t>
            </w:r>
          </w:p>
        </w:tc>
        <w:tc>
          <w:tcPr>
            <w:tcW w:w="960" w:type="dxa"/>
            <w:shd w:val="clear" w:color="auto" w:fill="auto"/>
            <w:noWrap/>
            <w:vAlign w:val="bottom"/>
            <w:hideMark/>
          </w:tcPr>
          <w:p w14:paraId="0EEA8553"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0,3%</w:t>
            </w:r>
          </w:p>
        </w:tc>
      </w:tr>
      <w:tr w:rsidR="000A745B" w:rsidRPr="0055512B" w14:paraId="0FB52841" w14:textId="77777777" w:rsidTr="000A745B">
        <w:trPr>
          <w:trHeight w:val="255"/>
        </w:trPr>
        <w:tc>
          <w:tcPr>
            <w:tcW w:w="6475" w:type="dxa"/>
            <w:shd w:val="clear" w:color="auto" w:fill="auto"/>
            <w:noWrap/>
            <w:vAlign w:val="bottom"/>
            <w:hideMark/>
          </w:tcPr>
          <w:p w14:paraId="42E340A3" w14:textId="77777777" w:rsidR="000A745B" w:rsidRPr="0055512B" w:rsidRDefault="000A745B" w:rsidP="001950BE">
            <w:pPr>
              <w:spacing w:line="276" w:lineRule="auto"/>
              <w:rPr>
                <w:rFonts w:cs="Arial"/>
                <w:bCs/>
                <w:color w:val="000000"/>
                <w:lang w:eastAsia="es-ES_tradnl"/>
              </w:rPr>
            </w:pPr>
            <w:r w:rsidRPr="0055512B">
              <w:rPr>
                <w:rFonts w:cs="Arial"/>
                <w:bCs/>
                <w:color w:val="000000"/>
                <w:lang w:eastAsia="es-ES_tradnl"/>
              </w:rPr>
              <w:t>IV. Imprévus  et urgences</w:t>
            </w:r>
          </w:p>
        </w:tc>
        <w:tc>
          <w:tcPr>
            <w:tcW w:w="1497" w:type="dxa"/>
            <w:shd w:val="clear" w:color="auto" w:fill="auto"/>
            <w:vAlign w:val="center"/>
            <w:hideMark/>
          </w:tcPr>
          <w:p w14:paraId="23337B24" w14:textId="77777777" w:rsidR="000A745B" w:rsidRPr="0055512B" w:rsidRDefault="000A745B" w:rsidP="001950BE">
            <w:pPr>
              <w:spacing w:line="276" w:lineRule="auto"/>
              <w:rPr>
                <w:rFonts w:cs="Arial"/>
                <w:bCs/>
                <w:color w:val="000000"/>
                <w:lang w:eastAsia="es-ES_tradnl"/>
              </w:rPr>
            </w:pPr>
            <w:r w:rsidRPr="0055512B">
              <w:rPr>
                <w:rFonts w:cs="Arial"/>
                <w:bCs/>
                <w:color w:val="000000"/>
                <w:lang w:eastAsia="es-ES_tradnl"/>
              </w:rPr>
              <w:t xml:space="preserve">   595 000</w:t>
            </w:r>
          </w:p>
        </w:tc>
        <w:tc>
          <w:tcPr>
            <w:tcW w:w="960" w:type="dxa"/>
            <w:shd w:val="clear" w:color="auto" w:fill="auto"/>
            <w:noWrap/>
            <w:vAlign w:val="bottom"/>
            <w:hideMark/>
          </w:tcPr>
          <w:p w14:paraId="0907EA53" w14:textId="77777777" w:rsidR="000A745B" w:rsidRPr="0055512B" w:rsidRDefault="000A745B" w:rsidP="001950BE">
            <w:pPr>
              <w:spacing w:line="276" w:lineRule="auto"/>
              <w:rPr>
                <w:rFonts w:cs="Arial"/>
                <w:color w:val="000000"/>
                <w:lang w:eastAsia="es-ES_tradnl"/>
              </w:rPr>
            </w:pPr>
            <w:r w:rsidRPr="0055512B">
              <w:rPr>
                <w:rFonts w:cs="Arial"/>
                <w:color w:val="000000"/>
                <w:lang w:eastAsia="es-ES_tradnl"/>
              </w:rPr>
              <w:t>1,7%</w:t>
            </w:r>
          </w:p>
        </w:tc>
      </w:tr>
      <w:tr w:rsidR="000A745B" w:rsidRPr="0055512B" w14:paraId="59F9400E" w14:textId="77777777" w:rsidTr="000A745B">
        <w:trPr>
          <w:trHeight w:val="134"/>
        </w:trPr>
        <w:tc>
          <w:tcPr>
            <w:tcW w:w="6475" w:type="dxa"/>
            <w:shd w:val="clear" w:color="auto" w:fill="auto"/>
            <w:noWrap/>
            <w:vAlign w:val="bottom"/>
            <w:hideMark/>
          </w:tcPr>
          <w:p w14:paraId="33D5FEA3" w14:textId="77777777" w:rsidR="000A745B" w:rsidRPr="0055512B" w:rsidRDefault="000A745B" w:rsidP="001950BE">
            <w:pPr>
              <w:spacing w:line="276" w:lineRule="auto"/>
              <w:rPr>
                <w:rFonts w:cs="Arial"/>
                <w:b/>
                <w:bCs/>
                <w:color w:val="000000"/>
                <w:lang w:eastAsia="es-ES_tradnl"/>
              </w:rPr>
            </w:pPr>
            <w:r w:rsidRPr="0055512B">
              <w:rPr>
                <w:rFonts w:cs="Arial"/>
                <w:b/>
                <w:bCs/>
                <w:color w:val="000000"/>
                <w:lang w:eastAsia="es-ES_tradnl"/>
              </w:rPr>
              <w:t>Coûts totaux</w:t>
            </w:r>
          </w:p>
        </w:tc>
        <w:tc>
          <w:tcPr>
            <w:tcW w:w="1497" w:type="dxa"/>
            <w:shd w:val="clear" w:color="auto" w:fill="auto"/>
            <w:noWrap/>
            <w:vAlign w:val="bottom"/>
            <w:hideMark/>
          </w:tcPr>
          <w:p w14:paraId="33966F75" w14:textId="77777777" w:rsidR="000A745B" w:rsidRPr="0055512B" w:rsidRDefault="000A745B" w:rsidP="001950BE">
            <w:pPr>
              <w:spacing w:line="276" w:lineRule="auto"/>
              <w:rPr>
                <w:rFonts w:cs="Arial"/>
                <w:b/>
                <w:bCs/>
                <w:color w:val="000000"/>
                <w:lang w:eastAsia="es-ES_tradnl"/>
              </w:rPr>
            </w:pPr>
            <w:r w:rsidRPr="0055512B">
              <w:rPr>
                <w:rFonts w:cs="Arial"/>
                <w:b/>
                <w:bCs/>
                <w:color w:val="000000"/>
                <w:lang w:eastAsia="es-ES_tradnl"/>
              </w:rPr>
              <w:t>35 500 000</w:t>
            </w:r>
          </w:p>
        </w:tc>
        <w:tc>
          <w:tcPr>
            <w:tcW w:w="960" w:type="dxa"/>
            <w:shd w:val="clear" w:color="auto" w:fill="auto"/>
            <w:noWrap/>
            <w:vAlign w:val="bottom"/>
            <w:hideMark/>
          </w:tcPr>
          <w:p w14:paraId="2D3EB6D8" w14:textId="77777777" w:rsidR="000A745B" w:rsidRPr="0055512B" w:rsidRDefault="000A745B" w:rsidP="001950BE">
            <w:pPr>
              <w:spacing w:line="276" w:lineRule="auto"/>
              <w:rPr>
                <w:rFonts w:cs="Arial"/>
                <w:b/>
                <w:bCs/>
                <w:color w:val="000000"/>
                <w:lang w:eastAsia="es-ES_tradnl"/>
              </w:rPr>
            </w:pPr>
            <w:r w:rsidRPr="0055512B">
              <w:rPr>
                <w:rFonts w:cs="Arial"/>
                <w:b/>
                <w:bCs/>
                <w:color w:val="000000"/>
                <w:lang w:eastAsia="es-ES_tradnl"/>
              </w:rPr>
              <w:t>100%</w:t>
            </w:r>
          </w:p>
        </w:tc>
      </w:tr>
      <w:bookmarkEnd w:id="14"/>
    </w:tbl>
    <w:p w14:paraId="4A1B2CC8" w14:textId="77777777" w:rsidR="000A745B" w:rsidRPr="0055512B" w:rsidRDefault="000A745B" w:rsidP="001950BE">
      <w:pPr>
        <w:spacing w:line="276" w:lineRule="auto"/>
      </w:pPr>
    </w:p>
    <w:p w14:paraId="0F91CA61" w14:textId="77777777" w:rsidR="000A745B" w:rsidRPr="0055512B" w:rsidRDefault="000A745B" w:rsidP="00030989">
      <w:pPr>
        <w:spacing w:line="276" w:lineRule="auto"/>
        <w:jc w:val="both"/>
      </w:pPr>
      <w:r w:rsidRPr="0055512B">
        <w:t>L’exécution du Projet et les décaissements se feront sur une période de cinq ans (5) décomptés à partir de la date d’entrée en vigueur de l’Accord de don conformément à la Clause 2.04 dudit Accord ou suivant un nouveau calendrier établi entre la BID et l’Etat haïtien.</w:t>
      </w:r>
    </w:p>
    <w:p w14:paraId="670D96EB" w14:textId="77777777" w:rsidR="000A745B" w:rsidRPr="0055512B" w:rsidRDefault="000A745B" w:rsidP="00030989">
      <w:pPr>
        <w:tabs>
          <w:tab w:val="left" w:pos="1000"/>
        </w:tabs>
        <w:spacing w:line="276" w:lineRule="auto"/>
        <w:jc w:val="both"/>
        <w:rPr>
          <w:rFonts w:eastAsia="Arial"/>
        </w:rPr>
      </w:pPr>
    </w:p>
    <w:p w14:paraId="0F63B19B" w14:textId="77777777" w:rsidR="00A46C4F" w:rsidRPr="0055512B" w:rsidRDefault="009C4EB0" w:rsidP="00030989">
      <w:pPr>
        <w:tabs>
          <w:tab w:val="left" w:pos="1000"/>
        </w:tabs>
        <w:spacing w:line="276" w:lineRule="auto"/>
        <w:jc w:val="both"/>
        <w:rPr>
          <w:rFonts w:eastAsia="Arial"/>
          <w:b/>
        </w:rPr>
      </w:pPr>
      <w:r w:rsidRPr="0055512B">
        <w:rPr>
          <w:rFonts w:eastAsia="Arial"/>
          <w:b/>
        </w:rPr>
        <w:t xml:space="preserve">2.3 PRÉSENTATION DU </w:t>
      </w:r>
      <w:r w:rsidR="00A46C4F" w:rsidRPr="0055512B">
        <w:rPr>
          <w:rFonts w:eastAsia="Arial"/>
          <w:b/>
        </w:rPr>
        <w:t>HA-L1103</w:t>
      </w:r>
    </w:p>
    <w:p w14:paraId="7EA140ED" w14:textId="77777777" w:rsidR="00A46C4F" w:rsidRPr="0055512B" w:rsidRDefault="00A46C4F" w:rsidP="00030989">
      <w:pPr>
        <w:tabs>
          <w:tab w:val="left" w:pos="1000"/>
        </w:tabs>
        <w:spacing w:line="276" w:lineRule="auto"/>
        <w:jc w:val="both"/>
        <w:rPr>
          <w:rFonts w:eastAsia="Arial"/>
        </w:rPr>
      </w:pPr>
    </w:p>
    <w:p w14:paraId="0B44B817" w14:textId="77777777" w:rsidR="00A46C4F" w:rsidRPr="0055512B" w:rsidRDefault="009C4EB0" w:rsidP="00030989">
      <w:pPr>
        <w:pStyle w:val="Paragraph"/>
        <w:numPr>
          <w:ilvl w:val="0"/>
          <w:numId w:val="0"/>
        </w:numPr>
        <w:tabs>
          <w:tab w:val="left" w:pos="540"/>
        </w:tabs>
        <w:spacing w:line="276" w:lineRule="auto"/>
        <w:ind w:hanging="180"/>
        <w:rPr>
          <w:rFonts w:ascii="Times" w:hAnsi="Times" w:cs="Arial"/>
          <w:b/>
          <w:szCs w:val="24"/>
          <w:lang w:val="fr-FR"/>
        </w:rPr>
      </w:pPr>
      <w:bookmarkStart w:id="15" w:name="_Toc363857090"/>
      <w:r w:rsidRPr="0055512B">
        <w:rPr>
          <w:rFonts w:ascii="Times" w:hAnsi="Times" w:cs="Arial"/>
          <w:b/>
          <w:szCs w:val="24"/>
          <w:lang w:val="fr-FR"/>
        </w:rPr>
        <w:t>2.3.1 Objectifs</w:t>
      </w:r>
      <w:bookmarkEnd w:id="15"/>
    </w:p>
    <w:p w14:paraId="665704B9" w14:textId="3A9D526F" w:rsidR="009C4EB0" w:rsidRPr="0055512B" w:rsidRDefault="00425405" w:rsidP="00030989">
      <w:pPr>
        <w:pStyle w:val="Paragraph"/>
        <w:numPr>
          <w:ilvl w:val="0"/>
          <w:numId w:val="0"/>
        </w:numPr>
        <w:spacing w:line="276" w:lineRule="auto"/>
        <w:ind w:left="-142"/>
        <w:rPr>
          <w:rFonts w:ascii="Times" w:hAnsi="Times" w:cs="Arial"/>
          <w:szCs w:val="24"/>
          <w:lang w:val="fr-FR"/>
        </w:rPr>
      </w:pPr>
      <w:bookmarkStart w:id="16" w:name="_Toc363857091"/>
      <w:bookmarkStart w:id="17" w:name="_Toc363857613"/>
      <w:r w:rsidRPr="0055512B">
        <w:rPr>
          <w:rFonts w:ascii="Times" w:hAnsi="Times" w:cs="Arial"/>
          <w:szCs w:val="24"/>
          <w:lang w:val="fr-FR"/>
        </w:rPr>
        <w:t>L’Objectif géné</w:t>
      </w:r>
      <w:r w:rsidR="003B62BC" w:rsidRPr="0055512B">
        <w:rPr>
          <w:rFonts w:ascii="Times" w:hAnsi="Times" w:cs="Arial"/>
          <w:szCs w:val="24"/>
          <w:lang w:val="fr-FR"/>
        </w:rPr>
        <w:t xml:space="preserve">ral du programme est </w:t>
      </w:r>
      <w:r w:rsidR="000272AC" w:rsidRPr="0055512B">
        <w:rPr>
          <w:rFonts w:ascii="Times" w:hAnsi="Times" w:cs="Arial"/>
          <w:szCs w:val="24"/>
          <w:lang w:val="fr-FR"/>
        </w:rPr>
        <w:t>l’amélioration de la qualité de vie et des conditions sanitaires de la population de Port-au-</w:t>
      </w:r>
      <w:r w:rsidR="00672E98" w:rsidRPr="0055512B">
        <w:rPr>
          <w:rFonts w:ascii="Times" w:hAnsi="Times" w:cs="Arial"/>
          <w:szCs w:val="24"/>
          <w:lang w:val="fr-FR"/>
        </w:rPr>
        <w:t>P</w:t>
      </w:r>
      <w:r w:rsidR="000272AC" w:rsidRPr="0055512B">
        <w:rPr>
          <w:rFonts w:ascii="Times" w:hAnsi="Times" w:cs="Arial"/>
          <w:szCs w:val="24"/>
          <w:lang w:val="fr-FR"/>
        </w:rPr>
        <w:t>rince et des communautés rurales avoisinantes par la fourniture de services d’eau potable et d’assainissement durables.</w:t>
      </w:r>
      <w:bookmarkEnd w:id="16"/>
      <w:bookmarkEnd w:id="17"/>
    </w:p>
    <w:p w14:paraId="335D1A27" w14:textId="39D4FA91" w:rsidR="003B62BC" w:rsidRPr="0055512B" w:rsidRDefault="000272AC" w:rsidP="00030989">
      <w:pPr>
        <w:pStyle w:val="Paragraph"/>
        <w:numPr>
          <w:ilvl w:val="0"/>
          <w:numId w:val="0"/>
        </w:numPr>
        <w:spacing w:line="276" w:lineRule="auto"/>
        <w:ind w:left="-142"/>
        <w:rPr>
          <w:rFonts w:ascii="Times" w:hAnsi="Times" w:cs="Arial"/>
          <w:szCs w:val="24"/>
          <w:lang w:val="fr-FR"/>
        </w:rPr>
      </w:pPr>
      <w:r w:rsidRPr="0055512B">
        <w:rPr>
          <w:rFonts w:ascii="Times" w:hAnsi="Times" w:cs="Arial"/>
          <w:szCs w:val="24"/>
          <w:lang w:val="fr-FR"/>
        </w:rPr>
        <w:t xml:space="preserve"> </w:t>
      </w:r>
      <w:bookmarkStart w:id="18" w:name="_Toc363857092"/>
      <w:bookmarkStart w:id="19" w:name="_Toc363857614"/>
      <w:r w:rsidR="0039453B" w:rsidRPr="0055512B">
        <w:rPr>
          <w:rFonts w:ascii="Times" w:hAnsi="Times" w:cs="Arial"/>
          <w:szCs w:val="24"/>
          <w:lang w:val="fr-FR"/>
        </w:rPr>
        <w:t xml:space="preserve">Les quatre objectifs spécifiques de ce troisième </w:t>
      </w:r>
      <w:r w:rsidR="00EF7FCC" w:rsidRPr="0055512B">
        <w:rPr>
          <w:rFonts w:ascii="Times" w:hAnsi="Times" w:cs="Arial"/>
          <w:szCs w:val="24"/>
          <w:lang w:val="fr-FR"/>
        </w:rPr>
        <w:t>programme sont : (i) améliorer la couverture EPA et la qualité du service à Port-au-Prince; (ii) améliorer la couverture EPA et la qualité de service dans le milieu rural</w:t>
      </w:r>
      <w:r w:rsidR="00672E98" w:rsidRPr="0055512B">
        <w:rPr>
          <w:rFonts w:ascii="Times" w:hAnsi="Times" w:cs="Arial"/>
          <w:szCs w:val="24"/>
          <w:lang w:val="fr-FR"/>
        </w:rPr>
        <w:t xml:space="preserve"> avoisinant Port-au-Prince</w:t>
      </w:r>
      <w:r w:rsidR="00C266AA" w:rsidRPr="0055512B">
        <w:rPr>
          <w:rFonts w:ascii="Times" w:hAnsi="Times" w:cs="Arial"/>
          <w:szCs w:val="24"/>
          <w:lang w:val="fr-FR"/>
        </w:rPr>
        <w:t>; (iii) continuer à améliorer la viabilité financière du CTE-RMPP; et (iv) réaliser la régularisation effective du secteur par la DINEPA  et la déconcentration de l’OREPA Ouest</w:t>
      </w:r>
      <w:bookmarkEnd w:id="18"/>
      <w:bookmarkEnd w:id="19"/>
    </w:p>
    <w:p w14:paraId="15C1280E" w14:textId="77777777" w:rsidR="00B137B8" w:rsidRPr="0055512B" w:rsidRDefault="009C4EB0" w:rsidP="00030989">
      <w:pPr>
        <w:pStyle w:val="Paragraph"/>
        <w:numPr>
          <w:ilvl w:val="0"/>
          <w:numId w:val="0"/>
        </w:numPr>
        <w:spacing w:line="276" w:lineRule="auto"/>
        <w:ind w:left="-142"/>
        <w:rPr>
          <w:rFonts w:ascii="Times" w:hAnsi="Times" w:cs="Arial"/>
          <w:b/>
          <w:szCs w:val="24"/>
          <w:lang w:val="fr-FR"/>
        </w:rPr>
      </w:pPr>
      <w:bookmarkStart w:id="20" w:name="_Toc363857093"/>
      <w:r w:rsidRPr="0055512B">
        <w:rPr>
          <w:rFonts w:ascii="Times" w:hAnsi="Times" w:cs="Arial"/>
          <w:b/>
          <w:szCs w:val="24"/>
          <w:lang w:val="fr-FR"/>
        </w:rPr>
        <w:t xml:space="preserve">2.3.2 </w:t>
      </w:r>
      <w:r w:rsidR="001950BE" w:rsidRPr="0055512B">
        <w:rPr>
          <w:rFonts w:ascii="Times" w:hAnsi="Times" w:cs="Arial"/>
          <w:b/>
          <w:szCs w:val="24"/>
          <w:lang w:val="fr-FR"/>
        </w:rPr>
        <w:t xml:space="preserve"> </w:t>
      </w:r>
      <w:r w:rsidRPr="0055512B">
        <w:rPr>
          <w:rFonts w:ascii="Times" w:hAnsi="Times" w:cs="Arial"/>
          <w:b/>
          <w:szCs w:val="24"/>
          <w:lang w:val="fr-FR"/>
        </w:rPr>
        <w:t>Composantes</w:t>
      </w:r>
      <w:bookmarkEnd w:id="20"/>
      <w:r w:rsidRPr="0055512B">
        <w:rPr>
          <w:rFonts w:ascii="Times" w:hAnsi="Times" w:cs="Arial"/>
          <w:b/>
          <w:szCs w:val="24"/>
          <w:lang w:val="fr-FR"/>
        </w:rPr>
        <w:t xml:space="preserve"> </w:t>
      </w:r>
    </w:p>
    <w:p w14:paraId="2E2A6B6B" w14:textId="77777777" w:rsidR="009C4EB0" w:rsidRPr="0055512B" w:rsidRDefault="00B137B8" w:rsidP="00030989">
      <w:pPr>
        <w:pStyle w:val="Paragraph"/>
        <w:numPr>
          <w:ilvl w:val="0"/>
          <w:numId w:val="0"/>
        </w:numPr>
        <w:spacing w:line="276" w:lineRule="auto"/>
        <w:ind w:left="-142"/>
        <w:rPr>
          <w:rFonts w:ascii="Times" w:hAnsi="Times" w:cs="Arial"/>
          <w:szCs w:val="24"/>
          <w:lang w:val="fr-FR"/>
        </w:rPr>
      </w:pPr>
      <w:bookmarkStart w:id="21" w:name="_Toc363857094"/>
      <w:bookmarkStart w:id="22" w:name="_Toc363857616"/>
      <w:r w:rsidRPr="0055512B">
        <w:rPr>
          <w:rFonts w:ascii="Times" w:hAnsi="Times" w:cs="Arial"/>
          <w:b/>
          <w:szCs w:val="24"/>
          <w:lang w:val="fr-FR"/>
        </w:rPr>
        <w:t>2.3.2.1 Composante</w:t>
      </w:r>
      <w:r w:rsidR="00CA6108" w:rsidRPr="0055512B">
        <w:rPr>
          <w:rFonts w:ascii="Times" w:hAnsi="Times" w:cs="Arial"/>
          <w:b/>
          <w:szCs w:val="24"/>
          <w:lang w:val="fr-FR"/>
        </w:rPr>
        <w:t xml:space="preserve"> I (US$ 12 </w:t>
      </w:r>
      <w:r w:rsidR="00C266AA" w:rsidRPr="0055512B">
        <w:rPr>
          <w:rFonts w:ascii="Times" w:hAnsi="Times" w:cs="Arial"/>
          <w:b/>
          <w:szCs w:val="24"/>
          <w:lang w:val="fr-FR"/>
        </w:rPr>
        <w:t>million). Renforcement institutionnel du CTE-RMPP.</w:t>
      </w:r>
      <w:bookmarkEnd w:id="21"/>
      <w:bookmarkEnd w:id="22"/>
    </w:p>
    <w:p w14:paraId="1ED36A97" w14:textId="763F0494" w:rsidR="009C4EB0" w:rsidRPr="0055512B" w:rsidRDefault="00C266AA" w:rsidP="00922848">
      <w:pPr>
        <w:pStyle w:val="Paragraph"/>
        <w:numPr>
          <w:ilvl w:val="0"/>
          <w:numId w:val="0"/>
        </w:numPr>
        <w:spacing w:line="276" w:lineRule="auto"/>
        <w:ind w:left="540"/>
        <w:rPr>
          <w:rFonts w:ascii="Times" w:hAnsi="Times" w:cs="Arial"/>
          <w:szCs w:val="24"/>
          <w:lang w:val="fr-FR"/>
        </w:rPr>
      </w:pPr>
      <w:r w:rsidRPr="0055512B">
        <w:rPr>
          <w:rFonts w:ascii="Times" w:hAnsi="Times" w:cs="Arial"/>
          <w:szCs w:val="24"/>
          <w:lang w:val="fr-FR"/>
        </w:rPr>
        <w:t xml:space="preserve"> </w:t>
      </w:r>
      <w:bookmarkStart w:id="23" w:name="_Toc363857095"/>
      <w:bookmarkStart w:id="24" w:name="_Toc363857617"/>
      <w:r w:rsidRPr="0055512B">
        <w:rPr>
          <w:rFonts w:ascii="Times" w:hAnsi="Times" w:cs="Arial"/>
          <w:szCs w:val="24"/>
          <w:lang w:val="fr-FR"/>
        </w:rPr>
        <w:t xml:space="preserve">Cette composante financera l’embauche d’experts internationaux pour remplir des rôles clés au CTE-RMPP, comme la production et la distribution de l’eau, basé sur </w:t>
      </w:r>
      <w:r w:rsidR="007039A0" w:rsidRPr="0055512B">
        <w:rPr>
          <w:rFonts w:ascii="Times" w:hAnsi="Times" w:cs="Arial"/>
          <w:szCs w:val="24"/>
          <w:lang w:val="fr-FR"/>
        </w:rPr>
        <w:t xml:space="preserve"> un nouveau modèle de gestion à travers un  Partenariat Public Privé (PPP) dont le candidat sera sélectionné en 2017. De plus, cette composante financera des activités </w:t>
      </w:r>
      <w:r w:rsidR="007039A0" w:rsidRPr="0055512B">
        <w:rPr>
          <w:rFonts w:ascii="Times" w:hAnsi="Times" w:cs="Arial"/>
          <w:szCs w:val="24"/>
          <w:lang w:val="fr-FR"/>
        </w:rPr>
        <w:lastRenderedPageBreak/>
        <w:t>de support de la DINEPA en tant qu’institution de régulation et l’OREPA Ouest en tant que structure déconcentrée.</w:t>
      </w:r>
      <w:bookmarkEnd w:id="23"/>
      <w:bookmarkEnd w:id="24"/>
      <w:r w:rsidR="007039A0" w:rsidRPr="0055512B">
        <w:rPr>
          <w:rFonts w:ascii="Times" w:hAnsi="Times" w:cs="Arial"/>
          <w:szCs w:val="24"/>
          <w:lang w:val="fr-FR"/>
        </w:rPr>
        <w:t xml:space="preserve"> </w:t>
      </w:r>
    </w:p>
    <w:p w14:paraId="2FACF042" w14:textId="77777777" w:rsidR="009C4EB0" w:rsidRPr="0055512B" w:rsidRDefault="007039A0" w:rsidP="00030989">
      <w:pPr>
        <w:pStyle w:val="Paragraph"/>
        <w:numPr>
          <w:ilvl w:val="3"/>
          <w:numId w:val="39"/>
        </w:numPr>
        <w:spacing w:line="276" w:lineRule="auto"/>
        <w:ind w:left="567" w:hanging="709"/>
        <w:rPr>
          <w:rFonts w:ascii="Times" w:hAnsi="Times" w:cs="Arial"/>
          <w:b/>
          <w:szCs w:val="24"/>
          <w:lang w:val="fr-FR"/>
        </w:rPr>
      </w:pPr>
      <w:bookmarkStart w:id="25" w:name="_Toc363857096"/>
      <w:bookmarkStart w:id="26" w:name="_Toc363857618"/>
      <w:r w:rsidRPr="0055512B">
        <w:rPr>
          <w:rFonts w:ascii="Times" w:hAnsi="Times" w:cs="Arial"/>
          <w:b/>
          <w:szCs w:val="24"/>
          <w:lang w:val="fr-FR"/>
        </w:rPr>
        <w:t>Composante II (</w:t>
      </w:r>
      <w:r w:rsidR="00FD419E" w:rsidRPr="0055512B">
        <w:rPr>
          <w:rFonts w:ascii="Times" w:hAnsi="Times" w:cs="Arial"/>
          <w:b/>
          <w:szCs w:val="24"/>
          <w:lang w:val="fr-FR"/>
        </w:rPr>
        <w:t>US $2.5 million) Support des opé</w:t>
      </w:r>
      <w:r w:rsidRPr="0055512B">
        <w:rPr>
          <w:rFonts w:ascii="Times" w:hAnsi="Times" w:cs="Arial"/>
          <w:b/>
          <w:szCs w:val="24"/>
          <w:lang w:val="fr-FR"/>
        </w:rPr>
        <w:t>rations</w:t>
      </w:r>
      <w:r w:rsidR="00542CB6" w:rsidRPr="0055512B">
        <w:rPr>
          <w:rFonts w:ascii="Times" w:hAnsi="Times" w:cs="Arial"/>
          <w:b/>
          <w:szCs w:val="24"/>
          <w:lang w:val="fr-FR"/>
        </w:rPr>
        <w:t xml:space="preserve"> et de l’entretien</w:t>
      </w:r>
      <w:r w:rsidRPr="0055512B">
        <w:rPr>
          <w:rFonts w:ascii="Times" w:hAnsi="Times" w:cs="Arial"/>
          <w:b/>
          <w:szCs w:val="24"/>
          <w:lang w:val="fr-FR"/>
        </w:rPr>
        <w:t>.</w:t>
      </w:r>
      <w:bookmarkEnd w:id="25"/>
      <w:bookmarkEnd w:id="26"/>
    </w:p>
    <w:p w14:paraId="1889DFCF" w14:textId="77777777" w:rsidR="00C76E71" w:rsidRPr="0055512B" w:rsidRDefault="007039A0" w:rsidP="00030989">
      <w:pPr>
        <w:pStyle w:val="Paragraph"/>
        <w:numPr>
          <w:ilvl w:val="0"/>
          <w:numId w:val="0"/>
        </w:numPr>
        <w:spacing w:line="276" w:lineRule="auto"/>
        <w:ind w:left="540"/>
        <w:rPr>
          <w:rFonts w:ascii="Times" w:hAnsi="Times" w:cs="Arial"/>
          <w:szCs w:val="24"/>
          <w:lang w:val="fr-FR"/>
        </w:rPr>
      </w:pPr>
      <w:r w:rsidRPr="0055512B">
        <w:rPr>
          <w:rFonts w:ascii="Times" w:hAnsi="Times" w:cs="Arial"/>
          <w:szCs w:val="24"/>
          <w:lang w:val="fr-FR"/>
        </w:rPr>
        <w:t xml:space="preserve"> </w:t>
      </w:r>
      <w:bookmarkStart w:id="27" w:name="_Toc363857097"/>
      <w:bookmarkStart w:id="28" w:name="_Toc363857619"/>
      <w:r w:rsidR="00542CB6" w:rsidRPr="0055512B">
        <w:rPr>
          <w:rFonts w:ascii="Times" w:hAnsi="Times" w:cs="Arial"/>
          <w:szCs w:val="24"/>
          <w:lang w:val="fr-FR"/>
        </w:rPr>
        <w:t xml:space="preserve">Cette composante financera par des </w:t>
      </w:r>
      <w:r w:rsidR="00542CB6" w:rsidRPr="0055512B">
        <w:rPr>
          <w:rFonts w:ascii="Times" w:hAnsi="Times" w:cs="Arial"/>
          <w:b/>
          <w:szCs w:val="24"/>
          <w:u w:val="single"/>
          <w:lang w:val="fr-FR"/>
        </w:rPr>
        <w:t>montants décroissants</w:t>
      </w:r>
      <w:r w:rsidR="00542CB6" w:rsidRPr="0055512B">
        <w:rPr>
          <w:rFonts w:ascii="Times" w:hAnsi="Times" w:cs="Arial"/>
          <w:szCs w:val="24"/>
          <w:lang w:val="fr-FR"/>
        </w:rPr>
        <w:t>, les coûts d</w:t>
      </w:r>
      <w:r w:rsidR="001950BE" w:rsidRPr="0055512B">
        <w:rPr>
          <w:rFonts w:ascii="Times" w:hAnsi="Times" w:cs="Arial"/>
          <w:szCs w:val="24"/>
          <w:lang w:val="fr-FR"/>
        </w:rPr>
        <w:t>’</w:t>
      </w:r>
      <w:r w:rsidR="00542CB6" w:rsidRPr="0055512B">
        <w:rPr>
          <w:rFonts w:ascii="Times" w:hAnsi="Times" w:cs="Arial"/>
          <w:szCs w:val="24"/>
          <w:lang w:val="fr-FR"/>
        </w:rPr>
        <w:t>opérations e</w:t>
      </w:r>
      <w:r w:rsidR="001950BE" w:rsidRPr="0055512B">
        <w:rPr>
          <w:rFonts w:ascii="Times" w:hAnsi="Times" w:cs="Arial"/>
          <w:szCs w:val="24"/>
          <w:lang w:val="fr-FR"/>
        </w:rPr>
        <w:t>t d’entretien (énergie, chlore et équipements de ré</w:t>
      </w:r>
      <w:r w:rsidR="00542CB6" w:rsidRPr="0055512B">
        <w:rPr>
          <w:rFonts w:ascii="Times" w:hAnsi="Times" w:cs="Arial"/>
          <w:szCs w:val="24"/>
          <w:lang w:val="fr-FR"/>
        </w:rPr>
        <w:t>paration), qui ne peuvent pas être couverts par les revenus annuels actuellement  g</w:t>
      </w:r>
      <w:r w:rsidR="001950BE" w:rsidRPr="0055512B">
        <w:rPr>
          <w:rFonts w:ascii="Times" w:hAnsi="Times" w:cs="Arial"/>
          <w:szCs w:val="24"/>
          <w:lang w:val="fr-FR"/>
        </w:rPr>
        <w:t>éné</w:t>
      </w:r>
      <w:r w:rsidR="00542CB6" w:rsidRPr="0055512B">
        <w:rPr>
          <w:rFonts w:ascii="Times" w:hAnsi="Times" w:cs="Arial"/>
          <w:szCs w:val="24"/>
          <w:lang w:val="fr-FR"/>
        </w:rPr>
        <w:t>rés par le CTE-RMPP</w:t>
      </w:r>
      <w:bookmarkEnd w:id="27"/>
      <w:bookmarkEnd w:id="28"/>
    </w:p>
    <w:p w14:paraId="7C5BB4C7" w14:textId="77777777" w:rsidR="009C4EB0" w:rsidRPr="0055512B" w:rsidRDefault="00C76E71" w:rsidP="00030989">
      <w:pPr>
        <w:pStyle w:val="Paragraph"/>
        <w:numPr>
          <w:ilvl w:val="3"/>
          <w:numId w:val="39"/>
        </w:numPr>
        <w:spacing w:line="276" w:lineRule="auto"/>
        <w:ind w:left="567" w:hanging="729"/>
        <w:rPr>
          <w:rFonts w:ascii="Times" w:hAnsi="Times" w:cs="Arial"/>
          <w:szCs w:val="24"/>
          <w:lang w:val="fr-FR"/>
        </w:rPr>
      </w:pPr>
      <w:bookmarkStart w:id="29" w:name="_Toc363857098"/>
      <w:bookmarkStart w:id="30" w:name="_Toc363857620"/>
      <w:r w:rsidRPr="0055512B">
        <w:rPr>
          <w:rFonts w:ascii="Times" w:hAnsi="Times" w:cs="Arial"/>
          <w:b/>
          <w:szCs w:val="24"/>
          <w:lang w:val="fr-FR"/>
        </w:rPr>
        <w:t>Composante III (US $39.5 million) – Investissements en infrastructures EPA.</w:t>
      </w:r>
      <w:bookmarkEnd w:id="29"/>
      <w:bookmarkEnd w:id="30"/>
    </w:p>
    <w:p w14:paraId="6533396A" w14:textId="77777777" w:rsidR="007039A0" w:rsidRPr="0055512B" w:rsidRDefault="00C76E71" w:rsidP="00030989">
      <w:pPr>
        <w:pStyle w:val="Paragraph"/>
        <w:numPr>
          <w:ilvl w:val="0"/>
          <w:numId w:val="0"/>
        </w:numPr>
        <w:spacing w:line="276" w:lineRule="auto"/>
        <w:ind w:left="540"/>
        <w:rPr>
          <w:rFonts w:ascii="Times" w:hAnsi="Times" w:cs="Arial"/>
          <w:szCs w:val="24"/>
          <w:lang w:val="fr-FR"/>
        </w:rPr>
      </w:pPr>
      <w:r w:rsidRPr="0055512B">
        <w:rPr>
          <w:rFonts w:ascii="Times" w:hAnsi="Times" w:cs="Arial"/>
          <w:szCs w:val="24"/>
          <w:lang w:val="fr-FR"/>
        </w:rPr>
        <w:t xml:space="preserve"> </w:t>
      </w:r>
      <w:bookmarkStart w:id="31" w:name="_Toc363857099"/>
      <w:bookmarkStart w:id="32" w:name="_Toc363857621"/>
      <w:r w:rsidRPr="0055512B">
        <w:rPr>
          <w:rFonts w:ascii="Times" w:hAnsi="Times" w:cs="Arial"/>
          <w:szCs w:val="24"/>
          <w:lang w:val="fr-FR"/>
        </w:rPr>
        <w:t xml:space="preserve">Cette composante financera </w:t>
      </w:r>
      <w:r w:rsidR="00FC7530" w:rsidRPr="0055512B">
        <w:rPr>
          <w:rFonts w:ascii="Times" w:hAnsi="Times" w:cs="Arial"/>
          <w:szCs w:val="24"/>
          <w:lang w:val="fr-FR"/>
        </w:rPr>
        <w:t xml:space="preserve">: </w:t>
      </w:r>
      <w:r w:rsidRPr="0055512B">
        <w:rPr>
          <w:rFonts w:ascii="Times" w:hAnsi="Times" w:cs="Arial"/>
          <w:szCs w:val="24"/>
          <w:lang w:val="fr-FR"/>
        </w:rPr>
        <w:t xml:space="preserve">la </w:t>
      </w:r>
      <w:r w:rsidR="00FC7530" w:rsidRPr="0055512B">
        <w:rPr>
          <w:rFonts w:ascii="Times" w:hAnsi="Times" w:cs="Arial"/>
          <w:szCs w:val="24"/>
          <w:lang w:val="fr-FR"/>
        </w:rPr>
        <w:t>ré</w:t>
      </w:r>
      <w:r w:rsidRPr="0055512B">
        <w:rPr>
          <w:rFonts w:ascii="Times" w:hAnsi="Times" w:cs="Arial"/>
          <w:szCs w:val="24"/>
          <w:lang w:val="fr-FR"/>
        </w:rPr>
        <w:t>habilitation des travaux d’infrastructure en eau potable, l’amélioration de la distribution d’eau et l’extension du réseau.</w:t>
      </w:r>
      <w:r w:rsidR="00542CB6" w:rsidRPr="0055512B">
        <w:rPr>
          <w:rFonts w:ascii="Times" w:hAnsi="Times" w:cs="Arial"/>
          <w:szCs w:val="24"/>
          <w:lang w:val="fr-FR"/>
        </w:rPr>
        <w:t xml:space="preserve"> </w:t>
      </w:r>
      <w:r w:rsidR="00FC7530" w:rsidRPr="0055512B">
        <w:rPr>
          <w:rFonts w:ascii="Times" w:hAnsi="Times" w:cs="Arial"/>
          <w:szCs w:val="24"/>
          <w:lang w:val="fr-FR"/>
        </w:rPr>
        <w:t xml:space="preserve">Elle </w:t>
      </w:r>
      <w:r w:rsidRPr="0055512B">
        <w:rPr>
          <w:rFonts w:ascii="Times" w:hAnsi="Times" w:cs="Arial"/>
          <w:szCs w:val="24"/>
          <w:lang w:val="fr-FR"/>
        </w:rPr>
        <w:t>financera également la réhabilitation du réservoir de Bolosse, la construction d’un nouveau réservoir de 2,000 m</w:t>
      </w:r>
      <w:r w:rsidRPr="0055512B">
        <w:rPr>
          <w:rFonts w:ascii="Times" w:hAnsi="Times" w:cs="Arial"/>
          <w:szCs w:val="24"/>
          <w:vertAlign w:val="superscript"/>
          <w:lang w:val="fr-FR"/>
        </w:rPr>
        <w:t xml:space="preserve">3 </w:t>
      </w:r>
      <w:r w:rsidRPr="0055512B">
        <w:rPr>
          <w:rFonts w:ascii="Times" w:hAnsi="Times" w:cs="Arial"/>
          <w:szCs w:val="24"/>
          <w:lang w:val="fr-FR"/>
        </w:rPr>
        <w:t>à Vivy-Mitchell, 33,000 nouvell</w:t>
      </w:r>
      <w:r w:rsidR="00FC7530" w:rsidRPr="0055512B">
        <w:rPr>
          <w:rFonts w:ascii="Times" w:hAnsi="Times" w:cs="Arial"/>
          <w:szCs w:val="24"/>
          <w:lang w:val="fr-FR"/>
        </w:rPr>
        <w:t>es connections pour les ménages, la construction ou réhabilitation de 95 kiosques, l’amélioration de la distribution d’eau à Cité Soleil et la conception des infrastructures EPA de la region métropolitaine de Port-au- Prince ($1 million).</w:t>
      </w:r>
      <w:bookmarkEnd w:id="31"/>
      <w:bookmarkEnd w:id="32"/>
    </w:p>
    <w:p w14:paraId="792E92E9" w14:textId="77777777" w:rsidR="00B96A65" w:rsidRPr="0055512B" w:rsidRDefault="00B96A65" w:rsidP="00030989">
      <w:pPr>
        <w:pStyle w:val="Paragraph"/>
        <w:numPr>
          <w:ilvl w:val="0"/>
          <w:numId w:val="0"/>
        </w:numPr>
        <w:spacing w:line="276" w:lineRule="auto"/>
        <w:ind w:left="540"/>
        <w:rPr>
          <w:rFonts w:ascii="Times" w:hAnsi="Times"/>
          <w:szCs w:val="24"/>
          <w:lang w:val="fr-FR"/>
        </w:rPr>
      </w:pPr>
      <w:bookmarkStart w:id="33" w:name="_Toc363857100"/>
      <w:bookmarkStart w:id="34" w:name="_Toc363857622"/>
      <w:r w:rsidRPr="0055512B">
        <w:rPr>
          <w:rFonts w:ascii="Times" w:hAnsi="Times"/>
          <w:szCs w:val="24"/>
          <w:lang w:val="fr-FR"/>
        </w:rPr>
        <w:t>De plus, cette composante fournira des fonds pour des projets pilotes comprenant la construction de 400 petits SAEPs semi-collectifs, qui ont eu beaucoup de succ</w:t>
      </w:r>
      <w:r w:rsidR="008837EF" w:rsidRPr="0055512B">
        <w:rPr>
          <w:rFonts w:ascii="Times" w:hAnsi="Times"/>
          <w:szCs w:val="24"/>
          <w:lang w:val="fr-FR"/>
        </w:rPr>
        <w:t xml:space="preserve">ès </w:t>
      </w:r>
      <w:r w:rsidRPr="0055512B">
        <w:rPr>
          <w:rFonts w:ascii="Times" w:hAnsi="Times"/>
          <w:szCs w:val="24"/>
          <w:lang w:val="fr-FR"/>
        </w:rPr>
        <w:t>dans des milieux similaires, comme Rio de Janeiro</w:t>
      </w:r>
      <w:r w:rsidR="008837EF" w:rsidRPr="0055512B">
        <w:rPr>
          <w:rFonts w:ascii="Times" w:hAnsi="Times"/>
          <w:szCs w:val="24"/>
          <w:lang w:val="fr-FR"/>
        </w:rPr>
        <w:t>. Le programme fournira des materiels et l’assistance technique dans la mise en place de 12,000 connexions en eau potable à Martissant, Mariani et Gérald Bataille. La composante inclut également le financement de campagnes de sensibilisation pour l’abonnement des ménages au réseau, et de promotion à l’hygiène.</w:t>
      </w:r>
      <w:bookmarkEnd w:id="33"/>
      <w:bookmarkEnd w:id="34"/>
      <w:r w:rsidR="008837EF" w:rsidRPr="0055512B">
        <w:rPr>
          <w:rFonts w:ascii="Times" w:hAnsi="Times"/>
          <w:szCs w:val="24"/>
          <w:lang w:val="fr-FR"/>
        </w:rPr>
        <w:t xml:space="preserve"> </w:t>
      </w:r>
    </w:p>
    <w:p w14:paraId="0AC6FB12" w14:textId="77777777" w:rsidR="0002404B" w:rsidRPr="0055512B" w:rsidRDefault="00DD7C97" w:rsidP="00030989">
      <w:pPr>
        <w:pStyle w:val="Paragraph"/>
        <w:numPr>
          <w:ilvl w:val="0"/>
          <w:numId w:val="0"/>
        </w:numPr>
        <w:spacing w:line="276" w:lineRule="auto"/>
        <w:ind w:left="540"/>
        <w:rPr>
          <w:rFonts w:ascii="Times" w:hAnsi="Times"/>
          <w:szCs w:val="24"/>
          <w:lang w:val="fr-FR"/>
        </w:rPr>
      </w:pPr>
      <w:bookmarkStart w:id="35" w:name="_Toc363857101"/>
      <w:bookmarkStart w:id="36" w:name="_Toc363857623"/>
      <w:r w:rsidRPr="0055512B">
        <w:rPr>
          <w:rFonts w:ascii="Times" w:hAnsi="Times"/>
          <w:szCs w:val="24"/>
          <w:lang w:val="fr-FR"/>
        </w:rPr>
        <w:t>En dernier lieu, la composante financera 15 blocs sanitaires semi-collectifs (pour 450 ménages)</w:t>
      </w:r>
      <w:r w:rsidR="00C16E57" w:rsidRPr="0055512B">
        <w:rPr>
          <w:rFonts w:ascii="Times" w:hAnsi="Times"/>
          <w:szCs w:val="24"/>
          <w:lang w:val="fr-FR"/>
        </w:rPr>
        <w:t xml:space="preserve"> équipés de fosses sceptiques améliorées </w:t>
      </w:r>
      <w:r w:rsidR="0002404B" w:rsidRPr="0055512B">
        <w:rPr>
          <w:rFonts w:ascii="Times" w:hAnsi="Times"/>
          <w:szCs w:val="24"/>
          <w:lang w:val="fr-FR"/>
        </w:rPr>
        <w:t>à Martissant. L’objectif est de tester une méthodologie qui a été développée avec succès par l’ONG Solidarités à Christ Roi. En cas de réussite, cette activité pilote sera implémentée à un degré plus large dans un prochain programme.</w:t>
      </w:r>
      <w:bookmarkEnd w:id="35"/>
      <w:bookmarkEnd w:id="36"/>
      <w:r w:rsidR="0002404B" w:rsidRPr="0055512B">
        <w:rPr>
          <w:rFonts w:ascii="Times" w:hAnsi="Times"/>
          <w:szCs w:val="24"/>
          <w:lang w:val="fr-FR"/>
        </w:rPr>
        <w:t xml:space="preserve"> </w:t>
      </w:r>
    </w:p>
    <w:p w14:paraId="0E9A8FEC" w14:textId="77777777" w:rsidR="00B137B8" w:rsidRPr="0055512B" w:rsidRDefault="00B137B8" w:rsidP="00030989">
      <w:pPr>
        <w:pStyle w:val="Paragraph"/>
        <w:numPr>
          <w:ilvl w:val="3"/>
          <w:numId w:val="39"/>
        </w:numPr>
        <w:spacing w:line="276" w:lineRule="auto"/>
        <w:ind w:left="709" w:hanging="709"/>
        <w:rPr>
          <w:rFonts w:ascii="Times" w:hAnsi="Times"/>
          <w:b/>
          <w:szCs w:val="24"/>
          <w:lang w:val="fr-FR"/>
        </w:rPr>
      </w:pPr>
      <w:r w:rsidRPr="0055512B">
        <w:rPr>
          <w:rFonts w:ascii="Times" w:hAnsi="Times"/>
          <w:b/>
          <w:szCs w:val="24"/>
          <w:lang w:val="fr-FR"/>
        </w:rPr>
        <w:t xml:space="preserve"> </w:t>
      </w:r>
      <w:bookmarkStart w:id="37" w:name="_Toc363857102"/>
      <w:bookmarkStart w:id="38" w:name="_Toc363857624"/>
      <w:r w:rsidR="0002404B" w:rsidRPr="0055512B">
        <w:rPr>
          <w:rFonts w:ascii="Times" w:hAnsi="Times"/>
          <w:b/>
          <w:szCs w:val="24"/>
          <w:lang w:val="fr-FR"/>
        </w:rPr>
        <w:t>Composante IV</w:t>
      </w:r>
      <w:r w:rsidR="00122BFA" w:rsidRPr="0055512B">
        <w:rPr>
          <w:rFonts w:ascii="Times" w:hAnsi="Times"/>
          <w:b/>
          <w:szCs w:val="24"/>
          <w:lang w:val="fr-FR"/>
        </w:rPr>
        <w:t xml:space="preserve"> </w:t>
      </w:r>
      <w:r w:rsidR="0002404B" w:rsidRPr="0055512B">
        <w:rPr>
          <w:rFonts w:ascii="Times" w:hAnsi="Times"/>
          <w:b/>
          <w:szCs w:val="24"/>
          <w:lang w:val="fr-FR"/>
        </w:rPr>
        <w:t>(US $ 7.0 million) Investissements en infrastructures EPA en milieu rural.</w:t>
      </w:r>
      <w:bookmarkEnd w:id="37"/>
      <w:bookmarkEnd w:id="38"/>
      <w:r w:rsidR="0002404B" w:rsidRPr="0055512B">
        <w:rPr>
          <w:rFonts w:ascii="Times" w:hAnsi="Times"/>
          <w:b/>
          <w:szCs w:val="24"/>
          <w:lang w:val="fr-FR"/>
        </w:rPr>
        <w:t xml:space="preserve"> </w:t>
      </w:r>
    </w:p>
    <w:p w14:paraId="5A9014EB" w14:textId="77777777" w:rsidR="0002404B" w:rsidRPr="0055512B" w:rsidRDefault="0002404B" w:rsidP="00030989">
      <w:pPr>
        <w:pStyle w:val="Paragraph"/>
        <w:numPr>
          <w:ilvl w:val="0"/>
          <w:numId w:val="0"/>
        </w:numPr>
        <w:spacing w:line="276" w:lineRule="auto"/>
        <w:ind w:left="540"/>
        <w:rPr>
          <w:rFonts w:ascii="Times" w:hAnsi="Times"/>
          <w:szCs w:val="24"/>
          <w:lang w:val="fr-FR"/>
        </w:rPr>
      </w:pPr>
      <w:bookmarkStart w:id="39" w:name="_Toc363857103"/>
      <w:bookmarkStart w:id="40" w:name="_Toc363857625"/>
      <w:r w:rsidRPr="0055512B">
        <w:rPr>
          <w:rFonts w:ascii="Times" w:hAnsi="Times"/>
          <w:szCs w:val="24"/>
          <w:lang w:val="fr-FR"/>
        </w:rPr>
        <w:t xml:space="preserve">Cette composante fournira des ressources pour la construction et la réhabilitation </w:t>
      </w:r>
      <w:r w:rsidR="005C4102" w:rsidRPr="0055512B">
        <w:rPr>
          <w:rFonts w:ascii="Times" w:hAnsi="Times"/>
          <w:szCs w:val="24"/>
          <w:lang w:val="fr-FR"/>
        </w:rPr>
        <w:t xml:space="preserve">d’infrastructures EPA dans le département de l’Ouest, et des travaux </w:t>
      </w:r>
      <w:r w:rsidR="00B95F25" w:rsidRPr="0055512B">
        <w:rPr>
          <w:rFonts w:ascii="Times" w:hAnsi="Times"/>
          <w:szCs w:val="24"/>
          <w:lang w:val="fr-FR"/>
        </w:rPr>
        <w:t>d’urgence nécessaires pour restau</w:t>
      </w:r>
      <w:r w:rsidR="005C4102" w:rsidRPr="0055512B">
        <w:rPr>
          <w:rFonts w:ascii="Times" w:hAnsi="Times"/>
          <w:szCs w:val="24"/>
          <w:lang w:val="fr-FR"/>
        </w:rPr>
        <w:t>rer l’accès à l’eau potable dans le milieu rural affecté par l’ouragan Matthieu sur la côte Sud et l’île de la Gonâve. La composante financera le système de planification et d’observation des SAEP, les études de faisabilité et la conception, construction, extension et réhabilitation de SAEPs, protection des sources et supervision des travaux.</w:t>
      </w:r>
      <w:bookmarkEnd w:id="39"/>
      <w:bookmarkEnd w:id="40"/>
      <w:r w:rsidR="005C4102" w:rsidRPr="0055512B">
        <w:rPr>
          <w:rFonts w:ascii="Times" w:hAnsi="Times"/>
          <w:szCs w:val="24"/>
          <w:lang w:val="fr-FR"/>
        </w:rPr>
        <w:t xml:space="preserve"> </w:t>
      </w:r>
    </w:p>
    <w:p w14:paraId="05A3F6E5" w14:textId="09FAA091" w:rsidR="00C44E3C" w:rsidRPr="00922848" w:rsidRDefault="00C44E3C" w:rsidP="00922848">
      <w:pPr>
        <w:pStyle w:val="Paragraph"/>
        <w:numPr>
          <w:ilvl w:val="0"/>
          <w:numId w:val="0"/>
        </w:numPr>
        <w:spacing w:line="276" w:lineRule="auto"/>
        <w:ind w:left="540"/>
        <w:rPr>
          <w:rFonts w:ascii="Times" w:hAnsi="Times" w:cs="Arial"/>
          <w:szCs w:val="24"/>
          <w:lang w:val="fr-FR"/>
        </w:rPr>
      </w:pPr>
      <w:bookmarkStart w:id="41" w:name="_Toc363857104"/>
      <w:bookmarkStart w:id="42" w:name="_Toc363857626"/>
      <w:r w:rsidRPr="0055512B">
        <w:rPr>
          <w:rFonts w:ascii="Times" w:hAnsi="Times" w:cs="Arial"/>
          <w:szCs w:val="24"/>
          <w:lang w:val="fr-FR"/>
        </w:rPr>
        <w:t xml:space="preserve">De plus, cette composante supportera une campagne de sensibilisation à l’hygiène et à l’assainissement dans quatre communautés de l’OREPA Ouest. En conformité </w:t>
      </w:r>
      <w:r w:rsidRPr="0055512B">
        <w:rPr>
          <w:rFonts w:ascii="Times" w:hAnsi="Times" w:cs="Arial"/>
          <w:szCs w:val="24"/>
          <w:lang w:val="fr-FR"/>
        </w:rPr>
        <w:lastRenderedPageBreak/>
        <w:t>avec la stratégie d’Assainissement de la DINEPA, une subvention sera accordée aux communautés afin qu’elles construisent leurs propres systèmes d’assainissement.</w:t>
      </w:r>
      <w:bookmarkEnd w:id="41"/>
      <w:bookmarkEnd w:id="42"/>
      <w:r w:rsidRPr="0055512B">
        <w:rPr>
          <w:rFonts w:ascii="Times" w:hAnsi="Times" w:cs="Arial"/>
          <w:szCs w:val="24"/>
          <w:lang w:val="fr-FR"/>
        </w:rPr>
        <w:t xml:space="preserve"> </w:t>
      </w:r>
    </w:p>
    <w:p w14:paraId="7E435DDE" w14:textId="616B8425" w:rsidR="00C44E3C" w:rsidRPr="0055512B" w:rsidRDefault="00B137B8" w:rsidP="00BD0C17">
      <w:pPr>
        <w:tabs>
          <w:tab w:val="left" w:pos="1000"/>
        </w:tabs>
        <w:spacing w:line="276" w:lineRule="auto"/>
        <w:ind w:left="540"/>
        <w:jc w:val="both"/>
        <w:rPr>
          <w:rFonts w:cs="Arial"/>
        </w:rPr>
      </w:pPr>
      <w:r w:rsidRPr="0055512B">
        <w:rPr>
          <w:rFonts w:cs="Arial"/>
          <w:b/>
        </w:rPr>
        <w:t xml:space="preserve">2.3.2.5 </w:t>
      </w:r>
      <w:r w:rsidR="00606DC8" w:rsidRPr="0055512B">
        <w:rPr>
          <w:rFonts w:cs="Arial"/>
          <w:b/>
        </w:rPr>
        <w:t xml:space="preserve">Administration du projet, Suivi, </w:t>
      </w:r>
      <w:r w:rsidR="00922848">
        <w:rPr>
          <w:rFonts w:cs="Arial"/>
          <w:b/>
        </w:rPr>
        <w:t xml:space="preserve">Evaluation et audit externe </w:t>
      </w:r>
      <w:r w:rsidR="00922848">
        <w:rPr>
          <w:rFonts w:cs="Arial"/>
          <w:b/>
        </w:rPr>
        <w:br/>
        <w:t>(US</w:t>
      </w:r>
      <w:r w:rsidR="00606DC8" w:rsidRPr="0055512B">
        <w:rPr>
          <w:rFonts w:cs="Arial"/>
          <w:b/>
        </w:rPr>
        <w:t>$ 4</w:t>
      </w:r>
      <w:r w:rsidR="00030989" w:rsidRPr="0055512B">
        <w:rPr>
          <w:rFonts w:cs="Arial"/>
          <w:b/>
        </w:rPr>
        <w:t>.0</w:t>
      </w:r>
      <w:r w:rsidR="00606DC8" w:rsidRPr="0055512B">
        <w:rPr>
          <w:rFonts w:cs="Arial"/>
          <w:b/>
        </w:rPr>
        <w:t xml:space="preserve"> millions)</w:t>
      </w:r>
      <w:r w:rsidR="00884AD3" w:rsidRPr="0055512B">
        <w:rPr>
          <w:rFonts w:cs="Arial"/>
          <w:b/>
        </w:rPr>
        <w:t xml:space="preserve">. </w:t>
      </w:r>
      <w:r w:rsidR="00884AD3" w:rsidRPr="0055512B">
        <w:rPr>
          <w:rFonts w:cs="Arial"/>
        </w:rPr>
        <w:t>Cette composante comprendra le support du CTE-RMPP et d’un employé de l’OREPA Ouest associé à l’exé</w:t>
      </w:r>
      <w:r w:rsidR="00B9511E" w:rsidRPr="0055512B">
        <w:rPr>
          <w:rFonts w:cs="Arial"/>
        </w:rPr>
        <w:t>c</w:t>
      </w:r>
      <w:r w:rsidR="00884AD3" w:rsidRPr="0055512B">
        <w:rPr>
          <w:rFonts w:cs="Arial"/>
        </w:rPr>
        <w:t>ution du programme, l’installation d’un système comptable au CTE-RMPP et la formation du personnel à ce système. Elle couvrira égalem</w:t>
      </w:r>
      <w:r w:rsidR="00B9511E" w:rsidRPr="0055512B">
        <w:rPr>
          <w:rFonts w:cs="Arial"/>
        </w:rPr>
        <w:t xml:space="preserve">ent </w:t>
      </w:r>
      <w:r w:rsidR="00DB3E01" w:rsidRPr="0055512B">
        <w:rPr>
          <w:rFonts w:cs="Arial"/>
        </w:rPr>
        <w:t>les coûts</w:t>
      </w:r>
      <w:r w:rsidR="00884AD3" w:rsidRPr="0055512B">
        <w:rPr>
          <w:rFonts w:cs="Arial"/>
        </w:rPr>
        <w:t xml:space="preserve"> du suivi environnemental</w:t>
      </w:r>
      <w:r w:rsidR="00BA3E33" w:rsidRPr="0055512B">
        <w:rPr>
          <w:rFonts w:cs="Arial"/>
        </w:rPr>
        <w:t xml:space="preserve"> et social</w:t>
      </w:r>
      <w:r w:rsidR="00884AD3" w:rsidRPr="0055512B">
        <w:rPr>
          <w:rFonts w:cs="Arial"/>
        </w:rPr>
        <w:t>, les éval</w:t>
      </w:r>
      <w:r w:rsidR="00355A0B" w:rsidRPr="0055512B">
        <w:rPr>
          <w:rFonts w:cs="Arial"/>
        </w:rPr>
        <w:t>uations intermédiaire et finale</w:t>
      </w:r>
      <w:r w:rsidR="00884AD3" w:rsidRPr="0055512B">
        <w:rPr>
          <w:rFonts w:cs="Arial"/>
        </w:rPr>
        <w:t>, l’éval</w:t>
      </w:r>
      <w:r w:rsidR="00B9511E" w:rsidRPr="0055512B">
        <w:rPr>
          <w:rFonts w:cs="Arial"/>
        </w:rPr>
        <w:t>uation de l’impact de deux diffé</w:t>
      </w:r>
      <w:r w:rsidR="00884AD3" w:rsidRPr="0055512B">
        <w:rPr>
          <w:rFonts w:cs="Arial"/>
        </w:rPr>
        <w:t>rents modèles de service d’approvisionnement en eau dans des quartiers informels de Port-au-Prince</w:t>
      </w:r>
      <w:r w:rsidR="00F874AA" w:rsidRPr="0055512B">
        <w:rPr>
          <w:rFonts w:cs="Arial"/>
        </w:rPr>
        <w:t>, et les évaluations environnementales et sociales de chaque projet</w:t>
      </w:r>
      <w:r w:rsidR="00DB3E01" w:rsidRPr="0055512B">
        <w:rPr>
          <w:rFonts w:cs="Arial"/>
        </w:rPr>
        <w:t>,</w:t>
      </w:r>
      <w:r w:rsidR="00F874AA" w:rsidRPr="0055512B">
        <w:rPr>
          <w:rFonts w:cs="Arial"/>
        </w:rPr>
        <w:t xml:space="preserve"> selon</w:t>
      </w:r>
      <w:r w:rsidR="00672E98" w:rsidRPr="0055512B">
        <w:rPr>
          <w:rFonts w:cs="Arial"/>
        </w:rPr>
        <w:t xml:space="preserve"> ce qui est </w:t>
      </w:r>
      <w:r w:rsidR="00F874AA" w:rsidRPr="0055512B">
        <w:rPr>
          <w:rFonts w:cs="Arial"/>
        </w:rPr>
        <w:t xml:space="preserve"> établi dans la Politique Environnementale et de Conformité des Sauvegardes de la BID (OP-703/Directrice Opérationnelle B.5)</w:t>
      </w:r>
      <w:r w:rsidR="00884AD3" w:rsidRPr="0055512B">
        <w:rPr>
          <w:rFonts w:cs="Arial"/>
        </w:rPr>
        <w:t xml:space="preserve">. Enfin, elle financera </w:t>
      </w:r>
      <w:r w:rsidR="00DB3E01" w:rsidRPr="0055512B">
        <w:rPr>
          <w:rFonts w:cs="Arial"/>
        </w:rPr>
        <w:t xml:space="preserve">aussi </w:t>
      </w:r>
      <w:r w:rsidR="00884AD3" w:rsidRPr="0055512B">
        <w:rPr>
          <w:rFonts w:cs="Arial"/>
        </w:rPr>
        <w:t>l’audit externe.</w:t>
      </w:r>
    </w:p>
    <w:p w14:paraId="79751411" w14:textId="77777777" w:rsidR="00355A0B" w:rsidRPr="0055512B" w:rsidRDefault="00355A0B" w:rsidP="00030989">
      <w:pPr>
        <w:tabs>
          <w:tab w:val="left" w:pos="1000"/>
        </w:tabs>
        <w:spacing w:line="276" w:lineRule="auto"/>
        <w:jc w:val="both"/>
        <w:rPr>
          <w:rFonts w:cs="Arial"/>
        </w:rPr>
      </w:pPr>
    </w:p>
    <w:p w14:paraId="1B8FCB49" w14:textId="6CC2AD61" w:rsidR="00884AD3" w:rsidRPr="0055512B" w:rsidRDefault="00B137B8" w:rsidP="00BD0C17">
      <w:pPr>
        <w:tabs>
          <w:tab w:val="left" w:pos="1000"/>
        </w:tabs>
        <w:spacing w:line="276" w:lineRule="auto"/>
        <w:ind w:left="540"/>
        <w:jc w:val="both"/>
        <w:rPr>
          <w:rFonts w:cs="Arial"/>
        </w:rPr>
      </w:pPr>
      <w:r w:rsidRPr="0055512B">
        <w:rPr>
          <w:rFonts w:cs="Arial"/>
          <w:b/>
        </w:rPr>
        <w:t xml:space="preserve">2.3.2.6 </w:t>
      </w:r>
      <w:r w:rsidR="00355A0B" w:rsidRPr="0055512B">
        <w:rPr>
          <w:rFonts w:cs="Arial"/>
          <w:b/>
        </w:rPr>
        <w:t>Aspect Genre</w:t>
      </w:r>
      <w:r w:rsidR="00355A0B" w:rsidRPr="0055512B">
        <w:rPr>
          <w:rFonts w:cs="Arial"/>
        </w:rPr>
        <w:t>. Dans le but d’aider à promouvoir l’égalité des genres dans le secteur, le pr</w:t>
      </w:r>
      <w:r w:rsidR="006E61E6" w:rsidRPr="0055512B">
        <w:rPr>
          <w:rFonts w:cs="Arial"/>
        </w:rPr>
        <w:t xml:space="preserve">ogramme visera à : (i) augmenter </w:t>
      </w:r>
      <w:r w:rsidR="00355A0B" w:rsidRPr="0055512B">
        <w:rPr>
          <w:rFonts w:cs="Arial"/>
        </w:rPr>
        <w:t xml:space="preserve"> la participation des femmes dans les processus de décision </w:t>
      </w:r>
      <w:r w:rsidR="006E61E6" w:rsidRPr="0055512B">
        <w:rPr>
          <w:rFonts w:cs="Arial"/>
        </w:rPr>
        <w:t>en rapport à l’eau dans la communauté</w:t>
      </w:r>
      <w:r w:rsidR="00355A0B" w:rsidRPr="0055512B">
        <w:rPr>
          <w:rFonts w:cs="Arial"/>
        </w:rPr>
        <w:t xml:space="preserve"> </w:t>
      </w:r>
      <w:r w:rsidR="006E61E6" w:rsidRPr="0055512B">
        <w:rPr>
          <w:rFonts w:cs="Arial"/>
        </w:rPr>
        <w:t xml:space="preserve">(à travers les consultations et focus groups), et au niveau du CTE (à travers une politique d’inclusion du genre); et (ii) augmenter la participation des femmes </w:t>
      </w:r>
      <w:r w:rsidR="00A01CD6" w:rsidRPr="0055512B">
        <w:rPr>
          <w:rFonts w:cs="Arial"/>
        </w:rPr>
        <w:t xml:space="preserve">dans la gestion des points d’eau. De plus, le programme appuiera une campagne de promotion à l’hygiène </w:t>
      </w:r>
      <w:r w:rsidR="00B431F0" w:rsidRPr="0055512B">
        <w:rPr>
          <w:rFonts w:cs="Arial"/>
        </w:rPr>
        <w:t xml:space="preserve">et à la santé </w:t>
      </w:r>
      <w:r w:rsidR="00A01CD6" w:rsidRPr="0055512B">
        <w:rPr>
          <w:rFonts w:cs="Arial"/>
        </w:rPr>
        <w:t xml:space="preserve">dans les ménages </w:t>
      </w:r>
      <w:r w:rsidR="00B431F0" w:rsidRPr="0055512B">
        <w:rPr>
          <w:rFonts w:cs="Arial"/>
        </w:rPr>
        <w:t>dans le but d’un changement de comportement (hygiène menstruel, hygiène dans la cuisine, santé reproductive</w:t>
      </w:r>
      <w:r w:rsidR="00672E98" w:rsidRPr="0055512B">
        <w:rPr>
          <w:rFonts w:cs="Arial"/>
        </w:rPr>
        <w:t>)</w:t>
      </w:r>
    </w:p>
    <w:p w14:paraId="767673C7" w14:textId="77777777" w:rsidR="00B431F0" w:rsidRPr="0055512B" w:rsidRDefault="009D3874" w:rsidP="00030989">
      <w:pPr>
        <w:pStyle w:val="FirstHeading"/>
        <w:spacing w:line="276" w:lineRule="auto"/>
        <w:ind w:left="540" w:hanging="630"/>
        <w:jc w:val="both"/>
        <w:rPr>
          <w:rFonts w:ascii="Times" w:hAnsi="Times" w:cs="Arial"/>
          <w:szCs w:val="24"/>
          <w:lang w:val="fr-FR"/>
        </w:rPr>
      </w:pPr>
      <w:r w:rsidRPr="0055512B">
        <w:rPr>
          <w:rFonts w:ascii="Times" w:hAnsi="Times" w:cs="Arial"/>
          <w:szCs w:val="24"/>
          <w:lang w:val="fr-FR"/>
        </w:rPr>
        <w:t>2.3.3</w:t>
      </w:r>
      <w:r w:rsidR="00A46C4F" w:rsidRPr="0055512B">
        <w:rPr>
          <w:rFonts w:ascii="Times" w:hAnsi="Times" w:cs="Arial"/>
          <w:szCs w:val="24"/>
          <w:lang w:val="fr-FR"/>
        </w:rPr>
        <w:tab/>
      </w:r>
      <w:r w:rsidR="00B431F0" w:rsidRPr="0055512B">
        <w:rPr>
          <w:rFonts w:ascii="Times" w:hAnsi="Times" w:cs="Arial"/>
          <w:szCs w:val="24"/>
          <w:lang w:val="fr-FR"/>
        </w:rPr>
        <w:t xml:space="preserve">Résultats attendus </w:t>
      </w:r>
    </w:p>
    <w:p w14:paraId="39448557" w14:textId="77777777" w:rsidR="00B431F0" w:rsidRPr="0055512B" w:rsidRDefault="00B431F0" w:rsidP="00030989">
      <w:pPr>
        <w:pStyle w:val="Paragraph"/>
        <w:numPr>
          <w:ilvl w:val="0"/>
          <w:numId w:val="0"/>
        </w:numPr>
        <w:spacing w:line="276" w:lineRule="auto"/>
        <w:ind w:left="567"/>
        <w:rPr>
          <w:rFonts w:ascii="Times" w:hAnsi="Times" w:cs="Arial"/>
          <w:szCs w:val="24"/>
          <w:lang w:val="fr-FR"/>
        </w:rPr>
      </w:pPr>
      <w:bookmarkStart w:id="43" w:name="_Toc363857105"/>
      <w:bookmarkStart w:id="44" w:name="_Toc363857627"/>
      <w:r w:rsidRPr="0055512B">
        <w:rPr>
          <w:rFonts w:ascii="Times" w:hAnsi="Times" w:cs="Arial"/>
          <w:szCs w:val="24"/>
          <w:lang w:val="fr-FR"/>
        </w:rPr>
        <w:t>Les trois résultats attendus sont: (i)</w:t>
      </w:r>
      <w:r w:rsidR="004656C8" w:rsidRPr="0055512B">
        <w:rPr>
          <w:rFonts w:ascii="Times" w:hAnsi="Times" w:cs="Arial"/>
          <w:szCs w:val="24"/>
          <w:lang w:val="fr-FR"/>
        </w:rPr>
        <w:t xml:space="preserve"> la couverture EPA et la qualité du service à Port-au-Prince sont améliorés; (ii) l’accès aux ressources en eau dans les milieu ruraux affectés </w:t>
      </w:r>
      <w:r w:rsidR="00B9511E" w:rsidRPr="0055512B">
        <w:rPr>
          <w:rFonts w:ascii="Times" w:hAnsi="Times" w:cs="Arial"/>
          <w:szCs w:val="24"/>
          <w:lang w:val="fr-FR"/>
        </w:rPr>
        <w:t>par l’ouragan Matthew sont restau</w:t>
      </w:r>
      <w:r w:rsidR="004656C8" w:rsidRPr="0055512B">
        <w:rPr>
          <w:rFonts w:ascii="Times" w:hAnsi="Times" w:cs="Arial"/>
          <w:szCs w:val="24"/>
          <w:lang w:val="fr-FR"/>
        </w:rPr>
        <w:t>rés ; (iii) la viabilité financière du CTE-RMPP a augmenté ; et (iv) la DINEPA conduit une régulation effective du secteur et les fonctions de l’OREPA Ouest ont été déconcentrées.</w:t>
      </w:r>
      <w:bookmarkEnd w:id="43"/>
      <w:bookmarkEnd w:id="44"/>
      <w:r w:rsidR="004656C8" w:rsidRPr="0055512B">
        <w:rPr>
          <w:rFonts w:ascii="Times" w:hAnsi="Times" w:cs="Arial"/>
          <w:szCs w:val="24"/>
          <w:lang w:val="fr-FR"/>
        </w:rPr>
        <w:t xml:space="preserve"> </w:t>
      </w:r>
    </w:p>
    <w:p w14:paraId="14BC31C0" w14:textId="77777777" w:rsidR="00A46C4F" w:rsidRPr="0055512B" w:rsidRDefault="009D3874" w:rsidP="00030989">
      <w:pPr>
        <w:pStyle w:val="FirstHeading"/>
        <w:spacing w:line="276" w:lineRule="auto"/>
        <w:ind w:left="540" w:hanging="630"/>
        <w:jc w:val="both"/>
        <w:rPr>
          <w:rFonts w:ascii="Times" w:hAnsi="Times" w:cs="Arial"/>
          <w:szCs w:val="24"/>
          <w:lang w:val="fr-FR"/>
        </w:rPr>
      </w:pPr>
      <w:bookmarkStart w:id="45" w:name="_Toc224106709"/>
      <w:bookmarkStart w:id="46" w:name="_Toc224442589"/>
      <w:bookmarkStart w:id="47" w:name="_Toc422322545"/>
      <w:r w:rsidRPr="0055512B">
        <w:rPr>
          <w:rFonts w:ascii="Times" w:hAnsi="Times" w:cs="Arial"/>
          <w:szCs w:val="24"/>
          <w:lang w:val="fr-FR"/>
        </w:rPr>
        <w:t xml:space="preserve">2.3.4 </w:t>
      </w:r>
      <w:r w:rsidR="00A46C4F" w:rsidRPr="0055512B">
        <w:rPr>
          <w:rFonts w:ascii="Times" w:hAnsi="Times" w:cs="Arial"/>
          <w:szCs w:val="24"/>
          <w:lang w:val="fr-FR"/>
        </w:rPr>
        <w:tab/>
      </w:r>
      <w:bookmarkEnd w:id="45"/>
      <w:bookmarkEnd w:id="46"/>
      <w:bookmarkEnd w:id="47"/>
      <w:r w:rsidR="004656C8" w:rsidRPr="0055512B">
        <w:rPr>
          <w:rFonts w:ascii="Times" w:hAnsi="Times" w:cs="Arial"/>
          <w:szCs w:val="24"/>
          <w:lang w:val="fr-FR"/>
        </w:rPr>
        <w:t xml:space="preserve"> Indicateurs de résultat</w:t>
      </w:r>
    </w:p>
    <w:p w14:paraId="12CD4FBF" w14:textId="77777777" w:rsidR="004656C8" w:rsidRPr="0055512B" w:rsidRDefault="004656C8" w:rsidP="00030989">
      <w:pPr>
        <w:pStyle w:val="Paragraph"/>
        <w:numPr>
          <w:ilvl w:val="0"/>
          <w:numId w:val="0"/>
        </w:numPr>
        <w:spacing w:before="100" w:after="100" w:line="276" w:lineRule="auto"/>
        <w:ind w:left="540"/>
        <w:rPr>
          <w:rFonts w:ascii="Times" w:hAnsi="Times" w:cs="Arial"/>
          <w:szCs w:val="24"/>
          <w:lang w:val="fr-FR"/>
        </w:rPr>
      </w:pPr>
      <w:bookmarkStart w:id="48" w:name="_Toc363857106"/>
      <w:bookmarkStart w:id="49" w:name="_Toc363857628"/>
      <w:r w:rsidRPr="0055512B">
        <w:rPr>
          <w:rFonts w:ascii="Times" w:hAnsi="Times" w:cs="Arial"/>
          <w:szCs w:val="24"/>
          <w:lang w:val="fr-FR"/>
        </w:rPr>
        <w:t>Les indicateurs les plus pertinents et résultats attendus du programme se trouvent dans le tableu 1 ci-dessous. La Matrice des résultats se trouve dans l’annexe II</w:t>
      </w:r>
      <w:bookmarkEnd w:id="48"/>
      <w:bookmarkEnd w:id="49"/>
      <w:r w:rsidR="00DB3E01" w:rsidRPr="0055512B">
        <w:rPr>
          <w:rFonts w:ascii="Times" w:hAnsi="Times" w:cs="Arial"/>
          <w:szCs w:val="24"/>
          <w:lang w:val="fr-FR"/>
        </w:rPr>
        <w:t>.</w:t>
      </w:r>
    </w:p>
    <w:p w14:paraId="46ECC67F" w14:textId="77777777" w:rsidR="00922848" w:rsidRDefault="00922848" w:rsidP="001950BE">
      <w:pPr>
        <w:pStyle w:val="Paragraph"/>
        <w:numPr>
          <w:ilvl w:val="0"/>
          <w:numId w:val="0"/>
        </w:numPr>
        <w:tabs>
          <w:tab w:val="num" w:pos="1296"/>
        </w:tabs>
        <w:spacing w:before="60" w:after="60" w:line="276" w:lineRule="auto"/>
        <w:jc w:val="left"/>
        <w:rPr>
          <w:rFonts w:ascii="Times" w:hAnsi="Times" w:cs="Arial"/>
          <w:b/>
          <w:spacing w:val="-2"/>
          <w:szCs w:val="24"/>
          <w:lang w:val="fr-FR"/>
        </w:rPr>
      </w:pPr>
      <w:bookmarkStart w:id="50" w:name="_Toc363857107"/>
      <w:bookmarkStart w:id="51" w:name="_Toc363857629"/>
    </w:p>
    <w:p w14:paraId="47D03E3A" w14:textId="77777777" w:rsidR="00922848" w:rsidRDefault="00922848" w:rsidP="001950BE">
      <w:pPr>
        <w:pStyle w:val="Paragraph"/>
        <w:numPr>
          <w:ilvl w:val="0"/>
          <w:numId w:val="0"/>
        </w:numPr>
        <w:tabs>
          <w:tab w:val="num" w:pos="1296"/>
        </w:tabs>
        <w:spacing w:before="60" w:after="60" w:line="276" w:lineRule="auto"/>
        <w:jc w:val="left"/>
        <w:rPr>
          <w:rFonts w:ascii="Times" w:hAnsi="Times" w:cs="Arial"/>
          <w:b/>
          <w:spacing w:val="-2"/>
          <w:szCs w:val="24"/>
          <w:lang w:val="fr-FR"/>
        </w:rPr>
      </w:pPr>
    </w:p>
    <w:p w14:paraId="2A0A5D53" w14:textId="0D889DC2" w:rsidR="00922848" w:rsidRDefault="00922848" w:rsidP="001950BE">
      <w:pPr>
        <w:pStyle w:val="Paragraph"/>
        <w:numPr>
          <w:ilvl w:val="0"/>
          <w:numId w:val="0"/>
        </w:numPr>
        <w:tabs>
          <w:tab w:val="num" w:pos="1296"/>
        </w:tabs>
        <w:spacing w:before="60" w:after="60" w:line="276" w:lineRule="auto"/>
        <w:jc w:val="left"/>
        <w:rPr>
          <w:rFonts w:ascii="Times" w:hAnsi="Times" w:cs="Arial"/>
          <w:b/>
          <w:spacing w:val="-2"/>
          <w:szCs w:val="24"/>
          <w:lang w:val="fr-FR"/>
        </w:rPr>
      </w:pPr>
    </w:p>
    <w:p w14:paraId="4D18D5FF" w14:textId="1202DAFD" w:rsidR="00922848" w:rsidRDefault="00922848" w:rsidP="001950BE">
      <w:pPr>
        <w:pStyle w:val="Paragraph"/>
        <w:numPr>
          <w:ilvl w:val="0"/>
          <w:numId w:val="0"/>
        </w:numPr>
        <w:tabs>
          <w:tab w:val="num" w:pos="1296"/>
        </w:tabs>
        <w:spacing w:before="60" w:after="60" w:line="276" w:lineRule="auto"/>
        <w:jc w:val="left"/>
        <w:rPr>
          <w:rFonts w:ascii="Times" w:hAnsi="Times" w:cs="Arial"/>
          <w:b/>
          <w:spacing w:val="-2"/>
          <w:szCs w:val="24"/>
          <w:lang w:val="fr-FR"/>
        </w:rPr>
      </w:pPr>
    </w:p>
    <w:p w14:paraId="1297CF2A" w14:textId="77777777" w:rsidR="00922848" w:rsidRDefault="00922848" w:rsidP="001950BE">
      <w:pPr>
        <w:pStyle w:val="Paragraph"/>
        <w:numPr>
          <w:ilvl w:val="0"/>
          <w:numId w:val="0"/>
        </w:numPr>
        <w:tabs>
          <w:tab w:val="num" w:pos="1296"/>
        </w:tabs>
        <w:spacing w:before="60" w:after="60" w:line="276" w:lineRule="auto"/>
        <w:jc w:val="left"/>
        <w:rPr>
          <w:rFonts w:ascii="Times" w:hAnsi="Times" w:cs="Arial"/>
          <w:b/>
          <w:spacing w:val="-2"/>
          <w:szCs w:val="24"/>
          <w:lang w:val="fr-FR"/>
        </w:rPr>
      </w:pPr>
    </w:p>
    <w:p w14:paraId="69790051" w14:textId="6AA3D409" w:rsidR="00A46C4F" w:rsidRPr="0055512B" w:rsidRDefault="00A46C4F" w:rsidP="001950BE">
      <w:pPr>
        <w:pStyle w:val="Paragraph"/>
        <w:numPr>
          <w:ilvl w:val="0"/>
          <w:numId w:val="0"/>
        </w:numPr>
        <w:tabs>
          <w:tab w:val="num" w:pos="1296"/>
        </w:tabs>
        <w:spacing w:before="60" w:after="60" w:line="276" w:lineRule="auto"/>
        <w:jc w:val="left"/>
        <w:rPr>
          <w:rFonts w:ascii="Times" w:hAnsi="Times" w:cs="Arial"/>
          <w:b/>
          <w:spacing w:val="-2"/>
          <w:szCs w:val="24"/>
          <w:lang w:val="fr-FR"/>
        </w:rPr>
      </w:pPr>
      <w:r w:rsidRPr="0055512B">
        <w:rPr>
          <w:rFonts w:ascii="Times" w:hAnsi="Times" w:cs="Arial"/>
          <w:b/>
          <w:spacing w:val="-2"/>
          <w:szCs w:val="24"/>
          <w:lang w:val="fr-FR"/>
        </w:rPr>
        <w:lastRenderedPageBreak/>
        <w:t xml:space="preserve">Table </w:t>
      </w:r>
      <w:r w:rsidR="00D66540" w:rsidRPr="0055512B">
        <w:rPr>
          <w:rFonts w:ascii="Times" w:hAnsi="Times" w:cs="Arial"/>
          <w:b/>
          <w:spacing w:val="-2"/>
          <w:szCs w:val="24"/>
          <w:lang w:val="fr-FR"/>
        </w:rPr>
        <w:t>1. Indicateurs de résultat</w:t>
      </w:r>
      <w:bookmarkEnd w:id="50"/>
      <w:bookmarkEnd w:id="51"/>
    </w:p>
    <w:tbl>
      <w:tblPr>
        <w:tblpPr w:leftFromText="141" w:rightFromText="141" w:vertAnchor="text" w:tblpX="702" w:tblpY="1"/>
        <w:tblOverlap w:val="never"/>
        <w:tblW w:w="7151" w:type="dxa"/>
        <w:tblLayout w:type="fixed"/>
        <w:tblLook w:val="04A0" w:firstRow="1" w:lastRow="0" w:firstColumn="1" w:lastColumn="0" w:noHBand="0" w:noVBand="1"/>
      </w:tblPr>
      <w:tblGrid>
        <w:gridCol w:w="5377"/>
        <w:gridCol w:w="880"/>
        <w:gridCol w:w="894"/>
      </w:tblGrid>
      <w:tr w:rsidR="00A46C4F" w:rsidRPr="0055512B" w14:paraId="651FC1D1" w14:textId="77777777" w:rsidTr="005B0BBD">
        <w:trPr>
          <w:trHeight w:val="145"/>
        </w:trPr>
        <w:tc>
          <w:tcPr>
            <w:tcW w:w="5377" w:type="dxa"/>
            <w:tcBorders>
              <w:top w:val="single" w:sz="8" w:space="0" w:color="auto"/>
              <w:left w:val="single" w:sz="8" w:space="0" w:color="auto"/>
              <w:bottom w:val="single" w:sz="8" w:space="0" w:color="auto"/>
              <w:right w:val="nil"/>
            </w:tcBorders>
            <w:shd w:val="clear" w:color="auto" w:fill="C4BC96" w:themeFill="background2" w:themeFillShade="BF"/>
            <w:noWrap/>
            <w:vAlign w:val="bottom"/>
            <w:hideMark/>
          </w:tcPr>
          <w:p w14:paraId="620E0A86" w14:textId="77777777" w:rsidR="00A46C4F" w:rsidRPr="0055512B" w:rsidRDefault="00D66540" w:rsidP="001950BE">
            <w:pPr>
              <w:spacing w:line="276" w:lineRule="auto"/>
              <w:rPr>
                <w:rFonts w:cs="Arial"/>
                <w:b/>
                <w:bCs/>
                <w:color w:val="000000"/>
              </w:rPr>
            </w:pPr>
            <w:r w:rsidRPr="0055512B">
              <w:rPr>
                <w:rFonts w:cs="Arial"/>
                <w:b/>
                <w:bCs/>
                <w:color w:val="000000"/>
              </w:rPr>
              <w:t>Indicateur</w:t>
            </w:r>
          </w:p>
        </w:tc>
        <w:tc>
          <w:tcPr>
            <w:tcW w:w="880" w:type="dxa"/>
            <w:tcBorders>
              <w:top w:val="single" w:sz="8" w:space="0" w:color="auto"/>
              <w:left w:val="nil"/>
              <w:bottom w:val="single" w:sz="8" w:space="0" w:color="auto"/>
              <w:right w:val="nil"/>
            </w:tcBorders>
            <w:shd w:val="clear" w:color="auto" w:fill="C4BC96" w:themeFill="background2" w:themeFillShade="BF"/>
            <w:noWrap/>
            <w:vAlign w:val="bottom"/>
            <w:hideMark/>
          </w:tcPr>
          <w:p w14:paraId="4FB6B47C" w14:textId="77777777" w:rsidR="00A46C4F" w:rsidRPr="0055512B" w:rsidRDefault="00D66540" w:rsidP="001950BE">
            <w:pPr>
              <w:spacing w:line="276" w:lineRule="auto"/>
              <w:rPr>
                <w:rFonts w:cs="Arial"/>
                <w:b/>
                <w:bCs/>
                <w:color w:val="000000"/>
              </w:rPr>
            </w:pPr>
            <w:r w:rsidRPr="0055512B">
              <w:rPr>
                <w:rFonts w:cs="Arial"/>
                <w:b/>
                <w:bCs/>
                <w:color w:val="000000"/>
              </w:rPr>
              <w:t>Ligne de base</w:t>
            </w:r>
            <w:r w:rsidR="00A46C4F" w:rsidRPr="0055512B">
              <w:rPr>
                <w:rFonts w:cs="Arial"/>
                <w:b/>
                <w:bCs/>
                <w:color w:val="000000"/>
              </w:rPr>
              <w:t xml:space="preserve"> </w:t>
            </w:r>
          </w:p>
        </w:tc>
        <w:tc>
          <w:tcPr>
            <w:tcW w:w="894" w:type="dxa"/>
            <w:tcBorders>
              <w:top w:val="single" w:sz="8" w:space="0" w:color="auto"/>
              <w:left w:val="nil"/>
              <w:bottom w:val="single" w:sz="8" w:space="0" w:color="auto"/>
              <w:right w:val="single" w:sz="8" w:space="0" w:color="auto"/>
            </w:tcBorders>
            <w:shd w:val="clear" w:color="auto" w:fill="C4BC96" w:themeFill="background2" w:themeFillShade="BF"/>
            <w:noWrap/>
            <w:vAlign w:val="bottom"/>
            <w:hideMark/>
          </w:tcPr>
          <w:p w14:paraId="2F36D1EA" w14:textId="77777777" w:rsidR="00A46C4F" w:rsidRPr="0055512B" w:rsidRDefault="00D66540" w:rsidP="001950BE">
            <w:pPr>
              <w:spacing w:line="276" w:lineRule="auto"/>
              <w:rPr>
                <w:rFonts w:cs="Arial"/>
                <w:b/>
                <w:bCs/>
                <w:color w:val="000000"/>
              </w:rPr>
            </w:pPr>
            <w:r w:rsidRPr="0055512B">
              <w:rPr>
                <w:rFonts w:cs="Arial"/>
                <w:b/>
                <w:bCs/>
                <w:color w:val="000000"/>
              </w:rPr>
              <w:t xml:space="preserve">Cible </w:t>
            </w:r>
          </w:p>
        </w:tc>
      </w:tr>
      <w:tr w:rsidR="00A46C4F" w:rsidRPr="0055512B" w14:paraId="22147F60" w14:textId="77777777" w:rsidTr="005B0BBD">
        <w:trPr>
          <w:trHeight w:val="349"/>
        </w:trPr>
        <w:tc>
          <w:tcPr>
            <w:tcW w:w="53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5B5787" w14:textId="77777777" w:rsidR="00A46C4F" w:rsidRPr="0055512B" w:rsidRDefault="00D66540" w:rsidP="001950BE">
            <w:pPr>
              <w:spacing w:line="276" w:lineRule="auto"/>
              <w:rPr>
                <w:rFonts w:cs="Arial"/>
                <w:color w:val="000000"/>
                <w:sz w:val="22"/>
              </w:rPr>
            </w:pPr>
            <w:r w:rsidRPr="0055512B">
              <w:rPr>
                <w:rFonts w:cs="Arial"/>
                <w:color w:val="000000"/>
                <w:spacing w:val="-2"/>
                <w:sz w:val="22"/>
              </w:rPr>
              <w:t>Taux de collecte des factures au CTE-RMPP (montant collecté/ montant facturé</w:t>
            </w:r>
            <w:r w:rsidR="00A46C4F" w:rsidRPr="0055512B">
              <w:rPr>
                <w:rFonts w:cs="Arial"/>
                <w:color w:val="000000"/>
                <w:spacing w:val="-2"/>
                <w:sz w:val="22"/>
              </w:rPr>
              <w:t>)</w:t>
            </w:r>
          </w:p>
        </w:tc>
        <w:tc>
          <w:tcPr>
            <w:tcW w:w="8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399F65" w14:textId="77777777" w:rsidR="00A46C4F" w:rsidRPr="0055512B" w:rsidRDefault="00A46C4F" w:rsidP="001950BE">
            <w:pPr>
              <w:spacing w:line="276" w:lineRule="auto"/>
              <w:rPr>
                <w:rFonts w:cs="Arial"/>
                <w:color w:val="000000"/>
                <w:sz w:val="22"/>
              </w:rPr>
            </w:pPr>
            <w:r w:rsidRPr="0055512B">
              <w:rPr>
                <w:rFonts w:cs="Arial"/>
                <w:color w:val="000000"/>
                <w:spacing w:val="-1"/>
                <w:sz w:val="22"/>
              </w:rPr>
              <w:t>54%</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A4DF39" w14:textId="77777777" w:rsidR="00A46C4F" w:rsidRPr="0055512B" w:rsidRDefault="00A46C4F" w:rsidP="001950BE">
            <w:pPr>
              <w:spacing w:line="276" w:lineRule="auto"/>
              <w:rPr>
                <w:rFonts w:cs="Arial"/>
                <w:color w:val="000000"/>
                <w:sz w:val="22"/>
              </w:rPr>
            </w:pPr>
            <w:r w:rsidRPr="0055512B">
              <w:rPr>
                <w:rFonts w:cs="Arial"/>
                <w:color w:val="000000"/>
                <w:spacing w:val="-1"/>
                <w:sz w:val="22"/>
              </w:rPr>
              <w:t>75%</w:t>
            </w:r>
          </w:p>
        </w:tc>
      </w:tr>
      <w:tr w:rsidR="00A46C4F" w:rsidRPr="0055512B" w14:paraId="3F3E038A" w14:textId="77777777" w:rsidTr="005B0BBD">
        <w:trPr>
          <w:trHeight w:val="400"/>
        </w:trPr>
        <w:tc>
          <w:tcPr>
            <w:tcW w:w="53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674E7C" w14:textId="77777777" w:rsidR="00A46C4F" w:rsidRPr="0055512B" w:rsidRDefault="00B80AE3" w:rsidP="001950BE">
            <w:pPr>
              <w:spacing w:line="276" w:lineRule="auto"/>
              <w:rPr>
                <w:rFonts w:cs="Arial"/>
                <w:color w:val="000000"/>
                <w:sz w:val="22"/>
              </w:rPr>
            </w:pPr>
            <w:r w:rsidRPr="0055512B">
              <w:rPr>
                <w:rFonts w:cs="Arial"/>
                <w:color w:val="000000"/>
                <w:sz w:val="22"/>
              </w:rPr>
              <w:t xml:space="preserve">Ratio opérationnel </w:t>
            </w:r>
            <w:r w:rsidR="00A46C4F" w:rsidRPr="0055512B">
              <w:rPr>
                <w:rFonts w:cs="Arial"/>
                <w:color w:val="000000"/>
                <w:sz w:val="22"/>
              </w:rPr>
              <w:t xml:space="preserve"> (</w:t>
            </w:r>
            <w:r w:rsidRPr="0055512B">
              <w:rPr>
                <w:rFonts w:cs="Arial"/>
                <w:color w:val="000000"/>
                <w:sz w:val="22"/>
              </w:rPr>
              <w:t xml:space="preserve">revenu opérationnel annuel / dépenses opérationnelles annuelles </w:t>
            </w:r>
            <w:r w:rsidR="00DB3E01" w:rsidRPr="0055512B">
              <w:rPr>
                <w:rFonts w:cs="Arial"/>
                <w:color w:val="000000"/>
                <w:sz w:val="22"/>
              </w:rPr>
              <w:t>(</w:t>
            </w:r>
            <w:r w:rsidR="00A46C4F" w:rsidRPr="0055512B">
              <w:rPr>
                <w:rFonts w:cs="Arial"/>
                <w:i/>
                <w:color w:val="000000"/>
                <w:sz w:val="22"/>
              </w:rPr>
              <w:t>annual operating r</w:t>
            </w:r>
            <w:r w:rsidRPr="0055512B">
              <w:rPr>
                <w:rFonts w:cs="Arial"/>
                <w:i/>
                <w:color w:val="000000"/>
                <w:sz w:val="22"/>
              </w:rPr>
              <w:t>evenue</w:t>
            </w:r>
            <w:r w:rsidR="00A46C4F" w:rsidRPr="0055512B">
              <w:rPr>
                <w:rFonts w:cs="Arial"/>
                <w:color w:val="000000"/>
                <w:sz w:val="22"/>
              </w:rPr>
              <w:t>)</w:t>
            </w:r>
          </w:p>
        </w:tc>
        <w:tc>
          <w:tcPr>
            <w:tcW w:w="8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3A9EE6" w14:textId="77777777" w:rsidR="00A46C4F" w:rsidRPr="0055512B" w:rsidRDefault="00A46C4F" w:rsidP="001950BE">
            <w:pPr>
              <w:spacing w:line="276" w:lineRule="auto"/>
              <w:rPr>
                <w:rFonts w:cs="Arial"/>
                <w:color w:val="000000"/>
                <w:sz w:val="22"/>
              </w:rPr>
            </w:pPr>
            <w:r w:rsidRPr="0055512B">
              <w:rPr>
                <w:rFonts w:cs="Arial"/>
                <w:color w:val="000000"/>
                <w:sz w:val="22"/>
              </w:rPr>
              <w:t>67%</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EEABB4" w14:textId="77777777" w:rsidR="00A46C4F" w:rsidRPr="0055512B" w:rsidRDefault="00A46C4F" w:rsidP="001950BE">
            <w:pPr>
              <w:spacing w:line="276" w:lineRule="auto"/>
              <w:rPr>
                <w:rFonts w:cs="Arial"/>
                <w:color w:val="000000"/>
                <w:sz w:val="22"/>
              </w:rPr>
            </w:pPr>
            <w:r w:rsidRPr="0055512B">
              <w:rPr>
                <w:rFonts w:cs="Arial"/>
                <w:color w:val="000000"/>
                <w:sz w:val="22"/>
              </w:rPr>
              <w:t>141%</w:t>
            </w:r>
          </w:p>
        </w:tc>
      </w:tr>
      <w:tr w:rsidR="00A46C4F" w:rsidRPr="0055512B" w14:paraId="165F241B" w14:textId="77777777" w:rsidTr="005B0BBD">
        <w:trPr>
          <w:trHeight w:val="455"/>
        </w:trPr>
        <w:tc>
          <w:tcPr>
            <w:tcW w:w="53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1A953B" w14:textId="77777777" w:rsidR="00A46C4F" w:rsidRPr="0055512B" w:rsidRDefault="00D50EB8" w:rsidP="001950BE">
            <w:pPr>
              <w:spacing w:line="276" w:lineRule="auto"/>
              <w:rPr>
                <w:rFonts w:cs="Arial"/>
                <w:color w:val="000000"/>
                <w:sz w:val="22"/>
              </w:rPr>
            </w:pPr>
            <w:r w:rsidRPr="0055512B">
              <w:rPr>
                <w:rFonts w:cs="Arial"/>
                <w:color w:val="000000"/>
                <w:spacing w:val="-2"/>
                <w:sz w:val="22"/>
              </w:rPr>
              <w:t xml:space="preserve">Quantité de ménages avec accès amélioré à l’eau et à l’hygiène dans les communautés rurales affectées par l’Ouragan Matthew </w:t>
            </w:r>
            <w:r w:rsidR="00A46C4F" w:rsidRPr="0055512B">
              <w:rPr>
                <w:rFonts w:cs="Arial"/>
                <w:color w:val="000000"/>
                <w:spacing w:val="-2"/>
                <w:sz w:val="22"/>
              </w:rPr>
              <w:t xml:space="preserve"> </w:t>
            </w:r>
          </w:p>
        </w:tc>
        <w:tc>
          <w:tcPr>
            <w:tcW w:w="8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DBD8F2" w14:textId="77777777" w:rsidR="00A46C4F" w:rsidRPr="0055512B" w:rsidRDefault="00A46C4F" w:rsidP="001950BE">
            <w:pPr>
              <w:spacing w:line="276" w:lineRule="auto"/>
              <w:rPr>
                <w:rFonts w:cs="Arial"/>
                <w:color w:val="000000"/>
                <w:sz w:val="22"/>
              </w:rPr>
            </w:pPr>
            <w:r w:rsidRPr="0055512B">
              <w:rPr>
                <w:rFonts w:cs="Arial"/>
                <w:color w:val="000000"/>
                <w:spacing w:val="-1"/>
                <w:sz w:val="22"/>
              </w:rPr>
              <w:t>0</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1E6D97" w14:textId="77777777" w:rsidR="00A46C4F" w:rsidRPr="0055512B" w:rsidRDefault="00A46C4F" w:rsidP="001950BE">
            <w:pPr>
              <w:spacing w:line="276" w:lineRule="auto"/>
              <w:rPr>
                <w:rFonts w:cs="Arial"/>
                <w:color w:val="000000"/>
                <w:sz w:val="22"/>
              </w:rPr>
            </w:pPr>
            <w:r w:rsidRPr="0055512B">
              <w:rPr>
                <w:rFonts w:cs="Arial"/>
                <w:color w:val="000000"/>
                <w:sz w:val="22"/>
              </w:rPr>
              <w:t>16,000</w:t>
            </w:r>
          </w:p>
        </w:tc>
      </w:tr>
      <w:tr w:rsidR="00A46C4F" w:rsidRPr="0055512B" w14:paraId="4FB83ED4" w14:textId="77777777" w:rsidTr="005B0BBD">
        <w:trPr>
          <w:trHeight w:hRule="exact" w:val="609"/>
        </w:trPr>
        <w:tc>
          <w:tcPr>
            <w:tcW w:w="53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F8E903" w14:textId="77777777" w:rsidR="00A46C4F" w:rsidRPr="0055512B" w:rsidRDefault="00D50EB8" w:rsidP="001950BE">
            <w:pPr>
              <w:spacing w:line="276" w:lineRule="auto"/>
              <w:rPr>
                <w:rFonts w:cs="Arial"/>
                <w:color w:val="000000"/>
                <w:sz w:val="22"/>
              </w:rPr>
            </w:pPr>
            <w:r w:rsidRPr="0055512B">
              <w:rPr>
                <w:rFonts w:cs="Arial"/>
                <w:color w:val="000000"/>
                <w:spacing w:val="-3"/>
                <w:sz w:val="22"/>
              </w:rPr>
              <w:t xml:space="preserve">Quantité d’abonnés au réseau de distribution d’eau  (résidentiel and commercial) dans la région métropolitaine de Port-au-Prince </w:t>
            </w:r>
          </w:p>
        </w:tc>
        <w:tc>
          <w:tcPr>
            <w:tcW w:w="8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1003B1" w14:textId="77777777" w:rsidR="00A46C4F" w:rsidRPr="0055512B" w:rsidRDefault="00A46C4F" w:rsidP="001950BE">
            <w:pPr>
              <w:spacing w:line="276" w:lineRule="auto"/>
              <w:rPr>
                <w:rFonts w:cs="Arial"/>
                <w:color w:val="000000"/>
                <w:sz w:val="22"/>
              </w:rPr>
            </w:pPr>
            <w:r w:rsidRPr="0055512B">
              <w:rPr>
                <w:rFonts w:cs="Arial"/>
                <w:color w:val="000000"/>
                <w:sz w:val="22"/>
              </w:rPr>
              <w:t>46,000</w:t>
            </w:r>
          </w:p>
        </w:tc>
        <w:tc>
          <w:tcPr>
            <w:tcW w:w="8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6A4A7B" w14:textId="77777777" w:rsidR="00A46C4F" w:rsidRPr="0055512B" w:rsidRDefault="00A46C4F" w:rsidP="001950BE">
            <w:pPr>
              <w:spacing w:line="276" w:lineRule="auto"/>
              <w:rPr>
                <w:rFonts w:cs="Arial"/>
                <w:color w:val="000000"/>
                <w:sz w:val="22"/>
              </w:rPr>
            </w:pPr>
            <w:r w:rsidRPr="0055512B">
              <w:rPr>
                <w:rFonts w:cs="Arial"/>
                <w:color w:val="000000"/>
                <w:spacing w:val="-1"/>
                <w:sz w:val="22"/>
              </w:rPr>
              <w:t>100,500</w:t>
            </w:r>
          </w:p>
        </w:tc>
      </w:tr>
      <w:tr w:rsidR="00A46C4F" w:rsidRPr="0055512B" w14:paraId="7D678D92" w14:textId="77777777" w:rsidTr="005B0BBD">
        <w:trPr>
          <w:trHeight w:val="366"/>
        </w:trPr>
        <w:tc>
          <w:tcPr>
            <w:tcW w:w="53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A4F2574" w14:textId="77777777" w:rsidR="00A46C4F" w:rsidRPr="0055512B" w:rsidRDefault="000572F3" w:rsidP="001950BE">
            <w:pPr>
              <w:spacing w:line="276" w:lineRule="auto"/>
              <w:rPr>
                <w:rFonts w:cs="Arial"/>
                <w:color w:val="000000"/>
                <w:sz w:val="22"/>
              </w:rPr>
            </w:pPr>
            <w:r w:rsidRPr="0055512B">
              <w:rPr>
                <w:rFonts w:cs="Arial"/>
                <w:color w:val="000000"/>
                <w:sz w:val="22"/>
              </w:rPr>
              <w:t>Quantité de femmes travaillant dans des kiosques nouvellement construits ou réhabilités à Carrefour et au Centre-Ville.</w:t>
            </w:r>
          </w:p>
        </w:tc>
        <w:tc>
          <w:tcPr>
            <w:tcW w:w="88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95CB631" w14:textId="77777777" w:rsidR="00A46C4F" w:rsidRPr="0055512B" w:rsidRDefault="00A46C4F" w:rsidP="001950BE">
            <w:pPr>
              <w:spacing w:line="276" w:lineRule="auto"/>
              <w:rPr>
                <w:rFonts w:cs="Arial"/>
                <w:color w:val="000000"/>
                <w:sz w:val="22"/>
              </w:rPr>
            </w:pPr>
            <w:r w:rsidRPr="0055512B">
              <w:rPr>
                <w:rFonts w:cs="Arial"/>
                <w:color w:val="000000"/>
                <w:sz w:val="22"/>
              </w:rPr>
              <w:t>13%</w:t>
            </w:r>
          </w:p>
        </w:tc>
        <w:tc>
          <w:tcPr>
            <w:tcW w:w="89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4C67AF2" w14:textId="77777777" w:rsidR="00A46C4F" w:rsidRPr="0055512B" w:rsidRDefault="00A46C4F" w:rsidP="001950BE">
            <w:pPr>
              <w:spacing w:line="276" w:lineRule="auto"/>
              <w:rPr>
                <w:rFonts w:cs="Arial"/>
                <w:color w:val="000000"/>
                <w:sz w:val="22"/>
              </w:rPr>
            </w:pPr>
            <w:r w:rsidRPr="0055512B">
              <w:rPr>
                <w:rFonts w:cs="Arial"/>
                <w:color w:val="000000"/>
                <w:sz w:val="22"/>
              </w:rPr>
              <w:t>20%</w:t>
            </w:r>
          </w:p>
        </w:tc>
      </w:tr>
    </w:tbl>
    <w:p w14:paraId="08AF1D64" w14:textId="77777777" w:rsidR="00A46C4F" w:rsidRPr="0055512B" w:rsidRDefault="00A46C4F" w:rsidP="001950BE">
      <w:pPr>
        <w:pStyle w:val="Paragraph"/>
        <w:numPr>
          <w:ilvl w:val="0"/>
          <w:numId w:val="0"/>
        </w:numPr>
        <w:spacing w:before="0" w:after="0" w:line="276" w:lineRule="auto"/>
        <w:ind w:left="720"/>
        <w:jc w:val="left"/>
        <w:rPr>
          <w:rFonts w:ascii="Times" w:hAnsi="Times" w:cs="Arial"/>
          <w:szCs w:val="24"/>
          <w:lang w:val="fr-FR"/>
        </w:rPr>
      </w:pPr>
    </w:p>
    <w:p w14:paraId="109E532F" w14:textId="77777777" w:rsidR="00922848" w:rsidRDefault="005B0BBD" w:rsidP="00922848">
      <w:pPr>
        <w:pStyle w:val="FirstHeading"/>
        <w:spacing w:line="276" w:lineRule="auto"/>
        <w:ind w:left="540" w:hanging="630"/>
        <w:jc w:val="both"/>
        <w:rPr>
          <w:rFonts w:ascii="Times" w:hAnsi="Times" w:cs="Arial"/>
          <w:szCs w:val="24"/>
          <w:lang w:val="fr-FR"/>
        </w:rPr>
      </w:pPr>
      <w:bookmarkStart w:id="52" w:name="_Toc224106711"/>
      <w:bookmarkStart w:id="53" w:name="_Toc224442591"/>
      <w:bookmarkStart w:id="54" w:name="_Toc422322547"/>
      <w:r>
        <w:rPr>
          <w:rFonts w:ascii="Times" w:hAnsi="Times" w:cs="Arial"/>
          <w:szCs w:val="24"/>
          <w:lang w:val="fr-FR"/>
        </w:rPr>
        <w:t xml:space="preserve">  </w:t>
      </w:r>
    </w:p>
    <w:p w14:paraId="6B8BAA26" w14:textId="77777777" w:rsidR="00922848" w:rsidRDefault="00922848" w:rsidP="00922848">
      <w:pPr>
        <w:pStyle w:val="FirstHeading"/>
        <w:spacing w:line="276" w:lineRule="auto"/>
        <w:ind w:left="540" w:hanging="630"/>
        <w:jc w:val="both"/>
        <w:rPr>
          <w:rFonts w:ascii="Times" w:hAnsi="Times" w:cs="Arial"/>
          <w:szCs w:val="24"/>
          <w:lang w:val="fr-FR"/>
        </w:rPr>
      </w:pPr>
    </w:p>
    <w:p w14:paraId="5BA28D31" w14:textId="77777777" w:rsidR="00922848" w:rsidRDefault="00922848" w:rsidP="00922848">
      <w:pPr>
        <w:pStyle w:val="FirstHeading"/>
        <w:spacing w:line="276" w:lineRule="auto"/>
        <w:ind w:left="540" w:hanging="630"/>
        <w:jc w:val="both"/>
        <w:rPr>
          <w:rFonts w:ascii="Times" w:hAnsi="Times" w:cs="Arial"/>
          <w:szCs w:val="24"/>
          <w:lang w:val="fr-FR"/>
        </w:rPr>
      </w:pPr>
    </w:p>
    <w:p w14:paraId="50055F8F" w14:textId="77777777" w:rsidR="00922848" w:rsidRDefault="00922848" w:rsidP="00922848">
      <w:pPr>
        <w:pStyle w:val="FirstHeading"/>
        <w:spacing w:line="276" w:lineRule="auto"/>
        <w:ind w:left="540" w:hanging="630"/>
        <w:jc w:val="both"/>
        <w:rPr>
          <w:rFonts w:ascii="Times" w:hAnsi="Times" w:cs="Arial"/>
          <w:szCs w:val="24"/>
          <w:lang w:val="fr-FR"/>
        </w:rPr>
      </w:pPr>
    </w:p>
    <w:p w14:paraId="0AEDB089" w14:textId="77777777" w:rsidR="00922848" w:rsidRDefault="00922848" w:rsidP="00922848">
      <w:pPr>
        <w:pStyle w:val="FirstHeading"/>
        <w:spacing w:line="276" w:lineRule="auto"/>
        <w:ind w:left="540" w:hanging="630"/>
        <w:jc w:val="both"/>
        <w:rPr>
          <w:rFonts w:ascii="Times" w:hAnsi="Times" w:cs="Arial"/>
          <w:szCs w:val="24"/>
          <w:lang w:val="fr-FR"/>
        </w:rPr>
      </w:pPr>
    </w:p>
    <w:p w14:paraId="654E0C9D" w14:textId="77777777" w:rsidR="00922848" w:rsidRDefault="00922848" w:rsidP="00922848">
      <w:pPr>
        <w:pStyle w:val="FirstHeading"/>
        <w:spacing w:line="276" w:lineRule="auto"/>
        <w:ind w:left="540" w:hanging="630"/>
        <w:jc w:val="both"/>
        <w:rPr>
          <w:rFonts w:ascii="Times" w:hAnsi="Times" w:cs="Arial"/>
          <w:szCs w:val="24"/>
          <w:lang w:val="fr-FR"/>
        </w:rPr>
      </w:pPr>
    </w:p>
    <w:p w14:paraId="3521ED26" w14:textId="77777777" w:rsidR="00922848" w:rsidRDefault="00922848" w:rsidP="00922848">
      <w:pPr>
        <w:pStyle w:val="FirstHeading"/>
        <w:spacing w:line="276" w:lineRule="auto"/>
        <w:ind w:left="540" w:hanging="630"/>
        <w:jc w:val="both"/>
        <w:rPr>
          <w:rFonts w:ascii="Times" w:hAnsi="Times" w:cs="Arial"/>
          <w:szCs w:val="24"/>
          <w:lang w:val="fr-FR"/>
        </w:rPr>
      </w:pPr>
    </w:p>
    <w:p w14:paraId="34C6A811" w14:textId="77777777" w:rsidR="00922848" w:rsidRDefault="00922848" w:rsidP="00922848">
      <w:pPr>
        <w:pStyle w:val="FirstHeading"/>
        <w:spacing w:line="276" w:lineRule="auto"/>
        <w:ind w:left="540" w:hanging="630"/>
        <w:jc w:val="both"/>
        <w:rPr>
          <w:rFonts w:ascii="Times" w:hAnsi="Times" w:cs="Arial"/>
          <w:szCs w:val="24"/>
          <w:lang w:val="fr-FR"/>
        </w:rPr>
      </w:pPr>
    </w:p>
    <w:p w14:paraId="7956C2B5" w14:textId="77777777" w:rsidR="00922848" w:rsidRDefault="00922848" w:rsidP="00922848">
      <w:pPr>
        <w:pStyle w:val="FirstHeading"/>
        <w:spacing w:line="276" w:lineRule="auto"/>
        <w:ind w:left="540" w:hanging="630"/>
        <w:jc w:val="both"/>
        <w:rPr>
          <w:rFonts w:ascii="Times" w:hAnsi="Times" w:cs="Arial"/>
          <w:szCs w:val="24"/>
          <w:lang w:val="fr-FR"/>
        </w:rPr>
      </w:pPr>
    </w:p>
    <w:p w14:paraId="3FD956F8" w14:textId="77777777" w:rsidR="00922848" w:rsidRDefault="00922848" w:rsidP="00922848">
      <w:pPr>
        <w:pStyle w:val="FirstHeading"/>
        <w:spacing w:line="276" w:lineRule="auto"/>
        <w:ind w:left="540" w:hanging="630"/>
        <w:jc w:val="both"/>
        <w:rPr>
          <w:rFonts w:ascii="Times" w:hAnsi="Times" w:cs="Arial"/>
          <w:szCs w:val="24"/>
          <w:lang w:val="fr-FR"/>
        </w:rPr>
      </w:pPr>
    </w:p>
    <w:p w14:paraId="0D45339C" w14:textId="77777777" w:rsidR="00922848" w:rsidRDefault="00922848" w:rsidP="00922848">
      <w:pPr>
        <w:pStyle w:val="FirstHeading"/>
        <w:spacing w:line="276" w:lineRule="auto"/>
        <w:ind w:left="540" w:hanging="630"/>
        <w:jc w:val="both"/>
        <w:rPr>
          <w:rFonts w:ascii="Times" w:hAnsi="Times" w:cs="Arial"/>
          <w:szCs w:val="24"/>
          <w:lang w:val="fr-FR"/>
        </w:rPr>
      </w:pPr>
    </w:p>
    <w:p w14:paraId="410748D7" w14:textId="4DC6CDBA" w:rsidR="00A46C4F" w:rsidRPr="00922848" w:rsidRDefault="009D3874" w:rsidP="00922848">
      <w:pPr>
        <w:pStyle w:val="FirstHeading"/>
        <w:spacing w:line="276" w:lineRule="auto"/>
        <w:ind w:left="540" w:hanging="630"/>
        <w:jc w:val="both"/>
        <w:rPr>
          <w:rFonts w:ascii="Times" w:hAnsi="Times" w:cs="Arial"/>
          <w:szCs w:val="24"/>
          <w:lang w:val="fr-FR"/>
        </w:rPr>
      </w:pPr>
      <w:bookmarkStart w:id="55" w:name="_Hlk494191302"/>
      <w:r w:rsidRPr="0055512B">
        <w:rPr>
          <w:rFonts w:ascii="Times" w:hAnsi="Times" w:cs="Arial"/>
          <w:szCs w:val="24"/>
          <w:lang w:val="fr-FR"/>
        </w:rPr>
        <w:t xml:space="preserve">2.3.5 </w:t>
      </w:r>
      <w:bookmarkEnd w:id="55"/>
      <w:r w:rsidR="00922848">
        <w:rPr>
          <w:rFonts w:ascii="Times" w:hAnsi="Times" w:cs="Arial"/>
          <w:szCs w:val="24"/>
          <w:lang w:val="fr-FR"/>
        </w:rPr>
        <w:tab/>
        <w:t xml:space="preserve"> </w:t>
      </w:r>
      <w:r w:rsidR="009F20AC" w:rsidRPr="00922848">
        <w:rPr>
          <w:rFonts w:ascii="Times" w:hAnsi="Times" w:cs="Arial"/>
          <w:szCs w:val="24"/>
          <w:lang w:val="fr-FR"/>
        </w:rPr>
        <w:t>Instruments de financemen</w:t>
      </w:r>
      <w:bookmarkEnd w:id="52"/>
      <w:bookmarkEnd w:id="53"/>
      <w:bookmarkEnd w:id="54"/>
      <w:r w:rsidR="009F20AC" w:rsidRPr="00922848">
        <w:rPr>
          <w:rFonts w:ascii="Times" w:hAnsi="Times" w:cs="Arial"/>
          <w:szCs w:val="24"/>
          <w:lang w:val="fr-FR"/>
        </w:rPr>
        <w:t>t</w:t>
      </w:r>
    </w:p>
    <w:p w14:paraId="4F822CD5" w14:textId="77777777" w:rsidR="00A46C4F" w:rsidRPr="0055512B" w:rsidRDefault="009F20AC" w:rsidP="001950BE">
      <w:pPr>
        <w:pStyle w:val="Paragraph"/>
        <w:numPr>
          <w:ilvl w:val="0"/>
          <w:numId w:val="0"/>
        </w:numPr>
        <w:spacing w:before="100" w:after="100" w:line="276" w:lineRule="auto"/>
        <w:ind w:left="540"/>
        <w:jc w:val="left"/>
        <w:rPr>
          <w:rFonts w:ascii="Times" w:hAnsi="Times" w:cs="Arial"/>
          <w:spacing w:val="-3"/>
          <w:szCs w:val="24"/>
          <w:lang w:val="fr-FR"/>
        </w:rPr>
      </w:pPr>
      <w:bookmarkStart w:id="56" w:name="_Toc363857108"/>
      <w:bookmarkStart w:id="57" w:name="_Toc363857630"/>
      <w:r w:rsidRPr="0055512B">
        <w:rPr>
          <w:rFonts w:ascii="Times" w:hAnsi="Times" w:cs="Arial"/>
          <w:spacing w:val="-3"/>
          <w:szCs w:val="24"/>
          <w:lang w:val="fr-FR"/>
        </w:rPr>
        <w:t xml:space="preserve">Ceci est un programme d’investissement d’un coût estimative de </w:t>
      </w:r>
      <w:r w:rsidR="00005576" w:rsidRPr="0055512B">
        <w:rPr>
          <w:rFonts w:ascii="Times" w:hAnsi="Times" w:cs="Arial"/>
          <w:spacing w:val="-3"/>
          <w:szCs w:val="24"/>
          <w:lang w:val="fr-FR"/>
        </w:rPr>
        <w:t>US$62 millions</w:t>
      </w:r>
      <w:r w:rsidRPr="0055512B">
        <w:rPr>
          <w:rFonts w:ascii="Times" w:hAnsi="Times" w:cs="Arial"/>
          <w:spacing w:val="-3"/>
          <w:szCs w:val="24"/>
          <w:lang w:val="fr-FR"/>
        </w:rPr>
        <w:t>, qui sera finance par un don de la BID. La composante rurale de l’opération sera conçue en un ensemble de travaux pour un montant de</w:t>
      </w:r>
      <w:r w:rsidR="00676295" w:rsidRPr="0055512B">
        <w:rPr>
          <w:rFonts w:ascii="Times" w:hAnsi="Times" w:cs="Arial"/>
          <w:spacing w:val="-3"/>
          <w:szCs w:val="24"/>
          <w:lang w:val="fr-FR"/>
        </w:rPr>
        <w:t xml:space="preserve"> </w:t>
      </w:r>
      <w:r w:rsidR="00B843A7" w:rsidRPr="0055512B">
        <w:rPr>
          <w:rFonts w:ascii="Times" w:hAnsi="Times" w:cs="Arial"/>
          <w:spacing w:val="-3"/>
          <w:szCs w:val="24"/>
          <w:lang w:val="fr-FR"/>
        </w:rPr>
        <w:t>US$7</w:t>
      </w:r>
      <w:r w:rsidR="00676295" w:rsidRPr="0055512B">
        <w:rPr>
          <w:rFonts w:ascii="Times" w:hAnsi="Times" w:cs="Arial"/>
          <w:spacing w:val="-3"/>
          <w:szCs w:val="24"/>
          <w:lang w:val="fr-FR"/>
        </w:rPr>
        <w:t>million. La période de décaissement est de 60 mois. La table 2 fournit un sommaire des coûts par composante</w:t>
      </w:r>
      <w:bookmarkEnd w:id="56"/>
      <w:bookmarkEnd w:id="57"/>
    </w:p>
    <w:p w14:paraId="0DCCEE0C" w14:textId="77777777" w:rsidR="00922848" w:rsidRDefault="00922848" w:rsidP="001950BE">
      <w:pPr>
        <w:spacing w:line="276" w:lineRule="auto"/>
        <w:rPr>
          <w:rFonts w:cs="Arial"/>
          <w:b/>
        </w:rPr>
      </w:pPr>
    </w:p>
    <w:p w14:paraId="437832E5" w14:textId="77777777" w:rsidR="00922848" w:rsidRDefault="00922848" w:rsidP="001950BE">
      <w:pPr>
        <w:spacing w:line="276" w:lineRule="auto"/>
        <w:rPr>
          <w:rFonts w:cs="Arial"/>
          <w:b/>
        </w:rPr>
      </w:pPr>
    </w:p>
    <w:p w14:paraId="618DD7A8" w14:textId="77777777" w:rsidR="00922848" w:rsidRDefault="00922848" w:rsidP="001950BE">
      <w:pPr>
        <w:spacing w:line="276" w:lineRule="auto"/>
        <w:rPr>
          <w:rFonts w:cs="Arial"/>
          <w:b/>
        </w:rPr>
      </w:pPr>
    </w:p>
    <w:p w14:paraId="2E07EA97" w14:textId="77777777" w:rsidR="00922848" w:rsidRDefault="00922848" w:rsidP="001950BE">
      <w:pPr>
        <w:spacing w:line="276" w:lineRule="auto"/>
        <w:rPr>
          <w:rFonts w:cs="Arial"/>
          <w:b/>
        </w:rPr>
      </w:pPr>
    </w:p>
    <w:p w14:paraId="65FB6B75" w14:textId="77777777" w:rsidR="00922848" w:rsidRDefault="00922848" w:rsidP="001950BE">
      <w:pPr>
        <w:spacing w:line="276" w:lineRule="auto"/>
        <w:rPr>
          <w:rFonts w:cs="Arial"/>
          <w:b/>
        </w:rPr>
      </w:pPr>
    </w:p>
    <w:p w14:paraId="4E3DD8B1" w14:textId="77777777" w:rsidR="00922848" w:rsidRDefault="00922848" w:rsidP="001950BE">
      <w:pPr>
        <w:spacing w:line="276" w:lineRule="auto"/>
        <w:rPr>
          <w:rFonts w:cs="Arial"/>
          <w:b/>
        </w:rPr>
      </w:pPr>
    </w:p>
    <w:p w14:paraId="47D8854C" w14:textId="77777777" w:rsidR="00922848" w:rsidRDefault="00922848" w:rsidP="001950BE">
      <w:pPr>
        <w:spacing w:line="276" w:lineRule="auto"/>
        <w:rPr>
          <w:rFonts w:cs="Arial"/>
          <w:b/>
        </w:rPr>
      </w:pPr>
    </w:p>
    <w:p w14:paraId="3619DD11" w14:textId="77777777" w:rsidR="00922848" w:rsidRDefault="00922848" w:rsidP="001950BE">
      <w:pPr>
        <w:spacing w:line="276" w:lineRule="auto"/>
        <w:rPr>
          <w:rFonts w:cs="Arial"/>
          <w:b/>
        </w:rPr>
      </w:pPr>
    </w:p>
    <w:p w14:paraId="6C5AFCC5" w14:textId="77777777" w:rsidR="00922848" w:rsidRDefault="00922848" w:rsidP="001950BE">
      <w:pPr>
        <w:spacing w:line="276" w:lineRule="auto"/>
        <w:rPr>
          <w:rFonts w:cs="Arial"/>
          <w:b/>
        </w:rPr>
      </w:pPr>
    </w:p>
    <w:p w14:paraId="4DFDB269" w14:textId="77777777" w:rsidR="00922848" w:rsidRDefault="00922848" w:rsidP="001950BE">
      <w:pPr>
        <w:spacing w:line="276" w:lineRule="auto"/>
        <w:rPr>
          <w:rFonts w:cs="Arial"/>
          <w:b/>
        </w:rPr>
      </w:pPr>
    </w:p>
    <w:p w14:paraId="7119B146" w14:textId="77777777" w:rsidR="00922848" w:rsidRDefault="00922848" w:rsidP="001950BE">
      <w:pPr>
        <w:spacing w:line="276" w:lineRule="auto"/>
        <w:rPr>
          <w:rFonts w:cs="Arial"/>
          <w:b/>
        </w:rPr>
      </w:pPr>
    </w:p>
    <w:p w14:paraId="097E2C74" w14:textId="77777777" w:rsidR="00922848" w:rsidRDefault="00922848" w:rsidP="001950BE">
      <w:pPr>
        <w:spacing w:line="276" w:lineRule="auto"/>
        <w:rPr>
          <w:rFonts w:cs="Arial"/>
          <w:b/>
        </w:rPr>
      </w:pPr>
    </w:p>
    <w:p w14:paraId="6CA93FE0" w14:textId="77777777" w:rsidR="00922848" w:rsidRDefault="00922848" w:rsidP="001950BE">
      <w:pPr>
        <w:spacing w:line="276" w:lineRule="auto"/>
        <w:rPr>
          <w:rFonts w:cs="Arial"/>
          <w:b/>
        </w:rPr>
      </w:pPr>
    </w:p>
    <w:p w14:paraId="4E22BFD5" w14:textId="77777777" w:rsidR="00922848" w:rsidRDefault="00922848" w:rsidP="001950BE">
      <w:pPr>
        <w:spacing w:line="276" w:lineRule="auto"/>
        <w:rPr>
          <w:rFonts w:cs="Arial"/>
          <w:b/>
        </w:rPr>
      </w:pPr>
    </w:p>
    <w:p w14:paraId="0A7B78F7" w14:textId="77777777" w:rsidR="00922848" w:rsidRDefault="00922848" w:rsidP="001950BE">
      <w:pPr>
        <w:spacing w:line="276" w:lineRule="auto"/>
        <w:rPr>
          <w:rFonts w:cs="Arial"/>
          <w:b/>
        </w:rPr>
      </w:pPr>
    </w:p>
    <w:p w14:paraId="613576B9" w14:textId="77777777" w:rsidR="00922848" w:rsidRDefault="00922848" w:rsidP="001950BE">
      <w:pPr>
        <w:spacing w:line="276" w:lineRule="auto"/>
        <w:rPr>
          <w:rFonts w:cs="Arial"/>
          <w:b/>
        </w:rPr>
      </w:pPr>
    </w:p>
    <w:p w14:paraId="47466B70" w14:textId="77777777" w:rsidR="00922848" w:rsidRDefault="00922848" w:rsidP="001950BE">
      <w:pPr>
        <w:spacing w:line="276" w:lineRule="auto"/>
        <w:rPr>
          <w:rFonts w:cs="Arial"/>
          <w:b/>
        </w:rPr>
      </w:pPr>
    </w:p>
    <w:p w14:paraId="4FFEC138" w14:textId="38704CFE" w:rsidR="00A46C4F" w:rsidRPr="0055512B" w:rsidRDefault="00A46C4F" w:rsidP="001950BE">
      <w:pPr>
        <w:spacing w:line="276" w:lineRule="auto"/>
        <w:rPr>
          <w:rFonts w:cs="Arial"/>
          <w:b/>
        </w:rPr>
      </w:pPr>
      <w:r w:rsidRPr="0055512B">
        <w:rPr>
          <w:rFonts w:cs="Arial"/>
          <w:b/>
        </w:rPr>
        <w:lastRenderedPageBreak/>
        <w:t>Table 2.</w:t>
      </w:r>
      <w:r w:rsidR="00676295" w:rsidRPr="0055512B">
        <w:rPr>
          <w:rFonts w:cs="Arial"/>
          <w:b/>
        </w:rPr>
        <w:t xml:space="preserve"> Coûts totaux </w:t>
      </w:r>
      <w:r w:rsidRPr="0055512B">
        <w:rPr>
          <w:rFonts w:cs="Arial"/>
          <w:b/>
        </w:rPr>
        <w:t xml:space="preserve"> (US$)</w:t>
      </w:r>
    </w:p>
    <w:tbl>
      <w:tblPr>
        <w:tblW w:w="9270" w:type="dxa"/>
        <w:tblInd w:w="-190" w:type="dxa"/>
        <w:tblLayout w:type="fixed"/>
        <w:tblLook w:val="04A0" w:firstRow="1" w:lastRow="0" w:firstColumn="1" w:lastColumn="0" w:noHBand="0" w:noVBand="1"/>
      </w:tblPr>
      <w:tblGrid>
        <w:gridCol w:w="2024"/>
        <w:gridCol w:w="891"/>
        <w:gridCol w:w="891"/>
        <w:gridCol w:w="2304"/>
        <w:gridCol w:w="310"/>
        <w:gridCol w:w="1300"/>
        <w:gridCol w:w="237"/>
        <w:gridCol w:w="1313"/>
      </w:tblGrid>
      <w:tr w:rsidR="001950BE" w:rsidRPr="0055512B" w14:paraId="73CB82DC" w14:textId="77777777" w:rsidTr="00122BFA">
        <w:trPr>
          <w:trHeight w:val="142"/>
        </w:trPr>
        <w:tc>
          <w:tcPr>
            <w:tcW w:w="2024" w:type="dxa"/>
            <w:tcBorders>
              <w:top w:val="single" w:sz="8" w:space="0" w:color="auto"/>
              <w:left w:val="single" w:sz="8" w:space="0" w:color="auto"/>
              <w:bottom w:val="single" w:sz="4" w:space="0" w:color="auto"/>
              <w:right w:val="nil"/>
            </w:tcBorders>
            <w:shd w:val="clear" w:color="auto" w:fill="C4BC96" w:themeFill="background2" w:themeFillShade="BF"/>
            <w:noWrap/>
            <w:vAlign w:val="bottom"/>
            <w:hideMark/>
          </w:tcPr>
          <w:p w14:paraId="7B475303" w14:textId="77777777" w:rsidR="00A46C4F" w:rsidRPr="0055512B" w:rsidRDefault="001950BE" w:rsidP="001950BE">
            <w:pPr>
              <w:spacing w:line="276" w:lineRule="auto"/>
              <w:rPr>
                <w:rFonts w:cs="Arial"/>
                <w:b/>
                <w:bCs/>
                <w:color w:val="000000"/>
                <w:sz w:val="22"/>
              </w:rPr>
            </w:pPr>
            <w:r w:rsidRPr="0055512B">
              <w:rPr>
                <w:rFonts w:cs="Arial"/>
                <w:b/>
                <w:bCs/>
                <w:color w:val="000000"/>
                <w:sz w:val="22"/>
              </w:rPr>
              <w:t>Categorie</w:t>
            </w:r>
          </w:p>
        </w:tc>
        <w:tc>
          <w:tcPr>
            <w:tcW w:w="891" w:type="dxa"/>
            <w:tcBorders>
              <w:top w:val="single" w:sz="8" w:space="0" w:color="auto"/>
              <w:left w:val="nil"/>
              <w:bottom w:val="single" w:sz="4" w:space="0" w:color="auto"/>
              <w:right w:val="nil"/>
            </w:tcBorders>
            <w:shd w:val="clear" w:color="auto" w:fill="C4BC96" w:themeFill="background2" w:themeFillShade="BF"/>
            <w:noWrap/>
            <w:vAlign w:val="bottom"/>
            <w:hideMark/>
          </w:tcPr>
          <w:p w14:paraId="7A4899D7" w14:textId="77777777" w:rsidR="00A46C4F" w:rsidRPr="0055512B" w:rsidRDefault="00A46C4F" w:rsidP="001950BE">
            <w:pPr>
              <w:spacing w:line="276" w:lineRule="auto"/>
              <w:rPr>
                <w:rFonts w:cs="Arial"/>
                <w:b/>
                <w:bCs/>
                <w:color w:val="000000"/>
                <w:sz w:val="22"/>
              </w:rPr>
            </w:pPr>
            <w:r w:rsidRPr="0055512B">
              <w:rPr>
                <w:rFonts w:cs="Arial"/>
                <w:b/>
                <w:bCs/>
                <w:color w:val="000000"/>
                <w:sz w:val="22"/>
              </w:rPr>
              <w:t> </w:t>
            </w:r>
          </w:p>
        </w:tc>
        <w:tc>
          <w:tcPr>
            <w:tcW w:w="891" w:type="dxa"/>
            <w:tcBorders>
              <w:top w:val="single" w:sz="8" w:space="0" w:color="auto"/>
              <w:left w:val="nil"/>
              <w:bottom w:val="single" w:sz="4" w:space="0" w:color="auto"/>
              <w:right w:val="nil"/>
            </w:tcBorders>
            <w:shd w:val="clear" w:color="auto" w:fill="C4BC96" w:themeFill="background2" w:themeFillShade="BF"/>
            <w:noWrap/>
            <w:vAlign w:val="bottom"/>
            <w:hideMark/>
          </w:tcPr>
          <w:p w14:paraId="4E42C1C5" w14:textId="77777777" w:rsidR="00A46C4F" w:rsidRPr="0055512B" w:rsidRDefault="00A46C4F" w:rsidP="001950BE">
            <w:pPr>
              <w:spacing w:line="276" w:lineRule="auto"/>
              <w:rPr>
                <w:rFonts w:cs="Arial"/>
                <w:b/>
                <w:bCs/>
                <w:color w:val="000000"/>
                <w:sz w:val="22"/>
              </w:rPr>
            </w:pPr>
            <w:r w:rsidRPr="0055512B">
              <w:rPr>
                <w:rFonts w:cs="Arial"/>
                <w:b/>
                <w:bCs/>
                <w:color w:val="000000"/>
                <w:sz w:val="22"/>
              </w:rPr>
              <w:t> </w:t>
            </w:r>
          </w:p>
        </w:tc>
        <w:tc>
          <w:tcPr>
            <w:tcW w:w="2304" w:type="dxa"/>
            <w:tcBorders>
              <w:top w:val="single" w:sz="8" w:space="0" w:color="auto"/>
              <w:left w:val="nil"/>
              <w:bottom w:val="single" w:sz="4" w:space="0" w:color="auto"/>
              <w:right w:val="nil"/>
            </w:tcBorders>
            <w:shd w:val="clear" w:color="auto" w:fill="C4BC96" w:themeFill="background2" w:themeFillShade="BF"/>
            <w:noWrap/>
            <w:vAlign w:val="bottom"/>
            <w:hideMark/>
          </w:tcPr>
          <w:p w14:paraId="7210755C" w14:textId="77777777" w:rsidR="00A46C4F" w:rsidRPr="0055512B" w:rsidRDefault="00A46C4F" w:rsidP="001950BE">
            <w:pPr>
              <w:spacing w:line="276" w:lineRule="auto"/>
              <w:rPr>
                <w:rFonts w:cs="Arial"/>
                <w:b/>
                <w:bCs/>
                <w:color w:val="000000"/>
                <w:sz w:val="22"/>
              </w:rPr>
            </w:pPr>
            <w:r w:rsidRPr="0055512B">
              <w:rPr>
                <w:rFonts w:cs="Arial"/>
                <w:b/>
                <w:bCs/>
                <w:color w:val="000000"/>
                <w:sz w:val="22"/>
              </w:rPr>
              <w:t> </w:t>
            </w:r>
          </w:p>
        </w:tc>
        <w:tc>
          <w:tcPr>
            <w:tcW w:w="1610" w:type="dxa"/>
            <w:gridSpan w:val="2"/>
            <w:tcBorders>
              <w:top w:val="single" w:sz="8" w:space="0" w:color="auto"/>
              <w:left w:val="nil"/>
              <w:bottom w:val="single" w:sz="4" w:space="0" w:color="auto"/>
              <w:right w:val="nil"/>
            </w:tcBorders>
            <w:shd w:val="clear" w:color="auto" w:fill="C4BC96" w:themeFill="background2" w:themeFillShade="BF"/>
            <w:noWrap/>
            <w:vAlign w:val="bottom"/>
            <w:hideMark/>
          </w:tcPr>
          <w:p w14:paraId="7C733F9B" w14:textId="77777777" w:rsidR="00A46C4F" w:rsidRPr="0055512B" w:rsidRDefault="001950BE" w:rsidP="001950BE">
            <w:pPr>
              <w:spacing w:line="276" w:lineRule="auto"/>
              <w:rPr>
                <w:rFonts w:cs="Arial"/>
                <w:b/>
                <w:bCs/>
                <w:color w:val="000000"/>
                <w:sz w:val="22"/>
              </w:rPr>
            </w:pPr>
            <w:r w:rsidRPr="0055512B">
              <w:rPr>
                <w:rFonts w:cs="Arial"/>
                <w:b/>
                <w:bCs/>
                <w:color w:val="000000"/>
                <w:sz w:val="22"/>
              </w:rPr>
              <w:t>Financement</w:t>
            </w:r>
          </w:p>
        </w:tc>
        <w:tc>
          <w:tcPr>
            <w:tcW w:w="237" w:type="dxa"/>
            <w:tcBorders>
              <w:top w:val="single" w:sz="8" w:space="0" w:color="auto"/>
              <w:left w:val="nil"/>
              <w:bottom w:val="single" w:sz="4" w:space="0" w:color="auto"/>
              <w:right w:val="nil"/>
            </w:tcBorders>
            <w:shd w:val="clear" w:color="auto" w:fill="C4BC96" w:themeFill="background2" w:themeFillShade="BF"/>
            <w:noWrap/>
            <w:vAlign w:val="bottom"/>
            <w:hideMark/>
          </w:tcPr>
          <w:p w14:paraId="6C5C20CE" w14:textId="77777777" w:rsidR="00A46C4F" w:rsidRPr="0055512B" w:rsidRDefault="00A46C4F" w:rsidP="001950BE">
            <w:pPr>
              <w:spacing w:line="276" w:lineRule="auto"/>
              <w:rPr>
                <w:rFonts w:cs="Arial"/>
                <w:b/>
                <w:bCs/>
                <w:color w:val="000000"/>
              </w:rPr>
            </w:pPr>
            <w:r w:rsidRPr="0055512B">
              <w:rPr>
                <w:rFonts w:cs="Arial"/>
                <w:b/>
                <w:bCs/>
                <w:color w:val="000000"/>
              </w:rPr>
              <w:t> </w:t>
            </w:r>
          </w:p>
        </w:tc>
        <w:tc>
          <w:tcPr>
            <w:tcW w:w="1313" w:type="dxa"/>
            <w:tcBorders>
              <w:top w:val="single" w:sz="8" w:space="0" w:color="auto"/>
              <w:left w:val="nil"/>
              <w:bottom w:val="single" w:sz="4" w:space="0" w:color="auto"/>
              <w:right w:val="single" w:sz="8" w:space="0" w:color="auto"/>
            </w:tcBorders>
            <w:shd w:val="clear" w:color="auto" w:fill="C4BC96" w:themeFill="background2" w:themeFillShade="BF"/>
            <w:noWrap/>
            <w:vAlign w:val="bottom"/>
            <w:hideMark/>
          </w:tcPr>
          <w:p w14:paraId="256376A6" w14:textId="77777777" w:rsidR="00A46C4F" w:rsidRPr="0055512B" w:rsidRDefault="00A46C4F" w:rsidP="001950BE">
            <w:pPr>
              <w:spacing w:line="276" w:lineRule="auto"/>
              <w:rPr>
                <w:rFonts w:cs="Arial"/>
                <w:b/>
                <w:bCs/>
                <w:color w:val="000000"/>
              </w:rPr>
            </w:pPr>
            <w:r w:rsidRPr="0055512B">
              <w:rPr>
                <w:rFonts w:cs="Arial"/>
                <w:b/>
                <w:bCs/>
                <w:color w:val="000000"/>
              </w:rPr>
              <w:t>%</w:t>
            </w:r>
          </w:p>
        </w:tc>
      </w:tr>
      <w:tr w:rsidR="00A46C4F" w:rsidRPr="0055512B" w14:paraId="17E521FB" w14:textId="77777777" w:rsidTr="00122BFA">
        <w:trPr>
          <w:trHeight w:val="300"/>
        </w:trPr>
        <w:tc>
          <w:tcPr>
            <w:tcW w:w="6420" w:type="dxa"/>
            <w:gridSpan w:val="5"/>
            <w:tcBorders>
              <w:top w:val="single" w:sz="4" w:space="0" w:color="auto"/>
              <w:left w:val="single" w:sz="8" w:space="0" w:color="auto"/>
              <w:bottom w:val="nil"/>
              <w:right w:val="nil"/>
            </w:tcBorders>
            <w:shd w:val="clear" w:color="auto" w:fill="auto"/>
            <w:noWrap/>
            <w:vAlign w:val="bottom"/>
            <w:hideMark/>
          </w:tcPr>
          <w:p w14:paraId="616839D7" w14:textId="77777777" w:rsidR="00A46C4F" w:rsidRPr="0055512B" w:rsidRDefault="00A46C4F" w:rsidP="001950BE">
            <w:pPr>
              <w:spacing w:line="276" w:lineRule="auto"/>
              <w:rPr>
                <w:rFonts w:cs="Arial"/>
                <w:b/>
                <w:bCs/>
                <w:color w:val="000000"/>
              </w:rPr>
            </w:pPr>
            <w:r w:rsidRPr="0055512B">
              <w:rPr>
                <w:rFonts w:cs="Arial"/>
                <w:b/>
                <w:bCs/>
                <w:color w:val="000000"/>
              </w:rPr>
              <w:t>I. Direct expenses</w:t>
            </w:r>
          </w:p>
        </w:tc>
        <w:tc>
          <w:tcPr>
            <w:tcW w:w="1300" w:type="dxa"/>
            <w:tcBorders>
              <w:top w:val="nil"/>
              <w:left w:val="nil"/>
              <w:bottom w:val="nil"/>
              <w:right w:val="nil"/>
            </w:tcBorders>
            <w:shd w:val="clear" w:color="auto" w:fill="auto"/>
            <w:noWrap/>
            <w:vAlign w:val="bottom"/>
            <w:hideMark/>
          </w:tcPr>
          <w:p w14:paraId="767FDA20" w14:textId="77777777" w:rsidR="00A46C4F" w:rsidRPr="0055512B" w:rsidRDefault="0050135A" w:rsidP="001950BE">
            <w:pPr>
              <w:spacing w:line="276" w:lineRule="auto"/>
              <w:rPr>
                <w:rFonts w:cs="Arial"/>
                <w:b/>
                <w:bCs/>
                <w:color w:val="000000"/>
                <w:sz w:val="22"/>
              </w:rPr>
            </w:pPr>
            <w:r w:rsidRPr="0055512B">
              <w:rPr>
                <w:rFonts w:cs="Arial"/>
                <w:b/>
                <w:bCs/>
                <w:color w:val="000000"/>
                <w:sz w:val="22"/>
              </w:rPr>
              <w:t>61</w:t>
            </w:r>
            <w:r w:rsidR="00A46C4F" w:rsidRPr="0055512B">
              <w:rPr>
                <w:rFonts w:cs="Arial"/>
                <w:b/>
                <w:bCs/>
                <w:color w:val="000000"/>
                <w:sz w:val="22"/>
              </w:rPr>
              <w:t>,000,000</w:t>
            </w:r>
          </w:p>
        </w:tc>
        <w:tc>
          <w:tcPr>
            <w:tcW w:w="237" w:type="dxa"/>
            <w:tcBorders>
              <w:top w:val="nil"/>
              <w:left w:val="nil"/>
              <w:bottom w:val="nil"/>
              <w:right w:val="nil"/>
            </w:tcBorders>
            <w:shd w:val="clear" w:color="auto" w:fill="auto"/>
            <w:noWrap/>
            <w:vAlign w:val="bottom"/>
            <w:hideMark/>
          </w:tcPr>
          <w:p w14:paraId="21DFE27B" w14:textId="77777777" w:rsidR="00A46C4F" w:rsidRPr="0055512B" w:rsidRDefault="00A46C4F" w:rsidP="001950BE">
            <w:pPr>
              <w:spacing w:line="276" w:lineRule="auto"/>
              <w:rPr>
                <w:rFonts w:cs="Arial"/>
                <w:b/>
                <w:bCs/>
                <w:color w:val="000000"/>
              </w:rPr>
            </w:pPr>
            <w:r w:rsidRPr="0055512B">
              <w:rPr>
                <w:rFonts w:cs="Arial"/>
                <w:b/>
                <w:bCs/>
                <w:color w:val="000000"/>
              </w:rPr>
              <w:t> </w:t>
            </w:r>
          </w:p>
        </w:tc>
        <w:tc>
          <w:tcPr>
            <w:tcW w:w="1313" w:type="dxa"/>
            <w:tcBorders>
              <w:top w:val="nil"/>
              <w:left w:val="nil"/>
              <w:bottom w:val="nil"/>
              <w:right w:val="single" w:sz="8" w:space="0" w:color="auto"/>
            </w:tcBorders>
            <w:shd w:val="clear" w:color="auto" w:fill="auto"/>
            <w:noWrap/>
            <w:vAlign w:val="bottom"/>
            <w:hideMark/>
          </w:tcPr>
          <w:p w14:paraId="25004F0B" w14:textId="77777777" w:rsidR="00A46C4F" w:rsidRPr="0055512B" w:rsidRDefault="0050135A" w:rsidP="001950BE">
            <w:pPr>
              <w:spacing w:line="276" w:lineRule="auto"/>
              <w:rPr>
                <w:rFonts w:cs="Arial"/>
                <w:b/>
                <w:bCs/>
                <w:color w:val="000000"/>
              </w:rPr>
            </w:pPr>
            <w:r w:rsidRPr="0055512B">
              <w:rPr>
                <w:rFonts w:cs="Arial"/>
                <w:b/>
                <w:bCs/>
                <w:color w:val="000000"/>
              </w:rPr>
              <w:t>93.8</w:t>
            </w:r>
            <w:r w:rsidR="00A46C4F" w:rsidRPr="0055512B">
              <w:rPr>
                <w:rFonts w:cs="Arial"/>
                <w:b/>
                <w:bCs/>
                <w:color w:val="000000"/>
              </w:rPr>
              <w:t>5%</w:t>
            </w:r>
          </w:p>
        </w:tc>
      </w:tr>
      <w:tr w:rsidR="00A46C4F" w:rsidRPr="0055512B" w14:paraId="0F773F0C" w14:textId="77777777" w:rsidTr="00122BFA">
        <w:trPr>
          <w:trHeight w:val="300"/>
        </w:trPr>
        <w:tc>
          <w:tcPr>
            <w:tcW w:w="6420" w:type="dxa"/>
            <w:gridSpan w:val="5"/>
            <w:tcBorders>
              <w:top w:val="nil"/>
              <w:left w:val="single" w:sz="8" w:space="0" w:color="auto"/>
              <w:bottom w:val="nil"/>
              <w:right w:val="nil"/>
            </w:tcBorders>
            <w:shd w:val="clear" w:color="auto" w:fill="auto"/>
            <w:noWrap/>
            <w:vAlign w:val="bottom"/>
            <w:hideMark/>
          </w:tcPr>
          <w:p w14:paraId="4C554A83" w14:textId="77777777" w:rsidR="00A46C4F" w:rsidRPr="0055512B" w:rsidRDefault="00A46C4F" w:rsidP="001950BE">
            <w:pPr>
              <w:spacing w:line="276" w:lineRule="auto"/>
              <w:rPr>
                <w:rFonts w:cs="Arial"/>
                <w:color w:val="000000"/>
              </w:rPr>
            </w:pPr>
            <w:r w:rsidRPr="0055512B">
              <w:rPr>
                <w:rFonts w:cs="Arial"/>
                <w:color w:val="000000"/>
              </w:rPr>
              <w:t>I.1</w:t>
            </w:r>
            <w:r w:rsidR="00676295" w:rsidRPr="0055512B">
              <w:rPr>
                <w:rFonts w:cs="Arial"/>
                <w:b/>
                <w:bCs/>
                <w:color w:val="000000"/>
              </w:rPr>
              <w:t xml:space="preserve"> Composante </w:t>
            </w:r>
            <w:r w:rsidRPr="0055512B">
              <w:rPr>
                <w:rFonts w:cs="Arial"/>
                <w:b/>
                <w:bCs/>
                <w:color w:val="000000"/>
              </w:rPr>
              <w:t xml:space="preserve"> I</w:t>
            </w:r>
            <w:r w:rsidR="00676295" w:rsidRPr="0055512B">
              <w:rPr>
                <w:rFonts w:cs="Arial"/>
                <w:color w:val="000000"/>
              </w:rPr>
              <w:t xml:space="preserve">: Renforcement institutionnel du </w:t>
            </w:r>
            <w:r w:rsidRPr="0055512B">
              <w:rPr>
                <w:rFonts w:cs="Arial"/>
                <w:color w:val="000000"/>
              </w:rPr>
              <w:t>CTE-MRPP</w:t>
            </w:r>
          </w:p>
        </w:tc>
        <w:tc>
          <w:tcPr>
            <w:tcW w:w="1300" w:type="dxa"/>
            <w:tcBorders>
              <w:top w:val="nil"/>
              <w:left w:val="nil"/>
              <w:bottom w:val="nil"/>
              <w:right w:val="nil"/>
            </w:tcBorders>
            <w:shd w:val="clear" w:color="auto" w:fill="auto"/>
            <w:noWrap/>
            <w:vAlign w:val="bottom"/>
            <w:hideMark/>
          </w:tcPr>
          <w:p w14:paraId="7F18637F" w14:textId="77777777" w:rsidR="00A46C4F" w:rsidRPr="0055512B" w:rsidRDefault="0050135A" w:rsidP="001950BE">
            <w:pPr>
              <w:spacing w:line="276" w:lineRule="auto"/>
              <w:rPr>
                <w:rFonts w:cs="Arial"/>
                <w:color w:val="000000"/>
              </w:rPr>
            </w:pPr>
            <w:r w:rsidRPr="0055512B">
              <w:rPr>
                <w:rFonts w:cs="Arial"/>
                <w:color w:val="000000"/>
              </w:rPr>
              <w:t>12</w:t>
            </w:r>
            <w:r w:rsidR="00A46C4F" w:rsidRPr="0055512B">
              <w:rPr>
                <w:rFonts w:cs="Arial"/>
                <w:color w:val="000000"/>
              </w:rPr>
              <w:t>,000,000</w:t>
            </w:r>
          </w:p>
        </w:tc>
        <w:tc>
          <w:tcPr>
            <w:tcW w:w="237" w:type="dxa"/>
            <w:tcBorders>
              <w:top w:val="nil"/>
              <w:left w:val="nil"/>
              <w:bottom w:val="nil"/>
              <w:right w:val="nil"/>
            </w:tcBorders>
            <w:shd w:val="clear" w:color="auto" w:fill="auto"/>
            <w:noWrap/>
            <w:vAlign w:val="bottom"/>
            <w:hideMark/>
          </w:tcPr>
          <w:p w14:paraId="65ADEC28" w14:textId="77777777" w:rsidR="00A46C4F" w:rsidRPr="0055512B" w:rsidRDefault="00A46C4F" w:rsidP="001950BE">
            <w:pPr>
              <w:spacing w:line="276" w:lineRule="auto"/>
              <w:rPr>
                <w:rFonts w:cs="Arial"/>
                <w:color w:val="000000"/>
              </w:rPr>
            </w:pPr>
          </w:p>
        </w:tc>
        <w:tc>
          <w:tcPr>
            <w:tcW w:w="1313" w:type="dxa"/>
            <w:tcBorders>
              <w:top w:val="nil"/>
              <w:left w:val="nil"/>
              <w:bottom w:val="nil"/>
              <w:right w:val="single" w:sz="8" w:space="0" w:color="auto"/>
            </w:tcBorders>
            <w:shd w:val="clear" w:color="auto" w:fill="auto"/>
            <w:noWrap/>
            <w:vAlign w:val="bottom"/>
            <w:hideMark/>
          </w:tcPr>
          <w:p w14:paraId="5C499F75" w14:textId="77777777" w:rsidR="00A46C4F" w:rsidRPr="0055512B" w:rsidRDefault="0050135A" w:rsidP="001950BE">
            <w:pPr>
              <w:spacing w:line="276" w:lineRule="auto"/>
              <w:rPr>
                <w:rFonts w:cs="Arial"/>
                <w:color w:val="000000"/>
              </w:rPr>
            </w:pPr>
            <w:r w:rsidRPr="0055512B">
              <w:rPr>
                <w:rFonts w:cs="Arial"/>
                <w:color w:val="000000"/>
              </w:rPr>
              <w:t>18</w:t>
            </w:r>
            <w:r w:rsidR="00A46C4F" w:rsidRPr="0055512B">
              <w:rPr>
                <w:rFonts w:cs="Arial"/>
                <w:color w:val="000000"/>
              </w:rPr>
              <w:t>.50%</w:t>
            </w:r>
          </w:p>
        </w:tc>
      </w:tr>
      <w:tr w:rsidR="00A46C4F" w:rsidRPr="0055512B" w14:paraId="68E9CC61" w14:textId="77777777" w:rsidTr="00122BFA">
        <w:trPr>
          <w:trHeight w:val="300"/>
        </w:trPr>
        <w:tc>
          <w:tcPr>
            <w:tcW w:w="6420" w:type="dxa"/>
            <w:gridSpan w:val="5"/>
            <w:tcBorders>
              <w:top w:val="nil"/>
              <w:left w:val="single" w:sz="8" w:space="0" w:color="auto"/>
              <w:bottom w:val="nil"/>
              <w:right w:val="nil"/>
            </w:tcBorders>
            <w:shd w:val="clear" w:color="auto" w:fill="auto"/>
            <w:noWrap/>
            <w:vAlign w:val="bottom"/>
            <w:hideMark/>
          </w:tcPr>
          <w:p w14:paraId="6CBA6648" w14:textId="77777777" w:rsidR="00A46C4F" w:rsidRPr="0055512B" w:rsidRDefault="00A46C4F" w:rsidP="001950BE">
            <w:pPr>
              <w:spacing w:line="276" w:lineRule="auto"/>
              <w:rPr>
                <w:rFonts w:cs="Arial"/>
                <w:color w:val="000000"/>
              </w:rPr>
            </w:pPr>
            <w:r w:rsidRPr="0055512B">
              <w:rPr>
                <w:rFonts w:cs="Arial"/>
                <w:color w:val="000000"/>
              </w:rPr>
              <w:t xml:space="preserve">I.2 </w:t>
            </w:r>
            <w:r w:rsidR="00676295" w:rsidRPr="0055512B">
              <w:rPr>
                <w:rFonts w:cs="Arial"/>
                <w:b/>
                <w:bCs/>
                <w:color w:val="000000"/>
              </w:rPr>
              <w:t xml:space="preserve">Composante </w:t>
            </w:r>
            <w:r w:rsidRPr="0055512B">
              <w:rPr>
                <w:rFonts w:cs="Arial"/>
                <w:b/>
                <w:bCs/>
                <w:color w:val="000000"/>
              </w:rPr>
              <w:t>II</w:t>
            </w:r>
            <w:r w:rsidRPr="0055512B">
              <w:rPr>
                <w:rFonts w:cs="Arial"/>
                <w:color w:val="000000"/>
              </w:rPr>
              <w:t xml:space="preserve">: </w:t>
            </w:r>
            <w:r w:rsidR="00676295" w:rsidRPr="0055512B">
              <w:rPr>
                <w:rFonts w:cs="Arial"/>
                <w:color w:val="000000"/>
              </w:rPr>
              <w:t>Support pour les opérations et entretien du CTE</w:t>
            </w:r>
          </w:p>
        </w:tc>
        <w:tc>
          <w:tcPr>
            <w:tcW w:w="1300" w:type="dxa"/>
            <w:tcBorders>
              <w:top w:val="nil"/>
              <w:left w:val="nil"/>
              <w:bottom w:val="nil"/>
              <w:right w:val="nil"/>
            </w:tcBorders>
            <w:shd w:val="clear" w:color="auto" w:fill="auto"/>
            <w:noWrap/>
            <w:vAlign w:val="bottom"/>
            <w:hideMark/>
          </w:tcPr>
          <w:p w14:paraId="45F2B777" w14:textId="77777777" w:rsidR="00A46C4F" w:rsidRPr="0055512B" w:rsidRDefault="00A46C4F" w:rsidP="001950BE">
            <w:pPr>
              <w:spacing w:line="276" w:lineRule="auto"/>
              <w:rPr>
                <w:rFonts w:cs="Arial"/>
                <w:color w:val="000000"/>
              </w:rPr>
            </w:pPr>
            <w:r w:rsidRPr="0055512B">
              <w:rPr>
                <w:rFonts w:cs="Arial"/>
                <w:color w:val="000000"/>
              </w:rPr>
              <w:t>2,500,000</w:t>
            </w:r>
          </w:p>
        </w:tc>
        <w:tc>
          <w:tcPr>
            <w:tcW w:w="237" w:type="dxa"/>
            <w:tcBorders>
              <w:top w:val="nil"/>
              <w:left w:val="nil"/>
              <w:bottom w:val="nil"/>
              <w:right w:val="nil"/>
            </w:tcBorders>
            <w:shd w:val="clear" w:color="auto" w:fill="auto"/>
            <w:noWrap/>
            <w:vAlign w:val="bottom"/>
            <w:hideMark/>
          </w:tcPr>
          <w:p w14:paraId="0B752BDF" w14:textId="77777777" w:rsidR="00A46C4F" w:rsidRPr="0055512B" w:rsidRDefault="00A46C4F" w:rsidP="001950BE">
            <w:pPr>
              <w:spacing w:line="276" w:lineRule="auto"/>
              <w:rPr>
                <w:rFonts w:cs="Arial"/>
                <w:color w:val="000000"/>
              </w:rPr>
            </w:pPr>
          </w:p>
        </w:tc>
        <w:tc>
          <w:tcPr>
            <w:tcW w:w="1313" w:type="dxa"/>
            <w:tcBorders>
              <w:top w:val="nil"/>
              <w:left w:val="nil"/>
              <w:bottom w:val="nil"/>
              <w:right w:val="single" w:sz="8" w:space="0" w:color="auto"/>
            </w:tcBorders>
            <w:shd w:val="clear" w:color="auto" w:fill="auto"/>
            <w:noWrap/>
            <w:vAlign w:val="bottom"/>
            <w:hideMark/>
          </w:tcPr>
          <w:p w14:paraId="2920C31C" w14:textId="77777777" w:rsidR="00A46C4F" w:rsidRPr="0055512B" w:rsidRDefault="0050135A" w:rsidP="001950BE">
            <w:pPr>
              <w:spacing w:line="276" w:lineRule="auto"/>
              <w:rPr>
                <w:rFonts w:cs="Arial"/>
                <w:color w:val="000000"/>
              </w:rPr>
            </w:pPr>
            <w:r w:rsidRPr="0055512B">
              <w:rPr>
                <w:rFonts w:cs="Arial"/>
                <w:color w:val="000000"/>
              </w:rPr>
              <w:t>3.84</w:t>
            </w:r>
            <w:r w:rsidR="00A46C4F" w:rsidRPr="0055512B">
              <w:rPr>
                <w:rFonts w:cs="Arial"/>
                <w:color w:val="000000"/>
              </w:rPr>
              <w:t>%</w:t>
            </w:r>
          </w:p>
        </w:tc>
      </w:tr>
      <w:tr w:rsidR="00A46C4F" w:rsidRPr="0055512B" w14:paraId="5546CF14" w14:textId="77777777" w:rsidTr="00122BFA">
        <w:trPr>
          <w:trHeight w:val="300"/>
        </w:trPr>
        <w:tc>
          <w:tcPr>
            <w:tcW w:w="6420" w:type="dxa"/>
            <w:gridSpan w:val="5"/>
            <w:tcBorders>
              <w:top w:val="nil"/>
              <w:left w:val="single" w:sz="8" w:space="0" w:color="auto"/>
              <w:bottom w:val="nil"/>
              <w:right w:val="nil"/>
            </w:tcBorders>
            <w:shd w:val="clear" w:color="auto" w:fill="auto"/>
            <w:noWrap/>
            <w:vAlign w:val="bottom"/>
            <w:hideMark/>
          </w:tcPr>
          <w:p w14:paraId="6C52A2D1" w14:textId="77777777" w:rsidR="00A46C4F" w:rsidRPr="0055512B" w:rsidRDefault="00A46C4F" w:rsidP="001950BE">
            <w:pPr>
              <w:spacing w:line="276" w:lineRule="auto"/>
              <w:rPr>
                <w:rFonts w:cs="Arial"/>
                <w:color w:val="000000"/>
              </w:rPr>
            </w:pPr>
            <w:r w:rsidRPr="0055512B">
              <w:rPr>
                <w:rFonts w:cs="Arial"/>
                <w:color w:val="000000"/>
              </w:rPr>
              <w:t>I.3</w:t>
            </w:r>
            <w:r w:rsidR="00676295" w:rsidRPr="0055512B">
              <w:rPr>
                <w:rFonts w:cs="Arial"/>
                <w:b/>
                <w:bCs/>
                <w:color w:val="000000"/>
              </w:rPr>
              <w:t xml:space="preserve"> Composante</w:t>
            </w:r>
            <w:r w:rsidRPr="0055512B">
              <w:rPr>
                <w:rFonts w:cs="Arial"/>
                <w:b/>
                <w:bCs/>
                <w:color w:val="000000"/>
              </w:rPr>
              <w:t xml:space="preserve"> III</w:t>
            </w:r>
            <w:r w:rsidRPr="0055512B">
              <w:rPr>
                <w:rFonts w:cs="Arial"/>
                <w:color w:val="000000"/>
              </w:rPr>
              <w:t xml:space="preserve">: </w:t>
            </w:r>
            <w:r w:rsidR="00676295" w:rsidRPr="0055512B">
              <w:rPr>
                <w:rFonts w:cs="Arial"/>
                <w:color w:val="000000"/>
              </w:rPr>
              <w:t xml:space="preserve">Investissements en travaux en eau potable dans la région métropolitaine de Port-au-Prince </w:t>
            </w:r>
          </w:p>
        </w:tc>
        <w:tc>
          <w:tcPr>
            <w:tcW w:w="1300" w:type="dxa"/>
            <w:tcBorders>
              <w:top w:val="nil"/>
              <w:left w:val="nil"/>
              <w:bottom w:val="nil"/>
              <w:right w:val="nil"/>
            </w:tcBorders>
            <w:shd w:val="clear" w:color="auto" w:fill="auto"/>
            <w:noWrap/>
            <w:vAlign w:val="bottom"/>
            <w:hideMark/>
          </w:tcPr>
          <w:p w14:paraId="393D1640" w14:textId="77777777" w:rsidR="00A46C4F" w:rsidRPr="0055512B" w:rsidRDefault="00A46C4F" w:rsidP="001950BE">
            <w:pPr>
              <w:spacing w:line="276" w:lineRule="auto"/>
              <w:rPr>
                <w:rFonts w:cs="Arial"/>
                <w:color w:val="000000"/>
              </w:rPr>
            </w:pPr>
            <w:r w:rsidRPr="0055512B">
              <w:rPr>
                <w:rFonts w:cs="Arial"/>
                <w:color w:val="000000"/>
              </w:rPr>
              <w:t>39,500,000</w:t>
            </w:r>
          </w:p>
        </w:tc>
        <w:tc>
          <w:tcPr>
            <w:tcW w:w="237" w:type="dxa"/>
            <w:tcBorders>
              <w:top w:val="nil"/>
              <w:left w:val="nil"/>
              <w:bottom w:val="nil"/>
              <w:right w:val="nil"/>
            </w:tcBorders>
            <w:shd w:val="clear" w:color="auto" w:fill="auto"/>
            <w:noWrap/>
            <w:vAlign w:val="bottom"/>
            <w:hideMark/>
          </w:tcPr>
          <w:p w14:paraId="778B657F" w14:textId="77777777" w:rsidR="00A46C4F" w:rsidRPr="0055512B" w:rsidRDefault="00A46C4F" w:rsidP="001950BE">
            <w:pPr>
              <w:spacing w:line="276" w:lineRule="auto"/>
              <w:rPr>
                <w:rFonts w:cs="Arial"/>
                <w:color w:val="000000"/>
              </w:rPr>
            </w:pPr>
          </w:p>
        </w:tc>
        <w:tc>
          <w:tcPr>
            <w:tcW w:w="1313" w:type="dxa"/>
            <w:tcBorders>
              <w:top w:val="nil"/>
              <w:left w:val="nil"/>
              <w:bottom w:val="nil"/>
              <w:right w:val="single" w:sz="8" w:space="0" w:color="auto"/>
            </w:tcBorders>
            <w:shd w:val="clear" w:color="auto" w:fill="auto"/>
            <w:noWrap/>
            <w:vAlign w:val="bottom"/>
            <w:hideMark/>
          </w:tcPr>
          <w:p w14:paraId="39C1A795" w14:textId="77777777" w:rsidR="00A46C4F" w:rsidRPr="0055512B" w:rsidRDefault="0050135A" w:rsidP="001950BE">
            <w:pPr>
              <w:spacing w:line="276" w:lineRule="auto"/>
              <w:rPr>
                <w:rFonts w:cs="Arial"/>
                <w:color w:val="000000"/>
              </w:rPr>
            </w:pPr>
            <w:r w:rsidRPr="0055512B">
              <w:rPr>
                <w:rFonts w:cs="Arial"/>
                <w:color w:val="000000"/>
              </w:rPr>
              <w:t>60.76</w:t>
            </w:r>
            <w:r w:rsidR="00A46C4F" w:rsidRPr="0055512B">
              <w:rPr>
                <w:rFonts w:cs="Arial"/>
                <w:color w:val="000000"/>
              </w:rPr>
              <w:t>%</w:t>
            </w:r>
          </w:p>
        </w:tc>
      </w:tr>
      <w:tr w:rsidR="00A46C4F" w:rsidRPr="0055512B" w14:paraId="731E72F2" w14:textId="77777777" w:rsidTr="00122BFA">
        <w:trPr>
          <w:trHeight w:val="72"/>
        </w:trPr>
        <w:tc>
          <w:tcPr>
            <w:tcW w:w="6420" w:type="dxa"/>
            <w:gridSpan w:val="5"/>
            <w:tcBorders>
              <w:top w:val="nil"/>
              <w:left w:val="single" w:sz="8" w:space="0" w:color="auto"/>
              <w:bottom w:val="nil"/>
              <w:right w:val="nil"/>
            </w:tcBorders>
            <w:shd w:val="clear" w:color="auto" w:fill="auto"/>
            <w:noWrap/>
            <w:vAlign w:val="bottom"/>
            <w:hideMark/>
          </w:tcPr>
          <w:p w14:paraId="188304D7" w14:textId="77777777" w:rsidR="00A46C4F" w:rsidRPr="0055512B" w:rsidRDefault="00A46C4F" w:rsidP="001950BE">
            <w:pPr>
              <w:spacing w:line="276" w:lineRule="auto"/>
              <w:rPr>
                <w:rFonts w:cs="Arial"/>
                <w:color w:val="000000"/>
              </w:rPr>
            </w:pPr>
            <w:r w:rsidRPr="0055512B">
              <w:rPr>
                <w:rFonts w:cs="Arial"/>
                <w:color w:val="000000"/>
              </w:rPr>
              <w:t>I.4</w:t>
            </w:r>
            <w:r w:rsidR="00676295" w:rsidRPr="0055512B">
              <w:rPr>
                <w:rFonts w:cs="Arial"/>
                <w:b/>
                <w:bCs/>
                <w:color w:val="000000"/>
              </w:rPr>
              <w:t xml:space="preserve"> Composante</w:t>
            </w:r>
            <w:r w:rsidRPr="0055512B">
              <w:rPr>
                <w:rFonts w:cs="Arial"/>
                <w:b/>
                <w:bCs/>
                <w:color w:val="000000"/>
              </w:rPr>
              <w:t xml:space="preserve"> IV</w:t>
            </w:r>
            <w:r w:rsidRPr="0055512B">
              <w:rPr>
                <w:rFonts w:cs="Arial"/>
                <w:color w:val="000000"/>
              </w:rPr>
              <w:t xml:space="preserve">: </w:t>
            </w:r>
            <w:r w:rsidR="00676295" w:rsidRPr="0055512B">
              <w:rPr>
                <w:rFonts w:cs="Arial"/>
                <w:color w:val="000000"/>
              </w:rPr>
              <w:t xml:space="preserve">Investissement en milieu rural dans des travaux d’urgence </w:t>
            </w:r>
          </w:p>
        </w:tc>
        <w:tc>
          <w:tcPr>
            <w:tcW w:w="1300" w:type="dxa"/>
            <w:tcBorders>
              <w:top w:val="nil"/>
              <w:left w:val="nil"/>
              <w:bottom w:val="nil"/>
              <w:right w:val="nil"/>
            </w:tcBorders>
            <w:shd w:val="clear" w:color="auto" w:fill="auto"/>
            <w:noWrap/>
            <w:vAlign w:val="bottom"/>
            <w:hideMark/>
          </w:tcPr>
          <w:p w14:paraId="755D6606" w14:textId="77777777" w:rsidR="00A46C4F" w:rsidRPr="0055512B" w:rsidRDefault="00A46C4F" w:rsidP="001950BE">
            <w:pPr>
              <w:spacing w:line="276" w:lineRule="auto"/>
              <w:rPr>
                <w:rFonts w:cs="Arial"/>
                <w:color w:val="000000"/>
              </w:rPr>
            </w:pPr>
            <w:r w:rsidRPr="0055512B">
              <w:rPr>
                <w:rFonts w:cs="Arial"/>
                <w:color w:val="000000"/>
              </w:rPr>
              <w:t>7,000,000</w:t>
            </w:r>
          </w:p>
        </w:tc>
        <w:tc>
          <w:tcPr>
            <w:tcW w:w="237" w:type="dxa"/>
            <w:tcBorders>
              <w:top w:val="nil"/>
              <w:left w:val="nil"/>
              <w:bottom w:val="nil"/>
              <w:right w:val="nil"/>
            </w:tcBorders>
            <w:shd w:val="clear" w:color="auto" w:fill="auto"/>
            <w:noWrap/>
            <w:vAlign w:val="bottom"/>
            <w:hideMark/>
          </w:tcPr>
          <w:p w14:paraId="1B1FDDAE" w14:textId="77777777" w:rsidR="00A46C4F" w:rsidRPr="0055512B" w:rsidRDefault="00A46C4F" w:rsidP="001950BE">
            <w:pPr>
              <w:spacing w:line="276" w:lineRule="auto"/>
              <w:rPr>
                <w:rFonts w:cs="Arial"/>
                <w:color w:val="000000"/>
              </w:rPr>
            </w:pPr>
          </w:p>
        </w:tc>
        <w:tc>
          <w:tcPr>
            <w:tcW w:w="1313" w:type="dxa"/>
            <w:tcBorders>
              <w:top w:val="nil"/>
              <w:left w:val="nil"/>
              <w:bottom w:val="nil"/>
              <w:right w:val="single" w:sz="8" w:space="0" w:color="auto"/>
            </w:tcBorders>
            <w:shd w:val="clear" w:color="auto" w:fill="auto"/>
            <w:noWrap/>
            <w:vAlign w:val="bottom"/>
            <w:hideMark/>
          </w:tcPr>
          <w:p w14:paraId="30882C76" w14:textId="77777777" w:rsidR="00A46C4F" w:rsidRPr="0055512B" w:rsidRDefault="0050135A" w:rsidP="001950BE">
            <w:pPr>
              <w:spacing w:line="276" w:lineRule="auto"/>
              <w:rPr>
                <w:rFonts w:cs="Arial"/>
                <w:color w:val="000000"/>
              </w:rPr>
            </w:pPr>
            <w:r w:rsidRPr="0055512B">
              <w:rPr>
                <w:rFonts w:cs="Arial"/>
                <w:color w:val="000000"/>
              </w:rPr>
              <w:t>10.76</w:t>
            </w:r>
            <w:r w:rsidR="00A46C4F" w:rsidRPr="0055512B">
              <w:rPr>
                <w:rFonts w:cs="Arial"/>
                <w:color w:val="000000"/>
              </w:rPr>
              <w:t>%</w:t>
            </w:r>
          </w:p>
        </w:tc>
      </w:tr>
      <w:tr w:rsidR="00A46C4F" w:rsidRPr="0055512B" w14:paraId="7B6150E2" w14:textId="77777777" w:rsidTr="00122BFA">
        <w:trPr>
          <w:trHeight w:val="300"/>
        </w:trPr>
        <w:tc>
          <w:tcPr>
            <w:tcW w:w="3806" w:type="dxa"/>
            <w:gridSpan w:val="3"/>
            <w:tcBorders>
              <w:top w:val="single" w:sz="4" w:space="0" w:color="auto"/>
              <w:left w:val="single" w:sz="8" w:space="0" w:color="auto"/>
              <w:bottom w:val="nil"/>
              <w:right w:val="nil"/>
            </w:tcBorders>
            <w:shd w:val="clear" w:color="auto" w:fill="auto"/>
            <w:noWrap/>
            <w:vAlign w:val="bottom"/>
            <w:hideMark/>
          </w:tcPr>
          <w:p w14:paraId="722CA413" w14:textId="77777777" w:rsidR="00A46C4F" w:rsidRPr="0055512B" w:rsidRDefault="002E05BA" w:rsidP="001950BE">
            <w:pPr>
              <w:spacing w:line="276" w:lineRule="auto"/>
              <w:rPr>
                <w:rFonts w:cs="Arial"/>
                <w:b/>
                <w:bCs/>
                <w:color w:val="000000"/>
              </w:rPr>
            </w:pPr>
            <w:r w:rsidRPr="0055512B">
              <w:rPr>
                <w:rFonts w:cs="Arial"/>
                <w:b/>
                <w:bCs/>
                <w:color w:val="000000"/>
              </w:rPr>
              <w:t xml:space="preserve">II. Administration de projet </w:t>
            </w:r>
          </w:p>
        </w:tc>
        <w:tc>
          <w:tcPr>
            <w:tcW w:w="2614" w:type="dxa"/>
            <w:gridSpan w:val="2"/>
            <w:tcBorders>
              <w:top w:val="single" w:sz="4" w:space="0" w:color="auto"/>
              <w:left w:val="nil"/>
              <w:bottom w:val="nil"/>
              <w:right w:val="nil"/>
            </w:tcBorders>
            <w:shd w:val="clear" w:color="auto" w:fill="auto"/>
            <w:noWrap/>
            <w:vAlign w:val="bottom"/>
            <w:hideMark/>
          </w:tcPr>
          <w:p w14:paraId="359F57FA" w14:textId="77777777" w:rsidR="00A46C4F" w:rsidRPr="0055512B" w:rsidRDefault="00A46C4F" w:rsidP="001950BE">
            <w:pPr>
              <w:spacing w:line="276" w:lineRule="auto"/>
              <w:rPr>
                <w:rFonts w:cs="Arial"/>
                <w:b/>
                <w:bCs/>
                <w:color w:val="000000"/>
              </w:rPr>
            </w:pPr>
            <w:r w:rsidRPr="0055512B">
              <w:rPr>
                <w:rFonts w:cs="Arial"/>
                <w:b/>
                <w:bCs/>
                <w:color w:val="000000"/>
              </w:rPr>
              <w:t> </w:t>
            </w:r>
          </w:p>
        </w:tc>
        <w:tc>
          <w:tcPr>
            <w:tcW w:w="1300" w:type="dxa"/>
            <w:tcBorders>
              <w:top w:val="single" w:sz="4" w:space="0" w:color="auto"/>
              <w:left w:val="nil"/>
              <w:bottom w:val="nil"/>
              <w:right w:val="nil"/>
            </w:tcBorders>
            <w:shd w:val="clear" w:color="auto" w:fill="auto"/>
            <w:noWrap/>
            <w:vAlign w:val="bottom"/>
            <w:hideMark/>
          </w:tcPr>
          <w:p w14:paraId="3CFEDB07" w14:textId="77777777" w:rsidR="00A46C4F" w:rsidRPr="0055512B" w:rsidRDefault="00A46C4F" w:rsidP="001950BE">
            <w:pPr>
              <w:spacing w:line="276" w:lineRule="auto"/>
              <w:rPr>
                <w:rFonts w:cs="Arial"/>
                <w:b/>
                <w:bCs/>
                <w:color w:val="000000"/>
              </w:rPr>
            </w:pPr>
            <w:r w:rsidRPr="0055512B">
              <w:rPr>
                <w:rFonts w:cs="Arial"/>
                <w:b/>
                <w:bCs/>
                <w:color w:val="000000"/>
              </w:rPr>
              <w:t>4,000,000</w:t>
            </w:r>
          </w:p>
        </w:tc>
        <w:tc>
          <w:tcPr>
            <w:tcW w:w="237" w:type="dxa"/>
            <w:tcBorders>
              <w:top w:val="single" w:sz="4" w:space="0" w:color="auto"/>
              <w:left w:val="nil"/>
              <w:bottom w:val="nil"/>
              <w:right w:val="nil"/>
            </w:tcBorders>
            <w:shd w:val="clear" w:color="auto" w:fill="auto"/>
            <w:noWrap/>
            <w:vAlign w:val="bottom"/>
            <w:hideMark/>
          </w:tcPr>
          <w:p w14:paraId="182560C8" w14:textId="77777777" w:rsidR="00A46C4F" w:rsidRPr="0055512B" w:rsidRDefault="00A46C4F" w:rsidP="001950BE">
            <w:pPr>
              <w:spacing w:line="276" w:lineRule="auto"/>
              <w:rPr>
                <w:rFonts w:cs="Arial"/>
                <w:b/>
                <w:bCs/>
                <w:color w:val="000000"/>
              </w:rPr>
            </w:pPr>
            <w:r w:rsidRPr="0055512B">
              <w:rPr>
                <w:rFonts w:cs="Arial"/>
                <w:b/>
                <w:bCs/>
                <w:color w:val="000000"/>
              </w:rPr>
              <w:t> </w:t>
            </w:r>
          </w:p>
        </w:tc>
        <w:tc>
          <w:tcPr>
            <w:tcW w:w="1313" w:type="dxa"/>
            <w:tcBorders>
              <w:top w:val="single" w:sz="4" w:space="0" w:color="auto"/>
              <w:left w:val="nil"/>
              <w:bottom w:val="nil"/>
              <w:right w:val="single" w:sz="8" w:space="0" w:color="auto"/>
            </w:tcBorders>
            <w:shd w:val="clear" w:color="auto" w:fill="auto"/>
            <w:noWrap/>
            <w:vAlign w:val="bottom"/>
            <w:hideMark/>
          </w:tcPr>
          <w:p w14:paraId="6CFE85D6" w14:textId="77777777" w:rsidR="00A46C4F" w:rsidRPr="0055512B" w:rsidRDefault="0050135A" w:rsidP="001950BE">
            <w:pPr>
              <w:spacing w:line="276" w:lineRule="auto"/>
              <w:rPr>
                <w:rFonts w:cs="Arial"/>
                <w:b/>
                <w:bCs/>
                <w:color w:val="000000"/>
              </w:rPr>
            </w:pPr>
            <w:r w:rsidRPr="0055512B">
              <w:rPr>
                <w:rFonts w:cs="Arial"/>
                <w:b/>
                <w:bCs/>
                <w:color w:val="000000"/>
              </w:rPr>
              <w:t>6.1</w:t>
            </w:r>
            <w:r w:rsidR="00A46C4F" w:rsidRPr="0055512B">
              <w:rPr>
                <w:rFonts w:cs="Arial"/>
                <w:b/>
                <w:bCs/>
                <w:color w:val="000000"/>
              </w:rPr>
              <w:t>5%</w:t>
            </w:r>
          </w:p>
        </w:tc>
      </w:tr>
      <w:tr w:rsidR="001950BE" w:rsidRPr="0055512B" w14:paraId="448A5BE5" w14:textId="77777777" w:rsidTr="00122BFA">
        <w:trPr>
          <w:trHeight w:val="300"/>
        </w:trPr>
        <w:tc>
          <w:tcPr>
            <w:tcW w:w="2024" w:type="dxa"/>
            <w:tcBorders>
              <w:top w:val="nil"/>
              <w:left w:val="single" w:sz="8" w:space="0" w:color="auto"/>
              <w:bottom w:val="nil"/>
              <w:right w:val="nil"/>
            </w:tcBorders>
            <w:shd w:val="clear" w:color="auto" w:fill="auto"/>
            <w:noWrap/>
            <w:vAlign w:val="bottom"/>
            <w:hideMark/>
          </w:tcPr>
          <w:p w14:paraId="5F68EEE7" w14:textId="77777777" w:rsidR="00A46C4F" w:rsidRPr="0055512B" w:rsidRDefault="00A46C4F" w:rsidP="001950BE">
            <w:pPr>
              <w:spacing w:line="276" w:lineRule="auto"/>
              <w:rPr>
                <w:rFonts w:cs="Arial"/>
                <w:color w:val="000000"/>
              </w:rPr>
            </w:pPr>
            <w:r w:rsidRPr="0055512B">
              <w:rPr>
                <w:rFonts w:cs="Arial"/>
                <w:color w:val="000000"/>
              </w:rPr>
              <w:t>II.1</w:t>
            </w:r>
          </w:p>
        </w:tc>
        <w:tc>
          <w:tcPr>
            <w:tcW w:w="1782" w:type="dxa"/>
            <w:gridSpan w:val="2"/>
            <w:tcBorders>
              <w:top w:val="nil"/>
              <w:left w:val="nil"/>
              <w:bottom w:val="nil"/>
              <w:right w:val="nil"/>
            </w:tcBorders>
            <w:shd w:val="clear" w:color="auto" w:fill="auto"/>
            <w:noWrap/>
            <w:vAlign w:val="bottom"/>
            <w:hideMark/>
          </w:tcPr>
          <w:p w14:paraId="57A1F70C" w14:textId="77777777" w:rsidR="002E05BA" w:rsidRPr="0055512B" w:rsidRDefault="002E05BA" w:rsidP="001950BE">
            <w:pPr>
              <w:spacing w:line="276" w:lineRule="auto"/>
              <w:rPr>
                <w:rFonts w:cs="Arial"/>
                <w:color w:val="000000"/>
              </w:rPr>
            </w:pPr>
            <w:r w:rsidRPr="0055512B">
              <w:rPr>
                <w:rFonts w:cs="Arial"/>
                <w:color w:val="000000"/>
              </w:rPr>
              <w:t xml:space="preserve">Unité d’exécution </w:t>
            </w:r>
          </w:p>
        </w:tc>
        <w:tc>
          <w:tcPr>
            <w:tcW w:w="2614" w:type="dxa"/>
            <w:gridSpan w:val="2"/>
            <w:tcBorders>
              <w:top w:val="nil"/>
              <w:left w:val="nil"/>
              <w:bottom w:val="nil"/>
              <w:right w:val="nil"/>
            </w:tcBorders>
            <w:shd w:val="clear" w:color="auto" w:fill="auto"/>
            <w:noWrap/>
            <w:vAlign w:val="bottom"/>
            <w:hideMark/>
          </w:tcPr>
          <w:p w14:paraId="7B8F6D1C" w14:textId="77777777" w:rsidR="00A46C4F" w:rsidRPr="0055512B" w:rsidRDefault="00A46C4F" w:rsidP="001950BE">
            <w:pPr>
              <w:spacing w:line="276" w:lineRule="auto"/>
              <w:rPr>
                <w:rFonts w:cs="Arial"/>
                <w:color w:val="000000"/>
              </w:rPr>
            </w:pPr>
          </w:p>
        </w:tc>
        <w:tc>
          <w:tcPr>
            <w:tcW w:w="1300" w:type="dxa"/>
            <w:tcBorders>
              <w:top w:val="nil"/>
              <w:left w:val="nil"/>
              <w:bottom w:val="nil"/>
              <w:right w:val="nil"/>
            </w:tcBorders>
            <w:shd w:val="clear" w:color="auto" w:fill="auto"/>
            <w:noWrap/>
            <w:vAlign w:val="bottom"/>
            <w:hideMark/>
          </w:tcPr>
          <w:p w14:paraId="4859BEA3" w14:textId="77777777" w:rsidR="00A46C4F" w:rsidRPr="0055512B" w:rsidRDefault="00A46C4F" w:rsidP="001950BE">
            <w:pPr>
              <w:spacing w:line="276" w:lineRule="auto"/>
              <w:rPr>
                <w:rFonts w:cs="Arial"/>
                <w:color w:val="000000"/>
              </w:rPr>
            </w:pPr>
            <w:r w:rsidRPr="0055512B">
              <w:rPr>
                <w:rFonts w:cs="Arial"/>
                <w:color w:val="000000"/>
              </w:rPr>
              <w:t>1,500,000</w:t>
            </w:r>
          </w:p>
        </w:tc>
        <w:tc>
          <w:tcPr>
            <w:tcW w:w="237" w:type="dxa"/>
            <w:tcBorders>
              <w:top w:val="nil"/>
              <w:left w:val="nil"/>
              <w:bottom w:val="nil"/>
              <w:right w:val="nil"/>
            </w:tcBorders>
            <w:shd w:val="clear" w:color="auto" w:fill="auto"/>
            <w:noWrap/>
            <w:vAlign w:val="bottom"/>
            <w:hideMark/>
          </w:tcPr>
          <w:p w14:paraId="35F3499C" w14:textId="77777777" w:rsidR="00A46C4F" w:rsidRPr="0055512B" w:rsidRDefault="00A46C4F" w:rsidP="001950BE">
            <w:pPr>
              <w:spacing w:line="276" w:lineRule="auto"/>
              <w:rPr>
                <w:rFonts w:cs="Arial"/>
                <w:color w:val="000000"/>
              </w:rPr>
            </w:pPr>
          </w:p>
        </w:tc>
        <w:tc>
          <w:tcPr>
            <w:tcW w:w="1313" w:type="dxa"/>
            <w:tcBorders>
              <w:top w:val="nil"/>
              <w:left w:val="nil"/>
              <w:bottom w:val="nil"/>
              <w:right w:val="single" w:sz="8" w:space="0" w:color="auto"/>
            </w:tcBorders>
            <w:shd w:val="clear" w:color="auto" w:fill="auto"/>
            <w:noWrap/>
            <w:vAlign w:val="bottom"/>
            <w:hideMark/>
          </w:tcPr>
          <w:p w14:paraId="515BA9B5" w14:textId="77777777" w:rsidR="00A46C4F" w:rsidRPr="0055512B" w:rsidRDefault="0050135A" w:rsidP="001950BE">
            <w:pPr>
              <w:spacing w:line="276" w:lineRule="auto"/>
              <w:rPr>
                <w:rFonts w:cs="Arial"/>
                <w:color w:val="000000"/>
              </w:rPr>
            </w:pPr>
            <w:r w:rsidRPr="0055512B">
              <w:rPr>
                <w:rFonts w:cs="Arial"/>
                <w:color w:val="000000"/>
              </w:rPr>
              <w:t>2.3</w:t>
            </w:r>
            <w:r w:rsidR="00A46C4F" w:rsidRPr="0055512B">
              <w:rPr>
                <w:rFonts w:cs="Arial"/>
                <w:color w:val="000000"/>
              </w:rPr>
              <w:t>%</w:t>
            </w:r>
          </w:p>
        </w:tc>
      </w:tr>
      <w:tr w:rsidR="00A46C4F" w:rsidRPr="0055512B" w14:paraId="403EBF87" w14:textId="77777777" w:rsidTr="00122BFA">
        <w:trPr>
          <w:trHeight w:val="300"/>
        </w:trPr>
        <w:tc>
          <w:tcPr>
            <w:tcW w:w="3806" w:type="dxa"/>
            <w:gridSpan w:val="3"/>
            <w:tcBorders>
              <w:top w:val="nil"/>
              <w:left w:val="single" w:sz="8" w:space="0" w:color="auto"/>
              <w:bottom w:val="nil"/>
              <w:right w:val="nil"/>
            </w:tcBorders>
            <w:shd w:val="clear" w:color="auto" w:fill="auto"/>
            <w:noWrap/>
            <w:vAlign w:val="bottom"/>
            <w:hideMark/>
          </w:tcPr>
          <w:p w14:paraId="0AF4438D" w14:textId="77777777" w:rsidR="00A46C4F" w:rsidRPr="0055512B" w:rsidRDefault="00A46C4F" w:rsidP="001950BE">
            <w:pPr>
              <w:spacing w:line="276" w:lineRule="auto"/>
              <w:rPr>
                <w:rFonts w:cs="Arial"/>
                <w:color w:val="000000"/>
              </w:rPr>
            </w:pPr>
            <w:r w:rsidRPr="0055512B">
              <w:rPr>
                <w:rFonts w:cs="Arial"/>
                <w:color w:val="000000"/>
              </w:rPr>
              <w:t xml:space="preserve">II.2 </w:t>
            </w:r>
            <w:r w:rsidR="002E05BA" w:rsidRPr="0055512B">
              <w:rPr>
                <w:rFonts w:cs="Arial"/>
                <w:b/>
                <w:bCs/>
                <w:color w:val="000000"/>
              </w:rPr>
              <w:t xml:space="preserve"> Coûts directs associés </w:t>
            </w:r>
          </w:p>
        </w:tc>
        <w:tc>
          <w:tcPr>
            <w:tcW w:w="2614" w:type="dxa"/>
            <w:gridSpan w:val="2"/>
            <w:tcBorders>
              <w:top w:val="nil"/>
              <w:left w:val="nil"/>
              <w:bottom w:val="nil"/>
              <w:right w:val="nil"/>
            </w:tcBorders>
            <w:shd w:val="clear" w:color="auto" w:fill="auto"/>
            <w:noWrap/>
            <w:vAlign w:val="bottom"/>
            <w:hideMark/>
          </w:tcPr>
          <w:p w14:paraId="57D02627" w14:textId="77777777" w:rsidR="00A46C4F" w:rsidRPr="0055512B" w:rsidRDefault="00A46C4F" w:rsidP="001950BE">
            <w:pPr>
              <w:spacing w:line="276" w:lineRule="auto"/>
              <w:rPr>
                <w:rFonts w:cs="Arial"/>
                <w:color w:val="000000"/>
              </w:rPr>
            </w:pPr>
          </w:p>
        </w:tc>
        <w:tc>
          <w:tcPr>
            <w:tcW w:w="1300" w:type="dxa"/>
            <w:tcBorders>
              <w:top w:val="nil"/>
              <w:left w:val="nil"/>
              <w:bottom w:val="nil"/>
              <w:right w:val="nil"/>
            </w:tcBorders>
            <w:shd w:val="clear" w:color="auto" w:fill="auto"/>
            <w:noWrap/>
            <w:vAlign w:val="bottom"/>
            <w:hideMark/>
          </w:tcPr>
          <w:p w14:paraId="67548D44" w14:textId="77777777" w:rsidR="00A46C4F" w:rsidRPr="0055512B" w:rsidRDefault="00A46C4F" w:rsidP="001950BE">
            <w:pPr>
              <w:spacing w:line="276" w:lineRule="auto"/>
              <w:rPr>
                <w:rFonts w:cs="Arial"/>
                <w:b/>
                <w:bCs/>
                <w:color w:val="000000"/>
              </w:rPr>
            </w:pPr>
            <w:r w:rsidRPr="0055512B">
              <w:rPr>
                <w:rFonts w:cs="Arial"/>
                <w:b/>
                <w:bCs/>
                <w:color w:val="000000"/>
              </w:rPr>
              <w:t>2,500,000</w:t>
            </w:r>
          </w:p>
        </w:tc>
        <w:tc>
          <w:tcPr>
            <w:tcW w:w="237" w:type="dxa"/>
            <w:tcBorders>
              <w:top w:val="nil"/>
              <w:left w:val="nil"/>
              <w:bottom w:val="nil"/>
              <w:right w:val="nil"/>
            </w:tcBorders>
            <w:shd w:val="clear" w:color="auto" w:fill="auto"/>
            <w:noWrap/>
            <w:vAlign w:val="bottom"/>
            <w:hideMark/>
          </w:tcPr>
          <w:p w14:paraId="31BC6782" w14:textId="77777777" w:rsidR="00A46C4F" w:rsidRPr="0055512B" w:rsidRDefault="00A46C4F" w:rsidP="001950BE">
            <w:pPr>
              <w:spacing w:line="276" w:lineRule="auto"/>
              <w:rPr>
                <w:rFonts w:cs="Arial"/>
                <w:b/>
                <w:bCs/>
                <w:color w:val="000000"/>
              </w:rPr>
            </w:pPr>
          </w:p>
        </w:tc>
        <w:tc>
          <w:tcPr>
            <w:tcW w:w="1313" w:type="dxa"/>
            <w:tcBorders>
              <w:top w:val="nil"/>
              <w:left w:val="nil"/>
              <w:bottom w:val="nil"/>
              <w:right w:val="single" w:sz="8" w:space="0" w:color="auto"/>
            </w:tcBorders>
            <w:shd w:val="clear" w:color="auto" w:fill="auto"/>
            <w:noWrap/>
            <w:vAlign w:val="bottom"/>
            <w:hideMark/>
          </w:tcPr>
          <w:p w14:paraId="23DBBF18" w14:textId="77777777" w:rsidR="00A46C4F" w:rsidRPr="0055512B" w:rsidRDefault="00A46C4F" w:rsidP="001950BE">
            <w:pPr>
              <w:spacing w:line="276" w:lineRule="auto"/>
              <w:rPr>
                <w:rFonts w:cs="Arial"/>
                <w:b/>
                <w:bCs/>
                <w:color w:val="000000"/>
              </w:rPr>
            </w:pPr>
            <w:r w:rsidRPr="0055512B">
              <w:rPr>
                <w:rFonts w:cs="Arial"/>
                <w:b/>
                <w:bCs/>
                <w:color w:val="000000"/>
              </w:rPr>
              <w:t>4.03%</w:t>
            </w:r>
          </w:p>
        </w:tc>
      </w:tr>
      <w:tr w:rsidR="001950BE" w:rsidRPr="0055512B" w14:paraId="7D7E3BBE" w14:textId="77777777" w:rsidTr="00122BFA">
        <w:trPr>
          <w:trHeight w:val="300"/>
        </w:trPr>
        <w:tc>
          <w:tcPr>
            <w:tcW w:w="2024" w:type="dxa"/>
            <w:tcBorders>
              <w:top w:val="nil"/>
              <w:left w:val="single" w:sz="8" w:space="0" w:color="auto"/>
              <w:bottom w:val="nil"/>
              <w:right w:val="nil"/>
            </w:tcBorders>
            <w:shd w:val="clear" w:color="auto" w:fill="auto"/>
            <w:noWrap/>
            <w:vAlign w:val="bottom"/>
            <w:hideMark/>
          </w:tcPr>
          <w:p w14:paraId="424686A5" w14:textId="77777777" w:rsidR="00A46C4F" w:rsidRPr="0055512B" w:rsidRDefault="00A46C4F" w:rsidP="001950BE">
            <w:pPr>
              <w:spacing w:line="276" w:lineRule="auto"/>
              <w:rPr>
                <w:rFonts w:cs="Arial"/>
                <w:color w:val="000000"/>
              </w:rPr>
            </w:pPr>
            <w:r w:rsidRPr="0055512B">
              <w:rPr>
                <w:rFonts w:cs="Arial"/>
                <w:color w:val="000000"/>
              </w:rPr>
              <w:t> </w:t>
            </w:r>
          </w:p>
        </w:tc>
        <w:tc>
          <w:tcPr>
            <w:tcW w:w="1782" w:type="dxa"/>
            <w:gridSpan w:val="2"/>
            <w:tcBorders>
              <w:top w:val="nil"/>
              <w:left w:val="nil"/>
              <w:bottom w:val="nil"/>
              <w:right w:val="nil"/>
            </w:tcBorders>
            <w:shd w:val="clear" w:color="auto" w:fill="auto"/>
            <w:noWrap/>
            <w:vAlign w:val="bottom"/>
            <w:hideMark/>
          </w:tcPr>
          <w:p w14:paraId="26A8314C" w14:textId="77777777" w:rsidR="00A46C4F" w:rsidRPr="0055512B" w:rsidRDefault="002E05BA" w:rsidP="001950BE">
            <w:pPr>
              <w:spacing w:line="276" w:lineRule="auto"/>
              <w:rPr>
                <w:rFonts w:cs="Arial"/>
                <w:color w:val="000000"/>
              </w:rPr>
            </w:pPr>
            <w:r w:rsidRPr="0055512B">
              <w:rPr>
                <w:rFonts w:cs="Arial"/>
                <w:color w:val="000000"/>
              </w:rPr>
              <w:t xml:space="preserve">Audit de projet </w:t>
            </w:r>
          </w:p>
        </w:tc>
        <w:tc>
          <w:tcPr>
            <w:tcW w:w="2614" w:type="dxa"/>
            <w:gridSpan w:val="2"/>
            <w:tcBorders>
              <w:top w:val="nil"/>
              <w:left w:val="nil"/>
              <w:bottom w:val="nil"/>
              <w:right w:val="nil"/>
            </w:tcBorders>
            <w:shd w:val="clear" w:color="auto" w:fill="auto"/>
            <w:noWrap/>
            <w:vAlign w:val="bottom"/>
            <w:hideMark/>
          </w:tcPr>
          <w:p w14:paraId="1D7803C8" w14:textId="77777777" w:rsidR="00A46C4F" w:rsidRPr="0055512B" w:rsidRDefault="00A46C4F" w:rsidP="001950BE">
            <w:pPr>
              <w:spacing w:line="276" w:lineRule="auto"/>
              <w:rPr>
                <w:rFonts w:cs="Arial"/>
                <w:color w:val="000000"/>
              </w:rPr>
            </w:pPr>
          </w:p>
        </w:tc>
        <w:tc>
          <w:tcPr>
            <w:tcW w:w="1300" w:type="dxa"/>
            <w:tcBorders>
              <w:top w:val="nil"/>
              <w:left w:val="nil"/>
              <w:bottom w:val="nil"/>
              <w:right w:val="nil"/>
            </w:tcBorders>
            <w:shd w:val="clear" w:color="auto" w:fill="auto"/>
            <w:noWrap/>
            <w:vAlign w:val="bottom"/>
            <w:hideMark/>
          </w:tcPr>
          <w:p w14:paraId="2035DAF6" w14:textId="77777777" w:rsidR="00A46C4F" w:rsidRPr="0055512B" w:rsidRDefault="00A46C4F" w:rsidP="001950BE">
            <w:pPr>
              <w:spacing w:line="276" w:lineRule="auto"/>
              <w:rPr>
                <w:rFonts w:cs="Arial"/>
                <w:color w:val="000000"/>
              </w:rPr>
            </w:pPr>
            <w:r w:rsidRPr="0055512B">
              <w:rPr>
                <w:rFonts w:cs="Arial"/>
                <w:color w:val="000000"/>
              </w:rPr>
              <w:t>375,000</w:t>
            </w:r>
          </w:p>
        </w:tc>
        <w:tc>
          <w:tcPr>
            <w:tcW w:w="237" w:type="dxa"/>
            <w:tcBorders>
              <w:top w:val="nil"/>
              <w:left w:val="nil"/>
              <w:bottom w:val="nil"/>
              <w:right w:val="nil"/>
            </w:tcBorders>
            <w:shd w:val="clear" w:color="auto" w:fill="auto"/>
            <w:noWrap/>
            <w:vAlign w:val="bottom"/>
            <w:hideMark/>
          </w:tcPr>
          <w:p w14:paraId="4D1DD7E6" w14:textId="77777777" w:rsidR="00A46C4F" w:rsidRPr="0055512B" w:rsidRDefault="00A46C4F" w:rsidP="001950BE">
            <w:pPr>
              <w:spacing w:line="276" w:lineRule="auto"/>
              <w:rPr>
                <w:rFonts w:cs="Arial"/>
                <w:color w:val="000000"/>
              </w:rPr>
            </w:pPr>
          </w:p>
        </w:tc>
        <w:tc>
          <w:tcPr>
            <w:tcW w:w="1313" w:type="dxa"/>
            <w:tcBorders>
              <w:top w:val="nil"/>
              <w:left w:val="nil"/>
              <w:bottom w:val="nil"/>
              <w:right w:val="single" w:sz="8" w:space="0" w:color="auto"/>
            </w:tcBorders>
            <w:shd w:val="clear" w:color="auto" w:fill="auto"/>
            <w:noWrap/>
            <w:vAlign w:val="bottom"/>
            <w:hideMark/>
          </w:tcPr>
          <w:p w14:paraId="0CF065CE" w14:textId="77777777" w:rsidR="00A46C4F" w:rsidRPr="0055512B" w:rsidRDefault="0050135A" w:rsidP="001950BE">
            <w:pPr>
              <w:spacing w:line="276" w:lineRule="auto"/>
              <w:rPr>
                <w:rFonts w:cs="Arial"/>
                <w:color w:val="000000"/>
              </w:rPr>
            </w:pPr>
            <w:r w:rsidRPr="0055512B">
              <w:rPr>
                <w:rFonts w:cs="Arial"/>
                <w:color w:val="000000"/>
              </w:rPr>
              <w:t>0.58</w:t>
            </w:r>
            <w:r w:rsidR="00A46C4F" w:rsidRPr="0055512B">
              <w:rPr>
                <w:rFonts w:cs="Arial"/>
                <w:color w:val="000000"/>
              </w:rPr>
              <w:t>%</w:t>
            </w:r>
          </w:p>
        </w:tc>
      </w:tr>
      <w:tr w:rsidR="00A46C4F" w:rsidRPr="0055512B" w14:paraId="3725F308" w14:textId="77777777" w:rsidTr="00122BFA">
        <w:trPr>
          <w:trHeight w:val="300"/>
        </w:trPr>
        <w:tc>
          <w:tcPr>
            <w:tcW w:w="2024" w:type="dxa"/>
            <w:tcBorders>
              <w:top w:val="nil"/>
              <w:left w:val="single" w:sz="8" w:space="0" w:color="auto"/>
              <w:bottom w:val="nil"/>
              <w:right w:val="nil"/>
            </w:tcBorders>
            <w:shd w:val="clear" w:color="auto" w:fill="auto"/>
            <w:noWrap/>
            <w:vAlign w:val="bottom"/>
            <w:hideMark/>
          </w:tcPr>
          <w:p w14:paraId="6EC6D2CB" w14:textId="77777777" w:rsidR="00A46C4F" w:rsidRPr="0055512B" w:rsidRDefault="00A46C4F" w:rsidP="001950BE">
            <w:pPr>
              <w:spacing w:line="276" w:lineRule="auto"/>
              <w:rPr>
                <w:rFonts w:cs="Arial"/>
                <w:color w:val="000000"/>
              </w:rPr>
            </w:pPr>
            <w:r w:rsidRPr="0055512B">
              <w:rPr>
                <w:rFonts w:cs="Arial"/>
                <w:color w:val="000000"/>
              </w:rPr>
              <w:t> </w:t>
            </w:r>
          </w:p>
        </w:tc>
        <w:tc>
          <w:tcPr>
            <w:tcW w:w="4396" w:type="dxa"/>
            <w:gridSpan w:val="4"/>
            <w:tcBorders>
              <w:top w:val="nil"/>
              <w:left w:val="nil"/>
              <w:bottom w:val="nil"/>
              <w:right w:val="nil"/>
            </w:tcBorders>
            <w:shd w:val="clear" w:color="auto" w:fill="auto"/>
            <w:noWrap/>
            <w:vAlign w:val="bottom"/>
            <w:hideMark/>
          </w:tcPr>
          <w:p w14:paraId="5C91AFCE" w14:textId="77777777" w:rsidR="00A46C4F" w:rsidRPr="0055512B" w:rsidRDefault="00751F4D" w:rsidP="001950BE">
            <w:pPr>
              <w:spacing w:line="276" w:lineRule="auto"/>
              <w:rPr>
                <w:rFonts w:cs="Arial"/>
                <w:color w:val="000000"/>
              </w:rPr>
            </w:pPr>
            <w:r w:rsidRPr="0055512B">
              <w:rPr>
                <w:rFonts w:cs="Arial"/>
                <w:color w:val="000000"/>
              </w:rPr>
              <w:t>Analyses</w:t>
            </w:r>
            <w:r w:rsidR="00F874AA" w:rsidRPr="0055512B">
              <w:rPr>
                <w:rFonts w:cs="Arial"/>
                <w:color w:val="000000"/>
              </w:rPr>
              <w:t xml:space="preserve"> environnementales et sociales</w:t>
            </w:r>
            <w:r w:rsidR="00DB3E01" w:rsidRPr="0055512B">
              <w:rPr>
                <w:rStyle w:val="FootnoteReference"/>
                <w:rFonts w:cs="Arial"/>
                <w:color w:val="000000"/>
              </w:rPr>
              <w:footnoteReference w:id="3"/>
            </w:r>
            <w:r w:rsidR="00F874AA" w:rsidRPr="0055512B">
              <w:rPr>
                <w:rFonts w:cs="Arial"/>
                <w:color w:val="000000"/>
              </w:rPr>
              <w:t xml:space="preserve">, </w:t>
            </w:r>
            <w:r w:rsidR="00DB3E01" w:rsidRPr="0055512B">
              <w:rPr>
                <w:rFonts w:cs="Arial"/>
                <w:color w:val="000000"/>
              </w:rPr>
              <w:t>Diffusion et consultations</w:t>
            </w:r>
            <w:r w:rsidR="00DB3E01" w:rsidRPr="0055512B">
              <w:rPr>
                <w:rStyle w:val="FootnoteReference"/>
                <w:rFonts w:cs="Arial"/>
                <w:color w:val="000000"/>
              </w:rPr>
              <w:footnoteReference w:id="4"/>
            </w:r>
            <w:r w:rsidR="00DB3E01" w:rsidRPr="0055512B">
              <w:rPr>
                <w:rFonts w:cs="Arial"/>
                <w:color w:val="000000"/>
              </w:rPr>
              <w:t xml:space="preserve">,  </w:t>
            </w:r>
            <w:r w:rsidR="00F874AA" w:rsidRPr="0055512B">
              <w:rPr>
                <w:rFonts w:cs="Arial"/>
                <w:color w:val="000000"/>
              </w:rPr>
              <w:t xml:space="preserve">et </w:t>
            </w:r>
            <w:r w:rsidR="002E05BA" w:rsidRPr="0055512B">
              <w:rPr>
                <w:rFonts w:cs="Arial"/>
                <w:color w:val="000000"/>
              </w:rPr>
              <w:t>Suivi environnemental</w:t>
            </w:r>
            <w:r w:rsidR="00F874AA" w:rsidRPr="0055512B">
              <w:rPr>
                <w:rFonts w:cs="Arial"/>
                <w:color w:val="000000"/>
              </w:rPr>
              <w:t xml:space="preserve"> et sociale</w:t>
            </w:r>
          </w:p>
        </w:tc>
        <w:tc>
          <w:tcPr>
            <w:tcW w:w="1300" w:type="dxa"/>
            <w:tcBorders>
              <w:top w:val="nil"/>
              <w:left w:val="nil"/>
              <w:bottom w:val="nil"/>
              <w:right w:val="nil"/>
            </w:tcBorders>
            <w:shd w:val="clear" w:color="auto" w:fill="auto"/>
            <w:noWrap/>
            <w:vAlign w:val="bottom"/>
            <w:hideMark/>
          </w:tcPr>
          <w:p w14:paraId="5C1247A1" w14:textId="77777777" w:rsidR="00A46C4F" w:rsidRPr="0055512B" w:rsidRDefault="00A46C4F" w:rsidP="001950BE">
            <w:pPr>
              <w:spacing w:line="276" w:lineRule="auto"/>
              <w:rPr>
                <w:rFonts w:cs="Arial"/>
                <w:color w:val="000000"/>
              </w:rPr>
            </w:pPr>
            <w:r w:rsidRPr="0055512B">
              <w:rPr>
                <w:rFonts w:cs="Arial"/>
                <w:color w:val="000000"/>
              </w:rPr>
              <w:t>200,000</w:t>
            </w:r>
          </w:p>
        </w:tc>
        <w:tc>
          <w:tcPr>
            <w:tcW w:w="237" w:type="dxa"/>
            <w:tcBorders>
              <w:top w:val="nil"/>
              <w:left w:val="nil"/>
              <w:bottom w:val="nil"/>
              <w:right w:val="nil"/>
            </w:tcBorders>
            <w:shd w:val="clear" w:color="auto" w:fill="auto"/>
            <w:noWrap/>
            <w:vAlign w:val="bottom"/>
            <w:hideMark/>
          </w:tcPr>
          <w:p w14:paraId="4452C481" w14:textId="77777777" w:rsidR="00A46C4F" w:rsidRPr="0055512B" w:rsidRDefault="00A46C4F" w:rsidP="001950BE">
            <w:pPr>
              <w:spacing w:line="276" w:lineRule="auto"/>
              <w:rPr>
                <w:rFonts w:cs="Arial"/>
                <w:color w:val="000000"/>
              </w:rPr>
            </w:pPr>
          </w:p>
        </w:tc>
        <w:tc>
          <w:tcPr>
            <w:tcW w:w="1313" w:type="dxa"/>
            <w:tcBorders>
              <w:top w:val="nil"/>
              <w:left w:val="nil"/>
              <w:bottom w:val="nil"/>
              <w:right w:val="single" w:sz="8" w:space="0" w:color="auto"/>
            </w:tcBorders>
            <w:shd w:val="clear" w:color="auto" w:fill="auto"/>
            <w:noWrap/>
            <w:vAlign w:val="bottom"/>
            <w:hideMark/>
          </w:tcPr>
          <w:p w14:paraId="36495A9C" w14:textId="77777777" w:rsidR="00A46C4F" w:rsidRPr="0055512B" w:rsidRDefault="0050135A" w:rsidP="001950BE">
            <w:pPr>
              <w:spacing w:line="276" w:lineRule="auto"/>
              <w:rPr>
                <w:rFonts w:cs="Arial"/>
                <w:color w:val="000000"/>
              </w:rPr>
            </w:pPr>
            <w:r w:rsidRPr="0055512B">
              <w:rPr>
                <w:rFonts w:cs="Arial"/>
                <w:color w:val="000000"/>
              </w:rPr>
              <w:t>0.31</w:t>
            </w:r>
            <w:r w:rsidR="00A46C4F" w:rsidRPr="0055512B">
              <w:rPr>
                <w:rFonts w:cs="Arial"/>
                <w:color w:val="000000"/>
              </w:rPr>
              <w:t>%</w:t>
            </w:r>
          </w:p>
        </w:tc>
      </w:tr>
      <w:tr w:rsidR="00A46C4F" w:rsidRPr="0055512B" w14:paraId="76CDDE79" w14:textId="77777777" w:rsidTr="00122BFA">
        <w:trPr>
          <w:trHeight w:val="300"/>
        </w:trPr>
        <w:tc>
          <w:tcPr>
            <w:tcW w:w="2024" w:type="dxa"/>
            <w:tcBorders>
              <w:top w:val="nil"/>
              <w:left w:val="single" w:sz="8" w:space="0" w:color="auto"/>
              <w:bottom w:val="nil"/>
              <w:right w:val="nil"/>
            </w:tcBorders>
            <w:shd w:val="clear" w:color="auto" w:fill="auto"/>
            <w:noWrap/>
            <w:vAlign w:val="bottom"/>
            <w:hideMark/>
          </w:tcPr>
          <w:p w14:paraId="45E94403" w14:textId="77777777" w:rsidR="00A46C4F" w:rsidRPr="0055512B" w:rsidRDefault="00A46C4F" w:rsidP="001950BE">
            <w:pPr>
              <w:spacing w:line="276" w:lineRule="auto"/>
              <w:rPr>
                <w:rFonts w:cs="Arial"/>
                <w:color w:val="000000"/>
              </w:rPr>
            </w:pPr>
            <w:r w:rsidRPr="0055512B">
              <w:rPr>
                <w:rFonts w:cs="Arial"/>
                <w:color w:val="000000"/>
              </w:rPr>
              <w:t> </w:t>
            </w:r>
          </w:p>
        </w:tc>
        <w:tc>
          <w:tcPr>
            <w:tcW w:w="4396" w:type="dxa"/>
            <w:gridSpan w:val="4"/>
            <w:tcBorders>
              <w:top w:val="nil"/>
              <w:left w:val="nil"/>
              <w:bottom w:val="nil"/>
              <w:right w:val="nil"/>
            </w:tcBorders>
            <w:shd w:val="clear" w:color="auto" w:fill="auto"/>
            <w:noWrap/>
            <w:vAlign w:val="bottom"/>
            <w:hideMark/>
          </w:tcPr>
          <w:p w14:paraId="20E2F338" w14:textId="77777777" w:rsidR="00A46C4F" w:rsidRPr="0055512B" w:rsidRDefault="002E05BA" w:rsidP="001950BE">
            <w:pPr>
              <w:spacing w:line="276" w:lineRule="auto"/>
              <w:rPr>
                <w:rFonts w:cs="Arial"/>
                <w:color w:val="000000"/>
              </w:rPr>
            </w:pPr>
            <w:r w:rsidRPr="0055512B">
              <w:rPr>
                <w:rFonts w:cs="Arial"/>
                <w:color w:val="000000"/>
              </w:rPr>
              <w:t xml:space="preserve">Suivi et évaluation (en incluant évaluation d’impact)  </w:t>
            </w:r>
          </w:p>
        </w:tc>
        <w:tc>
          <w:tcPr>
            <w:tcW w:w="1300" w:type="dxa"/>
            <w:tcBorders>
              <w:top w:val="nil"/>
              <w:left w:val="nil"/>
              <w:bottom w:val="nil"/>
              <w:right w:val="nil"/>
            </w:tcBorders>
            <w:shd w:val="clear" w:color="auto" w:fill="auto"/>
            <w:noWrap/>
            <w:vAlign w:val="bottom"/>
            <w:hideMark/>
          </w:tcPr>
          <w:p w14:paraId="3D9973CD" w14:textId="77777777" w:rsidR="00A46C4F" w:rsidRPr="0055512B" w:rsidRDefault="00A46C4F" w:rsidP="001950BE">
            <w:pPr>
              <w:spacing w:line="276" w:lineRule="auto"/>
              <w:rPr>
                <w:rFonts w:cs="Arial"/>
                <w:color w:val="000000"/>
              </w:rPr>
            </w:pPr>
            <w:r w:rsidRPr="0055512B">
              <w:rPr>
                <w:rFonts w:cs="Arial"/>
                <w:color w:val="000000"/>
              </w:rPr>
              <w:t>1,500,000</w:t>
            </w:r>
          </w:p>
        </w:tc>
        <w:tc>
          <w:tcPr>
            <w:tcW w:w="237" w:type="dxa"/>
            <w:tcBorders>
              <w:top w:val="nil"/>
              <w:left w:val="nil"/>
              <w:bottom w:val="nil"/>
              <w:right w:val="nil"/>
            </w:tcBorders>
            <w:shd w:val="clear" w:color="auto" w:fill="auto"/>
            <w:noWrap/>
            <w:vAlign w:val="bottom"/>
            <w:hideMark/>
          </w:tcPr>
          <w:p w14:paraId="42FC4BC0" w14:textId="77777777" w:rsidR="00A46C4F" w:rsidRPr="0055512B" w:rsidRDefault="00A46C4F" w:rsidP="001950BE">
            <w:pPr>
              <w:spacing w:line="276" w:lineRule="auto"/>
              <w:rPr>
                <w:rFonts w:cs="Arial"/>
                <w:color w:val="000000"/>
              </w:rPr>
            </w:pPr>
          </w:p>
        </w:tc>
        <w:tc>
          <w:tcPr>
            <w:tcW w:w="1313" w:type="dxa"/>
            <w:tcBorders>
              <w:top w:val="nil"/>
              <w:left w:val="nil"/>
              <w:bottom w:val="nil"/>
              <w:right w:val="single" w:sz="8" w:space="0" w:color="auto"/>
            </w:tcBorders>
            <w:shd w:val="clear" w:color="auto" w:fill="auto"/>
            <w:noWrap/>
            <w:vAlign w:val="bottom"/>
            <w:hideMark/>
          </w:tcPr>
          <w:p w14:paraId="63F2DB24" w14:textId="77777777" w:rsidR="00A46C4F" w:rsidRPr="0055512B" w:rsidRDefault="0050135A" w:rsidP="001950BE">
            <w:pPr>
              <w:spacing w:line="276" w:lineRule="auto"/>
              <w:rPr>
                <w:rFonts w:cs="Arial"/>
                <w:color w:val="000000"/>
              </w:rPr>
            </w:pPr>
            <w:r w:rsidRPr="0055512B">
              <w:rPr>
                <w:rFonts w:cs="Arial"/>
                <w:color w:val="000000"/>
              </w:rPr>
              <w:t>2.30</w:t>
            </w:r>
            <w:r w:rsidR="00A46C4F" w:rsidRPr="0055512B">
              <w:rPr>
                <w:rFonts w:cs="Arial"/>
                <w:color w:val="000000"/>
              </w:rPr>
              <w:t>%</w:t>
            </w:r>
          </w:p>
        </w:tc>
      </w:tr>
      <w:tr w:rsidR="001950BE" w:rsidRPr="0055512B" w14:paraId="4F64C200" w14:textId="77777777" w:rsidTr="00122BFA">
        <w:trPr>
          <w:trHeight w:val="126"/>
        </w:trPr>
        <w:tc>
          <w:tcPr>
            <w:tcW w:w="2024" w:type="dxa"/>
            <w:tcBorders>
              <w:top w:val="nil"/>
              <w:left w:val="single" w:sz="8" w:space="0" w:color="auto"/>
              <w:bottom w:val="single" w:sz="4" w:space="0" w:color="auto"/>
              <w:right w:val="nil"/>
            </w:tcBorders>
            <w:shd w:val="clear" w:color="auto" w:fill="auto"/>
            <w:noWrap/>
            <w:vAlign w:val="bottom"/>
            <w:hideMark/>
          </w:tcPr>
          <w:p w14:paraId="52DCC576" w14:textId="77777777" w:rsidR="00A46C4F" w:rsidRPr="0055512B" w:rsidRDefault="00A46C4F" w:rsidP="001950BE">
            <w:pPr>
              <w:spacing w:line="276" w:lineRule="auto"/>
              <w:rPr>
                <w:rFonts w:cs="Arial"/>
                <w:color w:val="000000"/>
              </w:rPr>
            </w:pPr>
            <w:r w:rsidRPr="0055512B">
              <w:rPr>
                <w:rFonts w:cs="Arial"/>
                <w:color w:val="000000"/>
              </w:rPr>
              <w:t> </w:t>
            </w:r>
          </w:p>
        </w:tc>
        <w:tc>
          <w:tcPr>
            <w:tcW w:w="1782" w:type="dxa"/>
            <w:gridSpan w:val="2"/>
            <w:tcBorders>
              <w:top w:val="nil"/>
              <w:left w:val="nil"/>
              <w:bottom w:val="single" w:sz="4" w:space="0" w:color="auto"/>
              <w:right w:val="nil"/>
            </w:tcBorders>
            <w:shd w:val="clear" w:color="auto" w:fill="auto"/>
            <w:noWrap/>
            <w:vAlign w:val="bottom"/>
            <w:hideMark/>
          </w:tcPr>
          <w:p w14:paraId="7A90234B" w14:textId="77777777" w:rsidR="00A46C4F" w:rsidRPr="0055512B" w:rsidRDefault="002E05BA" w:rsidP="001950BE">
            <w:pPr>
              <w:spacing w:line="276" w:lineRule="auto"/>
              <w:rPr>
                <w:rFonts w:cs="Arial"/>
                <w:color w:val="000000"/>
              </w:rPr>
            </w:pPr>
            <w:r w:rsidRPr="0055512B">
              <w:rPr>
                <w:rFonts w:cs="Arial"/>
                <w:color w:val="000000"/>
              </w:rPr>
              <w:t>Contingenc</w:t>
            </w:r>
            <w:r w:rsidR="00A46C4F" w:rsidRPr="0055512B">
              <w:rPr>
                <w:rFonts w:cs="Arial"/>
                <w:color w:val="000000"/>
              </w:rPr>
              <w:t>es</w:t>
            </w:r>
          </w:p>
        </w:tc>
        <w:tc>
          <w:tcPr>
            <w:tcW w:w="2614" w:type="dxa"/>
            <w:gridSpan w:val="2"/>
            <w:tcBorders>
              <w:top w:val="nil"/>
              <w:left w:val="nil"/>
              <w:bottom w:val="single" w:sz="4" w:space="0" w:color="auto"/>
              <w:right w:val="nil"/>
            </w:tcBorders>
            <w:shd w:val="clear" w:color="auto" w:fill="auto"/>
            <w:noWrap/>
            <w:vAlign w:val="bottom"/>
            <w:hideMark/>
          </w:tcPr>
          <w:p w14:paraId="06A6F5E0" w14:textId="77777777" w:rsidR="00A46C4F" w:rsidRPr="0055512B" w:rsidRDefault="00A46C4F" w:rsidP="001950BE">
            <w:pPr>
              <w:spacing w:line="276" w:lineRule="auto"/>
              <w:rPr>
                <w:rFonts w:cs="Arial"/>
                <w:color w:val="000000"/>
              </w:rPr>
            </w:pPr>
            <w:r w:rsidRPr="0055512B">
              <w:rPr>
                <w:rFonts w:cs="Arial"/>
                <w:color w:val="000000"/>
              </w:rPr>
              <w:t> </w:t>
            </w:r>
          </w:p>
        </w:tc>
        <w:tc>
          <w:tcPr>
            <w:tcW w:w="1300" w:type="dxa"/>
            <w:tcBorders>
              <w:top w:val="nil"/>
              <w:left w:val="nil"/>
              <w:bottom w:val="single" w:sz="4" w:space="0" w:color="auto"/>
              <w:right w:val="nil"/>
            </w:tcBorders>
            <w:shd w:val="clear" w:color="auto" w:fill="auto"/>
            <w:noWrap/>
            <w:vAlign w:val="bottom"/>
            <w:hideMark/>
          </w:tcPr>
          <w:p w14:paraId="4E334F24" w14:textId="77777777" w:rsidR="00A46C4F" w:rsidRPr="0055512B" w:rsidRDefault="00A46C4F" w:rsidP="001950BE">
            <w:pPr>
              <w:spacing w:line="276" w:lineRule="auto"/>
              <w:rPr>
                <w:rFonts w:cs="Arial"/>
                <w:color w:val="000000"/>
              </w:rPr>
            </w:pPr>
            <w:r w:rsidRPr="0055512B">
              <w:rPr>
                <w:rFonts w:cs="Arial"/>
                <w:color w:val="000000"/>
              </w:rPr>
              <w:t>425,000</w:t>
            </w:r>
          </w:p>
        </w:tc>
        <w:tc>
          <w:tcPr>
            <w:tcW w:w="237" w:type="dxa"/>
            <w:tcBorders>
              <w:top w:val="nil"/>
              <w:left w:val="nil"/>
              <w:bottom w:val="single" w:sz="4" w:space="0" w:color="auto"/>
              <w:right w:val="nil"/>
            </w:tcBorders>
            <w:shd w:val="clear" w:color="auto" w:fill="auto"/>
            <w:noWrap/>
            <w:vAlign w:val="bottom"/>
            <w:hideMark/>
          </w:tcPr>
          <w:p w14:paraId="216FFDD5" w14:textId="77777777" w:rsidR="00A46C4F" w:rsidRPr="0055512B" w:rsidRDefault="00A46C4F" w:rsidP="001950BE">
            <w:pPr>
              <w:spacing w:line="276" w:lineRule="auto"/>
              <w:rPr>
                <w:rFonts w:cs="Arial"/>
                <w:color w:val="000000"/>
              </w:rPr>
            </w:pPr>
            <w:r w:rsidRPr="0055512B">
              <w:rPr>
                <w:rFonts w:cs="Arial"/>
                <w:color w:val="000000"/>
              </w:rPr>
              <w:t> </w:t>
            </w:r>
          </w:p>
        </w:tc>
        <w:tc>
          <w:tcPr>
            <w:tcW w:w="1313" w:type="dxa"/>
            <w:tcBorders>
              <w:top w:val="nil"/>
              <w:left w:val="nil"/>
              <w:bottom w:val="single" w:sz="4" w:space="0" w:color="auto"/>
              <w:right w:val="single" w:sz="8" w:space="0" w:color="auto"/>
            </w:tcBorders>
            <w:shd w:val="clear" w:color="auto" w:fill="auto"/>
            <w:noWrap/>
            <w:vAlign w:val="bottom"/>
            <w:hideMark/>
          </w:tcPr>
          <w:p w14:paraId="6069A17A" w14:textId="77777777" w:rsidR="00A46C4F" w:rsidRPr="0055512B" w:rsidRDefault="00A46C4F" w:rsidP="001950BE">
            <w:pPr>
              <w:spacing w:line="276" w:lineRule="auto"/>
              <w:rPr>
                <w:rFonts w:cs="Arial"/>
                <w:color w:val="000000"/>
              </w:rPr>
            </w:pPr>
            <w:r w:rsidRPr="0055512B">
              <w:rPr>
                <w:rFonts w:cs="Arial"/>
                <w:color w:val="000000"/>
              </w:rPr>
              <w:t>0.65%</w:t>
            </w:r>
          </w:p>
        </w:tc>
      </w:tr>
      <w:tr w:rsidR="001950BE" w:rsidRPr="0055512B" w14:paraId="6747FC03" w14:textId="77777777" w:rsidTr="00122BFA">
        <w:trPr>
          <w:trHeight w:val="242"/>
        </w:trPr>
        <w:tc>
          <w:tcPr>
            <w:tcW w:w="2915" w:type="dxa"/>
            <w:gridSpan w:val="2"/>
            <w:tcBorders>
              <w:top w:val="single" w:sz="4" w:space="0" w:color="auto"/>
              <w:left w:val="single" w:sz="8" w:space="0" w:color="auto"/>
              <w:bottom w:val="single" w:sz="8" w:space="0" w:color="auto"/>
              <w:right w:val="nil"/>
            </w:tcBorders>
            <w:shd w:val="clear" w:color="auto" w:fill="C4BC96" w:themeFill="background2" w:themeFillShade="BF"/>
            <w:noWrap/>
            <w:vAlign w:val="bottom"/>
            <w:hideMark/>
          </w:tcPr>
          <w:p w14:paraId="67735D6E" w14:textId="77777777" w:rsidR="00A46C4F" w:rsidRPr="0055512B" w:rsidRDefault="002E05BA" w:rsidP="001950BE">
            <w:pPr>
              <w:spacing w:line="276" w:lineRule="auto"/>
              <w:rPr>
                <w:rFonts w:cs="Arial"/>
                <w:b/>
                <w:bCs/>
                <w:color w:val="000000"/>
              </w:rPr>
            </w:pPr>
            <w:r w:rsidRPr="0055512B">
              <w:rPr>
                <w:rFonts w:cs="Arial"/>
                <w:b/>
                <w:bCs/>
                <w:color w:val="000000"/>
              </w:rPr>
              <w:t>Coûts totaux</w:t>
            </w:r>
          </w:p>
        </w:tc>
        <w:tc>
          <w:tcPr>
            <w:tcW w:w="891" w:type="dxa"/>
            <w:tcBorders>
              <w:top w:val="nil"/>
              <w:left w:val="nil"/>
              <w:bottom w:val="single" w:sz="8" w:space="0" w:color="auto"/>
              <w:right w:val="nil"/>
            </w:tcBorders>
            <w:shd w:val="clear" w:color="auto" w:fill="C4BC96" w:themeFill="background2" w:themeFillShade="BF"/>
            <w:noWrap/>
            <w:vAlign w:val="bottom"/>
            <w:hideMark/>
          </w:tcPr>
          <w:p w14:paraId="4FD42039" w14:textId="77777777" w:rsidR="00A46C4F" w:rsidRPr="0055512B" w:rsidRDefault="00A46C4F" w:rsidP="001950BE">
            <w:pPr>
              <w:spacing w:line="276" w:lineRule="auto"/>
              <w:rPr>
                <w:rFonts w:cs="Arial"/>
                <w:b/>
                <w:bCs/>
                <w:color w:val="000000"/>
              </w:rPr>
            </w:pPr>
            <w:r w:rsidRPr="0055512B">
              <w:rPr>
                <w:rFonts w:cs="Arial"/>
                <w:b/>
                <w:bCs/>
                <w:color w:val="000000"/>
              </w:rPr>
              <w:t> </w:t>
            </w:r>
          </w:p>
        </w:tc>
        <w:tc>
          <w:tcPr>
            <w:tcW w:w="2614" w:type="dxa"/>
            <w:gridSpan w:val="2"/>
            <w:tcBorders>
              <w:top w:val="nil"/>
              <w:left w:val="nil"/>
              <w:bottom w:val="single" w:sz="8" w:space="0" w:color="auto"/>
              <w:right w:val="nil"/>
            </w:tcBorders>
            <w:shd w:val="clear" w:color="auto" w:fill="C4BC96" w:themeFill="background2" w:themeFillShade="BF"/>
            <w:noWrap/>
            <w:vAlign w:val="bottom"/>
            <w:hideMark/>
          </w:tcPr>
          <w:p w14:paraId="17E50DB1" w14:textId="77777777" w:rsidR="00A46C4F" w:rsidRPr="0055512B" w:rsidRDefault="00A46C4F" w:rsidP="001950BE">
            <w:pPr>
              <w:spacing w:line="276" w:lineRule="auto"/>
              <w:rPr>
                <w:rFonts w:cs="Arial"/>
                <w:b/>
                <w:bCs/>
                <w:color w:val="000000"/>
              </w:rPr>
            </w:pPr>
            <w:r w:rsidRPr="0055512B">
              <w:rPr>
                <w:rFonts w:cs="Arial"/>
                <w:b/>
                <w:bCs/>
                <w:color w:val="000000"/>
              </w:rPr>
              <w:t> </w:t>
            </w:r>
          </w:p>
        </w:tc>
        <w:tc>
          <w:tcPr>
            <w:tcW w:w="1300" w:type="dxa"/>
            <w:tcBorders>
              <w:top w:val="nil"/>
              <w:left w:val="nil"/>
              <w:bottom w:val="single" w:sz="8" w:space="0" w:color="auto"/>
              <w:right w:val="nil"/>
            </w:tcBorders>
            <w:shd w:val="clear" w:color="auto" w:fill="C4BC96" w:themeFill="background2" w:themeFillShade="BF"/>
            <w:noWrap/>
            <w:vAlign w:val="bottom"/>
            <w:hideMark/>
          </w:tcPr>
          <w:p w14:paraId="494AF0C1" w14:textId="77777777" w:rsidR="00A46C4F" w:rsidRPr="0055512B" w:rsidRDefault="0050135A" w:rsidP="001950BE">
            <w:pPr>
              <w:spacing w:line="276" w:lineRule="auto"/>
              <w:rPr>
                <w:rFonts w:cs="Arial"/>
                <w:b/>
                <w:bCs/>
                <w:color w:val="000000"/>
              </w:rPr>
            </w:pPr>
            <w:r w:rsidRPr="0055512B">
              <w:rPr>
                <w:rFonts w:cs="Arial"/>
                <w:b/>
                <w:bCs/>
                <w:color w:val="000000"/>
              </w:rPr>
              <w:t>65</w:t>
            </w:r>
            <w:r w:rsidR="00A46C4F" w:rsidRPr="0055512B">
              <w:rPr>
                <w:rFonts w:cs="Arial"/>
                <w:b/>
                <w:bCs/>
                <w:color w:val="000000"/>
              </w:rPr>
              <w:t>,000,00</w:t>
            </w:r>
            <w:r w:rsidR="00122BFA" w:rsidRPr="0055512B">
              <w:rPr>
                <w:rFonts w:cs="Arial"/>
                <w:b/>
                <w:bCs/>
                <w:color w:val="000000"/>
              </w:rPr>
              <w:t>0</w:t>
            </w:r>
          </w:p>
        </w:tc>
        <w:tc>
          <w:tcPr>
            <w:tcW w:w="237" w:type="dxa"/>
            <w:tcBorders>
              <w:top w:val="nil"/>
              <w:left w:val="nil"/>
              <w:bottom w:val="single" w:sz="8" w:space="0" w:color="auto"/>
              <w:right w:val="nil"/>
            </w:tcBorders>
            <w:shd w:val="clear" w:color="auto" w:fill="C4BC96" w:themeFill="background2" w:themeFillShade="BF"/>
            <w:noWrap/>
            <w:vAlign w:val="bottom"/>
            <w:hideMark/>
          </w:tcPr>
          <w:p w14:paraId="5B02F175" w14:textId="77777777" w:rsidR="00A46C4F" w:rsidRPr="0055512B" w:rsidRDefault="00A46C4F" w:rsidP="001950BE">
            <w:pPr>
              <w:spacing w:line="276" w:lineRule="auto"/>
              <w:rPr>
                <w:rFonts w:cs="Arial"/>
                <w:b/>
                <w:bCs/>
                <w:color w:val="000000"/>
              </w:rPr>
            </w:pPr>
            <w:r w:rsidRPr="0055512B">
              <w:rPr>
                <w:rFonts w:cs="Arial"/>
                <w:b/>
                <w:bCs/>
                <w:color w:val="000000"/>
              </w:rPr>
              <w:t> </w:t>
            </w:r>
          </w:p>
        </w:tc>
        <w:tc>
          <w:tcPr>
            <w:tcW w:w="1313" w:type="dxa"/>
            <w:tcBorders>
              <w:top w:val="nil"/>
              <w:left w:val="nil"/>
              <w:bottom w:val="single" w:sz="8" w:space="0" w:color="auto"/>
              <w:right w:val="single" w:sz="8" w:space="0" w:color="auto"/>
            </w:tcBorders>
            <w:shd w:val="clear" w:color="auto" w:fill="C4BC96" w:themeFill="background2" w:themeFillShade="BF"/>
            <w:noWrap/>
            <w:vAlign w:val="bottom"/>
            <w:hideMark/>
          </w:tcPr>
          <w:p w14:paraId="1AF5EB13" w14:textId="77777777" w:rsidR="00A46C4F" w:rsidRPr="0055512B" w:rsidRDefault="00A46C4F" w:rsidP="001950BE">
            <w:pPr>
              <w:spacing w:line="276" w:lineRule="auto"/>
              <w:rPr>
                <w:rFonts w:cs="Arial"/>
                <w:b/>
                <w:bCs/>
                <w:color w:val="000000"/>
              </w:rPr>
            </w:pPr>
            <w:r w:rsidRPr="0055512B">
              <w:rPr>
                <w:rFonts w:cs="Arial"/>
                <w:b/>
                <w:bCs/>
                <w:color w:val="000000"/>
              </w:rPr>
              <w:t>100.00%</w:t>
            </w:r>
          </w:p>
        </w:tc>
      </w:tr>
    </w:tbl>
    <w:p w14:paraId="4F9BDD33" w14:textId="77777777" w:rsidR="00D823E2" w:rsidRPr="0055512B" w:rsidRDefault="00D823E2" w:rsidP="00D823E2">
      <w:pPr>
        <w:spacing w:line="276" w:lineRule="auto"/>
        <w:ind w:right="-20"/>
        <w:rPr>
          <w:rFonts w:cs="Arial"/>
          <w:b/>
          <w:bCs/>
          <w:position w:val="-1"/>
        </w:rPr>
      </w:pPr>
    </w:p>
    <w:p w14:paraId="2981CCC3" w14:textId="569CD92F" w:rsidR="00A46C4F" w:rsidRPr="0055512B" w:rsidRDefault="000A73AD" w:rsidP="002E5BE9">
      <w:pPr>
        <w:pStyle w:val="Paragraph"/>
        <w:numPr>
          <w:ilvl w:val="2"/>
          <w:numId w:val="40"/>
        </w:numPr>
        <w:spacing w:before="100" w:after="100" w:line="276" w:lineRule="auto"/>
        <w:jc w:val="left"/>
        <w:rPr>
          <w:rFonts w:ascii="Times" w:hAnsi="Times" w:cs="Arial"/>
          <w:szCs w:val="24"/>
          <w:lang w:val="fr-FR"/>
        </w:rPr>
      </w:pPr>
      <w:bookmarkStart w:id="58" w:name="_Toc363857109"/>
      <w:bookmarkStart w:id="59" w:name="_Toc363857631"/>
      <w:r w:rsidRPr="0055512B">
        <w:rPr>
          <w:rFonts w:ascii="Times" w:hAnsi="Times" w:cs="Arial"/>
          <w:b/>
          <w:szCs w:val="24"/>
          <w:lang w:val="fr-FR"/>
        </w:rPr>
        <w:t>Calendrier de déc</w:t>
      </w:r>
      <w:r w:rsidR="00922848">
        <w:rPr>
          <w:rFonts w:ascii="Times" w:hAnsi="Times" w:cs="Arial"/>
          <w:b/>
          <w:szCs w:val="24"/>
          <w:lang w:val="fr-FR"/>
        </w:rPr>
        <w:t>aissement</w:t>
      </w:r>
      <w:r w:rsidR="00A46C4F" w:rsidRPr="0055512B">
        <w:rPr>
          <w:rFonts w:ascii="Times" w:hAnsi="Times" w:cs="Arial"/>
          <w:szCs w:val="24"/>
          <w:lang w:val="fr-FR"/>
        </w:rPr>
        <w:t xml:space="preserve">. </w:t>
      </w:r>
      <w:r w:rsidRPr="0055512B">
        <w:rPr>
          <w:rFonts w:ascii="Times" w:hAnsi="Times" w:cs="Arial"/>
          <w:szCs w:val="24"/>
          <w:lang w:val="fr-FR"/>
        </w:rPr>
        <w:t>Le calendrier de décaissement  est comme suit</w:t>
      </w:r>
      <w:r w:rsidR="00A46C4F" w:rsidRPr="0055512B">
        <w:rPr>
          <w:rFonts w:ascii="Times" w:hAnsi="Times" w:cs="Arial"/>
          <w:szCs w:val="24"/>
          <w:lang w:val="fr-FR"/>
        </w:rPr>
        <w:t>:</w:t>
      </w:r>
      <w:bookmarkEnd w:id="58"/>
      <w:bookmarkEnd w:id="59"/>
    </w:p>
    <w:p w14:paraId="73992982" w14:textId="77777777" w:rsidR="00A46C4F" w:rsidRPr="0055512B" w:rsidRDefault="00A46C4F" w:rsidP="001950BE">
      <w:pPr>
        <w:spacing w:before="44" w:line="276" w:lineRule="auto"/>
        <w:ind w:left="3178" w:right="-20"/>
        <w:rPr>
          <w:rFonts w:cs="Arial"/>
          <w:b/>
          <w:bCs/>
          <w:spacing w:val="-3"/>
          <w:position w:val="-1"/>
        </w:rPr>
      </w:pPr>
      <w:r w:rsidRPr="0055512B">
        <w:rPr>
          <w:rFonts w:cs="Arial"/>
          <w:b/>
          <w:bCs/>
          <w:spacing w:val="-3"/>
          <w:position w:val="-1"/>
        </w:rPr>
        <w:t>T</w:t>
      </w:r>
      <w:r w:rsidRPr="0055512B">
        <w:rPr>
          <w:rFonts w:cs="Arial"/>
          <w:b/>
          <w:bCs/>
          <w:spacing w:val="-1"/>
          <w:position w:val="-1"/>
        </w:rPr>
        <w:t>a</w:t>
      </w:r>
      <w:r w:rsidRPr="0055512B">
        <w:rPr>
          <w:rFonts w:cs="Arial"/>
          <w:b/>
          <w:bCs/>
          <w:spacing w:val="-3"/>
          <w:position w:val="-1"/>
        </w:rPr>
        <w:t>bl</w:t>
      </w:r>
      <w:r w:rsidRPr="0055512B">
        <w:rPr>
          <w:rFonts w:cs="Arial"/>
          <w:b/>
          <w:bCs/>
          <w:position w:val="-1"/>
        </w:rPr>
        <w:t>e</w:t>
      </w:r>
      <w:r w:rsidRPr="0055512B">
        <w:rPr>
          <w:rFonts w:cs="Arial"/>
          <w:b/>
          <w:bCs/>
          <w:spacing w:val="-9"/>
          <w:position w:val="-1"/>
        </w:rPr>
        <w:t xml:space="preserve"> </w:t>
      </w:r>
      <w:r w:rsidRPr="0055512B">
        <w:rPr>
          <w:rFonts w:cs="Arial"/>
          <w:b/>
          <w:bCs/>
          <w:spacing w:val="-4"/>
          <w:position w:val="-1"/>
        </w:rPr>
        <w:t>3</w:t>
      </w:r>
      <w:r w:rsidRPr="0055512B">
        <w:rPr>
          <w:rFonts w:cs="Arial"/>
          <w:b/>
          <w:bCs/>
          <w:position w:val="-1"/>
        </w:rPr>
        <w:t>.</w:t>
      </w:r>
      <w:r w:rsidRPr="0055512B">
        <w:rPr>
          <w:rFonts w:cs="Arial"/>
          <w:b/>
          <w:bCs/>
          <w:spacing w:val="-5"/>
          <w:position w:val="-1"/>
        </w:rPr>
        <w:t xml:space="preserve"> </w:t>
      </w:r>
      <w:r w:rsidR="000A73AD" w:rsidRPr="0055512B">
        <w:rPr>
          <w:rFonts w:cs="Arial"/>
          <w:b/>
          <w:bCs/>
          <w:spacing w:val="-5"/>
          <w:position w:val="-1"/>
        </w:rPr>
        <w:t xml:space="preserve">Calendrier de décaissement </w:t>
      </w:r>
      <w:r w:rsidRPr="0055512B">
        <w:rPr>
          <w:rFonts w:cs="Arial"/>
          <w:b/>
          <w:bCs/>
          <w:spacing w:val="-5"/>
          <w:position w:val="-1"/>
        </w:rPr>
        <w:t xml:space="preserve"> </w:t>
      </w:r>
      <w:r w:rsidRPr="0055512B">
        <w:rPr>
          <w:rFonts w:cs="Arial"/>
          <w:b/>
          <w:bCs/>
          <w:spacing w:val="-2"/>
          <w:position w:val="-1"/>
        </w:rPr>
        <w:t>(U</w:t>
      </w:r>
      <w:r w:rsidRPr="0055512B">
        <w:rPr>
          <w:rFonts w:cs="Arial"/>
          <w:b/>
          <w:bCs/>
          <w:spacing w:val="-5"/>
          <w:position w:val="-1"/>
        </w:rPr>
        <w:t>S</w:t>
      </w:r>
      <w:r w:rsidRPr="0055512B">
        <w:rPr>
          <w:rFonts w:cs="Arial"/>
          <w:b/>
          <w:bCs/>
          <w:spacing w:val="-1"/>
          <w:position w:val="-1"/>
        </w:rPr>
        <w:t>$</w:t>
      </w:r>
      <w:r w:rsidRPr="0055512B">
        <w:rPr>
          <w:rFonts w:cs="Arial"/>
          <w:b/>
          <w:bCs/>
          <w:spacing w:val="-3"/>
          <w:position w:val="-1"/>
        </w:rPr>
        <w:t>)</w:t>
      </w:r>
      <w:r w:rsidRPr="0055512B">
        <w:rPr>
          <w:rStyle w:val="FootnoteReference"/>
          <w:rFonts w:cs="Arial"/>
          <w:b/>
          <w:bCs/>
          <w:spacing w:val="-3"/>
          <w:position w:val="-1"/>
        </w:rPr>
        <w:footnoteReference w:id="5"/>
      </w:r>
    </w:p>
    <w:p w14:paraId="55DA43CE" w14:textId="77777777" w:rsidR="00A46C4F" w:rsidRPr="0055512B" w:rsidRDefault="00A46C4F" w:rsidP="001950BE">
      <w:pPr>
        <w:spacing w:before="6" w:line="276" w:lineRule="auto"/>
        <w:rPr>
          <w:rFonts w:cs="Arial"/>
        </w:rPr>
      </w:pPr>
    </w:p>
    <w:tbl>
      <w:tblPr>
        <w:tblW w:w="8190" w:type="dxa"/>
        <w:tblInd w:w="545" w:type="dxa"/>
        <w:tblLayout w:type="fixed"/>
        <w:tblCellMar>
          <w:left w:w="0" w:type="dxa"/>
          <w:right w:w="0" w:type="dxa"/>
        </w:tblCellMar>
        <w:tblLook w:val="01E0" w:firstRow="1" w:lastRow="1" w:firstColumn="1" w:lastColumn="1" w:noHBand="0" w:noVBand="0"/>
      </w:tblPr>
      <w:tblGrid>
        <w:gridCol w:w="1080"/>
        <w:gridCol w:w="1170"/>
        <w:gridCol w:w="1170"/>
        <w:gridCol w:w="1170"/>
        <w:gridCol w:w="1080"/>
        <w:gridCol w:w="1170"/>
        <w:gridCol w:w="1350"/>
      </w:tblGrid>
      <w:tr w:rsidR="00A46C4F" w:rsidRPr="0055512B" w14:paraId="6AF12E01" w14:textId="77777777" w:rsidTr="00A46C4F">
        <w:trPr>
          <w:trHeight w:hRule="exact" w:val="271"/>
        </w:trPr>
        <w:tc>
          <w:tcPr>
            <w:tcW w:w="1080" w:type="dxa"/>
            <w:tcBorders>
              <w:top w:val="single" w:sz="4" w:space="0" w:color="000000"/>
              <w:left w:val="single" w:sz="4" w:space="0" w:color="000000"/>
              <w:bottom w:val="single" w:sz="4" w:space="0" w:color="000000"/>
              <w:right w:val="nil"/>
            </w:tcBorders>
            <w:shd w:val="clear" w:color="auto" w:fill="C4BC96" w:themeFill="background2" w:themeFillShade="BF"/>
          </w:tcPr>
          <w:p w14:paraId="31681F1D" w14:textId="77777777" w:rsidR="00A46C4F" w:rsidRPr="0055512B" w:rsidRDefault="00A46C4F" w:rsidP="001950BE">
            <w:pPr>
              <w:spacing w:before="18" w:line="276" w:lineRule="auto"/>
              <w:ind w:left="64" w:right="-20"/>
              <w:rPr>
                <w:rFonts w:cs="Arial"/>
              </w:rPr>
            </w:pPr>
            <w:r w:rsidRPr="0055512B">
              <w:rPr>
                <w:rFonts w:cs="Arial"/>
                <w:b/>
                <w:bCs/>
                <w:spacing w:val="-3"/>
              </w:rPr>
              <w:t>S</w:t>
            </w:r>
            <w:r w:rsidRPr="0055512B">
              <w:rPr>
                <w:rFonts w:cs="Arial"/>
                <w:b/>
                <w:bCs/>
                <w:spacing w:val="-1"/>
              </w:rPr>
              <w:t>o</w:t>
            </w:r>
            <w:r w:rsidRPr="0055512B">
              <w:rPr>
                <w:rFonts w:cs="Arial"/>
                <w:b/>
                <w:bCs/>
                <w:spacing w:val="-3"/>
              </w:rPr>
              <w:t>u</w:t>
            </w:r>
            <w:r w:rsidRPr="0055512B">
              <w:rPr>
                <w:rFonts w:cs="Arial"/>
                <w:b/>
                <w:bCs/>
                <w:spacing w:val="-2"/>
              </w:rPr>
              <w:t>rc</w:t>
            </w:r>
            <w:r w:rsidRPr="0055512B">
              <w:rPr>
                <w:rFonts w:cs="Arial"/>
                <w:b/>
                <w:bCs/>
              </w:rPr>
              <w:t>e</w:t>
            </w:r>
          </w:p>
        </w:tc>
        <w:tc>
          <w:tcPr>
            <w:tcW w:w="1170" w:type="dxa"/>
            <w:tcBorders>
              <w:top w:val="single" w:sz="4" w:space="0" w:color="000000"/>
              <w:left w:val="nil"/>
              <w:bottom w:val="single" w:sz="4" w:space="0" w:color="000000"/>
              <w:right w:val="nil"/>
            </w:tcBorders>
            <w:shd w:val="clear" w:color="auto" w:fill="C4BC96" w:themeFill="background2" w:themeFillShade="BF"/>
          </w:tcPr>
          <w:p w14:paraId="027E56E2" w14:textId="77777777" w:rsidR="00A46C4F" w:rsidRPr="0055512B" w:rsidRDefault="00A46C4F" w:rsidP="001950BE">
            <w:pPr>
              <w:spacing w:before="18" w:line="276" w:lineRule="auto"/>
              <w:ind w:left="301" w:right="-20"/>
              <w:rPr>
                <w:rFonts w:cs="Arial"/>
              </w:rPr>
            </w:pPr>
            <w:r w:rsidRPr="0055512B">
              <w:rPr>
                <w:rFonts w:cs="Arial"/>
                <w:b/>
                <w:bCs/>
                <w:spacing w:val="-2"/>
              </w:rPr>
              <w:t>Ye</w:t>
            </w:r>
            <w:r w:rsidRPr="0055512B">
              <w:rPr>
                <w:rFonts w:cs="Arial"/>
                <w:b/>
                <w:bCs/>
                <w:spacing w:val="-1"/>
              </w:rPr>
              <w:t>a</w:t>
            </w:r>
            <w:r w:rsidRPr="0055512B">
              <w:rPr>
                <w:rFonts w:cs="Arial"/>
                <w:b/>
                <w:bCs/>
              </w:rPr>
              <w:t>r</w:t>
            </w:r>
            <w:r w:rsidRPr="0055512B">
              <w:rPr>
                <w:rFonts w:cs="Arial"/>
                <w:b/>
                <w:bCs/>
                <w:spacing w:val="-10"/>
              </w:rPr>
              <w:t xml:space="preserve"> </w:t>
            </w:r>
            <w:r w:rsidRPr="0055512B">
              <w:rPr>
                <w:rFonts w:cs="Arial"/>
                <w:b/>
                <w:bCs/>
              </w:rPr>
              <w:t>1</w:t>
            </w:r>
          </w:p>
        </w:tc>
        <w:tc>
          <w:tcPr>
            <w:tcW w:w="1170" w:type="dxa"/>
            <w:tcBorders>
              <w:top w:val="single" w:sz="4" w:space="0" w:color="000000"/>
              <w:left w:val="nil"/>
              <w:bottom w:val="single" w:sz="4" w:space="0" w:color="000000"/>
              <w:right w:val="nil"/>
            </w:tcBorders>
            <w:shd w:val="clear" w:color="auto" w:fill="C4BC96" w:themeFill="background2" w:themeFillShade="BF"/>
          </w:tcPr>
          <w:p w14:paraId="43D7CA2F" w14:textId="77777777" w:rsidR="00A46C4F" w:rsidRPr="0055512B" w:rsidRDefault="00A46C4F" w:rsidP="001950BE">
            <w:pPr>
              <w:spacing w:before="18" w:line="276" w:lineRule="auto"/>
              <w:ind w:left="325" w:right="-20"/>
              <w:rPr>
                <w:rFonts w:cs="Arial"/>
              </w:rPr>
            </w:pPr>
            <w:r w:rsidRPr="0055512B">
              <w:rPr>
                <w:rFonts w:cs="Arial"/>
                <w:b/>
                <w:bCs/>
                <w:spacing w:val="-2"/>
              </w:rPr>
              <w:t>Ye</w:t>
            </w:r>
            <w:r w:rsidRPr="0055512B">
              <w:rPr>
                <w:rFonts w:cs="Arial"/>
                <w:b/>
                <w:bCs/>
                <w:spacing w:val="-1"/>
              </w:rPr>
              <w:t>a</w:t>
            </w:r>
            <w:r w:rsidRPr="0055512B">
              <w:rPr>
                <w:rFonts w:cs="Arial"/>
                <w:b/>
                <w:bCs/>
              </w:rPr>
              <w:t>r</w:t>
            </w:r>
            <w:r w:rsidRPr="0055512B">
              <w:rPr>
                <w:rFonts w:cs="Arial"/>
                <w:b/>
                <w:bCs/>
                <w:spacing w:val="-10"/>
              </w:rPr>
              <w:t xml:space="preserve"> </w:t>
            </w:r>
            <w:r w:rsidRPr="0055512B">
              <w:rPr>
                <w:rFonts w:cs="Arial"/>
                <w:b/>
                <w:bCs/>
              </w:rPr>
              <w:t>2</w:t>
            </w:r>
          </w:p>
        </w:tc>
        <w:tc>
          <w:tcPr>
            <w:tcW w:w="1170" w:type="dxa"/>
            <w:tcBorders>
              <w:top w:val="single" w:sz="4" w:space="0" w:color="000000"/>
              <w:left w:val="nil"/>
              <w:bottom w:val="single" w:sz="4" w:space="0" w:color="000000"/>
              <w:right w:val="nil"/>
            </w:tcBorders>
            <w:shd w:val="clear" w:color="auto" w:fill="C4BC96" w:themeFill="background2" w:themeFillShade="BF"/>
          </w:tcPr>
          <w:p w14:paraId="48743BC0" w14:textId="77777777" w:rsidR="00A46C4F" w:rsidRPr="0055512B" w:rsidRDefault="00A46C4F" w:rsidP="001950BE">
            <w:pPr>
              <w:spacing w:before="18" w:line="276" w:lineRule="auto"/>
              <w:ind w:left="278" w:right="-20"/>
              <w:rPr>
                <w:rFonts w:cs="Arial"/>
              </w:rPr>
            </w:pPr>
            <w:r w:rsidRPr="0055512B">
              <w:rPr>
                <w:rFonts w:cs="Arial"/>
                <w:b/>
                <w:bCs/>
                <w:spacing w:val="-2"/>
              </w:rPr>
              <w:t>Ye</w:t>
            </w:r>
            <w:r w:rsidRPr="0055512B">
              <w:rPr>
                <w:rFonts w:cs="Arial"/>
                <w:b/>
                <w:bCs/>
                <w:spacing w:val="-1"/>
              </w:rPr>
              <w:t>a</w:t>
            </w:r>
            <w:r w:rsidRPr="0055512B">
              <w:rPr>
                <w:rFonts w:cs="Arial"/>
                <w:b/>
                <w:bCs/>
              </w:rPr>
              <w:t>r</w:t>
            </w:r>
            <w:r w:rsidRPr="0055512B">
              <w:rPr>
                <w:rFonts w:cs="Arial"/>
                <w:b/>
                <w:bCs/>
                <w:spacing w:val="-10"/>
              </w:rPr>
              <w:t xml:space="preserve"> </w:t>
            </w:r>
            <w:r w:rsidRPr="0055512B">
              <w:rPr>
                <w:rFonts w:cs="Arial"/>
                <w:b/>
                <w:bCs/>
              </w:rPr>
              <w:t>3</w:t>
            </w:r>
          </w:p>
        </w:tc>
        <w:tc>
          <w:tcPr>
            <w:tcW w:w="1080" w:type="dxa"/>
            <w:tcBorders>
              <w:top w:val="single" w:sz="4" w:space="0" w:color="000000"/>
              <w:left w:val="nil"/>
              <w:bottom w:val="single" w:sz="4" w:space="0" w:color="000000"/>
              <w:right w:val="nil"/>
            </w:tcBorders>
            <w:shd w:val="clear" w:color="auto" w:fill="C4BC96" w:themeFill="background2" w:themeFillShade="BF"/>
          </w:tcPr>
          <w:p w14:paraId="2E251AF4" w14:textId="77777777" w:rsidR="00A46C4F" w:rsidRPr="0055512B" w:rsidRDefault="00A46C4F" w:rsidP="001950BE">
            <w:pPr>
              <w:spacing w:before="18" w:line="276" w:lineRule="auto"/>
              <w:ind w:left="321" w:right="-20"/>
              <w:rPr>
                <w:rFonts w:cs="Arial"/>
              </w:rPr>
            </w:pPr>
            <w:r w:rsidRPr="0055512B">
              <w:rPr>
                <w:rFonts w:cs="Arial"/>
                <w:b/>
                <w:bCs/>
                <w:spacing w:val="-2"/>
              </w:rPr>
              <w:t>Ye</w:t>
            </w:r>
            <w:r w:rsidRPr="0055512B">
              <w:rPr>
                <w:rFonts w:cs="Arial"/>
                <w:b/>
                <w:bCs/>
                <w:spacing w:val="-1"/>
              </w:rPr>
              <w:t>a</w:t>
            </w:r>
            <w:r w:rsidRPr="0055512B">
              <w:rPr>
                <w:rFonts w:cs="Arial"/>
                <w:b/>
                <w:bCs/>
              </w:rPr>
              <w:t>r</w:t>
            </w:r>
            <w:r w:rsidRPr="0055512B">
              <w:rPr>
                <w:rFonts w:cs="Arial"/>
                <w:b/>
                <w:bCs/>
                <w:spacing w:val="-10"/>
              </w:rPr>
              <w:t xml:space="preserve"> </w:t>
            </w:r>
            <w:r w:rsidRPr="0055512B">
              <w:rPr>
                <w:rFonts w:cs="Arial"/>
                <w:b/>
                <w:bCs/>
              </w:rPr>
              <w:t>4</w:t>
            </w:r>
          </w:p>
        </w:tc>
        <w:tc>
          <w:tcPr>
            <w:tcW w:w="1170" w:type="dxa"/>
            <w:tcBorders>
              <w:top w:val="single" w:sz="4" w:space="0" w:color="000000"/>
              <w:left w:val="nil"/>
              <w:bottom w:val="single" w:sz="4" w:space="0" w:color="000000"/>
              <w:right w:val="nil"/>
            </w:tcBorders>
            <w:shd w:val="clear" w:color="auto" w:fill="C4BC96" w:themeFill="background2" w:themeFillShade="BF"/>
          </w:tcPr>
          <w:p w14:paraId="6087D330" w14:textId="77777777" w:rsidR="00A46C4F" w:rsidRPr="0055512B" w:rsidRDefault="00A46C4F" w:rsidP="001950BE">
            <w:pPr>
              <w:spacing w:before="18" w:line="276" w:lineRule="auto"/>
              <w:ind w:left="244" w:right="-20"/>
              <w:rPr>
                <w:rFonts w:cs="Arial"/>
              </w:rPr>
            </w:pPr>
            <w:r w:rsidRPr="0055512B">
              <w:rPr>
                <w:rFonts w:cs="Arial"/>
                <w:b/>
                <w:bCs/>
                <w:spacing w:val="-2"/>
              </w:rPr>
              <w:t>Ye</w:t>
            </w:r>
            <w:r w:rsidRPr="0055512B">
              <w:rPr>
                <w:rFonts w:cs="Arial"/>
                <w:b/>
                <w:bCs/>
                <w:spacing w:val="-1"/>
              </w:rPr>
              <w:t>a</w:t>
            </w:r>
            <w:r w:rsidRPr="0055512B">
              <w:rPr>
                <w:rFonts w:cs="Arial"/>
                <w:b/>
                <w:bCs/>
              </w:rPr>
              <w:t>r</w:t>
            </w:r>
            <w:r w:rsidRPr="0055512B">
              <w:rPr>
                <w:rFonts w:cs="Arial"/>
                <w:b/>
                <w:bCs/>
                <w:spacing w:val="-10"/>
              </w:rPr>
              <w:t xml:space="preserve"> </w:t>
            </w:r>
            <w:r w:rsidRPr="0055512B">
              <w:rPr>
                <w:rFonts w:cs="Arial"/>
                <w:b/>
                <w:bCs/>
              </w:rPr>
              <w:t>5</w:t>
            </w:r>
          </w:p>
        </w:tc>
        <w:tc>
          <w:tcPr>
            <w:tcW w:w="1350" w:type="dxa"/>
            <w:tcBorders>
              <w:top w:val="single" w:sz="4" w:space="0" w:color="000000"/>
              <w:left w:val="nil"/>
              <w:bottom w:val="single" w:sz="4" w:space="0" w:color="000000"/>
              <w:right w:val="single" w:sz="4" w:space="0" w:color="000000"/>
            </w:tcBorders>
            <w:shd w:val="clear" w:color="auto" w:fill="C4BC96" w:themeFill="background2" w:themeFillShade="BF"/>
          </w:tcPr>
          <w:p w14:paraId="55BDBC64" w14:textId="77777777" w:rsidR="00A46C4F" w:rsidRPr="0055512B" w:rsidRDefault="00A46C4F" w:rsidP="001950BE">
            <w:pPr>
              <w:spacing w:before="18" w:line="276" w:lineRule="auto"/>
              <w:ind w:left="374" w:right="-20"/>
              <w:rPr>
                <w:rFonts w:cs="Arial"/>
              </w:rPr>
            </w:pPr>
            <w:r w:rsidRPr="0055512B">
              <w:rPr>
                <w:rFonts w:cs="Arial"/>
                <w:b/>
                <w:bCs/>
                <w:spacing w:val="-3"/>
              </w:rPr>
              <w:t>T</w:t>
            </w:r>
            <w:r w:rsidRPr="0055512B">
              <w:rPr>
                <w:rFonts w:cs="Arial"/>
                <w:b/>
                <w:bCs/>
                <w:spacing w:val="-1"/>
              </w:rPr>
              <w:t>o</w:t>
            </w:r>
            <w:r w:rsidRPr="0055512B">
              <w:rPr>
                <w:rFonts w:cs="Arial"/>
                <w:b/>
                <w:bCs/>
                <w:spacing w:val="-2"/>
              </w:rPr>
              <w:t>t</w:t>
            </w:r>
            <w:r w:rsidRPr="0055512B">
              <w:rPr>
                <w:rFonts w:cs="Arial"/>
                <w:b/>
                <w:bCs/>
                <w:spacing w:val="-1"/>
              </w:rPr>
              <w:t>a</w:t>
            </w:r>
            <w:r w:rsidRPr="0055512B">
              <w:rPr>
                <w:rFonts w:cs="Arial"/>
                <w:b/>
                <w:bCs/>
              </w:rPr>
              <w:t>l</w:t>
            </w:r>
          </w:p>
        </w:tc>
      </w:tr>
      <w:tr w:rsidR="00A46C4F" w:rsidRPr="0055512B" w14:paraId="43CE5D86" w14:textId="77777777" w:rsidTr="00A46C4F">
        <w:trPr>
          <w:trHeight w:hRule="exact" w:val="298"/>
        </w:trPr>
        <w:tc>
          <w:tcPr>
            <w:tcW w:w="1080" w:type="dxa"/>
            <w:tcBorders>
              <w:top w:val="single" w:sz="4" w:space="0" w:color="000000"/>
              <w:left w:val="single" w:sz="4" w:space="0" w:color="000000"/>
              <w:bottom w:val="single" w:sz="8" w:space="0" w:color="auto"/>
              <w:right w:val="single" w:sz="8" w:space="0" w:color="auto"/>
            </w:tcBorders>
            <w:vAlign w:val="center"/>
          </w:tcPr>
          <w:p w14:paraId="417EC8DC" w14:textId="77777777" w:rsidR="00A46C4F" w:rsidRPr="0055512B" w:rsidRDefault="000A73AD" w:rsidP="001950BE">
            <w:pPr>
              <w:spacing w:before="14" w:line="276" w:lineRule="auto"/>
              <w:ind w:left="64" w:right="-20"/>
              <w:rPr>
                <w:rFonts w:cs="Arial"/>
              </w:rPr>
            </w:pPr>
            <w:r w:rsidRPr="0055512B">
              <w:rPr>
                <w:rFonts w:cs="Arial"/>
                <w:spacing w:val="-2"/>
              </w:rPr>
              <w:t>BID</w:t>
            </w:r>
          </w:p>
        </w:tc>
        <w:tc>
          <w:tcPr>
            <w:tcW w:w="1170" w:type="dxa"/>
            <w:tcBorders>
              <w:top w:val="single" w:sz="4" w:space="0" w:color="000000"/>
              <w:left w:val="single" w:sz="8" w:space="0" w:color="auto"/>
              <w:bottom w:val="single" w:sz="8" w:space="0" w:color="auto"/>
              <w:right w:val="single" w:sz="8" w:space="0" w:color="auto"/>
            </w:tcBorders>
            <w:vAlign w:val="center"/>
          </w:tcPr>
          <w:p w14:paraId="37EC7A5C" w14:textId="77777777" w:rsidR="00A46C4F" w:rsidRPr="0055512B" w:rsidRDefault="0050135A" w:rsidP="001950BE">
            <w:pPr>
              <w:spacing w:before="14" w:line="276" w:lineRule="auto"/>
              <w:ind w:left="191" w:right="-20"/>
              <w:rPr>
                <w:rFonts w:cs="Arial"/>
              </w:rPr>
            </w:pPr>
            <w:r w:rsidRPr="0055512B">
              <w:rPr>
                <w:rFonts w:cs="Arial"/>
              </w:rPr>
              <w:t>9,87</w:t>
            </w:r>
            <w:r w:rsidR="00A46C4F" w:rsidRPr="0055512B">
              <w:rPr>
                <w:rFonts w:cs="Arial"/>
              </w:rPr>
              <w:t>0,000</w:t>
            </w:r>
          </w:p>
        </w:tc>
        <w:tc>
          <w:tcPr>
            <w:tcW w:w="1170" w:type="dxa"/>
            <w:tcBorders>
              <w:top w:val="single" w:sz="4" w:space="0" w:color="000000"/>
              <w:left w:val="single" w:sz="8" w:space="0" w:color="auto"/>
              <w:bottom w:val="single" w:sz="8" w:space="0" w:color="auto"/>
              <w:right w:val="single" w:sz="8" w:space="0" w:color="auto"/>
            </w:tcBorders>
            <w:vAlign w:val="center"/>
          </w:tcPr>
          <w:p w14:paraId="061EFE7B" w14:textId="77777777" w:rsidR="00A46C4F" w:rsidRPr="0055512B" w:rsidRDefault="0050135A" w:rsidP="001950BE">
            <w:pPr>
              <w:spacing w:before="14" w:line="276" w:lineRule="auto"/>
              <w:ind w:left="166" w:right="-20"/>
              <w:rPr>
                <w:rFonts w:cs="Arial"/>
              </w:rPr>
            </w:pPr>
            <w:r w:rsidRPr="0055512B">
              <w:rPr>
                <w:rFonts w:cs="Arial"/>
              </w:rPr>
              <w:t>19,010</w:t>
            </w:r>
            <w:r w:rsidR="00A46C4F" w:rsidRPr="0055512B">
              <w:rPr>
                <w:rFonts w:cs="Arial"/>
              </w:rPr>
              <w:t>,000</w:t>
            </w:r>
          </w:p>
        </w:tc>
        <w:tc>
          <w:tcPr>
            <w:tcW w:w="1170" w:type="dxa"/>
            <w:tcBorders>
              <w:top w:val="single" w:sz="4" w:space="0" w:color="000000"/>
              <w:left w:val="single" w:sz="8" w:space="0" w:color="auto"/>
              <w:bottom w:val="single" w:sz="8" w:space="0" w:color="auto"/>
              <w:right w:val="single" w:sz="8" w:space="0" w:color="auto"/>
            </w:tcBorders>
            <w:vAlign w:val="center"/>
          </w:tcPr>
          <w:p w14:paraId="6E156D1A" w14:textId="77777777" w:rsidR="00A46C4F" w:rsidRPr="0055512B" w:rsidRDefault="0050135A" w:rsidP="001950BE">
            <w:pPr>
              <w:spacing w:before="14" w:line="276" w:lineRule="auto"/>
              <w:ind w:left="119" w:right="-20"/>
              <w:rPr>
                <w:rFonts w:cs="Arial"/>
              </w:rPr>
            </w:pPr>
            <w:r w:rsidRPr="0055512B">
              <w:rPr>
                <w:rFonts w:cs="Arial"/>
              </w:rPr>
              <w:t>25,73</w:t>
            </w:r>
            <w:r w:rsidR="00A46C4F" w:rsidRPr="0055512B">
              <w:rPr>
                <w:rFonts w:cs="Arial"/>
              </w:rPr>
              <w:t>0,000</w:t>
            </w:r>
          </w:p>
        </w:tc>
        <w:tc>
          <w:tcPr>
            <w:tcW w:w="1080" w:type="dxa"/>
            <w:tcBorders>
              <w:top w:val="single" w:sz="4" w:space="0" w:color="000000"/>
              <w:left w:val="single" w:sz="8" w:space="0" w:color="auto"/>
              <w:bottom w:val="single" w:sz="8" w:space="0" w:color="auto"/>
              <w:right w:val="single" w:sz="8" w:space="0" w:color="auto"/>
            </w:tcBorders>
            <w:vAlign w:val="center"/>
          </w:tcPr>
          <w:p w14:paraId="47077608" w14:textId="77777777" w:rsidR="00A46C4F" w:rsidRPr="0055512B" w:rsidRDefault="0050135A" w:rsidP="001950BE">
            <w:pPr>
              <w:spacing w:before="14" w:line="276" w:lineRule="auto"/>
              <w:ind w:left="211" w:right="-20"/>
              <w:rPr>
                <w:rFonts w:cs="Arial"/>
              </w:rPr>
            </w:pPr>
            <w:r w:rsidRPr="0055512B">
              <w:rPr>
                <w:rFonts w:cs="Arial"/>
              </w:rPr>
              <w:t>6,155</w:t>
            </w:r>
            <w:r w:rsidR="00A46C4F" w:rsidRPr="0055512B">
              <w:rPr>
                <w:rFonts w:cs="Arial"/>
              </w:rPr>
              <w:t>,000</w:t>
            </w:r>
          </w:p>
        </w:tc>
        <w:tc>
          <w:tcPr>
            <w:tcW w:w="1170" w:type="dxa"/>
            <w:tcBorders>
              <w:top w:val="single" w:sz="4" w:space="0" w:color="000000"/>
              <w:left w:val="single" w:sz="8" w:space="0" w:color="auto"/>
              <w:bottom w:val="single" w:sz="8" w:space="0" w:color="auto"/>
              <w:right w:val="single" w:sz="8" w:space="0" w:color="auto"/>
            </w:tcBorders>
            <w:vAlign w:val="center"/>
          </w:tcPr>
          <w:p w14:paraId="0447E6DA" w14:textId="77777777" w:rsidR="00A46C4F" w:rsidRPr="0055512B" w:rsidRDefault="0050135A" w:rsidP="001950BE">
            <w:pPr>
              <w:spacing w:before="14" w:line="276" w:lineRule="auto"/>
              <w:ind w:left="206" w:right="-20"/>
              <w:rPr>
                <w:rFonts w:cs="Arial"/>
              </w:rPr>
            </w:pPr>
            <w:r w:rsidRPr="0055512B">
              <w:rPr>
                <w:rFonts w:cs="Arial"/>
              </w:rPr>
              <w:t>4,235</w:t>
            </w:r>
            <w:r w:rsidR="00A46C4F" w:rsidRPr="0055512B">
              <w:rPr>
                <w:rFonts w:cs="Arial"/>
              </w:rPr>
              <w:t>,000</w:t>
            </w:r>
          </w:p>
        </w:tc>
        <w:tc>
          <w:tcPr>
            <w:tcW w:w="1350" w:type="dxa"/>
            <w:tcBorders>
              <w:top w:val="single" w:sz="4" w:space="0" w:color="000000"/>
              <w:left w:val="single" w:sz="8" w:space="0" w:color="auto"/>
              <w:bottom w:val="single" w:sz="8" w:space="0" w:color="auto"/>
              <w:right w:val="single" w:sz="4" w:space="0" w:color="000000"/>
            </w:tcBorders>
            <w:vAlign w:val="center"/>
          </w:tcPr>
          <w:p w14:paraId="556FF9C8" w14:textId="77777777" w:rsidR="00A46C4F" w:rsidRPr="0055512B" w:rsidRDefault="0050135A" w:rsidP="001950BE">
            <w:pPr>
              <w:spacing w:before="14" w:line="276" w:lineRule="auto"/>
              <w:ind w:left="160" w:right="-20"/>
              <w:rPr>
                <w:rFonts w:cs="Arial"/>
              </w:rPr>
            </w:pPr>
            <w:r w:rsidRPr="0055512B">
              <w:rPr>
                <w:rFonts w:cs="Arial"/>
              </w:rPr>
              <w:t>65</w:t>
            </w:r>
            <w:r w:rsidR="00A46C4F" w:rsidRPr="0055512B">
              <w:rPr>
                <w:rFonts w:cs="Arial"/>
              </w:rPr>
              <w:t>,000,000</w:t>
            </w:r>
          </w:p>
        </w:tc>
      </w:tr>
      <w:tr w:rsidR="00A46C4F" w:rsidRPr="0055512B" w14:paraId="593C1C0F" w14:textId="77777777" w:rsidTr="00A46C4F">
        <w:trPr>
          <w:trHeight w:hRule="exact" w:val="275"/>
        </w:trPr>
        <w:tc>
          <w:tcPr>
            <w:tcW w:w="1080" w:type="dxa"/>
            <w:tcBorders>
              <w:top w:val="single" w:sz="8" w:space="0" w:color="auto"/>
              <w:left w:val="single" w:sz="4" w:space="0" w:color="000000"/>
              <w:bottom w:val="single" w:sz="8" w:space="0" w:color="auto"/>
              <w:right w:val="single" w:sz="8" w:space="0" w:color="auto"/>
            </w:tcBorders>
          </w:tcPr>
          <w:p w14:paraId="5EE6BEC9" w14:textId="77777777" w:rsidR="00A46C4F" w:rsidRPr="0055512B" w:rsidRDefault="00A46C4F" w:rsidP="001950BE">
            <w:pPr>
              <w:spacing w:before="8" w:line="276" w:lineRule="auto"/>
              <w:ind w:left="64" w:right="-20"/>
              <w:rPr>
                <w:rFonts w:cs="Arial"/>
              </w:rPr>
            </w:pPr>
            <w:r w:rsidRPr="0055512B">
              <w:rPr>
                <w:rFonts w:cs="Arial"/>
              </w:rPr>
              <w:t>P</w:t>
            </w:r>
            <w:r w:rsidR="000A73AD" w:rsidRPr="0055512B">
              <w:rPr>
                <w:rFonts w:cs="Arial"/>
                <w:spacing w:val="-5"/>
              </w:rPr>
              <w:t>ou</w:t>
            </w:r>
            <w:r w:rsidRPr="0055512B">
              <w:rPr>
                <w:rFonts w:cs="Arial"/>
                <w:spacing w:val="-2"/>
              </w:rPr>
              <w:t>rce</w:t>
            </w:r>
            <w:r w:rsidRPr="0055512B">
              <w:rPr>
                <w:rFonts w:cs="Arial"/>
                <w:spacing w:val="-4"/>
              </w:rPr>
              <w:t>n</w:t>
            </w:r>
            <w:r w:rsidRPr="0055512B">
              <w:rPr>
                <w:rFonts w:cs="Arial"/>
                <w:spacing w:val="-3"/>
              </w:rPr>
              <w:t>t</w:t>
            </w:r>
            <w:r w:rsidRPr="0055512B">
              <w:rPr>
                <w:rFonts w:cs="Arial"/>
                <w:spacing w:val="-2"/>
              </w:rPr>
              <w:t>a</w:t>
            </w:r>
            <w:r w:rsidRPr="0055512B">
              <w:rPr>
                <w:rFonts w:cs="Arial"/>
                <w:spacing w:val="-4"/>
              </w:rPr>
              <w:t>g</w:t>
            </w:r>
            <w:r w:rsidRPr="0055512B">
              <w:rPr>
                <w:rFonts w:cs="Arial"/>
              </w:rPr>
              <w:t>e</w:t>
            </w:r>
          </w:p>
        </w:tc>
        <w:tc>
          <w:tcPr>
            <w:tcW w:w="1170" w:type="dxa"/>
            <w:tcBorders>
              <w:top w:val="single" w:sz="8" w:space="0" w:color="auto"/>
              <w:left w:val="single" w:sz="8" w:space="0" w:color="auto"/>
              <w:bottom w:val="single" w:sz="8" w:space="0" w:color="auto"/>
              <w:right w:val="single" w:sz="8" w:space="0" w:color="auto"/>
            </w:tcBorders>
          </w:tcPr>
          <w:p w14:paraId="55320E71" w14:textId="77777777" w:rsidR="00A46C4F" w:rsidRPr="0055512B" w:rsidRDefault="0050135A" w:rsidP="001950BE">
            <w:pPr>
              <w:spacing w:before="8" w:line="276" w:lineRule="auto"/>
              <w:ind w:right="-20"/>
              <w:rPr>
                <w:rFonts w:cs="Arial"/>
              </w:rPr>
            </w:pPr>
            <w:r w:rsidRPr="0055512B">
              <w:rPr>
                <w:rFonts w:cs="Arial"/>
              </w:rPr>
              <w:t>15.1</w:t>
            </w:r>
            <w:r w:rsidR="00A46C4F" w:rsidRPr="0055512B">
              <w:rPr>
                <w:rFonts w:cs="Arial"/>
              </w:rPr>
              <w:t>%</w:t>
            </w:r>
          </w:p>
        </w:tc>
        <w:tc>
          <w:tcPr>
            <w:tcW w:w="1170" w:type="dxa"/>
            <w:tcBorders>
              <w:top w:val="single" w:sz="8" w:space="0" w:color="auto"/>
              <w:left w:val="single" w:sz="8" w:space="0" w:color="auto"/>
              <w:bottom w:val="single" w:sz="8" w:space="0" w:color="auto"/>
              <w:right w:val="single" w:sz="8" w:space="0" w:color="auto"/>
            </w:tcBorders>
          </w:tcPr>
          <w:p w14:paraId="7C60F4B1" w14:textId="77777777" w:rsidR="00A46C4F" w:rsidRPr="0055512B" w:rsidRDefault="0050135A" w:rsidP="001950BE">
            <w:pPr>
              <w:spacing w:before="8" w:line="276" w:lineRule="auto"/>
              <w:ind w:left="349" w:right="-20"/>
              <w:rPr>
                <w:rFonts w:cs="Arial"/>
              </w:rPr>
            </w:pPr>
            <w:r w:rsidRPr="0055512B">
              <w:rPr>
                <w:rFonts w:cs="Arial"/>
              </w:rPr>
              <w:t>29.3</w:t>
            </w:r>
            <w:r w:rsidR="00A46C4F" w:rsidRPr="0055512B">
              <w:rPr>
                <w:rFonts w:cs="Arial"/>
              </w:rPr>
              <w:t>%</w:t>
            </w:r>
          </w:p>
        </w:tc>
        <w:tc>
          <w:tcPr>
            <w:tcW w:w="1170" w:type="dxa"/>
            <w:tcBorders>
              <w:top w:val="single" w:sz="8" w:space="0" w:color="auto"/>
              <w:left w:val="single" w:sz="8" w:space="0" w:color="auto"/>
              <w:bottom w:val="single" w:sz="8" w:space="0" w:color="auto"/>
              <w:right w:val="single" w:sz="8" w:space="0" w:color="auto"/>
            </w:tcBorders>
          </w:tcPr>
          <w:p w14:paraId="2E981CDE" w14:textId="77777777" w:rsidR="00A46C4F" w:rsidRPr="0055512B" w:rsidRDefault="0050135A" w:rsidP="001950BE">
            <w:pPr>
              <w:spacing w:before="8" w:line="276" w:lineRule="auto"/>
              <w:ind w:left="304" w:right="-20"/>
              <w:rPr>
                <w:rFonts w:cs="Arial"/>
              </w:rPr>
            </w:pPr>
            <w:r w:rsidRPr="0055512B">
              <w:rPr>
                <w:rFonts w:cs="Arial"/>
              </w:rPr>
              <w:t>39.6</w:t>
            </w:r>
            <w:r w:rsidR="00A46C4F" w:rsidRPr="0055512B">
              <w:rPr>
                <w:rFonts w:cs="Arial"/>
              </w:rPr>
              <w:t>%</w:t>
            </w:r>
          </w:p>
        </w:tc>
        <w:tc>
          <w:tcPr>
            <w:tcW w:w="1080" w:type="dxa"/>
            <w:tcBorders>
              <w:top w:val="single" w:sz="8" w:space="0" w:color="auto"/>
              <w:left w:val="single" w:sz="8" w:space="0" w:color="auto"/>
              <w:bottom w:val="single" w:sz="8" w:space="0" w:color="auto"/>
              <w:right w:val="single" w:sz="8" w:space="0" w:color="auto"/>
            </w:tcBorders>
          </w:tcPr>
          <w:p w14:paraId="1C984026" w14:textId="77777777" w:rsidR="00A46C4F" w:rsidRPr="0055512B" w:rsidRDefault="0050135A" w:rsidP="001950BE">
            <w:pPr>
              <w:spacing w:before="8" w:line="276" w:lineRule="auto"/>
              <w:ind w:left="345" w:right="-20"/>
              <w:rPr>
                <w:rFonts w:cs="Arial"/>
              </w:rPr>
            </w:pPr>
            <w:r w:rsidRPr="0055512B">
              <w:rPr>
                <w:rFonts w:cs="Arial"/>
              </w:rPr>
              <w:t>9.5</w:t>
            </w:r>
            <w:r w:rsidR="00A46C4F" w:rsidRPr="0055512B">
              <w:rPr>
                <w:rFonts w:cs="Arial"/>
              </w:rPr>
              <w:t>%</w:t>
            </w:r>
          </w:p>
        </w:tc>
        <w:tc>
          <w:tcPr>
            <w:tcW w:w="1170" w:type="dxa"/>
            <w:tcBorders>
              <w:top w:val="single" w:sz="8" w:space="0" w:color="auto"/>
              <w:left w:val="single" w:sz="8" w:space="0" w:color="auto"/>
              <w:bottom w:val="single" w:sz="8" w:space="0" w:color="auto"/>
              <w:right w:val="single" w:sz="8" w:space="0" w:color="auto"/>
            </w:tcBorders>
          </w:tcPr>
          <w:p w14:paraId="17E1C0EF" w14:textId="77777777" w:rsidR="00A46C4F" w:rsidRPr="0055512B" w:rsidRDefault="00A46C4F" w:rsidP="001950BE">
            <w:pPr>
              <w:spacing w:before="8" w:line="276" w:lineRule="auto"/>
              <w:ind w:left="319" w:right="-20"/>
              <w:rPr>
                <w:rFonts w:cs="Arial"/>
              </w:rPr>
            </w:pPr>
            <w:r w:rsidRPr="0055512B">
              <w:rPr>
                <w:rFonts w:cs="Arial"/>
              </w:rPr>
              <w:t>6</w:t>
            </w:r>
            <w:r w:rsidR="0050135A" w:rsidRPr="0055512B">
              <w:rPr>
                <w:rFonts w:cs="Arial"/>
              </w:rPr>
              <w:t>.5</w:t>
            </w:r>
            <w:r w:rsidRPr="0055512B">
              <w:rPr>
                <w:rFonts w:cs="Arial"/>
              </w:rPr>
              <w:t>%</w:t>
            </w:r>
          </w:p>
        </w:tc>
        <w:tc>
          <w:tcPr>
            <w:tcW w:w="1350" w:type="dxa"/>
            <w:tcBorders>
              <w:top w:val="single" w:sz="8" w:space="0" w:color="auto"/>
              <w:left w:val="single" w:sz="8" w:space="0" w:color="auto"/>
              <w:bottom w:val="single" w:sz="8" w:space="0" w:color="auto"/>
              <w:right w:val="single" w:sz="4" w:space="0" w:color="000000"/>
            </w:tcBorders>
          </w:tcPr>
          <w:p w14:paraId="4AB33D1B" w14:textId="77777777" w:rsidR="00A46C4F" w:rsidRPr="0055512B" w:rsidRDefault="00A46C4F" w:rsidP="001950BE">
            <w:pPr>
              <w:spacing w:before="8" w:line="276" w:lineRule="auto"/>
              <w:ind w:left="295" w:right="-20"/>
              <w:rPr>
                <w:rFonts w:cs="Arial"/>
              </w:rPr>
            </w:pPr>
            <w:r w:rsidRPr="0055512B">
              <w:rPr>
                <w:rFonts w:cs="Arial"/>
                <w:spacing w:val="-1"/>
              </w:rPr>
              <w:t>1</w:t>
            </w:r>
            <w:r w:rsidRPr="0055512B">
              <w:rPr>
                <w:rFonts w:cs="Arial"/>
                <w:spacing w:val="-4"/>
              </w:rPr>
              <w:t>0</w:t>
            </w:r>
            <w:r w:rsidRPr="0055512B">
              <w:rPr>
                <w:rFonts w:cs="Arial"/>
                <w:spacing w:val="-1"/>
              </w:rPr>
              <w:t>0</w:t>
            </w:r>
            <w:r w:rsidRPr="0055512B">
              <w:rPr>
                <w:rFonts w:cs="Arial"/>
                <w:spacing w:val="-4"/>
              </w:rPr>
              <w:t>.</w:t>
            </w:r>
            <w:r w:rsidRPr="0055512B">
              <w:rPr>
                <w:rFonts w:cs="Arial"/>
                <w:spacing w:val="-1"/>
              </w:rPr>
              <w:t>0</w:t>
            </w:r>
            <w:r w:rsidRPr="0055512B">
              <w:rPr>
                <w:rFonts w:cs="Arial"/>
              </w:rPr>
              <w:t>%</w:t>
            </w:r>
          </w:p>
        </w:tc>
      </w:tr>
    </w:tbl>
    <w:p w14:paraId="03E2A5A4" w14:textId="17FFE27F" w:rsidR="001959BE" w:rsidRPr="0055512B" w:rsidRDefault="001959BE" w:rsidP="00922848">
      <w:pPr>
        <w:spacing w:line="276" w:lineRule="auto"/>
        <w:rPr>
          <w:rFonts w:eastAsia="Arial"/>
          <w:b/>
        </w:rPr>
      </w:pPr>
    </w:p>
    <w:p w14:paraId="28F94924" w14:textId="77777777" w:rsidR="00665E7C" w:rsidRPr="0055512B" w:rsidRDefault="00665E7C" w:rsidP="00665E7C">
      <w:pPr>
        <w:pStyle w:val="ListParagraph"/>
        <w:numPr>
          <w:ilvl w:val="0"/>
          <w:numId w:val="7"/>
        </w:numPr>
        <w:spacing w:line="276" w:lineRule="auto"/>
        <w:rPr>
          <w:rFonts w:eastAsia="Arial"/>
          <w:b/>
        </w:rPr>
      </w:pPr>
      <w:r w:rsidRPr="0055512B">
        <w:rPr>
          <w:rFonts w:eastAsia="Arial"/>
          <w:b/>
        </w:rPr>
        <w:t xml:space="preserve">LES ACTEURS ET LEUR MANDAT </w:t>
      </w:r>
    </w:p>
    <w:p w14:paraId="3A0CB825" w14:textId="77777777" w:rsidR="00AD6E5A" w:rsidRDefault="00AD6E5A" w:rsidP="00AD6E5A">
      <w:pPr>
        <w:pStyle w:val="Paragraph"/>
        <w:numPr>
          <w:ilvl w:val="0"/>
          <w:numId w:val="0"/>
        </w:numPr>
        <w:ind w:left="360"/>
        <w:rPr>
          <w:spacing w:val="-2"/>
          <w:szCs w:val="24"/>
          <w:lang w:val="fr-CA"/>
        </w:rPr>
      </w:pPr>
      <w:r>
        <w:rPr>
          <w:spacing w:val="-2"/>
          <w:szCs w:val="24"/>
          <w:lang w:val="fr-CA"/>
        </w:rPr>
        <w:t xml:space="preserve">L’Organisme d’exécution du Projet </w:t>
      </w:r>
      <w:r w:rsidRPr="001829FC">
        <w:rPr>
          <w:spacing w:val="-2"/>
          <w:szCs w:val="24"/>
          <w:lang w:val="fr-CA"/>
        </w:rPr>
        <w:t xml:space="preserve">sera la DINEPA </w:t>
      </w:r>
      <w:r>
        <w:rPr>
          <w:spacing w:val="-2"/>
          <w:szCs w:val="24"/>
          <w:lang w:val="fr-CA"/>
        </w:rPr>
        <w:t xml:space="preserve">à travers </w:t>
      </w:r>
      <w:r w:rsidRPr="001829FC">
        <w:rPr>
          <w:spacing w:val="-2"/>
          <w:szCs w:val="24"/>
          <w:lang w:val="fr-CA"/>
        </w:rPr>
        <w:t>son O</w:t>
      </w:r>
      <w:r>
        <w:rPr>
          <w:spacing w:val="-2"/>
          <w:szCs w:val="24"/>
          <w:lang w:val="fr-CA"/>
        </w:rPr>
        <w:t xml:space="preserve">REPA Ouest et son CTE-RMPP. </w:t>
      </w:r>
      <w:r w:rsidRPr="001829FC">
        <w:rPr>
          <w:spacing w:val="-2"/>
          <w:szCs w:val="24"/>
          <w:lang w:val="fr-CA"/>
        </w:rPr>
        <w:t>Le personnel affecté</w:t>
      </w:r>
      <w:r>
        <w:rPr>
          <w:spacing w:val="-2"/>
          <w:szCs w:val="24"/>
          <w:lang w:val="fr-CA"/>
        </w:rPr>
        <w:t xml:space="preserve"> au P</w:t>
      </w:r>
      <w:r w:rsidRPr="001829FC">
        <w:rPr>
          <w:spacing w:val="-2"/>
          <w:szCs w:val="24"/>
          <w:lang w:val="fr-CA"/>
        </w:rPr>
        <w:t>rojet appart</w:t>
      </w:r>
      <w:r>
        <w:rPr>
          <w:spacing w:val="-2"/>
          <w:szCs w:val="24"/>
          <w:lang w:val="fr-CA"/>
        </w:rPr>
        <w:t>iendra au personnel du CTE-RMPP</w:t>
      </w:r>
      <w:r w:rsidRPr="001829FC">
        <w:rPr>
          <w:spacing w:val="-2"/>
          <w:szCs w:val="24"/>
          <w:lang w:val="fr-CA"/>
        </w:rPr>
        <w:t xml:space="preserve"> sous l’autorité de son Directeur Général</w:t>
      </w:r>
      <w:r>
        <w:rPr>
          <w:spacing w:val="-2"/>
          <w:szCs w:val="24"/>
          <w:lang w:val="fr-CA"/>
        </w:rPr>
        <w:t xml:space="preserve"> qui</w:t>
      </w:r>
      <w:r w:rsidRPr="001829FC">
        <w:rPr>
          <w:spacing w:val="-2"/>
          <w:szCs w:val="24"/>
          <w:lang w:val="fr-CA"/>
        </w:rPr>
        <w:t xml:space="preserve"> sera le coordonn</w:t>
      </w:r>
      <w:r>
        <w:rPr>
          <w:spacing w:val="-2"/>
          <w:szCs w:val="24"/>
          <w:lang w:val="fr-CA"/>
        </w:rPr>
        <w:t>ateur du P</w:t>
      </w:r>
      <w:r w:rsidRPr="001829FC">
        <w:rPr>
          <w:spacing w:val="-2"/>
          <w:szCs w:val="24"/>
          <w:lang w:val="fr-CA"/>
        </w:rPr>
        <w:t>rojet. Le Département rural de la DINEPA</w:t>
      </w:r>
      <w:r>
        <w:rPr>
          <w:spacing w:val="-2"/>
          <w:szCs w:val="24"/>
          <w:lang w:val="fr-CA"/>
        </w:rPr>
        <w:t>, dirigé par son coordonnateur,</w:t>
      </w:r>
      <w:r w:rsidRPr="001829FC">
        <w:rPr>
          <w:spacing w:val="-2"/>
          <w:szCs w:val="24"/>
          <w:lang w:val="fr-CA"/>
        </w:rPr>
        <w:t xml:space="preserve"> </w:t>
      </w:r>
      <w:r>
        <w:rPr>
          <w:spacing w:val="-2"/>
          <w:szCs w:val="24"/>
          <w:lang w:val="fr-CA"/>
        </w:rPr>
        <w:t xml:space="preserve">sera responsable de </w:t>
      </w:r>
      <w:r>
        <w:rPr>
          <w:spacing w:val="-2"/>
          <w:szCs w:val="24"/>
          <w:lang w:val="fr-CA"/>
        </w:rPr>
        <w:lastRenderedPageBreak/>
        <w:t>l’</w:t>
      </w:r>
      <w:r w:rsidRPr="001829FC">
        <w:rPr>
          <w:spacing w:val="-2"/>
          <w:szCs w:val="24"/>
          <w:lang w:val="fr-CA"/>
        </w:rPr>
        <w:t>exécut</w:t>
      </w:r>
      <w:r>
        <w:rPr>
          <w:spacing w:val="-2"/>
          <w:szCs w:val="24"/>
          <w:lang w:val="fr-CA"/>
        </w:rPr>
        <w:t>ion</w:t>
      </w:r>
      <w:r w:rsidRPr="001829FC">
        <w:rPr>
          <w:spacing w:val="-2"/>
          <w:szCs w:val="24"/>
          <w:lang w:val="fr-CA"/>
        </w:rPr>
        <w:t xml:space="preserve"> </w:t>
      </w:r>
      <w:r>
        <w:rPr>
          <w:spacing w:val="-2"/>
          <w:szCs w:val="24"/>
          <w:lang w:val="fr-CA"/>
        </w:rPr>
        <w:t xml:space="preserve">de </w:t>
      </w:r>
      <w:r w:rsidRPr="001829FC">
        <w:rPr>
          <w:spacing w:val="-2"/>
          <w:szCs w:val="24"/>
          <w:lang w:val="fr-CA"/>
        </w:rPr>
        <w:t xml:space="preserve">la composante </w:t>
      </w:r>
      <w:r>
        <w:rPr>
          <w:spacing w:val="-2"/>
          <w:szCs w:val="24"/>
          <w:lang w:val="fr-CA"/>
        </w:rPr>
        <w:t>4 du P</w:t>
      </w:r>
      <w:r w:rsidRPr="001829FC">
        <w:rPr>
          <w:spacing w:val="-2"/>
          <w:szCs w:val="24"/>
          <w:lang w:val="fr-CA"/>
        </w:rPr>
        <w:t>rojet</w:t>
      </w:r>
      <w:r>
        <w:rPr>
          <w:spacing w:val="-2"/>
          <w:szCs w:val="24"/>
          <w:lang w:val="fr-CA"/>
        </w:rPr>
        <w:t>. La capacité de l’OREPA-Ouest sera analysée par la Banque pendant l’exécution du Projet. Selon les résultats de cette analyse, la Banque pourra, à la requête de la DINEPA, autoriser le transfert de la responsabilité d’exécution du Projet, à l’exception de la composante 4, du CTE-RMPP à l’OREPA-Ouest.</w:t>
      </w:r>
    </w:p>
    <w:p w14:paraId="7E77A545" w14:textId="79A663EC" w:rsidR="00665E7C" w:rsidRPr="00922848" w:rsidRDefault="00AD6E5A" w:rsidP="00922848">
      <w:pPr>
        <w:pStyle w:val="Paragraph"/>
        <w:numPr>
          <w:ilvl w:val="0"/>
          <w:numId w:val="0"/>
        </w:numPr>
        <w:ind w:left="360"/>
        <w:rPr>
          <w:spacing w:val="-2"/>
          <w:szCs w:val="24"/>
          <w:lang w:val="fr-CA"/>
        </w:rPr>
      </w:pPr>
      <w:r w:rsidRPr="001829FC">
        <w:rPr>
          <w:spacing w:val="-2"/>
          <w:szCs w:val="24"/>
          <w:lang w:val="fr-CA"/>
        </w:rPr>
        <w:t>Pour assurer une bonne coordina</w:t>
      </w:r>
      <w:r>
        <w:rPr>
          <w:spacing w:val="-2"/>
          <w:szCs w:val="24"/>
          <w:lang w:val="fr-CA"/>
        </w:rPr>
        <w:t>tion entre la DINEPA, l’OREPA Ou</w:t>
      </w:r>
      <w:r w:rsidRPr="001829FC">
        <w:rPr>
          <w:spacing w:val="-2"/>
          <w:szCs w:val="24"/>
          <w:lang w:val="fr-CA"/>
        </w:rPr>
        <w:t>est et le CTE-RMPP, la DINEPA superviser</w:t>
      </w:r>
      <w:r>
        <w:rPr>
          <w:spacing w:val="-2"/>
          <w:szCs w:val="24"/>
          <w:lang w:val="fr-CA"/>
        </w:rPr>
        <w:t>a</w:t>
      </w:r>
      <w:r w:rsidRPr="001829FC">
        <w:rPr>
          <w:spacing w:val="-2"/>
          <w:szCs w:val="24"/>
          <w:lang w:val="fr-CA"/>
        </w:rPr>
        <w:t xml:space="preserve"> l’exécution du </w:t>
      </w:r>
      <w:r>
        <w:rPr>
          <w:spacing w:val="-2"/>
          <w:szCs w:val="24"/>
          <w:lang w:val="fr-CA"/>
        </w:rPr>
        <w:t>P</w:t>
      </w:r>
      <w:r w:rsidRPr="001829FC">
        <w:rPr>
          <w:spacing w:val="-2"/>
          <w:szCs w:val="24"/>
          <w:lang w:val="fr-CA"/>
        </w:rPr>
        <w:t>rojet</w:t>
      </w:r>
      <w:r>
        <w:rPr>
          <w:spacing w:val="-2"/>
          <w:szCs w:val="24"/>
          <w:lang w:val="fr-CA"/>
        </w:rPr>
        <w:t>.</w:t>
      </w:r>
      <w:r w:rsidRPr="001829FC">
        <w:rPr>
          <w:spacing w:val="-2"/>
          <w:szCs w:val="24"/>
          <w:lang w:val="fr-CA"/>
        </w:rPr>
        <w:t xml:space="preserve"> </w:t>
      </w:r>
      <w:r>
        <w:rPr>
          <w:spacing w:val="-2"/>
          <w:szCs w:val="24"/>
          <w:lang w:val="fr-CA"/>
        </w:rPr>
        <w:t>L</w:t>
      </w:r>
      <w:r w:rsidRPr="001829FC">
        <w:rPr>
          <w:spacing w:val="-2"/>
          <w:szCs w:val="24"/>
          <w:lang w:val="fr-CA"/>
        </w:rPr>
        <w:t>’OREPA Ouest supervisera les processus de passation de marchés et le CT</w:t>
      </w:r>
      <w:r>
        <w:rPr>
          <w:spacing w:val="-2"/>
          <w:szCs w:val="24"/>
          <w:lang w:val="fr-CA"/>
        </w:rPr>
        <w:t>E-RMPP gérera les activités du P</w:t>
      </w:r>
      <w:r w:rsidRPr="001829FC">
        <w:rPr>
          <w:spacing w:val="-2"/>
          <w:szCs w:val="24"/>
          <w:lang w:val="fr-CA"/>
        </w:rPr>
        <w:t>rojet</w:t>
      </w:r>
      <w:r>
        <w:rPr>
          <w:spacing w:val="-2"/>
          <w:szCs w:val="24"/>
          <w:lang w:val="fr-CA"/>
        </w:rPr>
        <w:t>, à l’exception de ceux de la composante 4</w:t>
      </w:r>
      <w:r w:rsidRPr="001829FC">
        <w:rPr>
          <w:spacing w:val="-2"/>
          <w:szCs w:val="24"/>
          <w:lang w:val="fr-CA"/>
        </w:rPr>
        <w:t>. Le CTE-RMPP tiendra deux fois par mois des réunions du comité de pilotage auxquelles participeront les responsables de la passation de marchés et des finances</w:t>
      </w:r>
      <w:r>
        <w:rPr>
          <w:spacing w:val="-2"/>
          <w:szCs w:val="24"/>
          <w:lang w:val="fr-CA"/>
        </w:rPr>
        <w:t xml:space="preserve"> du Projet, </w:t>
      </w:r>
      <w:r w:rsidRPr="001829FC">
        <w:rPr>
          <w:spacing w:val="-2"/>
          <w:szCs w:val="24"/>
          <w:lang w:val="fr-CA"/>
        </w:rPr>
        <w:t>des représentants de la DINEPA et</w:t>
      </w:r>
      <w:r>
        <w:rPr>
          <w:spacing w:val="-2"/>
          <w:szCs w:val="24"/>
          <w:lang w:val="fr-CA"/>
        </w:rPr>
        <w:t>, à titre d’observateurs, des représentants</w:t>
      </w:r>
      <w:r w:rsidRPr="001829FC">
        <w:rPr>
          <w:spacing w:val="-2"/>
          <w:szCs w:val="24"/>
          <w:lang w:val="fr-CA"/>
        </w:rPr>
        <w:t xml:space="preserve"> de la Banque.</w:t>
      </w:r>
    </w:p>
    <w:p w14:paraId="2257B22E" w14:textId="77777777" w:rsidR="000346A4" w:rsidRPr="0055512B" w:rsidRDefault="000346A4" w:rsidP="007577F9">
      <w:pPr>
        <w:spacing w:line="276" w:lineRule="auto"/>
        <w:jc w:val="both"/>
      </w:pPr>
    </w:p>
    <w:p w14:paraId="195B6422" w14:textId="77777777" w:rsidR="00665E7C" w:rsidRPr="0055512B" w:rsidRDefault="00665E7C" w:rsidP="007577F9">
      <w:pPr>
        <w:pStyle w:val="ListParagraph"/>
        <w:numPr>
          <w:ilvl w:val="1"/>
          <w:numId w:val="7"/>
        </w:numPr>
        <w:spacing w:line="276" w:lineRule="auto"/>
        <w:ind w:left="426"/>
        <w:jc w:val="both"/>
        <w:rPr>
          <w:b/>
        </w:rPr>
      </w:pPr>
      <w:r w:rsidRPr="0055512B">
        <w:rPr>
          <w:b/>
        </w:rPr>
        <w:t>Mandat de la DINEPA</w:t>
      </w:r>
    </w:p>
    <w:p w14:paraId="621D2286" w14:textId="77777777" w:rsidR="0093220A" w:rsidRPr="0055512B" w:rsidRDefault="00665E7C" w:rsidP="007577F9">
      <w:pPr>
        <w:pStyle w:val="ListParagraph"/>
        <w:spacing w:line="276" w:lineRule="auto"/>
        <w:ind w:left="426"/>
        <w:jc w:val="both"/>
      </w:pPr>
      <w:r w:rsidRPr="0055512B">
        <w:t xml:space="preserve">La DINEPA sera responsable  de l’implémentation et de l’administration entière du projet, incluant: la planification, les rapports techniques et les aspects fiduciaires, la gestion financière et comptable, la passation et l’exécution des marches, la supervision des firmes et des fournisseurs de service, le suivi et l’évaluation ainsi que le respect des clauses contractuelles de l’accord de don. La DINEPA a implémenté les deux premiers projets en Eau Potable et Assainissement à Port au Prince. </w:t>
      </w:r>
    </w:p>
    <w:p w14:paraId="12C25509" w14:textId="77777777" w:rsidR="00B95F25" w:rsidRPr="0055512B" w:rsidRDefault="00B95F25" w:rsidP="007577F9">
      <w:pPr>
        <w:pStyle w:val="ListParagraph"/>
        <w:spacing w:line="276" w:lineRule="auto"/>
        <w:ind w:left="426"/>
        <w:jc w:val="both"/>
      </w:pPr>
    </w:p>
    <w:p w14:paraId="4444F264" w14:textId="77777777" w:rsidR="00665E7C" w:rsidRPr="0055512B" w:rsidRDefault="00665E7C" w:rsidP="007577F9">
      <w:pPr>
        <w:pStyle w:val="ListParagraph"/>
        <w:numPr>
          <w:ilvl w:val="1"/>
          <w:numId w:val="7"/>
        </w:numPr>
        <w:spacing w:line="276" w:lineRule="auto"/>
        <w:ind w:left="426"/>
        <w:jc w:val="both"/>
        <w:rPr>
          <w:b/>
        </w:rPr>
      </w:pPr>
      <w:r w:rsidRPr="0055512B">
        <w:rPr>
          <w:b/>
        </w:rPr>
        <w:t>Mandat du CTE-RMPP</w:t>
      </w:r>
    </w:p>
    <w:p w14:paraId="2413C20B" w14:textId="77777777" w:rsidR="00665E7C" w:rsidRPr="0055512B" w:rsidRDefault="00C26534" w:rsidP="007577F9">
      <w:pPr>
        <w:pStyle w:val="ListParagraph"/>
        <w:spacing w:line="276" w:lineRule="auto"/>
        <w:ind w:left="426" w:hanging="426"/>
        <w:jc w:val="both"/>
      </w:pPr>
      <w:r w:rsidRPr="0055512B">
        <w:t xml:space="preserve">       </w:t>
      </w:r>
      <w:r w:rsidR="00665E7C" w:rsidRPr="0055512B">
        <w:t>Le CTE-RMPP (Centre Technique d’Exploitation de la Région Métropolitaine) est placé  sous la supervision de la DINEPA et sera impliqué dans l’exécution et la gestion financière de ce nouveau projet comme cela a été le cas dans les projets précédents. Actuellement, tous les paiements en dessous de 5,000 dollars liées aux dépenses opérationnelles des projets  2351/GR-HA &amp; GRT/WS-12277-HA sont directement exécutés par le CTE-RMPP</w:t>
      </w:r>
      <w:r w:rsidR="00694E30" w:rsidRPr="0055512B">
        <w:t>.</w:t>
      </w:r>
      <w:r w:rsidR="00665E7C" w:rsidRPr="0055512B">
        <w:t xml:space="preserve"> Le CTE-RMPP est aussi responsable, pour les deux opérations,  de la préparation des rapports financiers et des requêtes de déboursement. Celles-ci sont approuvées par la DINEPA avant d’être soumises à la Banque.</w:t>
      </w:r>
    </w:p>
    <w:p w14:paraId="2507E010" w14:textId="77777777" w:rsidR="00C26534" w:rsidRPr="0055512B" w:rsidRDefault="00C26534" w:rsidP="007577F9">
      <w:pPr>
        <w:pStyle w:val="ListParagraph"/>
        <w:spacing w:line="276" w:lineRule="auto"/>
        <w:jc w:val="both"/>
      </w:pPr>
    </w:p>
    <w:p w14:paraId="3A2B84E7" w14:textId="77777777" w:rsidR="00C26534" w:rsidRPr="0055512B" w:rsidRDefault="00C26534" w:rsidP="007577F9">
      <w:pPr>
        <w:pStyle w:val="ListParagraph"/>
        <w:numPr>
          <w:ilvl w:val="1"/>
          <w:numId w:val="7"/>
        </w:numPr>
        <w:spacing w:line="276" w:lineRule="auto"/>
        <w:ind w:left="426" w:hanging="426"/>
        <w:jc w:val="both"/>
        <w:rPr>
          <w:b/>
        </w:rPr>
      </w:pPr>
      <w:r w:rsidRPr="0055512B">
        <w:rPr>
          <w:b/>
        </w:rPr>
        <w:t xml:space="preserve">Mandat de l’OREPA Ouest </w:t>
      </w:r>
    </w:p>
    <w:p w14:paraId="32966983" w14:textId="2E40A41C" w:rsidR="00C87D4E" w:rsidRPr="0055512B" w:rsidRDefault="00C87D4E" w:rsidP="007577F9">
      <w:pPr>
        <w:pBdr>
          <w:top w:val="nil"/>
          <w:left w:val="nil"/>
          <w:bottom w:val="nil"/>
          <w:right w:val="nil"/>
          <w:between w:val="nil"/>
          <w:bar w:val="nil"/>
        </w:pBdr>
        <w:spacing w:before="120" w:after="120" w:line="276" w:lineRule="auto"/>
        <w:ind w:left="426"/>
        <w:jc w:val="both"/>
      </w:pPr>
      <w:r w:rsidRPr="0055512B">
        <w:t xml:space="preserve">Suite à une récente initiative visant à décentraliser la fonction Passation de Marché vers l’OREPA dans le but de permettre à la DINEPA de se concentrer sur ses tâches de régulation, il a été décidé de  débuter l’exercice de décentralisation à travers un mécanisme pilote en plaçant toutes les activités de passation de marché au niveau de l’OREPA. L’OREPA Ouest a été désigné comme pilote vers la fin de 2015 pour exécuter toutes les activités de passation de marché des projets </w:t>
      </w:r>
      <w:r w:rsidRPr="0055512B">
        <w:rPr>
          <w:spacing w:val="-2"/>
        </w:rPr>
        <w:t xml:space="preserve">2351/GR-HA and 2946/GR-HA. Un spécialiste en passation de marchés qui a travaillé auparavant pour l’unité centrale de passation de marché à la DINEPA a été transféré à l’OREPA pour </w:t>
      </w:r>
      <w:r w:rsidRPr="0055512B">
        <w:rPr>
          <w:spacing w:val="-2"/>
        </w:rPr>
        <w:lastRenderedPageBreak/>
        <w:t>conduire les activités de passation de marché en liaison avec la direction centrale. Un assistant administratif sert de support au spécialiste</w:t>
      </w:r>
      <w:r w:rsidR="008255A6" w:rsidRPr="0055512B">
        <w:rPr>
          <w:spacing w:val="-2"/>
        </w:rPr>
        <w:t xml:space="preserve">, et un </w:t>
      </w:r>
      <w:r w:rsidR="008255A6" w:rsidRPr="0055512B">
        <w:t>spécialiste avec des capacités adéquates fait le suivi des aspects environnementaux et sociaux</w:t>
      </w:r>
      <w:r w:rsidR="00AF56F0" w:rsidRPr="0055512B">
        <w:t xml:space="preserve">, tel qu’établi dans le </w:t>
      </w:r>
      <w:r w:rsidR="00DE457C" w:rsidRPr="0055512B">
        <w:t>Plan-</w:t>
      </w:r>
      <w:r w:rsidR="00AF56F0" w:rsidRPr="0055512B">
        <w:t>Cadre de Gestion Environnementale et Sociale (</w:t>
      </w:r>
      <w:r w:rsidR="00DE457C" w:rsidRPr="0055512B">
        <w:t>PGAS</w:t>
      </w:r>
      <w:r w:rsidR="00AF56F0" w:rsidRPr="0055512B">
        <w:t>) du Programme.</w:t>
      </w:r>
      <w:r w:rsidRPr="0055512B">
        <w:rPr>
          <w:spacing w:val="-2"/>
        </w:rPr>
        <w:t xml:space="preserve">  Suite à la réussite de ce pilote, il a été décidé qu’un mécanisme de délégation d’autorité sera établi dans le présent projet, dans le but d’alléger le processus d’exécution de marché</w:t>
      </w:r>
      <w:r w:rsidR="008255A6" w:rsidRPr="0055512B">
        <w:rPr>
          <w:spacing w:val="-2"/>
        </w:rPr>
        <w:t>.</w:t>
      </w:r>
      <w:r w:rsidRPr="0055512B">
        <w:rPr>
          <w:spacing w:val="-2"/>
        </w:rPr>
        <w:t xml:space="preserve"> </w:t>
      </w:r>
    </w:p>
    <w:p w14:paraId="4F5A8707" w14:textId="5E70DE09" w:rsidR="000F411C" w:rsidRPr="0055512B" w:rsidRDefault="000F411C" w:rsidP="000F411C">
      <w:pPr>
        <w:pStyle w:val="ListParagraph"/>
        <w:numPr>
          <w:ilvl w:val="0"/>
          <w:numId w:val="52"/>
        </w:numPr>
        <w:spacing w:line="276" w:lineRule="auto"/>
      </w:pPr>
      <w:r w:rsidRPr="0055512B">
        <w:t>Responsabilités du spécialiste environnemental et social</w:t>
      </w:r>
    </w:p>
    <w:p w14:paraId="5EFAF979" w14:textId="00C09648" w:rsidR="00C87D4E" w:rsidRPr="0055512B" w:rsidRDefault="00C87D4E" w:rsidP="007577F9">
      <w:pPr>
        <w:pStyle w:val="ListParagraph"/>
        <w:spacing w:line="276" w:lineRule="auto"/>
        <w:ind w:left="1080"/>
        <w:jc w:val="both"/>
      </w:pPr>
    </w:p>
    <w:p w14:paraId="5D41804E" w14:textId="77777777" w:rsidR="00877503" w:rsidRPr="0055512B" w:rsidRDefault="000F00DD" w:rsidP="008B2BE4">
      <w:pPr>
        <w:pStyle w:val="HTMLPreformatted"/>
        <w:numPr>
          <w:ilvl w:val="0"/>
          <w:numId w:val="57"/>
        </w:numPr>
        <w:shd w:val="clear" w:color="auto" w:fill="FFFFFF"/>
        <w:tabs>
          <w:tab w:val="clear" w:pos="916"/>
        </w:tabs>
        <w:jc w:val="both"/>
        <w:rPr>
          <w:rFonts w:ascii="Times" w:eastAsia="Arial" w:hAnsi="Times" w:cs="Times New Roman"/>
          <w:sz w:val="24"/>
          <w:szCs w:val="24"/>
          <w:lang w:val="fr-FR"/>
        </w:rPr>
      </w:pPr>
      <w:r w:rsidRPr="0055512B">
        <w:rPr>
          <w:rFonts w:ascii="Times" w:eastAsia="Arial" w:hAnsi="Times" w:cs="Times New Roman"/>
          <w:sz w:val="24"/>
          <w:szCs w:val="24"/>
          <w:lang w:val="fr-FR"/>
        </w:rPr>
        <w:t>Collecter et organiser</w:t>
      </w:r>
      <w:r w:rsidR="00877503" w:rsidRPr="0055512B">
        <w:rPr>
          <w:rFonts w:ascii="Times" w:eastAsia="Arial" w:hAnsi="Times" w:cs="Times New Roman"/>
          <w:sz w:val="24"/>
          <w:szCs w:val="24"/>
          <w:lang w:val="fr-FR"/>
        </w:rPr>
        <w:t xml:space="preserve"> </w:t>
      </w:r>
      <w:r w:rsidRPr="0055512B">
        <w:rPr>
          <w:rFonts w:ascii="Times" w:eastAsia="Arial" w:hAnsi="Times" w:cs="Times New Roman"/>
          <w:sz w:val="24"/>
          <w:szCs w:val="24"/>
          <w:lang w:val="fr-FR"/>
        </w:rPr>
        <w:t>l</w:t>
      </w:r>
      <w:r w:rsidR="00877503" w:rsidRPr="0055512B">
        <w:rPr>
          <w:rFonts w:ascii="Times" w:eastAsia="Arial" w:hAnsi="Times" w:cs="Times New Roman"/>
          <w:sz w:val="24"/>
          <w:szCs w:val="24"/>
          <w:lang w:val="fr-FR"/>
        </w:rPr>
        <w:t>es informations sur la gestion environnementale et sociale du Programme, telles que les activités d’engagement des parties prenantes, les études d’</w:t>
      </w:r>
      <w:r w:rsidRPr="0055512B">
        <w:rPr>
          <w:rFonts w:ascii="Times" w:eastAsia="Arial" w:hAnsi="Times" w:cs="Times New Roman"/>
          <w:sz w:val="24"/>
          <w:szCs w:val="24"/>
          <w:lang w:val="fr-FR"/>
        </w:rPr>
        <w:t>analyse</w:t>
      </w:r>
      <w:r w:rsidR="00877503" w:rsidRPr="0055512B">
        <w:rPr>
          <w:rFonts w:ascii="Times" w:eastAsia="Arial" w:hAnsi="Times" w:cs="Times New Roman"/>
          <w:sz w:val="24"/>
          <w:szCs w:val="24"/>
          <w:lang w:val="fr-FR"/>
        </w:rPr>
        <w:t xml:space="preserve"> environnementale et sociale</w:t>
      </w:r>
      <w:r w:rsidRPr="0055512B">
        <w:rPr>
          <w:rFonts w:ascii="Times" w:eastAsia="Arial" w:hAnsi="Times" w:cs="Times New Roman"/>
          <w:sz w:val="24"/>
          <w:szCs w:val="24"/>
          <w:lang w:val="fr-FR"/>
        </w:rPr>
        <w:t xml:space="preserve"> (</w:t>
      </w:r>
      <w:r w:rsidR="00F417EB" w:rsidRPr="0055512B">
        <w:rPr>
          <w:rFonts w:ascii="Times" w:eastAsia="Arial" w:hAnsi="Times" w:cs="Times New Roman"/>
          <w:sz w:val="24"/>
          <w:szCs w:val="24"/>
          <w:lang w:val="fr-FR"/>
        </w:rPr>
        <w:t>AES) préparées</w:t>
      </w:r>
      <w:r w:rsidR="00877503" w:rsidRPr="0055512B">
        <w:rPr>
          <w:rFonts w:ascii="Times" w:eastAsia="Arial" w:hAnsi="Times" w:cs="Times New Roman"/>
          <w:sz w:val="24"/>
          <w:szCs w:val="24"/>
          <w:lang w:val="fr-FR"/>
        </w:rPr>
        <w:t>, les consultations avec les personnes affectées, la conformité des entreprises de construction aves le PGAS spécifique à chaque projet, la performance du mécanisme de gestion de griefs, etc.. ( ?)</w:t>
      </w:r>
    </w:p>
    <w:p w14:paraId="34E41903" w14:textId="29A009AB" w:rsidR="00F417EB" w:rsidRPr="0055512B" w:rsidRDefault="000B1994" w:rsidP="008B2BE4">
      <w:pPr>
        <w:pStyle w:val="HTMLPreformatted"/>
        <w:numPr>
          <w:ilvl w:val="0"/>
          <w:numId w:val="57"/>
        </w:numPr>
        <w:shd w:val="clear" w:color="auto" w:fill="FFFFFF"/>
        <w:jc w:val="both"/>
        <w:rPr>
          <w:rFonts w:ascii="Times" w:hAnsi="Times"/>
          <w:color w:val="212121"/>
          <w:sz w:val="24"/>
          <w:szCs w:val="24"/>
          <w:lang w:val="fr-FR"/>
        </w:rPr>
      </w:pPr>
      <w:r w:rsidRPr="0055512B">
        <w:rPr>
          <w:rFonts w:ascii="Times" w:eastAsia="Arial" w:hAnsi="Times" w:cs="Times New Roman"/>
          <w:sz w:val="24"/>
          <w:szCs w:val="24"/>
          <w:lang w:val="fr-FR"/>
        </w:rPr>
        <w:t xml:space="preserve">Procéder </w:t>
      </w:r>
      <w:r w:rsidR="00672E98" w:rsidRPr="0055512B">
        <w:rPr>
          <w:rFonts w:ascii="Times" w:eastAsia="Arial" w:hAnsi="Times" w:cs="Times New Roman"/>
          <w:sz w:val="24"/>
          <w:szCs w:val="24"/>
          <w:lang w:val="fr-FR"/>
        </w:rPr>
        <w:t>à</w:t>
      </w:r>
      <w:r w:rsidRPr="0055512B">
        <w:rPr>
          <w:rFonts w:ascii="Times" w:eastAsia="Arial" w:hAnsi="Times" w:cs="Times New Roman"/>
          <w:sz w:val="24"/>
          <w:szCs w:val="24"/>
          <w:lang w:val="fr-FR"/>
        </w:rPr>
        <w:t xml:space="preserve"> des inspections de supervision pour a</w:t>
      </w:r>
      <w:r w:rsidR="00F417EB" w:rsidRPr="0055512B">
        <w:rPr>
          <w:rFonts w:ascii="Times" w:hAnsi="Times"/>
          <w:color w:val="212121"/>
          <w:sz w:val="24"/>
          <w:szCs w:val="24"/>
          <w:lang w:val="fr-FR"/>
        </w:rPr>
        <w:t>ssurer le suivi de toutes les exigences environnementales contenues dans l'Accord de Prêt afin d</w:t>
      </w:r>
      <w:r w:rsidRPr="0055512B">
        <w:rPr>
          <w:rFonts w:ascii="Times" w:hAnsi="Times"/>
          <w:color w:val="212121"/>
          <w:sz w:val="24"/>
          <w:szCs w:val="24"/>
          <w:lang w:val="fr-FR"/>
        </w:rPr>
        <w:t xml:space="preserve">e maintenir </w:t>
      </w:r>
      <w:r w:rsidR="00F417EB" w:rsidRPr="0055512B">
        <w:rPr>
          <w:rFonts w:ascii="Times" w:hAnsi="Times"/>
          <w:color w:val="212121"/>
          <w:sz w:val="24"/>
          <w:szCs w:val="24"/>
          <w:lang w:val="fr-FR"/>
        </w:rPr>
        <w:t>l</w:t>
      </w:r>
      <w:r w:rsidR="00A63BD5" w:rsidRPr="0055512B">
        <w:rPr>
          <w:rFonts w:ascii="Times" w:hAnsi="Times"/>
          <w:color w:val="212121"/>
          <w:sz w:val="24"/>
          <w:szCs w:val="24"/>
          <w:lang w:val="fr-FR"/>
        </w:rPr>
        <w:t xml:space="preserve">a conformité </w:t>
      </w:r>
      <w:r w:rsidRPr="0055512B">
        <w:rPr>
          <w:rFonts w:ascii="Times" w:hAnsi="Times"/>
          <w:color w:val="212121"/>
          <w:sz w:val="24"/>
          <w:szCs w:val="24"/>
          <w:lang w:val="fr-FR"/>
        </w:rPr>
        <w:t xml:space="preserve">de du Programme et de chaque projet </w:t>
      </w:r>
      <w:r w:rsidR="00A63BD5" w:rsidRPr="0055512B">
        <w:rPr>
          <w:rFonts w:ascii="Times" w:hAnsi="Times"/>
          <w:color w:val="212121"/>
          <w:sz w:val="24"/>
          <w:szCs w:val="24"/>
          <w:lang w:val="fr-FR"/>
        </w:rPr>
        <w:t xml:space="preserve">avec </w:t>
      </w:r>
      <w:r w:rsidR="00F417EB" w:rsidRPr="0055512B">
        <w:rPr>
          <w:rFonts w:ascii="Times" w:hAnsi="Times"/>
          <w:color w:val="212121"/>
          <w:sz w:val="24"/>
          <w:szCs w:val="24"/>
          <w:lang w:val="fr-FR"/>
        </w:rPr>
        <w:t xml:space="preserve">toutes les clauses environnementales et sociales en </w:t>
      </w:r>
      <w:r w:rsidR="00A63BD5" w:rsidRPr="0055512B">
        <w:rPr>
          <w:rFonts w:ascii="Times" w:hAnsi="Times"/>
          <w:color w:val="212121"/>
          <w:sz w:val="24"/>
          <w:szCs w:val="24"/>
          <w:lang w:val="fr-FR"/>
        </w:rPr>
        <w:t>temps opportun.</w:t>
      </w:r>
      <w:r w:rsidR="00F417EB" w:rsidRPr="0055512B">
        <w:rPr>
          <w:rFonts w:ascii="Times" w:hAnsi="Times"/>
          <w:color w:val="212121"/>
          <w:sz w:val="24"/>
          <w:szCs w:val="24"/>
          <w:lang w:val="fr-FR"/>
        </w:rPr>
        <w:t xml:space="preserve"> </w:t>
      </w:r>
    </w:p>
    <w:p w14:paraId="388380C9" w14:textId="241F1A61" w:rsidR="008B2BE4" w:rsidRPr="0055512B" w:rsidRDefault="00F417EB" w:rsidP="008B2BE4">
      <w:pPr>
        <w:pStyle w:val="HTMLPreformatted"/>
        <w:numPr>
          <w:ilvl w:val="0"/>
          <w:numId w:val="57"/>
        </w:numPr>
        <w:shd w:val="clear" w:color="auto" w:fill="FFFFFF"/>
        <w:jc w:val="both"/>
        <w:rPr>
          <w:rFonts w:ascii="Times" w:hAnsi="Times"/>
          <w:color w:val="212121"/>
          <w:sz w:val="24"/>
          <w:szCs w:val="24"/>
          <w:lang w:val="fr-FR"/>
        </w:rPr>
      </w:pPr>
      <w:r w:rsidRPr="0055512B">
        <w:rPr>
          <w:rFonts w:ascii="Times" w:hAnsi="Times"/>
          <w:color w:val="212121"/>
          <w:sz w:val="24"/>
          <w:szCs w:val="24"/>
          <w:lang w:val="fr-FR"/>
        </w:rPr>
        <w:t>Vérifie</w:t>
      </w:r>
      <w:r w:rsidR="00672E98" w:rsidRPr="0055512B">
        <w:rPr>
          <w:rFonts w:ascii="Times" w:hAnsi="Times"/>
          <w:color w:val="212121"/>
          <w:sz w:val="24"/>
          <w:szCs w:val="24"/>
          <w:lang w:val="fr-FR"/>
        </w:rPr>
        <w:t>r</w:t>
      </w:r>
      <w:r w:rsidRPr="0055512B">
        <w:rPr>
          <w:rFonts w:ascii="Times" w:hAnsi="Times"/>
          <w:color w:val="212121"/>
          <w:sz w:val="24"/>
          <w:szCs w:val="24"/>
          <w:lang w:val="fr-FR"/>
        </w:rPr>
        <w:t xml:space="preserve"> que le</w:t>
      </w:r>
      <w:r w:rsidR="00A63BD5" w:rsidRPr="0055512B">
        <w:rPr>
          <w:rFonts w:ascii="Times" w:hAnsi="Times"/>
          <w:color w:val="212121"/>
          <w:sz w:val="24"/>
          <w:szCs w:val="24"/>
          <w:lang w:val="fr-FR"/>
        </w:rPr>
        <w:t xml:space="preserve">s </w:t>
      </w:r>
      <w:r w:rsidR="00672E98" w:rsidRPr="0055512B">
        <w:rPr>
          <w:rFonts w:ascii="Times" w:hAnsi="Times"/>
          <w:color w:val="212121"/>
          <w:sz w:val="24"/>
          <w:szCs w:val="24"/>
          <w:lang w:val="fr-FR"/>
        </w:rPr>
        <w:t xml:space="preserve">processus de </w:t>
      </w:r>
      <w:r w:rsidR="00A63BD5" w:rsidRPr="0055512B">
        <w:rPr>
          <w:rFonts w:ascii="Times" w:hAnsi="Times"/>
          <w:color w:val="212121"/>
          <w:sz w:val="24"/>
          <w:szCs w:val="24"/>
          <w:lang w:val="fr-FR"/>
        </w:rPr>
        <w:t xml:space="preserve">passation de marché des projets d’infrastructures du </w:t>
      </w:r>
      <w:r w:rsidRPr="0055512B">
        <w:rPr>
          <w:rFonts w:ascii="Times" w:hAnsi="Times"/>
          <w:color w:val="212121"/>
          <w:sz w:val="24"/>
          <w:szCs w:val="24"/>
          <w:lang w:val="fr-FR"/>
        </w:rPr>
        <w:t xml:space="preserve">programme comprennent les exigences </w:t>
      </w:r>
      <w:r w:rsidR="008B2BE4" w:rsidRPr="0055512B">
        <w:rPr>
          <w:rFonts w:ascii="Times" w:hAnsi="Times"/>
          <w:color w:val="212121"/>
          <w:sz w:val="24"/>
          <w:szCs w:val="24"/>
          <w:lang w:val="fr-FR"/>
        </w:rPr>
        <w:t>suivantes :</w:t>
      </w:r>
    </w:p>
    <w:p w14:paraId="40FCEB96" w14:textId="269501D7" w:rsidR="008B2BE4" w:rsidRPr="0055512B" w:rsidRDefault="00F417EB" w:rsidP="008B2BE4">
      <w:pPr>
        <w:pStyle w:val="HTMLPreformatted"/>
        <w:numPr>
          <w:ilvl w:val="0"/>
          <w:numId w:val="58"/>
        </w:numPr>
        <w:shd w:val="clear" w:color="auto" w:fill="FFFFFF"/>
        <w:jc w:val="both"/>
        <w:rPr>
          <w:rFonts w:ascii="Times" w:hAnsi="Times"/>
          <w:color w:val="212121"/>
          <w:sz w:val="24"/>
          <w:szCs w:val="24"/>
          <w:lang w:val="fr-FR"/>
        </w:rPr>
      </w:pPr>
      <w:r w:rsidRPr="0055512B">
        <w:rPr>
          <w:rFonts w:ascii="Times" w:hAnsi="Times"/>
          <w:color w:val="212121"/>
          <w:sz w:val="24"/>
          <w:szCs w:val="24"/>
          <w:lang w:val="fr-FR"/>
        </w:rPr>
        <w:t xml:space="preserve"> </w:t>
      </w:r>
      <w:r w:rsidR="008B2BE4" w:rsidRPr="0055512B">
        <w:rPr>
          <w:rFonts w:ascii="Times" w:hAnsi="Times"/>
          <w:color w:val="212121"/>
          <w:sz w:val="24"/>
          <w:szCs w:val="24"/>
          <w:lang w:val="fr-FR"/>
        </w:rPr>
        <w:t xml:space="preserve">Soumission par </w:t>
      </w:r>
      <w:r w:rsidRPr="0055512B">
        <w:rPr>
          <w:rFonts w:ascii="Times" w:hAnsi="Times"/>
          <w:color w:val="212121"/>
          <w:sz w:val="24"/>
          <w:szCs w:val="24"/>
          <w:lang w:val="fr-FR"/>
        </w:rPr>
        <w:t xml:space="preserve">la société de construction  </w:t>
      </w:r>
      <w:r w:rsidR="00A63BD5" w:rsidRPr="0055512B">
        <w:rPr>
          <w:rFonts w:ascii="Times" w:hAnsi="Times"/>
          <w:color w:val="212121"/>
          <w:sz w:val="24"/>
          <w:szCs w:val="24"/>
          <w:lang w:val="fr-FR"/>
        </w:rPr>
        <w:t xml:space="preserve">PGAS spécifique du projet avec un </w:t>
      </w:r>
      <w:r w:rsidRPr="0055512B">
        <w:rPr>
          <w:rFonts w:ascii="Times" w:hAnsi="Times"/>
          <w:color w:val="212121"/>
          <w:sz w:val="24"/>
          <w:szCs w:val="24"/>
          <w:lang w:val="fr-FR"/>
        </w:rPr>
        <w:t xml:space="preserve">plan de contrôle environnemental des travaux conformément aux dispositions du </w:t>
      </w:r>
      <w:r w:rsidR="00A63BD5" w:rsidRPr="0055512B">
        <w:rPr>
          <w:rFonts w:ascii="Times" w:hAnsi="Times"/>
          <w:color w:val="212121"/>
          <w:sz w:val="24"/>
          <w:szCs w:val="24"/>
          <w:lang w:val="fr-FR"/>
        </w:rPr>
        <w:t>PESA ;</w:t>
      </w:r>
    </w:p>
    <w:p w14:paraId="322F1A47" w14:textId="1A486F0E" w:rsidR="008B2BE4" w:rsidRPr="0055512B" w:rsidRDefault="008B2BE4" w:rsidP="008B2BE4">
      <w:pPr>
        <w:pStyle w:val="HTMLPreformatted"/>
        <w:numPr>
          <w:ilvl w:val="0"/>
          <w:numId w:val="58"/>
        </w:numPr>
        <w:shd w:val="clear" w:color="auto" w:fill="FFFFFF"/>
        <w:jc w:val="both"/>
        <w:rPr>
          <w:rFonts w:ascii="Times" w:hAnsi="Times"/>
          <w:color w:val="212121"/>
          <w:sz w:val="24"/>
          <w:szCs w:val="24"/>
          <w:lang w:val="fr-FR"/>
        </w:rPr>
      </w:pPr>
      <w:r w:rsidRPr="0055512B">
        <w:rPr>
          <w:rFonts w:ascii="Times" w:hAnsi="Times"/>
          <w:color w:val="212121"/>
          <w:sz w:val="24"/>
          <w:szCs w:val="24"/>
          <w:lang w:val="fr-FR"/>
        </w:rPr>
        <w:t>A</w:t>
      </w:r>
      <w:r w:rsidR="00A63BD5" w:rsidRPr="0055512B">
        <w:rPr>
          <w:rFonts w:ascii="Times" w:hAnsi="Times"/>
          <w:color w:val="212121"/>
          <w:sz w:val="24"/>
          <w:szCs w:val="24"/>
          <w:lang w:val="fr-FR"/>
        </w:rPr>
        <w:t>ppro</w:t>
      </w:r>
      <w:r w:rsidRPr="0055512B">
        <w:rPr>
          <w:rFonts w:ascii="Times" w:hAnsi="Times"/>
          <w:color w:val="212121"/>
          <w:sz w:val="24"/>
          <w:szCs w:val="24"/>
          <w:lang w:val="fr-FR"/>
        </w:rPr>
        <w:t>bation</w:t>
      </w:r>
      <w:r w:rsidR="00A63BD5" w:rsidRPr="0055512B">
        <w:rPr>
          <w:rFonts w:ascii="Times" w:hAnsi="Times"/>
          <w:color w:val="212121"/>
          <w:sz w:val="24"/>
          <w:szCs w:val="24"/>
          <w:lang w:val="fr-FR"/>
        </w:rPr>
        <w:t xml:space="preserve"> </w:t>
      </w:r>
      <w:r w:rsidRPr="0055512B">
        <w:rPr>
          <w:rFonts w:ascii="Times" w:hAnsi="Times"/>
          <w:color w:val="212121"/>
          <w:sz w:val="24"/>
          <w:szCs w:val="24"/>
          <w:lang w:val="fr-FR"/>
        </w:rPr>
        <w:t>d</w:t>
      </w:r>
      <w:r w:rsidR="00A63BD5" w:rsidRPr="0055512B">
        <w:rPr>
          <w:rFonts w:ascii="Times" w:hAnsi="Times"/>
          <w:color w:val="212121"/>
          <w:sz w:val="24"/>
          <w:szCs w:val="24"/>
          <w:lang w:val="fr-FR"/>
        </w:rPr>
        <w:t xml:space="preserve">es PGAS comme </w:t>
      </w:r>
      <w:r w:rsidR="00F417EB" w:rsidRPr="0055512B">
        <w:rPr>
          <w:rFonts w:ascii="Times" w:hAnsi="Times"/>
          <w:color w:val="212121"/>
          <w:sz w:val="24"/>
          <w:szCs w:val="24"/>
          <w:lang w:val="fr-FR"/>
        </w:rPr>
        <w:t xml:space="preserve">condition sine qua non </w:t>
      </w:r>
      <w:r w:rsidR="00A63BD5" w:rsidRPr="0055512B">
        <w:rPr>
          <w:rFonts w:ascii="Times" w:hAnsi="Times"/>
          <w:color w:val="212121"/>
          <w:sz w:val="24"/>
          <w:szCs w:val="24"/>
          <w:lang w:val="fr-FR"/>
        </w:rPr>
        <w:t xml:space="preserve">pour le </w:t>
      </w:r>
      <w:r w:rsidR="00F417EB" w:rsidRPr="0055512B">
        <w:rPr>
          <w:rFonts w:ascii="Times" w:hAnsi="Times"/>
          <w:color w:val="212121"/>
          <w:sz w:val="24"/>
          <w:szCs w:val="24"/>
          <w:lang w:val="fr-FR"/>
        </w:rPr>
        <w:t>début des travaux;</w:t>
      </w:r>
    </w:p>
    <w:p w14:paraId="097E0A60" w14:textId="0F2F6DE7" w:rsidR="008B2BE4" w:rsidRPr="0055512B" w:rsidRDefault="008B2BE4" w:rsidP="008B2BE4">
      <w:pPr>
        <w:pStyle w:val="HTMLPreformatted"/>
        <w:numPr>
          <w:ilvl w:val="0"/>
          <w:numId w:val="58"/>
        </w:numPr>
        <w:shd w:val="clear" w:color="auto" w:fill="FFFFFF"/>
        <w:jc w:val="both"/>
        <w:rPr>
          <w:rFonts w:ascii="Times" w:hAnsi="Times"/>
          <w:color w:val="212121"/>
          <w:sz w:val="24"/>
          <w:szCs w:val="24"/>
          <w:lang w:val="fr-FR"/>
        </w:rPr>
      </w:pPr>
      <w:r w:rsidRPr="0055512B">
        <w:rPr>
          <w:rFonts w:ascii="Times" w:hAnsi="Times"/>
          <w:color w:val="212121"/>
          <w:sz w:val="24"/>
          <w:szCs w:val="24"/>
          <w:lang w:val="fr-FR"/>
        </w:rPr>
        <w:t xml:space="preserve">Engagement par </w:t>
      </w:r>
      <w:r w:rsidR="00F417EB" w:rsidRPr="0055512B">
        <w:rPr>
          <w:rFonts w:ascii="Times" w:hAnsi="Times"/>
          <w:color w:val="212121"/>
          <w:sz w:val="24"/>
          <w:szCs w:val="24"/>
          <w:lang w:val="fr-FR"/>
        </w:rPr>
        <w:t>la société de construction</w:t>
      </w:r>
      <w:r w:rsidRPr="0055512B">
        <w:rPr>
          <w:rFonts w:ascii="Times" w:hAnsi="Times"/>
          <w:color w:val="212121"/>
          <w:sz w:val="24"/>
          <w:szCs w:val="24"/>
          <w:lang w:val="fr-FR"/>
        </w:rPr>
        <w:t xml:space="preserve"> d’</w:t>
      </w:r>
      <w:r w:rsidR="00F417EB" w:rsidRPr="0055512B">
        <w:rPr>
          <w:rFonts w:ascii="Times" w:hAnsi="Times"/>
          <w:color w:val="212121"/>
          <w:sz w:val="24"/>
          <w:szCs w:val="24"/>
          <w:lang w:val="fr-FR"/>
        </w:rPr>
        <w:t>une surveillance environnementale</w:t>
      </w:r>
      <w:r w:rsidR="00A63BD5" w:rsidRPr="0055512B">
        <w:rPr>
          <w:rFonts w:ascii="Times" w:hAnsi="Times"/>
          <w:color w:val="212121"/>
          <w:sz w:val="24"/>
          <w:szCs w:val="24"/>
          <w:lang w:val="fr-FR"/>
        </w:rPr>
        <w:t xml:space="preserve"> et sociale, </w:t>
      </w:r>
      <w:r w:rsidR="00F417EB" w:rsidRPr="0055512B">
        <w:rPr>
          <w:rFonts w:ascii="Times" w:hAnsi="Times"/>
          <w:color w:val="212121"/>
          <w:sz w:val="24"/>
          <w:szCs w:val="24"/>
          <w:lang w:val="fr-FR"/>
        </w:rPr>
        <w:t>propre ou sous-traitant, en contrepartie de la surveillance environnementale du UEP, accompagnée d'une déclaration que le personnel engagé  fonctionnera sous l'entière responsabilité de la société requérante;</w:t>
      </w:r>
    </w:p>
    <w:p w14:paraId="2DA0586A" w14:textId="54430DC3" w:rsidR="003A69F3" w:rsidRPr="0055512B" w:rsidRDefault="008B2BE4" w:rsidP="008B2BE4">
      <w:pPr>
        <w:pStyle w:val="HTMLPreformatted"/>
        <w:numPr>
          <w:ilvl w:val="0"/>
          <w:numId w:val="58"/>
        </w:numPr>
        <w:shd w:val="clear" w:color="auto" w:fill="FFFFFF"/>
        <w:jc w:val="both"/>
        <w:rPr>
          <w:rFonts w:ascii="Times" w:hAnsi="Times"/>
          <w:color w:val="212121"/>
          <w:sz w:val="24"/>
          <w:szCs w:val="24"/>
          <w:lang w:val="fr-FR"/>
        </w:rPr>
      </w:pPr>
      <w:r w:rsidRPr="0055512B">
        <w:rPr>
          <w:rFonts w:ascii="Times" w:hAnsi="Times"/>
          <w:color w:val="212121"/>
          <w:sz w:val="24"/>
          <w:szCs w:val="24"/>
          <w:lang w:val="fr-FR"/>
        </w:rPr>
        <w:t xml:space="preserve">Inclusion par la société </w:t>
      </w:r>
      <w:r w:rsidR="00F417EB" w:rsidRPr="0055512B">
        <w:rPr>
          <w:rFonts w:ascii="Times" w:hAnsi="Times"/>
          <w:color w:val="212121"/>
          <w:sz w:val="24"/>
          <w:szCs w:val="24"/>
          <w:lang w:val="fr-FR"/>
        </w:rPr>
        <w:t>de construction</w:t>
      </w:r>
      <w:r w:rsidRPr="0055512B">
        <w:rPr>
          <w:rFonts w:ascii="Times" w:hAnsi="Times"/>
          <w:color w:val="212121"/>
          <w:sz w:val="24"/>
          <w:szCs w:val="24"/>
          <w:lang w:val="fr-FR"/>
        </w:rPr>
        <w:t xml:space="preserve"> du </w:t>
      </w:r>
      <w:r w:rsidR="00F417EB" w:rsidRPr="0055512B">
        <w:rPr>
          <w:rFonts w:ascii="Times" w:hAnsi="Times"/>
          <w:color w:val="212121"/>
          <w:sz w:val="24"/>
          <w:szCs w:val="24"/>
          <w:lang w:val="fr-FR"/>
        </w:rPr>
        <w:t xml:space="preserve">contrôle des coûts environnementaux </w:t>
      </w:r>
      <w:r w:rsidR="00A63BD5" w:rsidRPr="0055512B">
        <w:rPr>
          <w:rFonts w:ascii="Times" w:hAnsi="Times"/>
          <w:color w:val="212121"/>
          <w:sz w:val="24"/>
          <w:szCs w:val="24"/>
          <w:lang w:val="fr-FR"/>
        </w:rPr>
        <w:t xml:space="preserve">et sociaux </w:t>
      </w:r>
      <w:r w:rsidR="00F417EB" w:rsidRPr="0055512B">
        <w:rPr>
          <w:rFonts w:ascii="Times" w:hAnsi="Times"/>
          <w:color w:val="212121"/>
          <w:sz w:val="24"/>
          <w:szCs w:val="24"/>
          <w:lang w:val="fr-FR"/>
        </w:rPr>
        <w:t xml:space="preserve">dans le cadre du programme </w:t>
      </w:r>
      <w:r w:rsidR="00A63BD5" w:rsidRPr="0055512B">
        <w:rPr>
          <w:rFonts w:ascii="Times" w:hAnsi="Times"/>
          <w:color w:val="212121"/>
          <w:sz w:val="24"/>
          <w:szCs w:val="24"/>
          <w:lang w:val="fr-FR"/>
        </w:rPr>
        <w:t xml:space="preserve">/ </w:t>
      </w:r>
      <w:r w:rsidR="00F417EB" w:rsidRPr="0055512B">
        <w:rPr>
          <w:rFonts w:ascii="Times" w:hAnsi="Times"/>
          <w:color w:val="212121"/>
          <w:sz w:val="24"/>
          <w:szCs w:val="24"/>
          <w:lang w:val="fr-FR"/>
        </w:rPr>
        <w:t xml:space="preserve">table des coûts physiques, et </w:t>
      </w:r>
      <w:r w:rsidR="00A35E42" w:rsidRPr="0055512B">
        <w:rPr>
          <w:rFonts w:ascii="Times" w:hAnsi="Times"/>
          <w:color w:val="212121"/>
          <w:sz w:val="24"/>
          <w:szCs w:val="24"/>
          <w:lang w:val="fr-FR"/>
        </w:rPr>
        <w:t>incl</w:t>
      </w:r>
      <w:r w:rsidRPr="0055512B">
        <w:rPr>
          <w:rFonts w:ascii="Times" w:hAnsi="Times"/>
          <w:color w:val="212121"/>
          <w:sz w:val="24"/>
          <w:szCs w:val="24"/>
          <w:lang w:val="fr-FR"/>
        </w:rPr>
        <w:t xml:space="preserve">usion </w:t>
      </w:r>
      <w:r w:rsidR="00A35E42" w:rsidRPr="0055512B">
        <w:rPr>
          <w:rFonts w:ascii="Times" w:hAnsi="Times"/>
          <w:color w:val="212121"/>
          <w:sz w:val="24"/>
          <w:szCs w:val="24"/>
          <w:lang w:val="fr-FR"/>
        </w:rPr>
        <w:t xml:space="preserve">dans </w:t>
      </w:r>
      <w:r w:rsidR="00F417EB" w:rsidRPr="0055512B">
        <w:rPr>
          <w:rFonts w:ascii="Times" w:hAnsi="Times"/>
          <w:color w:val="212121"/>
          <w:sz w:val="24"/>
          <w:szCs w:val="24"/>
          <w:lang w:val="fr-FR"/>
        </w:rPr>
        <w:t>le journal de travail</w:t>
      </w:r>
      <w:r w:rsidRPr="0055512B">
        <w:rPr>
          <w:rFonts w:ascii="Times" w:hAnsi="Times"/>
          <w:color w:val="212121"/>
          <w:sz w:val="24"/>
          <w:szCs w:val="24"/>
          <w:lang w:val="fr-FR"/>
        </w:rPr>
        <w:t xml:space="preserve"> de </w:t>
      </w:r>
      <w:r w:rsidR="00F417EB" w:rsidRPr="0055512B">
        <w:rPr>
          <w:rFonts w:ascii="Times" w:hAnsi="Times"/>
          <w:color w:val="212121"/>
          <w:sz w:val="24"/>
          <w:szCs w:val="24"/>
          <w:lang w:val="fr-FR"/>
        </w:rPr>
        <w:t xml:space="preserve">tous les cas d'irrégularités constatées par la surveillance visée au </w:t>
      </w:r>
      <w:r w:rsidRPr="0055512B">
        <w:rPr>
          <w:rFonts w:ascii="Times" w:hAnsi="Times"/>
          <w:color w:val="212121"/>
          <w:sz w:val="24"/>
          <w:szCs w:val="24"/>
          <w:lang w:val="fr-FR"/>
        </w:rPr>
        <w:t>(a)</w:t>
      </w:r>
      <w:r w:rsidR="00A35E42" w:rsidRPr="0055512B">
        <w:rPr>
          <w:rFonts w:ascii="Times" w:hAnsi="Times"/>
          <w:color w:val="212121"/>
          <w:sz w:val="24"/>
          <w:szCs w:val="24"/>
          <w:lang w:val="fr-FR"/>
        </w:rPr>
        <w:t>.</w:t>
      </w:r>
    </w:p>
    <w:p w14:paraId="12B19EA1" w14:textId="2B73C1CA" w:rsidR="00A35E42" w:rsidRPr="0055512B" w:rsidRDefault="003A69F3" w:rsidP="008B2BE4">
      <w:pPr>
        <w:pStyle w:val="HTMLPreformatted"/>
        <w:numPr>
          <w:ilvl w:val="0"/>
          <w:numId w:val="57"/>
        </w:numPr>
        <w:shd w:val="clear" w:color="auto" w:fill="FFFFFF"/>
        <w:jc w:val="both"/>
        <w:rPr>
          <w:rFonts w:ascii="Times" w:hAnsi="Times"/>
          <w:color w:val="212121"/>
          <w:sz w:val="24"/>
          <w:szCs w:val="24"/>
          <w:lang w:val="fr-FR"/>
        </w:rPr>
      </w:pPr>
      <w:r w:rsidRPr="0055512B">
        <w:rPr>
          <w:rFonts w:ascii="Times" w:hAnsi="Times"/>
          <w:color w:val="212121"/>
          <w:sz w:val="24"/>
          <w:szCs w:val="24"/>
          <w:lang w:val="fr-FR"/>
        </w:rPr>
        <w:t>Mettre en place un syst</w:t>
      </w:r>
      <w:r w:rsidR="008B2BE4" w:rsidRPr="0055512B">
        <w:rPr>
          <w:rFonts w:ascii="Times" w:hAnsi="Times"/>
          <w:color w:val="212121"/>
          <w:sz w:val="24"/>
          <w:szCs w:val="24"/>
          <w:lang w:val="fr-FR"/>
        </w:rPr>
        <w:t>è</w:t>
      </w:r>
      <w:r w:rsidRPr="0055512B">
        <w:rPr>
          <w:rFonts w:ascii="Times" w:hAnsi="Times"/>
          <w:color w:val="212121"/>
          <w:sz w:val="24"/>
          <w:szCs w:val="24"/>
          <w:lang w:val="fr-FR"/>
        </w:rPr>
        <w:t>m</w:t>
      </w:r>
      <w:r w:rsidR="008B2BE4" w:rsidRPr="0055512B">
        <w:rPr>
          <w:rFonts w:ascii="Times" w:hAnsi="Times"/>
          <w:color w:val="212121"/>
          <w:sz w:val="24"/>
          <w:szCs w:val="24"/>
          <w:lang w:val="fr-FR"/>
        </w:rPr>
        <w:t>e</w:t>
      </w:r>
      <w:r w:rsidRPr="0055512B">
        <w:rPr>
          <w:rFonts w:ascii="Times" w:hAnsi="Times"/>
          <w:color w:val="212121"/>
          <w:sz w:val="24"/>
          <w:szCs w:val="24"/>
          <w:lang w:val="fr-FR"/>
        </w:rPr>
        <w:t xml:space="preserve"> </w:t>
      </w:r>
      <w:r w:rsidR="00B33431" w:rsidRPr="0055512B">
        <w:rPr>
          <w:rFonts w:ascii="Times" w:hAnsi="Times"/>
          <w:color w:val="212121"/>
          <w:sz w:val="24"/>
          <w:szCs w:val="24"/>
          <w:lang w:val="fr-FR"/>
        </w:rPr>
        <w:t>de dialogues des parties prenantes ainsi qu’un système</w:t>
      </w:r>
      <w:r w:rsidR="008B2BE4" w:rsidRPr="0055512B">
        <w:rPr>
          <w:rFonts w:ascii="Times" w:hAnsi="Times"/>
          <w:color w:val="212121"/>
          <w:sz w:val="24"/>
          <w:szCs w:val="24"/>
          <w:lang w:val="fr-FR"/>
        </w:rPr>
        <w:t xml:space="preserve"> d’</w:t>
      </w:r>
      <w:r w:rsidR="00EE35B0" w:rsidRPr="0055512B">
        <w:rPr>
          <w:rFonts w:ascii="Times" w:hAnsi="Times"/>
          <w:color w:val="212121"/>
          <w:sz w:val="24"/>
          <w:szCs w:val="24"/>
          <w:lang w:val="fr-FR"/>
        </w:rPr>
        <w:t>enregistrement</w:t>
      </w:r>
      <w:r w:rsidR="00A35E42" w:rsidRPr="0055512B">
        <w:rPr>
          <w:rFonts w:ascii="Times" w:hAnsi="Times"/>
          <w:color w:val="212121"/>
          <w:sz w:val="24"/>
          <w:szCs w:val="24"/>
          <w:lang w:val="fr-FR"/>
        </w:rPr>
        <w:t xml:space="preserve"> des plaintes selon le mécanisme de gestion des plaintes prévu au PESA et un rapport mensuel sur les progrès des indicateurs de performance approuvés dans PESA.</w:t>
      </w:r>
    </w:p>
    <w:p w14:paraId="431F4BA6" w14:textId="71A254EC" w:rsidR="00B33431" w:rsidRPr="0055512B" w:rsidRDefault="00B33431" w:rsidP="008B2BE4">
      <w:pPr>
        <w:pStyle w:val="HTMLPreformatted"/>
        <w:numPr>
          <w:ilvl w:val="0"/>
          <w:numId w:val="57"/>
        </w:numPr>
        <w:shd w:val="clear" w:color="auto" w:fill="FFFFFF"/>
        <w:jc w:val="both"/>
        <w:rPr>
          <w:rFonts w:ascii="Times" w:hAnsi="Times"/>
          <w:color w:val="212121"/>
          <w:sz w:val="24"/>
          <w:szCs w:val="24"/>
          <w:lang w:val="fr-FR"/>
        </w:rPr>
      </w:pPr>
      <w:r w:rsidRPr="0055512B">
        <w:rPr>
          <w:rFonts w:ascii="Times" w:hAnsi="Times"/>
          <w:color w:val="212121"/>
          <w:sz w:val="24"/>
          <w:szCs w:val="24"/>
          <w:lang w:val="fr-FR"/>
        </w:rPr>
        <w:t xml:space="preserve">Assurer le suivi des activités qui ont le but de promouvoir l’égalité de genre dans le secteur, tel </w:t>
      </w:r>
      <w:r w:rsidR="00EE35B0" w:rsidRPr="0055512B">
        <w:rPr>
          <w:rFonts w:ascii="Times" w:hAnsi="Times"/>
          <w:color w:val="212121"/>
          <w:sz w:val="24"/>
          <w:szCs w:val="24"/>
          <w:lang w:val="fr-FR"/>
        </w:rPr>
        <w:t>que</w:t>
      </w:r>
      <w:r w:rsidR="008B2BE4" w:rsidRPr="0055512B">
        <w:rPr>
          <w:rFonts w:ascii="Times" w:hAnsi="Times"/>
          <w:color w:val="212121"/>
          <w:sz w:val="24"/>
          <w:szCs w:val="24"/>
          <w:lang w:val="fr-FR"/>
        </w:rPr>
        <w:t xml:space="preserve"> : </w:t>
      </w:r>
      <w:r w:rsidR="00EE35B0" w:rsidRPr="0055512B">
        <w:rPr>
          <w:rFonts w:ascii="Times" w:hAnsi="Times"/>
          <w:color w:val="212121"/>
          <w:sz w:val="24"/>
          <w:szCs w:val="24"/>
          <w:lang w:val="fr-FR"/>
        </w:rPr>
        <w:t xml:space="preserve">suivi des indicateurs et  activités qui vise </w:t>
      </w:r>
      <w:r w:rsidR="00EE35B0" w:rsidRPr="0055512B">
        <w:rPr>
          <w:rFonts w:ascii="Times" w:hAnsi="Times" w:cs="Arial"/>
          <w:sz w:val="24"/>
          <w:szCs w:val="24"/>
          <w:lang w:val="fr-FR"/>
        </w:rPr>
        <w:lastRenderedPageBreak/>
        <w:t xml:space="preserve">l’augmentation de la participation des femmes dans les processus de décision en rapport à l’eau dans la communauté,  ainsi que  l’augmentation de  la participation des femmes dans la gestion des points d’eau.  Suivi de l’implantation et des résultats de la campagne de promotion à  l’hygiène. </w:t>
      </w:r>
    </w:p>
    <w:p w14:paraId="22A5EBE2" w14:textId="77777777" w:rsidR="00EE35B0" w:rsidRPr="0055512B" w:rsidRDefault="00EE35B0" w:rsidP="008B2BE4">
      <w:pPr>
        <w:pStyle w:val="HTMLPreformatted"/>
        <w:shd w:val="clear" w:color="auto" w:fill="FFFFFF"/>
        <w:jc w:val="both"/>
        <w:rPr>
          <w:rFonts w:ascii="Times" w:hAnsi="Times"/>
          <w:color w:val="212121"/>
          <w:sz w:val="24"/>
          <w:szCs w:val="24"/>
          <w:lang w:val="fr-FR"/>
        </w:rPr>
      </w:pPr>
    </w:p>
    <w:p w14:paraId="7BA0CB3B" w14:textId="77777777" w:rsidR="008B2BE4" w:rsidRPr="0055512B" w:rsidRDefault="00A35E42" w:rsidP="008B2BE4">
      <w:pPr>
        <w:pStyle w:val="HTMLPreformatted"/>
        <w:numPr>
          <w:ilvl w:val="0"/>
          <w:numId w:val="57"/>
        </w:numPr>
        <w:shd w:val="clear" w:color="auto" w:fill="FFFFFF"/>
        <w:jc w:val="both"/>
        <w:rPr>
          <w:rFonts w:ascii="Times" w:hAnsi="Times"/>
          <w:color w:val="212121"/>
          <w:sz w:val="24"/>
          <w:szCs w:val="24"/>
          <w:lang w:val="fr-FR"/>
        </w:rPr>
      </w:pPr>
      <w:r w:rsidRPr="0055512B">
        <w:rPr>
          <w:rFonts w:ascii="Times" w:hAnsi="Times"/>
          <w:color w:val="212121"/>
          <w:sz w:val="24"/>
          <w:szCs w:val="24"/>
          <w:lang w:val="fr-FR"/>
        </w:rPr>
        <w:t>Examiner les rapports de supervision des entrepreneurs ou, le cas échéant, les rapports émis par la société pour soutenir la supervision de la construction, et</w:t>
      </w:r>
    </w:p>
    <w:p w14:paraId="6AACCD83" w14:textId="77777777" w:rsidR="008B2BE4" w:rsidRPr="0055512B" w:rsidRDefault="008B2BE4" w:rsidP="002B5CF4">
      <w:pPr>
        <w:pStyle w:val="HTMLPreformatted"/>
        <w:shd w:val="clear" w:color="auto" w:fill="FFFFFF"/>
        <w:jc w:val="both"/>
        <w:rPr>
          <w:rFonts w:ascii="Times" w:hAnsi="Times"/>
          <w:color w:val="212121"/>
          <w:sz w:val="24"/>
          <w:szCs w:val="24"/>
          <w:lang w:val="fr-FR"/>
        </w:rPr>
      </w:pPr>
    </w:p>
    <w:p w14:paraId="6CDD1C48" w14:textId="270A80AB" w:rsidR="008B2BE4" w:rsidRPr="0055512B" w:rsidRDefault="00A35E42" w:rsidP="002B5CF4">
      <w:pPr>
        <w:pStyle w:val="HTMLPreformatted"/>
        <w:numPr>
          <w:ilvl w:val="0"/>
          <w:numId w:val="59"/>
        </w:numPr>
        <w:shd w:val="clear" w:color="auto" w:fill="FFFFFF"/>
        <w:jc w:val="both"/>
        <w:rPr>
          <w:rFonts w:ascii="Times" w:hAnsi="Times"/>
          <w:color w:val="212121"/>
          <w:sz w:val="24"/>
          <w:szCs w:val="24"/>
          <w:lang w:val="fr-FR"/>
        </w:rPr>
      </w:pPr>
      <w:r w:rsidRPr="0055512B">
        <w:rPr>
          <w:rFonts w:ascii="Times" w:hAnsi="Times"/>
          <w:color w:val="212121"/>
          <w:sz w:val="24"/>
          <w:szCs w:val="24"/>
          <w:lang w:val="fr-FR"/>
        </w:rPr>
        <w:t xml:space="preserve">un avis sur la performance environnementale et sociale, la santé et la sécurité des entreprises, dans le but pour soutenir les décisions du coordonnateur exécutif de la mesure et le paiement des factures; </w:t>
      </w:r>
    </w:p>
    <w:p w14:paraId="62AFC3F8" w14:textId="58F6F04B" w:rsidR="008B2BE4" w:rsidRPr="0055512B" w:rsidRDefault="00A35E42" w:rsidP="002B5CF4">
      <w:pPr>
        <w:pStyle w:val="HTMLPreformatted"/>
        <w:numPr>
          <w:ilvl w:val="0"/>
          <w:numId w:val="59"/>
        </w:numPr>
        <w:shd w:val="clear" w:color="auto" w:fill="FFFFFF"/>
        <w:jc w:val="both"/>
        <w:rPr>
          <w:rFonts w:ascii="Times" w:hAnsi="Times"/>
          <w:color w:val="212121"/>
          <w:sz w:val="24"/>
          <w:szCs w:val="24"/>
          <w:lang w:val="fr-FR"/>
        </w:rPr>
      </w:pPr>
      <w:r w:rsidRPr="0055512B">
        <w:rPr>
          <w:rFonts w:ascii="Times" w:hAnsi="Times"/>
          <w:color w:val="212121"/>
          <w:sz w:val="24"/>
          <w:szCs w:val="24"/>
          <w:lang w:val="fr-FR"/>
        </w:rPr>
        <w:t xml:space="preserve">vérifier que </w:t>
      </w:r>
      <w:r w:rsidR="008B2BE4" w:rsidRPr="0055512B">
        <w:rPr>
          <w:rFonts w:ascii="Times" w:hAnsi="Times"/>
          <w:color w:val="212121"/>
          <w:sz w:val="24"/>
          <w:szCs w:val="24"/>
          <w:lang w:val="fr-FR"/>
        </w:rPr>
        <w:t xml:space="preserve">ces rapports </w:t>
      </w:r>
      <w:r w:rsidRPr="0055512B">
        <w:rPr>
          <w:rFonts w:ascii="Times" w:hAnsi="Times"/>
          <w:color w:val="212121"/>
          <w:sz w:val="24"/>
          <w:szCs w:val="24"/>
          <w:lang w:val="fr-FR"/>
        </w:rPr>
        <w:t>présente</w:t>
      </w:r>
      <w:r w:rsidR="008B2BE4" w:rsidRPr="0055512B">
        <w:rPr>
          <w:rFonts w:ascii="Times" w:hAnsi="Times"/>
          <w:color w:val="212121"/>
          <w:sz w:val="24"/>
          <w:szCs w:val="24"/>
          <w:lang w:val="fr-FR"/>
        </w:rPr>
        <w:t>nt</w:t>
      </w:r>
      <w:r w:rsidRPr="0055512B">
        <w:rPr>
          <w:rFonts w:ascii="Times" w:hAnsi="Times"/>
          <w:color w:val="212121"/>
          <w:sz w:val="24"/>
          <w:szCs w:val="24"/>
          <w:lang w:val="fr-FR"/>
        </w:rPr>
        <w:t xml:space="preserve"> fidèlement les renseignements sur le respect des exigences spécifiques du PGES du travail; et </w:t>
      </w:r>
    </w:p>
    <w:p w14:paraId="52570901" w14:textId="793E4ED0" w:rsidR="00A35E42" w:rsidRPr="0055512B" w:rsidRDefault="002B5CF4" w:rsidP="002B5CF4">
      <w:pPr>
        <w:pStyle w:val="HTMLPreformatted"/>
        <w:numPr>
          <w:ilvl w:val="0"/>
          <w:numId w:val="59"/>
        </w:numPr>
        <w:shd w:val="clear" w:color="auto" w:fill="FFFFFF"/>
        <w:jc w:val="both"/>
        <w:rPr>
          <w:rFonts w:ascii="Times" w:hAnsi="Times"/>
          <w:color w:val="212121"/>
          <w:sz w:val="24"/>
          <w:szCs w:val="24"/>
          <w:lang w:val="fr-FR"/>
        </w:rPr>
      </w:pPr>
      <w:r w:rsidRPr="0055512B">
        <w:rPr>
          <w:rFonts w:ascii="Times" w:hAnsi="Times"/>
          <w:color w:val="212121"/>
          <w:sz w:val="24"/>
          <w:szCs w:val="24"/>
          <w:lang w:val="fr-FR"/>
        </w:rPr>
        <w:t>t</w:t>
      </w:r>
      <w:r w:rsidR="00A35E42" w:rsidRPr="0055512B">
        <w:rPr>
          <w:rFonts w:ascii="Times" w:hAnsi="Times"/>
          <w:color w:val="212121"/>
          <w:sz w:val="24"/>
          <w:szCs w:val="24"/>
          <w:lang w:val="fr-FR"/>
        </w:rPr>
        <w:t>ransmettre au</w:t>
      </w:r>
      <w:r w:rsidRPr="0055512B">
        <w:rPr>
          <w:rFonts w:ascii="Times" w:hAnsi="Times"/>
          <w:color w:val="212121"/>
          <w:sz w:val="24"/>
          <w:szCs w:val="24"/>
          <w:lang w:val="fr-FR"/>
        </w:rPr>
        <w:t xml:space="preserve"> Chef de Programme les cas </w:t>
      </w:r>
      <w:r w:rsidR="00A35E42" w:rsidRPr="0055512B">
        <w:rPr>
          <w:rFonts w:ascii="Times" w:hAnsi="Times"/>
          <w:color w:val="212121"/>
          <w:sz w:val="24"/>
          <w:szCs w:val="24"/>
          <w:lang w:val="fr-FR"/>
        </w:rPr>
        <w:t xml:space="preserve">de non-respect de l'environnement </w:t>
      </w:r>
      <w:r w:rsidRPr="0055512B">
        <w:rPr>
          <w:rFonts w:ascii="Times" w:hAnsi="Times"/>
          <w:color w:val="212121"/>
          <w:sz w:val="24"/>
          <w:szCs w:val="24"/>
          <w:lang w:val="fr-FR"/>
        </w:rPr>
        <w:t xml:space="preserve">de la </w:t>
      </w:r>
      <w:r w:rsidR="00A35E42" w:rsidRPr="0055512B">
        <w:rPr>
          <w:rFonts w:ascii="Times" w:hAnsi="Times"/>
          <w:color w:val="212121"/>
          <w:sz w:val="24"/>
          <w:szCs w:val="24"/>
          <w:lang w:val="fr-FR"/>
        </w:rPr>
        <w:t xml:space="preserve">la santé et </w:t>
      </w:r>
      <w:r w:rsidRPr="0055512B">
        <w:rPr>
          <w:rFonts w:ascii="Times" w:hAnsi="Times"/>
          <w:color w:val="212121"/>
          <w:sz w:val="24"/>
          <w:szCs w:val="24"/>
          <w:lang w:val="fr-FR"/>
        </w:rPr>
        <w:t xml:space="preserve">de </w:t>
      </w:r>
      <w:r w:rsidR="00A35E42" w:rsidRPr="0055512B">
        <w:rPr>
          <w:rFonts w:ascii="Times" w:hAnsi="Times"/>
          <w:color w:val="212121"/>
          <w:sz w:val="24"/>
          <w:szCs w:val="24"/>
          <w:lang w:val="fr-FR"/>
        </w:rPr>
        <w:t>la sécurité qui exigent la soumission à la Banque des plans d'actions correctives prévues dans l'accord de prêt;</w:t>
      </w:r>
    </w:p>
    <w:p w14:paraId="29ED718F" w14:textId="77777777" w:rsidR="002B5CF4" w:rsidRPr="0055512B" w:rsidRDefault="003F4613" w:rsidP="008B2BE4">
      <w:pPr>
        <w:pStyle w:val="HTMLPreformatted"/>
        <w:numPr>
          <w:ilvl w:val="0"/>
          <w:numId w:val="57"/>
        </w:numPr>
        <w:shd w:val="clear" w:color="auto" w:fill="FFFFFF"/>
        <w:jc w:val="both"/>
        <w:rPr>
          <w:rFonts w:ascii="Times" w:hAnsi="Times"/>
          <w:color w:val="212121"/>
          <w:sz w:val="24"/>
          <w:szCs w:val="24"/>
          <w:lang w:val="fr-FR"/>
        </w:rPr>
      </w:pPr>
      <w:r w:rsidRPr="0055512B">
        <w:rPr>
          <w:rFonts w:ascii="Times" w:hAnsi="Times"/>
          <w:color w:val="212121"/>
          <w:sz w:val="24"/>
          <w:szCs w:val="24"/>
          <w:lang w:val="fr-FR"/>
        </w:rPr>
        <w:t xml:space="preserve">Réviser les rapports de supervision des entrepreneurs ou, le cas échéant, les rapports émis par la société d’appui à la supervision de la construction, et </w:t>
      </w:r>
    </w:p>
    <w:p w14:paraId="692AA2A0" w14:textId="66627D58" w:rsidR="002B5CF4" w:rsidRPr="0055512B" w:rsidRDefault="00163FE5" w:rsidP="002B5CF4">
      <w:pPr>
        <w:pStyle w:val="HTMLPreformatted"/>
        <w:numPr>
          <w:ilvl w:val="1"/>
          <w:numId w:val="60"/>
        </w:numPr>
        <w:shd w:val="clear" w:color="auto" w:fill="FFFFFF"/>
        <w:jc w:val="both"/>
        <w:rPr>
          <w:rFonts w:ascii="Times" w:hAnsi="Times"/>
          <w:color w:val="212121"/>
          <w:sz w:val="24"/>
          <w:szCs w:val="24"/>
          <w:lang w:val="fr-FR"/>
        </w:rPr>
      </w:pPr>
      <w:r w:rsidRPr="0055512B">
        <w:rPr>
          <w:rFonts w:ascii="Times" w:hAnsi="Times"/>
          <w:color w:val="212121"/>
          <w:sz w:val="24"/>
          <w:szCs w:val="24"/>
          <w:lang w:val="fr-FR"/>
        </w:rPr>
        <w:t xml:space="preserve">donner </w:t>
      </w:r>
      <w:r w:rsidR="002B5CF4" w:rsidRPr="0055512B">
        <w:rPr>
          <w:rFonts w:ascii="Times" w:hAnsi="Times"/>
          <w:color w:val="212121"/>
          <w:sz w:val="24"/>
          <w:szCs w:val="24"/>
          <w:lang w:val="fr-FR"/>
        </w:rPr>
        <w:t xml:space="preserve">son </w:t>
      </w:r>
      <w:r w:rsidR="003F4613" w:rsidRPr="0055512B">
        <w:rPr>
          <w:rFonts w:ascii="Times" w:hAnsi="Times"/>
          <w:color w:val="212121"/>
          <w:sz w:val="24"/>
          <w:szCs w:val="24"/>
          <w:lang w:val="fr-FR"/>
        </w:rPr>
        <w:t xml:space="preserve">avis sur la performance environnementale et sociale, de la  santé et sécurité des </w:t>
      </w:r>
      <w:r w:rsidRPr="0055512B">
        <w:rPr>
          <w:rFonts w:ascii="Times" w:hAnsi="Times"/>
          <w:color w:val="212121"/>
          <w:sz w:val="24"/>
          <w:szCs w:val="24"/>
          <w:lang w:val="fr-FR"/>
        </w:rPr>
        <w:t>travailleurs</w:t>
      </w:r>
      <w:r w:rsidR="003F4613" w:rsidRPr="0055512B">
        <w:rPr>
          <w:rFonts w:ascii="Times" w:hAnsi="Times"/>
          <w:color w:val="212121"/>
          <w:sz w:val="24"/>
          <w:szCs w:val="24"/>
          <w:lang w:val="fr-FR"/>
        </w:rPr>
        <w:t xml:space="preserve">, visant à appuyer les décisions du </w:t>
      </w:r>
      <w:r w:rsidRPr="0055512B">
        <w:rPr>
          <w:rFonts w:ascii="Times" w:hAnsi="Times"/>
          <w:color w:val="212121"/>
          <w:sz w:val="24"/>
          <w:szCs w:val="24"/>
          <w:lang w:val="fr-FR"/>
        </w:rPr>
        <w:t>Coordinateur E</w:t>
      </w:r>
      <w:r w:rsidR="003F4613" w:rsidRPr="0055512B">
        <w:rPr>
          <w:rFonts w:ascii="Times" w:hAnsi="Times"/>
          <w:color w:val="212121"/>
          <w:sz w:val="24"/>
          <w:szCs w:val="24"/>
          <w:lang w:val="fr-FR"/>
        </w:rPr>
        <w:t xml:space="preserve">xécutif </w:t>
      </w:r>
      <w:r w:rsidRPr="0055512B">
        <w:rPr>
          <w:rFonts w:ascii="Times" w:hAnsi="Times"/>
          <w:color w:val="212121"/>
          <w:sz w:val="24"/>
          <w:szCs w:val="24"/>
          <w:lang w:val="fr-FR"/>
        </w:rPr>
        <w:t xml:space="preserve">sur </w:t>
      </w:r>
      <w:r w:rsidR="003F4613" w:rsidRPr="0055512B">
        <w:rPr>
          <w:rFonts w:ascii="Times" w:hAnsi="Times"/>
          <w:color w:val="212121"/>
          <w:sz w:val="24"/>
          <w:szCs w:val="24"/>
          <w:lang w:val="fr-FR"/>
        </w:rPr>
        <w:t xml:space="preserve">le paiement des factures; </w:t>
      </w:r>
    </w:p>
    <w:p w14:paraId="7C75047B" w14:textId="6B6F7581" w:rsidR="002B5CF4" w:rsidRPr="0055512B" w:rsidRDefault="003F4613" w:rsidP="002B5CF4">
      <w:pPr>
        <w:pStyle w:val="HTMLPreformatted"/>
        <w:numPr>
          <w:ilvl w:val="1"/>
          <w:numId w:val="60"/>
        </w:numPr>
        <w:shd w:val="clear" w:color="auto" w:fill="FFFFFF"/>
        <w:jc w:val="both"/>
        <w:rPr>
          <w:rFonts w:ascii="Times" w:hAnsi="Times"/>
          <w:color w:val="212121"/>
          <w:sz w:val="24"/>
          <w:szCs w:val="24"/>
          <w:lang w:val="fr-FR"/>
        </w:rPr>
      </w:pPr>
      <w:r w:rsidRPr="0055512B">
        <w:rPr>
          <w:rFonts w:ascii="Times" w:hAnsi="Times"/>
          <w:color w:val="212121"/>
          <w:sz w:val="24"/>
          <w:szCs w:val="24"/>
          <w:lang w:val="fr-FR"/>
        </w:rPr>
        <w:t xml:space="preserve">vérifier que </w:t>
      </w:r>
      <w:r w:rsidR="002B5CF4" w:rsidRPr="0055512B">
        <w:rPr>
          <w:rFonts w:ascii="Times" w:hAnsi="Times"/>
          <w:color w:val="212121"/>
          <w:sz w:val="24"/>
          <w:szCs w:val="24"/>
          <w:lang w:val="fr-FR"/>
        </w:rPr>
        <w:t xml:space="preserve">ces rapports </w:t>
      </w:r>
      <w:r w:rsidRPr="0055512B">
        <w:rPr>
          <w:rFonts w:ascii="Times" w:hAnsi="Times"/>
          <w:color w:val="212121"/>
          <w:sz w:val="24"/>
          <w:szCs w:val="24"/>
          <w:lang w:val="fr-FR"/>
        </w:rPr>
        <w:t>présente</w:t>
      </w:r>
      <w:r w:rsidR="002B5CF4" w:rsidRPr="0055512B">
        <w:rPr>
          <w:rFonts w:ascii="Times" w:hAnsi="Times"/>
          <w:color w:val="212121"/>
          <w:sz w:val="24"/>
          <w:szCs w:val="24"/>
          <w:lang w:val="fr-FR"/>
        </w:rPr>
        <w:t>nt</w:t>
      </w:r>
      <w:r w:rsidRPr="0055512B">
        <w:rPr>
          <w:rFonts w:ascii="Times" w:hAnsi="Times"/>
          <w:color w:val="212121"/>
          <w:sz w:val="24"/>
          <w:szCs w:val="24"/>
          <w:lang w:val="fr-FR"/>
        </w:rPr>
        <w:t xml:space="preserve"> fidèlement les renseignements sur le respect des exigences spécifiques du PGES du </w:t>
      </w:r>
      <w:r w:rsidR="00163FE5" w:rsidRPr="0055512B">
        <w:rPr>
          <w:rFonts w:ascii="Times" w:hAnsi="Times"/>
          <w:color w:val="212121"/>
          <w:sz w:val="24"/>
          <w:szCs w:val="24"/>
          <w:lang w:val="fr-FR"/>
        </w:rPr>
        <w:t>projet</w:t>
      </w:r>
      <w:r w:rsidRPr="0055512B">
        <w:rPr>
          <w:rFonts w:ascii="Times" w:hAnsi="Times"/>
          <w:color w:val="212121"/>
          <w:sz w:val="24"/>
          <w:szCs w:val="24"/>
          <w:lang w:val="fr-FR"/>
        </w:rPr>
        <w:t xml:space="preserve">; </w:t>
      </w:r>
    </w:p>
    <w:p w14:paraId="70014546" w14:textId="624B7611" w:rsidR="003F4613" w:rsidRPr="0055512B" w:rsidRDefault="003F4613" w:rsidP="002B5CF4">
      <w:pPr>
        <w:pStyle w:val="HTMLPreformatted"/>
        <w:numPr>
          <w:ilvl w:val="1"/>
          <w:numId w:val="60"/>
        </w:numPr>
        <w:shd w:val="clear" w:color="auto" w:fill="FFFFFF"/>
        <w:jc w:val="both"/>
        <w:rPr>
          <w:rFonts w:ascii="Times" w:hAnsi="Times"/>
          <w:color w:val="212121"/>
          <w:sz w:val="24"/>
          <w:szCs w:val="24"/>
          <w:lang w:val="fr-FR"/>
        </w:rPr>
      </w:pPr>
      <w:r w:rsidRPr="0055512B">
        <w:rPr>
          <w:rFonts w:ascii="Times" w:hAnsi="Times"/>
          <w:color w:val="212121"/>
          <w:sz w:val="24"/>
          <w:szCs w:val="24"/>
          <w:lang w:val="fr-FR"/>
        </w:rPr>
        <w:t>transmettre au C</w:t>
      </w:r>
      <w:r w:rsidR="002B5CF4" w:rsidRPr="0055512B">
        <w:rPr>
          <w:rFonts w:ascii="Times" w:hAnsi="Times"/>
          <w:color w:val="212121"/>
          <w:sz w:val="24"/>
          <w:szCs w:val="24"/>
          <w:lang w:val="fr-FR"/>
        </w:rPr>
        <w:t xml:space="preserve">hef de Programme </w:t>
      </w:r>
      <w:r w:rsidR="00D45299" w:rsidRPr="0055512B">
        <w:rPr>
          <w:rFonts w:ascii="Times" w:hAnsi="Times"/>
          <w:color w:val="212121"/>
          <w:sz w:val="24"/>
          <w:szCs w:val="24"/>
          <w:lang w:val="fr-FR"/>
        </w:rPr>
        <w:t xml:space="preserve">les </w:t>
      </w:r>
      <w:r w:rsidR="002B5CF4" w:rsidRPr="0055512B">
        <w:rPr>
          <w:rFonts w:ascii="Times" w:hAnsi="Times"/>
          <w:color w:val="212121"/>
          <w:sz w:val="24"/>
          <w:szCs w:val="24"/>
          <w:lang w:val="fr-FR"/>
        </w:rPr>
        <w:t xml:space="preserve">cas de </w:t>
      </w:r>
      <w:r w:rsidR="00D45299" w:rsidRPr="0055512B">
        <w:rPr>
          <w:rFonts w:ascii="Times" w:hAnsi="Times"/>
          <w:color w:val="212121"/>
          <w:sz w:val="24"/>
          <w:szCs w:val="24"/>
          <w:lang w:val="fr-FR"/>
        </w:rPr>
        <w:t xml:space="preserve">non-conformité </w:t>
      </w:r>
      <w:r w:rsidRPr="0055512B">
        <w:rPr>
          <w:rFonts w:ascii="Times" w:hAnsi="Times"/>
          <w:color w:val="212121"/>
          <w:sz w:val="24"/>
          <w:szCs w:val="24"/>
          <w:lang w:val="fr-FR"/>
        </w:rPr>
        <w:t>environnement</w:t>
      </w:r>
      <w:r w:rsidR="00D45299" w:rsidRPr="0055512B">
        <w:rPr>
          <w:rFonts w:ascii="Times" w:hAnsi="Times"/>
          <w:color w:val="212121"/>
          <w:sz w:val="24"/>
          <w:szCs w:val="24"/>
          <w:lang w:val="fr-FR"/>
        </w:rPr>
        <w:t>ale, sociale,</w:t>
      </w:r>
      <w:r w:rsidRPr="0055512B">
        <w:rPr>
          <w:rFonts w:ascii="Times" w:hAnsi="Times"/>
          <w:color w:val="212121"/>
          <w:sz w:val="24"/>
          <w:szCs w:val="24"/>
          <w:lang w:val="fr-FR"/>
        </w:rPr>
        <w:t xml:space="preserve"> </w:t>
      </w:r>
      <w:r w:rsidR="002B5CF4" w:rsidRPr="0055512B">
        <w:rPr>
          <w:rFonts w:ascii="Times" w:hAnsi="Times"/>
          <w:color w:val="212121"/>
          <w:sz w:val="24"/>
          <w:szCs w:val="24"/>
          <w:lang w:val="fr-FR"/>
        </w:rPr>
        <w:t xml:space="preserve"> sanitaire et </w:t>
      </w:r>
      <w:r w:rsidRPr="0055512B">
        <w:rPr>
          <w:rFonts w:ascii="Times" w:hAnsi="Times"/>
          <w:color w:val="212121"/>
          <w:sz w:val="24"/>
          <w:szCs w:val="24"/>
          <w:lang w:val="fr-FR"/>
        </w:rPr>
        <w:t>sécurit</w:t>
      </w:r>
      <w:r w:rsidR="002B5CF4" w:rsidRPr="0055512B">
        <w:rPr>
          <w:rFonts w:ascii="Times" w:hAnsi="Times"/>
          <w:color w:val="212121"/>
          <w:sz w:val="24"/>
          <w:szCs w:val="24"/>
          <w:lang w:val="fr-FR"/>
        </w:rPr>
        <w:t>aire</w:t>
      </w:r>
      <w:r w:rsidRPr="0055512B">
        <w:rPr>
          <w:rFonts w:ascii="Times" w:hAnsi="Times"/>
          <w:color w:val="212121"/>
          <w:sz w:val="24"/>
          <w:szCs w:val="24"/>
          <w:lang w:val="fr-FR"/>
        </w:rPr>
        <w:t xml:space="preserve"> qui exigent la soumission à la Banque des plans d'acti</w:t>
      </w:r>
      <w:r w:rsidR="00D45299" w:rsidRPr="0055512B">
        <w:rPr>
          <w:rFonts w:ascii="Times" w:hAnsi="Times"/>
          <w:color w:val="212121"/>
          <w:sz w:val="24"/>
          <w:szCs w:val="24"/>
          <w:lang w:val="fr-FR"/>
        </w:rPr>
        <w:t>ons correctives prévues dans l'A</w:t>
      </w:r>
      <w:r w:rsidRPr="0055512B">
        <w:rPr>
          <w:rFonts w:ascii="Times" w:hAnsi="Times"/>
          <w:color w:val="212121"/>
          <w:sz w:val="24"/>
          <w:szCs w:val="24"/>
          <w:lang w:val="fr-FR"/>
        </w:rPr>
        <w:t xml:space="preserve">ccord de </w:t>
      </w:r>
      <w:r w:rsidR="00D45299" w:rsidRPr="0055512B">
        <w:rPr>
          <w:rFonts w:ascii="Times" w:hAnsi="Times"/>
          <w:color w:val="212121"/>
          <w:sz w:val="24"/>
          <w:szCs w:val="24"/>
          <w:lang w:val="fr-FR"/>
        </w:rPr>
        <w:t>P</w:t>
      </w:r>
      <w:r w:rsidRPr="0055512B">
        <w:rPr>
          <w:rFonts w:ascii="Times" w:hAnsi="Times"/>
          <w:color w:val="212121"/>
          <w:sz w:val="24"/>
          <w:szCs w:val="24"/>
          <w:lang w:val="fr-FR"/>
        </w:rPr>
        <w:t>rêt;</w:t>
      </w:r>
    </w:p>
    <w:p w14:paraId="03FD4FB5" w14:textId="77777777" w:rsidR="002B5CF4" w:rsidRPr="0055512B" w:rsidRDefault="002B5CF4" w:rsidP="00904CF7">
      <w:pPr>
        <w:pStyle w:val="HTMLPreformatted"/>
        <w:shd w:val="clear" w:color="auto" w:fill="FFFFFF"/>
        <w:ind w:left="3160"/>
        <w:jc w:val="both"/>
        <w:rPr>
          <w:rFonts w:ascii="Times" w:hAnsi="Times"/>
          <w:color w:val="212121"/>
          <w:sz w:val="24"/>
          <w:szCs w:val="24"/>
          <w:lang w:val="fr-FR"/>
        </w:rPr>
      </w:pPr>
    </w:p>
    <w:p w14:paraId="7BCB8D6E" w14:textId="77777777" w:rsidR="003F4613" w:rsidRPr="0055512B" w:rsidRDefault="003F4613" w:rsidP="002B5CF4">
      <w:pPr>
        <w:pStyle w:val="HTMLPreformatted"/>
        <w:numPr>
          <w:ilvl w:val="0"/>
          <w:numId w:val="57"/>
        </w:numPr>
        <w:shd w:val="clear" w:color="auto" w:fill="FFFFFF"/>
        <w:jc w:val="both"/>
        <w:rPr>
          <w:rFonts w:ascii="Times" w:hAnsi="Times"/>
          <w:color w:val="212121"/>
          <w:sz w:val="24"/>
          <w:szCs w:val="24"/>
          <w:lang w:val="fr-FR"/>
        </w:rPr>
      </w:pPr>
      <w:r w:rsidRPr="0055512B">
        <w:rPr>
          <w:rFonts w:ascii="Times" w:hAnsi="Times"/>
          <w:color w:val="212121"/>
          <w:sz w:val="24"/>
          <w:szCs w:val="24"/>
          <w:lang w:val="fr-FR"/>
        </w:rPr>
        <w:t xml:space="preserve">Fournir des informations actualisées sur la performance environnementale et sociale et </w:t>
      </w:r>
      <w:r w:rsidR="00191F3A" w:rsidRPr="0055512B">
        <w:rPr>
          <w:rFonts w:ascii="Times" w:hAnsi="Times"/>
          <w:color w:val="212121"/>
          <w:sz w:val="24"/>
          <w:szCs w:val="24"/>
          <w:lang w:val="fr-FR"/>
        </w:rPr>
        <w:t xml:space="preserve">de </w:t>
      </w:r>
      <w:r w:rsidRPr="0055512B">
        <w:rPr>
          <w:rFonts w:ascii="Times" w:hAnsi="Times"/>
          <w:color w:val="212121"/>
          <w:sz w:val="24"/>
          <w:szCs w:val="24"/>
          <w:lang w:val="fr-FR"/>
        </w:rPr>
        <w:t>santé et sécurité des</w:t>
      </w:r>
      <w:r w:rsidR="00191F3A" w:rsidRPr="0055512B">
        <w:rPr>
          <w:rFonts w:ascii="Times" w:hAnsi="Times"/>
          <w:color w:val="212121"/>
          <w:sz w:val="24"/>
          <w:szCs w:val="24"/>
          <w:lang w:val="fr-FR"/>
        </w:rPr>
        <w:t xml:space="preserve"> entreprises contractées p</w:t>
      </w:r>
      <w:r w:rsidRPr="0055512B">
        <w:rPr>
          <w:rFonts w:ascii="Times" w:hAnsi="Times"/>
          <w:color w:val="212121"/>
          <w:sz w:val="24"/>
          <w:szCs w:val="24"/>
          <w:lang w:val="fr-FR"/>
        </w:rPr>
        <w:t xml:space="preserve">our l'exécution des </w:t>
      </w:r>
      <w:r w:rsidR="00191F3A" w:rsidRPr="0055512B">
        <w:rPr>
          <w:rFonts w:ascii="Times" w:hAnsi="Times"/>
          <w:color w:val="212121"/>
          <w:sz w:val="24"/>
          <w:szCs w:val="24"/>
          <w:lang w:val="fr-FR"/>
        </w:rPr>
        <w:t xml:space="preserve">projets </w:t>
      </w:r>
      <w:r w:rsidRPr="0055512B">
        <w:rPr>
          <w:rFonts w:ascii="Times" w:hAnsi="Times"/>
          <w:color w:val="212121"/>
          <w:sz w:val="24"/>
          <w:szCs w:val="24"/>
          <w:lang w:val="fr-FR"/>
        </w:rPr>
        <w:t>du programme</w:t>
      </w:r>
      <w:r w:rsidR="002D3F04" w:rsidRPr="0055512B">
        <w:rPr>
          <w:rFonts w:ascii="Times" w:hAnsi="Times"/>
          <w:color w:val="212121"/>
          <w:sz w:val="24"/>
          <w:szCs w:val="24"/>
          <w:lang w:val="fr-FR"/>
        </w:rPr>
        <w:t> ;</w:t>
      </w:r>
    </w:p>
    <w:p w14:paraId="2C10ADDE" w14:textId="48EE963A" w:rsidR="002B5CF4" w:rsidRPr="0055512B" w:rsidRDefault="003F4613" w:rsidP="002B5CF4">
      <w:pPr>
        <w:pStyle w:val="HTMLPreformatted"/>
        <w:numPr>
          <w:ilvl w:val="0"/>
          <w:numId w:val="57"/>
        </w:numPr>
        <w:shd w:val="clear" w:color="auto" w:fill="FFFFFF"/>
        <w:jc w:val="both"/>
        <w:rPr>
          <w:rFonts w:ascii="Times" w:hAnsi="Times"/>
          <w:color w:val="212121"/>
          <w:sz w:val="24"/>
          <w:szCs w:val="24"/>
          <w:lang w:val="fr-FR"/>
        </w:rPr>
      </w:pPr>
      <w:r w:rsidRPr="0055512B">
        <w:rPr>
          <w:rFonts w:ascii="Times" w:hAnsi="Times"/>
          <w:color w:val="212121"/>
          <w:sz w:val="24"/>
          <w:szCs w:val="24"/>
          <w:lang w:val="fr-FR"/>
        </w:rPr>
        <w:t>Contrôler, directement ou</w:t>
      </w:r>
      <w:r w:rsidR="002B5CF4" w:rsidRPr="0055512B">
        <w:rPr>
          <w:rFonts w:ascii="Times" w:hAnsi="Times"/>
          <w:color w:val="212121"/>
          <w:sz w:val="24"/>
          <w:szCs w:val="24"/>
          <w:lang w:val="fr-FR"/>
        </w:rPr>
        <w:t xml:space="preserve"> à travers </w:t>
      </w:r>
      <w:r w:rsidRPr="0055512B">
        <w:rPr>
          <w:rFonts w:ascii="Times" w:hAnsi="Times"/>
          <w:color w:val="212121"/>
          <w:sz w:val="24"/>
          <w:szCs w:val="24"/>
          <w:lang w:val="fr-FR"/>
        </w:rPr>
        <w:t xml:space="preserve">la société d’appui à la supervision, la mise en œuvre de toutes les actions prévues dans le PGES pour chaque contrat de travail </w:t>
      </w:r>
    </w:p>
    <w:p w14:paraId="016F65C5" w14:textId="77777777" w:rsidR="002D3F04" w:rsidRPr="0055512B" w:rsidRDefault="002D3F04" w:rsidP="002B5CF4">
      <w:pPr>
        <w:pStyle w:val="HTMLPreformatted"/>
        <w:numPr>
          <w:ilvl w:val="0"/>
          <w:numId w:val="57"/>
        </w:numPr>
        <w:shd w:val="clear" w:color="auto" w:fill="FFFFFF"/>
        <w:jc w:val="both"/>
        <w:rPr>
          <w:rFonts w:ascii="Times" w:hAnsi="Times"/>
          <w:color w:val="212121"/>
          <w:sz w:val="24"/>
          <w:szCs w:val="24"/>
          <w:lang w:val="fr-FR"/>
        </w:rPr>
      </w:pPr>
      <w:r w:rsidRPr="0055512B">
        <w:rPr>
          <w:rFonts w:ascii="Times" w:hAnsi="Times"/>
          <w:color w:val="212121"/>
          <w:sz w:val="24"/>
          <w:szCs w:val="24"/>
          <w:lang w:val="fr-FR"/>
        </w:rPr>
        <w:t>Appuyer les visites de supervision environnementale et sociale de la Banque ;</w:t>
      </w:r>
    </w:p>
    <w:p w14:paraId="6134AF73" w14:textId="77777777" w:rsidR="002B5CF4" w:rsidRPr="0055512B" w:rsidRDefault="002B5CF4" w:rsidP="002B5CF4">
      <w:pPr>
        <w:pStyle w:val="HTMLPreformatted"/>
        <w:numPr>
          <w:ilvl w:val="0"/>
          <w:numId w:val="57"/>
        </w:numPr>
        <w:shd w:val="clear" w:color="auto" w:fill="FFFFFF"/>
        <w:jc w:val="both"/>
        <w:rPr>
          <w:rFonts w:ascii="Times" w:hAnsi="Times"/>
          <w:color w:val="212121"/>
          <w:sz w:val="24"/>
          <w:szCs w:val="24"/>
          <w:lang w:val="fr-FR"/>
        </w:rPr>
      </w:pPr>
      <w:r w:rsidRPr="0055512B">
        <w:rPr>
          <w:rFonts w:ascii="Times" w:hAnsi="Times"/>
          <w:color w:val="212121"/>
          <w:sz w:val="24"/>
          <w:szCs w:val="24"/>
          <w:lang w:val="fr-FR"/>
        </w:rPr>
        <w:lastRenderedPageBreak/>
        <w:t>P</w:t>
      </w:r>
      <w:r w:rsidR="002D3F04" w:rsidRPr="0055512B">
        <w:rPr>
          <w:rFonts w:ascii="Times" w:hAnsi="Times"/>
          <w:color w:val="212121"/>
          <w:sz w:val="24"/>
          <w:szCs w:val="24"/>
          <w:lang w:val="fr-FR"/>
        </w:rPr>
        <w:t xml:space="preserve">réparer un rapport semestriel des activités environnementales, sociales et de santé et sécurité développées, y compris </w:t>
      </w:r>
    </w:p>
    <w:p w14:paraId="01D20ABA" w14:textId="4089A069" w:rsidR="002B5CF4" w:rsidRPr="0055512B" w:rsidRDefault="002D3F04" w:rsidP="002B5CF4">
      <w:pPr>
        <w:pStyle w:val="HTMLPreformatted"/>
        <w:numPr>
          <w:ilvl w:val="0"/>
          <w:numId w:val="61"/>
        </w:numPr>
        <w:shd w:val="clear" w:color="auto" w:fill="FFFFFF"/>
        <w:jc w:val="both"/>
        <w:rPr>
          <w:rFonts w:ascii="Times" w:hAnsi="Times"/>
          <w:color w:val="212121"/>
          <w:sz w:val="24"/>
          <w:szCs w:val="24"/>
          <w:lang w:val="fr-FR"/>
        </w:rPr>
      </w:pPr>
      <w:r w:rsidRPr="0055512B">
        <w:rPr>
          <w:rFonts w:ascii="Times" w:hAnsi="Times"/>
          <w:color w:val="212121"/>
          <w:sz w:val="24"/>
          <w:szCs w:val="24"/>
          <w:lang w:val="fr-FR"/>
        </w:rPr>
        <w:t xml:space="preserve">les principales activités au cours du semestre; </w:t>
      </w:r>
    </w:p>
    <w:p w14:paraId="729F4DE7" w14:textId="466F11EB" w:rsidR="002B5CF4" w:rsidRPr="0055512B" w:rsidRDefault="002D3F04" w:rsidP="002B5CF4">
      <w:pPr>
        <w:pStyle w:val="HTMLPreformatted"/>
        <w:numPr>
          <w:ilvl w:val="0"/>
          <w:numId w:val="61"/>
        </w:numPr>
        <w:shd w:val="clear" w:color="auto" w:fill="FFFFFF"/>
        <w:jc w:val="both"/>
        <w:rPr>
          <w:rFonts w:ascii="Times" w:hAnsi="Times"/>
          <w:color w:val="212121"/>
          <w:sz w:val="24"/>
          <w:szCs w:val="24"/>
          <w:lang w:val="fr-FR"/>
        </w:rPr>
      </w:pPr>
      <w:r w:rsidRPr="0055512B">
        <w:rPr>
          <w:rFonts w:ascii="Times" w:hAnsi="Times"/>
          <w:color w:val="212121"/>
          <w:sz w:val="24"/>
          <w:szCs w:val="24"/>
          <w:lang w:val="fr-FR"/>
        </w:rPr>
        <w:t xml:space="preserve">les détails de la conformité </w:t>
      </w:r>
      <w:r w:rsidR="00CA53D9" w:rsidRPr="0055512B">
        <w:rPr>
          <w:rFonts w:ascii="Times" w:hAnsi="Times"/>
          <w:color w:val="212121"/>
          <w:sz w:val="24"/>
          <w:szCs w:val="24"/>
          <w:lang w:val="fr-FR"/>
        </w:rPr>
        <w:t xml:space="preserve">avec le </w:t>
      </w:r>
      <w:r w:rsidRPr="0055512B">
        <w:rPr>
          <w:rFonts w:ascii="Times" w:hAnsi="Times"/>
          <w:color w:val="212121"/>
          <w:sz w:val="24"/>
          <w:szCs w:val="24"/>
          <w:lang w:val="fr-FR"/>
        </w:rPr>
        <w:t>PGES de chaque œuvre, y compris, mais sans s'y limiter les éléments suivants: (i) l</w:t>
      </w:r>
      <w:r w:rsidR="00CA53D9" w:rsidRPr="0055512B">
        <w:rPr>
          <w:rFonts w:ascii="Times" w:hAnsi="Times"/>
          <w:color w:val="212121"/>
          <w:sz w:val="24"/>
          <w:szCs w:val="24"/>
          <w:lang w:val="fr-FR"/>
        </w:rPr>
        <w:t>’analyse e</w:t>
      </w:r>
      <w:r w:rsidRPr="0055512B">
        <w:rPr>
          <w:rFonts w:ascii="Times" w:hAnsi="Times"/>
          <w:color w:val="212121"/>
          <w:sz w:val="24"/>
          <w:szCs w:val="24"/>
          <w:lang w:val="fr-FR"/>
        </w:rPr>
        <w:t>nvironnementale</w:t>
      </w:r>
      <w:r w:rsidR="00CA53D9" w:rsidRPr="0055512B">
        <w:rPr>
          <w:rFonts w:ascii="Times" w:hAnsi="Times"/>
          <w:color w:val="212121"/>
          <w:sz w:val="24"/>
          <w:szCs w:val="24"/>
          <w:lang w:val="fr-FR"/>
        </w:rPr>
        <w:t xml:space="preserve"> et sociale (AES)</w:t>
      </w:r>
      <w:r w:rsidRPr="0055512B">
        <w:rPr>
          <w:rFonts w:ascii="Times" w:hAnsi="Times"/>
          <w:color w:val="212121"/>
          <w:sz w:val="24"/>
          <w:szCs w:val="24"/>
          <w:lang w:val="fr-FR"/>
        </w:rPr>
        <w:t>, la diffusion et la consultation; (</w:t>
      </w:r>
      <w:r w:rsidR="00CA53D9" w:rsidRPr="0055512B">
        <w:rPr>
          <w:rFonts w:ascii="Times" w:hAnsi="Times"/>
          <w:color w:val="212121"/>
          <w:sz w:val="24"/>
          <w:szCs w:val="24"/>
          <w:lang w:val="fr-FR"/>
        </w:rPr>
        <w:t>ii</w:t>
      </w:r>
      <w:r w:rsidRPr="0055512B">
        <w:rPr>
          <w:rFonts w:ascii="Times" w:hAnsi="Times"/>
          <w:color w:val="212121"/>
          <w:sz w:val="24"/>
          <w:szCs w:val="24"/>
          <w:lang w:val="fr-FR"/>
        </w:rPr>
        <w:t>) plan de gestion des déchets; (</w:t>
      </w:r>
      <w:r w:rsidR="00CA53D9" w:rsidRPr="0055512B">
        <w:rPr>
          <w:rFonts w:ascii="Times" w:hAnsi="Times"/>
          <w:color w:val="212121"/>
          <w:sz w:val="24"/>
          <w:szCs w:val="24"/>
          <w:lang w:val="fr-FR"/>
        </w:rPr>
        <w:t>iii)</w:t>
      </w:r>
      <w:r w:rsidRPr="0055512B">
        <w:rPr>
          <w:rFonts w:ascii="Times" w:hAnsi="Times"/>
          <w:color w:val="212121"/>
          <w:sz w:val="24"/>
          <w:szCs w:val="24"/>
          <w:lang w:val="fr-FR"/>
        </w:rPr>
        <w:t xml:space="preserve"> récupération des zones dégradées; (</w:t>
      </w:r>
      <w:r w:rsidR="00CA53D9" w:rsidRPr="0055512B">
        <w:rPr>
          <w:rFonts w:ascii="Times" w:hAnsi="Times"/>
          <w:color w:val="212121"/>
          <w:sz w:val="24"/>
          <w:szCs w:val="24"/>
          <w:lang w:val="fr-FR"/>
        </w:rPr>
        <w:t>iv)</w:t>
      </w:r>
      <w:r w:rsidRPr="0055512B">
        <w:rPr>
          <w:rFonts w:ascii="Times" w:hAnsi="Times"/>
          <w:color w:val="212121"/>
          <w:sz w:val="24"/>
          <w:szCs w:val="24"/>
          <w:lang w:val="fr-FR"/>
        </w:rPr>
        <w:t xml:space="preserve"> plan de santé et sécurité des travailleurs; (</w:t>
      </w:r>
      <w:r w:rsidR="00CA53D9" w:rsidRPr="0055512B">
        <w:rPr>
          <w:rFonts w:ascii="Times" w:hAnsi="Times"/>
          <w:color w:val="212121"/>
          <w:sz w:val="24"/>
          <w:szCs w:val="24"/>
          <w:lang w:val="fr-FR"/>
        </w:rPr>
        <w:t>v</w:t>
      </w:r>
      <w:r w:rsidRPr="0055512B">
        <w:rPr>
          <w:rFonts w:ascii="Times" w:hAnsi="Times"/>
          <w:color w:val="212121"/>
          <w:sz w:val="24"/>
          <w:szCs w:val="24"/>
          <w:lang w:val="fr-FR"/>
        </w:rPr>
        <w:t>) plan de gestion des risques et des catastrophes naturelles; (</w:t>
      </w:r>
      <w:r w:rsidR="00CA53D9" w:rsidRPr="0055512B">
        <w:rPr>
          <w:rFonts w:ascii="Times" w:hAnsi="Times"/>
          <w:color w:val="212121"/>
          <w:sz w:val="24"/>
          <w:szCs w:val="24"/>
          <w:lang w:val="fr-FR"/>
        </w:rPr>
        <w:t>vi</w:t>
      </w:r>
      <w:r w:rsidRPr="0055512B">
        <w:rPr>
          <w:rFonts w:ascii="Times" w:hAnsi="Times"/>
          <w:color w:val="212121"/>
          <w:sz w:val="24"/>
          <w:szCs w:val="24"/>
          <w:lang w:val="fr-FR"/>
        </w:rPr>
        <w:t xml:space="preserve">) les procédures d'identification et les actions correctives des non-conformités observées; </w:t>
      </w:r>
      <w:r w:rsidR="00CA53D9" w:rsidRPr="0055512B">
        <w:rPr>
          <w:rFonts w:ascii="Times" w:hAnsi="Times"/>
          <w:color w:val="212121"/>
          <w:sz w:val="24"/>
          <w:szCs w:val="24"/>
          <w:lang w:val="fr-FR"/>
        </w:rPr>
        <w:t xml:space="preserve"> e </w:t>
      </w:r>
      <w:r w:rsidRPr="0055512B">
        <w:rPr>
          <w:rFonts w:ascii="Times" w:hAnsi="Times"/>
          <w:color w:val="212121"/>
          <w:sz w:val="24"/>
          <w:szCs w:val="24"/>
          <w:lang w:val="fr-FR"/>
        </w:rPr>
        <w:t>(</w:t>
      </w:r>
      <w:r w:rsidR="00CA53D9" w:rsidRPr="0055512B">
        <w:rPr>
          <w:rFonts w:ascii="Times" w:hAnsi="Times"/>
          <w:color w:val="212121"/>
          <w:sz w:val="24"/>
          <w:szCs w:val="24"/>
          <w:lang w:val="fr-FR"/>
        </w:rPr>
        <w:t>vii</w:t>
      </w:r>
      <w:r w:rsidRPr="0055512B">
        <w:rPr>
          <w:rFonts w:ascii="Times" w:hAnsi="Times"/>
          <w:color w:val="212121"/>
          <w:sz w:val="24"/>
          <w:szCs w:val="24"/>
          <w:lang w:val="fr-FR"/>
        </w:rPr>
        <w:t>) l</w:t>
      </w:r>
      <w:r w:rsidR="00CA53D9" w:rsidRPr="0055512B">
        <w:rPr>
          <w:rFonts w:ascii="Times" w:hAnsi="Times"/>
          <w:color w:val="212121"/>
          <w:sz w:val="24"/>
          <w:szCs w:val="24"/>
          <w:lang w:val="fr-FR"/>
        </w:rPr>
        <w:t xml:space="preserve">a procédure d’achats fortuits ; </w:t>
      </w:r>
    </w:p>
    <w:p w14:paraId="1A6815E4" w14:textId="5C968C99" w:rsidR="002B5CF4" w:rsidRPr="0055512B" w:rsidRDefault="002D3F04" w:rsidP="002B5CF4">
      <w:pPr>
        <w:pStyle w:val="HTMLPreformatted"/>
        <w:numPr>
          <w:ilvl w:val="0"/>
          <w:numId w:val="61"/>
        </w:numPr>
        <w:shd w:val="clear" w:color="auto" w:fill="FFFFFF"/>
        <w:jc w:val="both"/>
        <w:rPr>
          <w:rFonts w:ascii="Times" w:hAnsi="Times"/>
          <w:color w:val="212121"/>
          <w:sz w:val="24"/>
          <w:szCs w:val="24"/>
          <w:lang w:val="fr-FR"/>
        </w:rPr>
      </w:pPr>
      <w:r w:rsidRPr="0055512B">
        <w:rPr>
          <w:rFonts w:ascii="Times" w:hAnsi="Times"/>
          <w:color w:val="212121"/>
          <w:sz w:val="24"/>
          <w:szCs w:val="24"/>
          <w:lang w:val="fr-FR"/>
        </w:rPr>
        <w:t xml:space="preserve">rapport détaillé des activités menées </w:t>
      </w:r>
      <w:r w:rsidR="00CA53D9" w:rsidRPr="0055512B">
        <w:rPr>
          <w:rFonts w:ascii="Times" w:hAnsi="Times"/>
          <w:color w:val="212121"/>
          <w:sz w:val="24"/>
          <w:szCs w:val="24"/>
          <w:lang w:val="fr-FR"/>
        </w:rPr>
        <w:t>au sujet du Mécanisme de Gestion des Plaintes (</w:t>
      </w:r>
      <w:r w:rsidRPr="0055512B">
        <w:rPr>
          <w:rFonts w:ascii="Times" w:hAnsi="Times"/>
          <w:color w:val="212121"/>
          <w:sz w:val="24"/>
          <w:szCs w:val="24"/>
          <w:lang w:val="fr-FR"/>
        </w:rPr>
        <w:t>nombre et le type de plaintes reçues, la durée de</w:t>
      </w:r>
      <w:r w:rsidR="00CA53D9" w:rsidRPr="0055512B">
        <w:rPr>
          <w:rFonts w:ascii="Times" w:hAnsi="Times"/>
          <w:color w:val="212121"/>
          <w:sz w:val="24"/>
          <w:szCs w:val="24"/>
          <w:lang w:val="fr-FR"/>
        </w:rPr>
        <w:t xml:space="preserve"> l’attention a la plainte, </w:t>
      </w:r>
      <w:r w:rsidRPr="0055512B">
        <w:rPr>
          <w:rFonts w:ascii="Times" w:hAnsi="Times"/>
          <w:color w:val="212121"/>
          <w:sz w:val="24"/>
          <w:szCs w:val="24"/>
          <w:lang w:val="fr-FR"/>
        </w:rPr>
        <w:t xml:space="preserve">et d'autres éléments pertinents à l'identification des risques potentiels; </w:t>
      </w:r>
    </w:p>
    <w:p w14:paraId="308E6B04" w14:textId="3024BBF7" w:rsidR="002B5CF4" w:rsidRPr="0055512B" w:rsidRDefault="002D3F04" w:rsidP="002B5CF4">
      <w:pPr>
        <w:pStyle w:val="HTMLPreformatted"/>
        <w:numPr>
          <w:ilvl w:val="0"/>
          <w:numId w:val="61"/>
        </w:numPr>
        <w:shd w:val="clear" w:color="auto" w:fill="FFFFFF"/>
        <w:jc w:val="both"/>
        <w:rPr>
          <w:rFonts w:ascii="Times" w:hAnsi="Times"/>
          <w:color w:val="212121"/>
          <w:sz w:val="24"/>
          <w:szCs w:val="24"/>
          <w:lang w:val="fr-FR"/>
        </w:rPr>
      </w:pPr>
      <w:r w:rsidRPr="0055512B">
        <w:rPr>
          <w:rFonts w:ascii="Times" w:hAnsi="Times"/>
          <w:color w:val="212121"/>
          <w:sz w:val="24"/>
          <w:szCs w:val="24"/>
          <w:lang w:val="fr-FR"/>
        </w:rPr>
        <w:t>év</w:t>
      </w:r>
      <w:r w:rsidR="0055512B" w:rsidRPr="0055512B">
        <w:rPr>
          <w:rFonts w:ascii="Times" w:hAnsi="Times"/>
          <w:color w:val="212121"/>
          <w:sz w:val="24"/>
          <w:szCs w:val="24"/>
          <w:lang w:val="fr-FR"/>
        </w:rPr>
        <w:t>è</w:t>
      </w:r>
      <w:r w:rsidRPr="0055512B">
        <w:rPr>
          <w:rFonts w:ascii="Times" w:hAnsi="Times"/>
          <w:color w:val="212121"/>
          <w:sz w:val="24"/>
          <w:szCs w:val="24"/>
          <w:lang w:val="fr-FR"/>
        </w:rPr>
        <w:t xml:space="preserve">nements environnementaux, sociaux et de santé et sécurité des travailleurs; </w:t>
      </w:r>
    </w:p>
    <w:p w14:paraId="299FDB48" w14:textId="30CB4131" w:rsidR="002D3F04" w:rsidRPr="0055512B" w:rsidRDefault="00CA53D9" w:rsidP="002B5CF4">
      <w:pPr>
        <w:pStyle w:val="HTMLPreformatted"/>
        <w:numPr>
          <w:ilvl w:val="0"/>
          <w:numId w:val="61"/>
        </w:numPr>
        <w:shd w:val="clear" w:color="auto" w:fill="FFFFFF"/>
        <w:jc w:val="both"/>
        <w:rPr>
          <w:rFonts w:ascii="Times" w:hAnsi="Times"/>
          <w:color w:val="212121"/>
          <w:sz w:val="24"/>
          <w:szCs w:val="24"/>
          <w:lang w:val="fr-FR"/>
        </w:rPr>
      </w:pPr>
      <w:r w:rsidRPr="0055512B">
        <w:rPr>
          <w:rFonts w:ascii="Times" w:hAnsi="Times"/>
          <w:color w:val="212121"/>
          <w:sz w:val="24"/>
          <w:szCs w:val="24"/>
          <w:lang w:val="fr-FR"/>
        </w:rPr>
        <w:t xml:space="preserve"> </w:t>
      </w:r>
      <w:r w:rsidR="002D3F04" w:rsidRPr="0055512B">
        <w:rPr>
          <w:rFonts w:ascii="Times" w:hAnsi="Times"/>
          <w:color w:val="212121"/>
          <w:sz w:val="24"/>
          <w:szCs w:val="24"/>
          <w:lang w:val="fr-FR"/>
        </w:rPr>
        <w:t>conclusions / recommandations;</w:t>
      </w:r>
    </w:p>
    <w:p w14:paraId="74AC3325" w14:textId="77777777" w:rsidR="002D3F04" w:rsidRPr="0055512B" w:rsidRDefault="002D3F04" w:rsidP="008B2BE4">
      <w:pPr>
        <w:pStyle w:val="HTMLPreformatted"/>
        <w:numPr>
          <w:ilvl w:val="2"/>
          <w:numId w:val="56"/>
        </w:numPr>
        <w:shd w:val="clear" w:color="auto" w:fill="FFFFFF"/>
        <w:tabs>
          <w:tab w:val="clear" w:pos="916"/>
          <w:tab w:val="clear" w:pos="1832"/>
        </w:tabs>
        <w:ind w:left="810"/>
        <w:jc w:val="both"/>
        <w:rPr>
          <w:rFonts w:ascii="Times" w:hAnsi="Times"/>
          <w:color w:val="212121"/>
          <w:sz w:val="24"/>
          <w:szCs w:val="24"/>
          <w:lang w:val="fr-FR"/>
        </w:rPr>
      </w:pPr>
      <w:r w:rsidRPr="0055512B">
        <w:rPr>
          <w:rFonts w:ascii="Times" w:hAnsi="Times"/>
          <w:color w:val="212121"/>
          <w:sz w:val="24"/>
          <w:szCs w:val="24"/>
          <w:lang w:val="fr-FR"/>
        </w:rPr>
        <w:t>Participer à la préparation des conditions de réception définitive des contrats de travaux, biens et services</w:t>
      </w:r>
      <w:r w:rsidR="00CA53D9" w:rsidRPr="0055512B">
        <w:rPr>
          <w:rFonts w:ascii="Times" w:hAnsi="Times"/>
          <w:color w:val="212121"/>
          <w:sz w:val="24"/>
          <w:szCs w:val="24"/>
          <w:lang w:val="fr-FR"/>
        </w:rPr>
        <w:t xml:space="preserve"> liés aux sujets d’infrastructures</w:t>
      </w:r>
      <w:r w:rsidRPr="0055512B">
        <w:rPr>
          <w:rFonts w:ascii="Times" w:hAnsi="Times"/>
          <w:color w:val="212121"/>
          <w:sz w:val="24"/>
          <w:szCs w:val="24"/>
          <w:lang w:val="fr-FR"/>
        </w:rPr>
        <w:t>, le cas échéant</w:t>
      </w:r>
      <w:r w:rsidR="00CA53D9" w:rsidRPr="0055512B">
        <w:rPr>
          <w:rFonts w:ascii="Times" w:hAnsi="Times"/>
          <w:color w:val="212121"/>
          <w:sz w:val="24"/>
          <w:szCs w:val="24"/>
          <w:lang w:val="fr-FR"/>
        </w:rPr>
        <w:t xml:space="preserve">, de façon de ne pas recevoir les services/travaux jusqu’u tous les passifs environnementaux et sociaux soient solutionnés à la satisfaction de la Banque. </w:t>
      </w:r>
    </w:p>
    <w:p w14:paraId="0D32FD8E" w14:textId="77777777" w:rsidR="000F411C" w:rsidRPr="0055512B" w:rsidRDefault="000F411C" w:rsidP="007577F9">
      <w:pPr>
        <w:spacing w:line="276" w:lineRule="auto"/>
        <w:jc w:val="both"/>
      </w:pPr>
    </w:p>
    <w:p w14:paraId="7835EA0E" w14:textId="18F133B1" w:rsidR="00DE2E1C" w:rsidRPr="0055512B" w:rsidRDefault="006447B6" w:rsidP="00904CF7">
      <w:pPr>
        <w:pStyle w:val="ListParagraph"/>
        <w:numPr>
          <w:ilvl w:val="0"/>
          <w:numId w:val="7"/>
        </w:numPr>
        <w:tabs>
          <w:tab w:val="left" w:pos="580"/>
        </w:tabs>
        <w:spacing w:before="120" w:after="120" w:line="276" w:lineRule="auto"/>
        <w:jc w:val="both"/>
        <w:rPr>
          <w:rFonts w:eastAsia="Arial"/>
          <w:b/>
        </w:rPr>
      </w:pPr>
      <w:r w:rsidRPr="0055512B">
        <w:rPr>
          <w:rFonts w:eastAsia="Arial"/>
          <w:b/>
        </w:rPr>
        <w:t xml:space="preserve">MECANISMES CONTRACTUELS </w:t>
      </w:r>
      <w:r w:rsidR="00AD6E5A" w:rsidRPr="0055512B">
        <w:rPr>
          <w:rFonts w:eastAsia="Arial"/>
          <w:b/>
        </w:rPr>
        <w:t>D’</w:t>
      </w:r>
      <w:r w:rsidR="00AD6E5A">
        <w:rPr>
          <w:rFonts w:ascii="Arial" w:hAnsi="Arial" w:cs="Arial"/>
          <w:sz w:val="22"/>
          <w:szCs w:val="22"/>
        </w:rPr>
        <w:t>EXÉCUTION</w:t>
      </w:r>
    </w:p>
    <w:p w14:paraId="47610123" w14:textId="77777777" w:rsidR="00DE2E1C" w:rsidRPr="0055512B" w:rsidRDefault="00DE2E1C" w:rsidP="007577F9">
      <w:pPr>
        <w:spacing w:line="276" w:lineRule="auto"/>
        <w:jc w:val="both"/>
        <w:rPr>
          <w:rFonts w:eastAsia="Times New Roman"/>
        </w:rPr>
      </w:pPr>
    </w:p>
    <w:p w14:paraId="6F7584D6" w14:textId="77777777" w:rsidR="006447B6" w:rsidRPr="0055512B" w:rsidRDefault="006447B6" w:rsidP="007577F9">
      <w:pPr>
        <w:pStyle w:val="ListParagraph"/>
        <w:numPr>
          <w:ilvl w:val="1"/>
          <w:numId w:val="7"/>
        </w:numPr>
        <w:tabs>
          <w:tab w:val="left" w:pos="580"/>
        </w:tabs>
        <w:spacing w:line="276" w:lineRule="auto"/>
        <w:jc w:val="both"/>
        <w:rPr>
          <w:rFonts w:eastAsia="Arial"/>
          <w:b/>
        </w:rPr>
      </w:pPr>
      <w:r w:rsidRPr="0055512B">
        <w:rPr>
          <w:rFonts w:eastAsia="Arial"/>
          <w:b/>
        </w:rPr>
        <w:t>SEMINAIRE DE DEMARRAGE</w:t>
      </w:r>
    </w:p>
    <w:p w14:paraId="0A75FFE1" w14:textId="77777777" w:rsidR="006447B6" w:rsidRPr="0055512B" w:rsidRDefault="006447B6" w:rsidP="007577F9">
      <w:pPr>
        <w:spacing w:line="276" w:lineRule="auto"/>
        <w:jc w:val="both"/>
        <w:rPr>
          <w:rFonts w:eastAsia="Times New Roman"/>
        </w:rPr>
      </w:pPr>
    </w:p>
    <w:p w14:paraId="6BE61135" w14:textId="77777777" w:rsidR="006447B6" w:rsidRPr="0055512B" w:rsidRDefault="006447B6" w:rsidP="007577F9">
      <w:pPr>
        <w:spacing w:line="276" w:lineRule="auto"/>
        <w:jc w:val="both"/>
        <w:rPr>
          <w:rFonts w:eastAsia="Arial"/>
        </w:rPr>
      </w:pPr>
      <w:r w:rsidRPr="0055512B">
        <w:rPr>
          <w:rFonts w:eastAsia="Arial"/>
        </w:rPr>
        <w:t>Le séminaire de démarrage vise à présenter la planification et l'ensemble des procédures du présent programme aux différents partenaires impliqués. Il se tiendra préalablement au premier décaissement de chacun des programmes. Il présentera les objectifs du programme, les activités, la ligne de base les conditions d’exécution et les contrepar</w:t>
      </w:r>
      <w:r w:rsidR="00B95F25" w:rsidRPr="0055512B">
        <w:rPr>
          <w:rFonts w:eastAsia="Arial"/>
        </w:rPr>
        <w:t>ties attendues de la part du Gouvernement Haïtien</w:t>
      </w:r>
      <w:r w:rsidRPr="0055512B">
        <w:rPr>
          <w:rFonts w:eastAsia="Arial"/>
        </w:rPr>
        <w:t>.</w:t>
      </w:r>
      <w:r w:rsidR="00B95F25" w:rsidRPr="0055512B">
        <w:rPr>
          <w:rFonts w:eastAsia="Arial"/>
        </w:rPr>
        <w:t xml:space="preserve"> </w:t>
      </w:r>
    </w:p>
    <w:p w14:paraId="742F207A" w14:textId="77777777" w:rsidR="00ED6969" w:rsidRPr="0055512B" w:rsidRDefault="00ED6969" w:rsidP="007577F9">
      <w:pPr>
        <w:spacing w:line="276" w:lineRule="auto"/>
        <w:jc w:val="both"/>
        <w:rPr>
          <w:rFonts w:eastAsia="Arial"/>
        </w:rPr>
      </w:pPr>
    </w:p>
    <w:p w14:paraId="4EFDDCD5" w14:textId="36760440" w:rsidR="00ED6969" w:rsidRPr="0055512B" w:rsidRDefault="00ED6969" w:rsidP="00904CF7">
      <w:pPr>
        <w:pStyle w:val="HTMLPreformatted"/>
        <w:shd w:val="clear" w:color="auto" w:fill="FFFFFF"/>
        <w:jc w:val="both"/>
        <w:rPr>
          <w:rFonts w:ascii="Times New Roman" w:eastAsia="Arial" w:hAnsi="Times New Roman" w:cs="Times New Roman"/>
          <w:sz w:val="24"/>
          <w:szCs w:val="24"/>
          <w:lang w:val="fr-FR"/>
        </w:rPr>
      </w:pPr>
      <w:r w:rsidRPr="0055512B">
        <w:rPr>
          <w:rFonts w:ascii="Times New Roman" w:eastAsia="Arial" w:hAnsi="Times New Roman" w:cs="Times New Roman"/>
          <w:sz w:val="24"/>
          <w:szCs w:val="24"/>
          <w:lang w:val="fr-FR"/>
        </w:rPr>
        <w:t>Spécialement, en ce qui concerne les aspects environnementaux et sociaux, la DINEPA devra démontrer à la BID préalablement au premier décaissement que</w:t>
      </w:r>
      <w:r w:rsidR="009C2C7A" w:rsidRPr="0055512B">
        <w:rPr>
          <w:rFonts w:ascii="Times New Roman" w:eastAsia="Arial" w:hAnsi="Times New Roman" w:cs="Times New Roman"/>
          <w:sz w:val="24"/>
          <w:szCs w:val="24"/>
          <w:lang w:val="fr-FR"/>
        </w:rPr>
        <w:t xml:space="preserve"> les documents suivants o</w:t>
      </w:r>
      <w:r w:rsidR="009C2C7A" w:rsidRPr="0055512B">
        <w:rPr>
          <w:rFonts w:ascii="Times New Roman" w:hAnsi="Times New Roman" w:cs="Times New Roman"/>
          <w:color w:val="212121"/>
          <w:sz w:val="24"/>
          <w:szCs w:val="24"/>
          <w:lang w:val="fr-FR"/>
        </w:rPr>
        <w:t xml:space="preserve">nt été conçus pour la phase de construction de chaque projet, </w:t>
      </w:r>
      <w:r w:rsidR="00904CF7" w:rsidRPr="0055512B">
        <w:rPr>
          <w:rFonts w:ascii="Times New Roman" w:hAnsi="Times New Roman" w:cs="Times New Roman"/>
          <w:color w:val="212121"/>
          <w:sz w:val="24"/>
          <w:szCs w:val="24"/>
          <w:lang w:val="fr-FR"/>
        </w:rPr>
        <w:t>qu’</w:t>
      </w:r>
      <w:r w:rsidR="009C2C7A" w:rsidRPr="0055512B">
        <w:rPr>
          <w:rFonts w:ascii="Times New Roman" w:hAnsi="Times New Roman" w:cs="Times New Roman"/>
          <w:color w:val="212121"/>
          <w:sz w:val="24"/>
          <w:szCs w:val="24"/>
          <w:lang w:val="fr-FR"/>
        </w:rPr>
        <w:t xml:space="preserve">ils sont en vigueur et ont été intégrés dans le Manuel Opérationnel </w:t>
      </w:r>
      <w:r w:rsidR="00904CF7" w:rsidRPr="0055512B">
        <w:rPr>
          <w:rFonts w:ascii="Times New Roman" w:hAnsi="Times New Roman" w:cs="Times New Roman"/>
          <w:color w:val="212121"/>
          <w:sz w:val="24"/>
          <w:szCs w:val="24"/>
          <w:lang w:val="fr-FR"/>
        </w:rPr>
        <w:t>Unifié</w:t>
      </w:r>
      <w:r w:rsidRPr="0055512B">
        <w:rPr>
          <w:rFonts w:ascii="Times New Roman" w:eastAsia="Arial" w:hAnsi="Times New Roman" w:cs="Times New Roman"/>
          <w:sz w:val="24"/>
          <w:szCs w:val="24"/>
          <w:lang w:val="fr-FR"/>
        </w:rPr>
        <w:t xml:space="preserve">: </w:t>
      </w:r>
    </w:p>
    <w:p w14:paraId="7C0DC299" w14:textId="5FEA1C8B" w:rsidR="00ED6969" w:rsidRPr="0055512B" w:rsidRDefault="00ED6969" w:rsidP="00904CF7">
      <w:pPr>
        <w:pStyle w:val="HTMLPreformatted"/>
        <w:numPr>
          <w:ilvl w:val="0"/>
          <w:numId w:val="62"/>
        </w:numPr>
        <w:shd w:val="clear" w:color="auto" w:fill="FFFFFF"/>
        <w:jc w:val="both"/>
        <w:rPr>
          <w:rFonts w:ascii="Times New Roman" w:hAnsi="Times New Roman" w:cs="Times New Roman"/>
          <w:color w:val="212121"/>
          <w:sz w:val="24"/>
          <w:szCs w:val="24"/>
          <w:lang w:val="fr-FR"/>
        </w:rPr>
      </w:pPr>
      <w:r w:rsidRPr="0055512B">
        <w:rPr>
          <w:rFonts w:ascii="Times New Roman" w:hAnsi="Times New Roman" w:cs="Times New Roman"/>
          <w:color w:val="212121"/>
          <w:sz w:val="24"/>
          <w:szCs w:val="24"/>
          <w:lang w:val="fr-FR"/>
        </w:rPr>
        <w:t xml:space="preserve">un plan d'engagement des parties prenantes ; </w:t>
      </w:r>
    </w:p>
    <w:p w14:paraId="28222413" w14:textId="3355E74C" w:rsidR="00904CF7" w:rsidRPr="0055512B" w:rsidRDefault="00ED6969" w:rsidP="00904CF7">
      <w:pPr>
        <w:pStyle w:val="HTMLPreformatted"/>
        <w:numPr>
          <w:ilvl w:val="0"/>
          <w:numId w:val="62"/>
        </w:numPr>
        <w:shd w:val="clear" w:color="auto" w:fill="FFFFFF"/>
        <w:jc w:val="both"/>
        <w:rPr>
          <w:rFonts w:ascii="Times New Roman" w:hAnsi="Times New Roman" w:cs="Times New Roman"/>
          <w:color w:val="212121"/>
          <w:sz w:val="24"/>
          <w:szCs w:val="24"/>
          <w:lang w:val="fr-FR"/>
        </w:rPr>
      </w:pPr>
      <w:r w:rsidRPr="0055512B">
        <w:rPr>
          <w:rFonts w:ascii="Times New Roman" w:hAnsi="Times New Roman" w:cs="Times New Roman"/>
          <w:color w:val="212121"/>
          <w:sz w:val="24"/>
          <w:szCs w:val="24"/>
          <w:lang w:val="fr-FR"/>
        </w:rPr>
        <w:t xml:space="preserve"> une évaluation des risques de catastrophe et son correspondant plan de gestion des risques de catastrophes ; </w:t>
      </w:r>
    </w:p>
    <w:p w14:paraId="190300A1" w14:textId="14B5BF40" w:rsidR="00ED6969" w:rsidRPr="0055512B" w:rsidRDefault="00ED6969" w:rsidP="00904CF7">
      <w:pPr>
        <w:pStyle w:val="HTMLPreformatted"/>
        <w:numPr>
          <w:ilvl w:val="0"/>
          <w:numId w:val="62"/>
        </w:numPr>
        <w:shd w:val="clear" w:color="auto" w:fill="FFFFFF"/>
        <w:jc w:val="both"/>
        <w:rPr>
          <w:rFonts w:ascii="Times New Roman" w:hAnsi="Times New Roman" w:cs="Times New Roman"/>
          <w:color w:val="212121"/>
          <w:sz w:val="24"/>
          <w:szCs w:val="24"/>
          <w:lang w:val="fr-FR"/>
        </w:rPr>
      </w:pPr>
      <w:r w:rsidRPr="0055512B">
        <w:rPr>
          <w:rFonts w:ascii="Times New Roman" w:hAnsi="Times New Roman" w:cs="Times New Roman"/>
          <w:color w:val="212121"/>
          <w:sz w:val="24"/>
          <w:szCs w:val="24"/>
          <w:lang w:val="fr-FR"/>
        </w:rPr>
        <w:t xml:space="preserve"> un mécanisme de règlement des griefs ; et </w:t>
      </w:r>
    </w:p>
    <w:p w14:paraId="233BE07B" w14:textId="33879395" w:rsidR="00ED6969" w:rsidRPr="0055512B" w:rsidRDefault="00ED6969" w:rsidP="00904CF7">
      <w:pPr>
        <w:pStyle w:val="HTMLPreformatted"/>
        <w:numPr>
          <w:ilvl w:val="0"/>
          <w:numId w:val="62"/>
        </w:numPr>
        <w:shd w:val="clear" w:color="auto" w:fill="FFFFFF"/>
        <w:jc w:val="both"/>
        <w:rPr>
          <w:rFonts w:ascii="Times New Roman" w:hAnsi="Times New Roman" w:cs="Times New Roman"/>
          <w:color w:val="212121"/>
          <w:sz w:val="24"/>
          <w:szCs w:val="24"/>
          <w:lang w:val="fr-FR"/>
        </w:rPr>
      </w:pPr>
      <w:r w:rsidRPr="0055512B">
        <w:rPr>
          <w:rFonts w:ascii="Times New Roman" w:hAnsi="Times New Roman" w:cs="Times New Roman"/>
          <w:color w:val="212121"/>
          <w:sz w:val="24"/>
          <w:szCs w:val="24"/>
          <w:lang w:val="fr-FR"/>
        </w:rPr>
        <w:t>une étude socio-</w:t>
      </w:r>
      <w:r w:rsidR="00DE457C" w:rsidRPr="0055512B">
        <w:rPr>
          <w:rFonts w:ascii="Times New Roman" w:hAnsi="Times New Roman" w:cs="Times New Roman"/>
          <w:color w:val="212121"/>
          <w:sz w:val="24"/>
          <w:szCs w:val="24"/>
          <w:lang w:val="fr-FR"/>
        </w:rPr>
        <w:t>économique pour</w:t>
      </w:r>
      <w:r w:rsidRPr="0055512B">
        <w:rPr>
          <w:rFonts w:ascii="Times New Roman" w:hAnsi="Times New Roman" w:cs="Times New Roman"/>
          <w:color w:val="212121"/>
          <w:sz w:val="24"/>
          <w:szCs w:val="24"/>
          <w:lang w:val="fr-FR"/>
        </w:rPr>
        <w:t xml:space="preserve"> déterminer des tarifs accessibles pour l’eau</w:t>
      </w:r>
      <w:r w:rsidR="009C2C7A" w:rsidRPr="0055512B">
        <w:rPr>
          <w:rFonts w:ascii="Times New Roman" w:hAnsi="Times New Roman" w:cs="Times New Roman"/>
          <w:color w:val="212121"/>
          <w:sz w:val="24"/>
          <w:szCs w:val="24"/>
          <w:lang w:val="fr-FR"/>
        </w:rPr>
        <w:t>.</w:t>
      </w:r>
    </w:p>
    <w:p w14:paraId="4B1F86CE" w14:textId="77777777" w:rsidR="00ED6969" w:rsidRPr="0055512B" w:rsidRDefault="00ED6969" w:rsidP="00904CF7">
      <w:pPr>
        <w:pStyle w:val="HTMLPreformatted"/>
        <w:shd w:val="clear" w:color="auto" w:fill="FFFFFF"/>
        <w:jc w:val="both"/>
        <w:rPr>
          <w:rFonts w:ascii="Times New Roman" w:hAnsi="Times New Roman" w:cs="Times New Roman"/>
          <w:color w:val="212121"/>
          <w:sz w:val="24"/>
          <w:szCs w:val="24"/>
          <w:lang w:val="fr-FR"/>
        </w:rPr>
      </w:pPr>
    </w:p>
    <w:p w14:paraId="6BC13AF8" w14:textId="77777777" w:rsidR="00DE2E1C" w:rsidRPr="0055512B" w:rsidRDefault="00DE2E1C" w:rsidP="007577F9">
      <w:pPr>
        <w:pStyle w:val="ListParagraph"/>
        <w:numPr>
          <w:ilvl w:val="1"/>
          <w:numId w:val="7"/>
        </w:numPr>
        <w:tabs>
          <w:tab w:val="left" w:pos="720"/>
        </w:tabs>
        <w:spacing w:line="276" w:lineRule="auto"/>
        <w:jc w:val="both"/>
        <w:rPr>
          <w:rFonts w:eastAsia="Arial"/>
          <w:b/>
        </w:rPr>
      </w:pPr>
      <w:r w:rsidRPr="0055512B">
        <w:rPr>
          <w:rFonts w:eastAsia="Arial"/>
          <w:b/>
        </w:rPr>
        <w:t>Suivi</w:t>
      </w:r>
    </w:p>
    <w:p w14:paraId="6F003A0C" w14:textId="77777777" w:rsidR="00DE2E1C" w:rsidRPr="0055512B" w:rsidRDefault="00DE2E1C" w:rsidP="007577F9">
      <w:pPr>
        <w:spacing w:line="276" w:lineRule="auto"/>
        <w:jc w:val="both"/>
        <w:rPr>
          <w:rFonts w:eastAsia="Times New Roman"/>
        </w:rPr>
      </w:pPr>
    </w:p>
    <w:p w14:paraId="76BFC53C" w14:textId="77777777" w:rsidR="00DE2E1C" w:rsidRPr="0055512B" w:rsidRDefault="00577C33" w:rsidP="007577F9">
      <w:pPr>
        <w:spacing w:line="276" w:lineRule="auto"/>
        <w:jc w:val="both"/>
        <w:rPr>
          <w:rFonts w:eastAsia="Arial"/>
        </w:rPr>
      </w:pPr>
      <w:r w:rsidRPr="0055512B">
        <w:rPr>
          <w:rFonts w:eastAsia="Arial"/>
        </w:rPr>
        <w:t>La DINEPA, comme Unité d’</w:t>
      </w:r>
      <w:r w:rsidR="00DE2E1C" w:rsidRPr="0055512B">
        <w:rPr>
          <w:rFonts w:eastAsia="Arial"/>
        </w:rPr>
        <w:t>Exécution</w:t>
      </w:r>
      <w:r w:rsidR="00E84246" w:rsidRPr="0055512B">
        <w:rPr>
          <w:rFonts w:eastAsia="Arial"/>
        </w:rPr>
        <w:t>,</w:t>
      </w:r>
      <w:r w:rsidR="00DE2E1C" w:rsidRPr="0055512B">
        <w:rPr>
          <w:rFonts w:eastAsia="Arial"/>
        </w:rPr>
        <w:t xml:space="preserve"> maintiendra un système de suivi permanent pour évaluer le progrès des</w:t>
      </w:r>
      <w:r w:rsidR="00E4254F" w:rsidRPr="0055512B">
        <w:rPr>
          <w:rFonts w:eastAsia="Arial"/>
        </w:rPr>
        <w:t xml:space="preserve"> activités des programmes</w:t>
      </w:r>
      <w:r w:rsidR="00DE2E1C" w:rsidRPr="0055512B">
        <w:rPr>
          <w:rFonts w:eastAsia="Arial"/>
        </w:rPr>
        <w:t>. La DINEPA collectera et retiendra dans ce système toute information actualisée qui permettra la construction et</w:t>
      </w:r>
      <w:r w:rsidR="00E84246" w:rsidRPr="0055512B">
        <w:rPr>
          <w:rFonts w:eastAsia="Arial"/>
        </w:rPr>
        <w:t xml:space="preserve"> la</w:t>
      </w:r>
      <w:r w:rsidR="00DE2E1C" w:rsidRPr="0055512B">
        <w:rPr>
          <w:rFonts w:eastAsia="Arial"/>
        </w:rPr>
        <w:t xml:space="preserve"> vérification des indicateurs de perf</w:t>
      </w:r>
      <w:r w:rsidR="00E84246" w:rsidRPr="0055512B">
        <w:rPr>
          <w:rFonts w:eastAsia="Arial"/>
        </w:rPr>
        <w:t>ormance ainsi que le suivi des plans d’exécution, comprenant</w:t>
      </w:r>
      <w:r w:rsidR="00DE2E1C" w:rsidRPr="0055512B">
        <w:rPr>
          <w:rFonts w:eastAsia="Arial"/>
        </w:rPr>
        <w:t xml:space="preserve"> :</w:t>
      </w:r>
    </w:p>
    <w:p w14:paraId="35FE77C6" w14:textId="77777777" w:rsidR="00DE2E1C" w:rsidRPr="0055512B" w:rsidRDefault="00DE2E1C" w:rsidP="007577F9">
      <w:pPr>
        <w:spacing w:line="276" w:lineRule="auto"/>
        <w:jc w:val="both"/>
        <w:rPr>
          <w:rFonts w:eastAsia="Times New Roman"/>
        </w:rPr>
      </w:pPr>
    </w:p>
    <w:p w14:paraId="7E45ACD6" w14:textId="73359347" w:rsidR="00DE2E1C" w:rsidRPr="0055512B" w:rsidRDefault="00DE2E1C" w:rsidP="007577F9">
      <w:pPr>
        <w:numPr>
          <w:ilvl w:val="0"/>
          <w:numId w:val="18"/>
        </w:numPr>
        <w:tabs>
          <w:tab w:val="left" w:pos="620"/>
        </w:tabs>
        <w:spacing w:line="276" w:lineRule="auto"/>
        <w:ind w:left="620" w:hanging="368"/>
        <w:jc w:val="both"/>
        <w:rPr>
          <w:rFonts w:ascii="Times New Roman" w:eastAsia="Arial" w:hAnsi="Times New Roman" w:cs="Times New Roman"/>
        </w:rPr>
      </w:pPr>
      <w:r w:rsidRPr="0055512B">
        <w:rPr>
          <w:rFonts w:eastAsia="Arial"/>
        </w:rPr>
        <w:t xml:space="preserve">Un  système </w:t>
      </w:r>
      <w:r w:rsidRPr="0055512B">
        <w:rPr>
          <w:rFonts w:ascii="Times New Roman" w:eastAsia="Arial" w:hAnsi="Times New Roman" w:cs="Times New Roman"/>
        </w:rPr>
        <w:t>de rapport</w:t>
      </w:r>
      <w:r w:rsidR="009D25D7" w:rsidRPr="0055512B">
        <w:rPr>
          <w:rFonts w:ascii="Times New Roman" w:eastAsia="Arial" w:hAnsi="Times New Roman" w:cs="Times New Roman"/>
        </w:rPr>
        <w:t>s pour le suivi des activités de chaque</w:t>
      </w:r>
      <w:r w:rsidRPr="0055512B">
        <w:rPr>
          <w:rFonts w:ascii="Times New Roman" w:eastAsia="Arial" w:hAnsi="Times New Roman" w:cs="Times New Roman"/>
        </w:rPr>
        <w:t xml:space="preserve"> programme</w:t>
      </w:r>
      <w:r w:rsidR="008255A6" w:rsidRPr="0055512B">
        <w:rPr>
          <w:rFonts w:ascii="Times New Roman" w:eastAsia="Arial" w:hAnsi="Times New Roman" w:cs="Times New Roman"/>
        </w:rPr>
        <w:t>, y inclus les rapports de suivi environnemental et social de chaque projet financé par les programmes, et en spécial les rapports de la conformité des travaux avec les Plans de Gestion Environnemental et Social (PGAS) de chaque projet ;</w:t>
      </w:r>
    </w:p>
    <w:p w14:paraId="520479A3" w14:textId="77777777" w:rsidR="00DE2E1C" w:rsidRPr="0055512B" w:rsidRDefault="009047C0" w:rsidP="00AF56F0">
      <w:pPr>
        <w:numPr>
          <w:ilvl w:val="0"/>
          <w:numId w:val="18"/>
        </w:numPr>
        <w:tabs>
          <w:tab w:val="left" w:pos="624"/>
        </w:tabs>
        <w:spacing w:line="276" w:lineRule="auto"/>
        <w:ind w:left="630" w:hanging="516"/>
        <w:jc w:val="both"/>
        <w:rPr>
          <w:rFonts w:ascii="Times New Roman" w:eastAsia="Arial" w:hAnsi="Times New Roman" w:cs="Times New Roman"/>
        </w:rPr>
      </w:pPr>
      <w:r w:rsidRPr="0055512B">
        <w:rPr>
          <w:rFonts w:ascii="Times New Roman" w:eastAsia="Arial" w:hAnsi="Times New Roman" w:cs="Times New Roman"/>
        </w:rPr>
        <w:t xml:space="preserve">Le système </w:t>
      </w:r>
      <w:r w:rsidR="00DE2E1C" w:rsidRPr="0055512B">
        <w:rPr>
          <w:rFonts w:ascii="Times New Roman" w:eastAsia="Arial" w:hAnsi="Times New Roman" w:cs="Times New Roman"/>
        </w:rPr>
        <w:t xml:space="preserve">de suivi qui comprendra </w:t>
      </w:r>
      <w:r w:rsidR="00E84246" w:rsidRPr="0055512B">
        <w:rPr>
          <w:rFonts w:ascii="Times New Roman" w:eastAsia="Arial" w:hAnsi="Times New Roman" w:cs="Times New Roman"/>
        </w:rPr>
        <w:t xml:space="preserve">les </w:t>
      </w:r>
      <w:r w:rsidR="00DE2E1C" w:rsidRPr="0055512B">
        <w:rPr>
          <w:rFonts w:ascii="Times New Roman" w:eastAsia="Arial" w:hAnsi="Times New Roman" w:cs="Times New Roman"/>
        </w:rPr>
        <w:t>information</w:t>
      </w:r>
      <w:r w:rsidR="00E84246" w:rsidRPr="0055512B">
        <w:rPr>
          <w:rFonts w:ascii="Times New Roman" w:eastAsia="Arial" w:hAnsi="Times New Roman" w:cs="Times New Roman"/>
        </w:rPr>
        <w:t>s</w:t>
      </w:r>
      <w:r w:rsidR="00DE2E1C" w:rsidRPr="0055512B">
        <w:rPr>
          <w:rFonts w:ascii="Times New Roman" w:eastAsia="Arial" w:hAnsi="Times New Roman" w:cs="Times New Roman"/>
        </w:rPr>
        <w:t xml:space="preserve"> socioéconomique</w:t>
      </w:r>
      <w:r w:rsidR="00E84246" w:rsidRPr="0055512B">
        <w:rPr>
          <w:rFonts w:ascii="Times New Roman" w:eastAsia="Arial" w:hAnsi="Times New Roman" w:cs="Times New Roman"/>
        </w:rPr>
        <w:t>s</w:t>
      </w:r>
      <w:r w:rsidR="009D25D7" w:rsidRPr="0055512B">
        <w:rPr>
          <w:rFonts w:ascii="Times New Roman" w:eastAsia="Arial" w:hAnsi="Times New Roman" w:cs="Times New Roman"/>
        </w:rPr>
        <w:t xml:space="preserve"> des bénéficiaires de </w:t>
      </w:r>
      <w:r w:rsidR="009D25D7" w:rsidRPr="005B0BBD">
        <w:rPr>
          <w:rFonts w:ascii="Times New Roman" w:eastAsia="Arial" w:hAnsi="Times New Roman" w:cs="Times New Roman"/>
        </w:rPr>
        <w:t>chaque</w:t>
      </w:r>
      <w:r w:rsidR="00DE2E1C" w:rsidRPr="005B0BBD">
        <w:rPr>
          <w:rFonts w:ascii="Times New Roman" w:eastAsia="Arial" w:hAnsi="Times New Roman" w:cs="Times New Roman"/>
        </w:rPr>
        <w:t xml:space="preserve"> programme</w:t>
      </w:r>
      <w:r w:rsidR="00DE2E1C" w:rsidRPr="0055512B">
        <w:rPr>
          <w:rFonts w:ascii="Times New Roman" w:eastAsia="Arial" w:hAnsi="Times New Roman" w:cs="Times New Roman"/>
        </w:rPr>
        <w:t>;</w:t>
      </w:r>
    </w:p>
    <w:p w14:paraId="10BB51A3" w14:textId="215DF49B" w:rsidR="00AF56F0" w:rsidRPr="0055512B" w:rsidRDefault="00DE2E1C" w:rsidP="00AF56F0">
      <w:pPr>
        <w:numPr>
          <w:ilvl w:val="0"/>
          <w:numId w:val="18"/>
        </w:numPr>
        <w:tabs>
          <w:tab w:val="left" w:pos="624"/>
        </w:tabs>
        <w:spacing w:line="276" w:lineRule="auto"/>
        <w:ind w:left="630" w:hanging="477"/>
        <w:jc w:val="both"/>
        <w:rPr>
          <w:rFonts w:ascii="Times New Roman" w:eastAsia="Arial" w:hAnsi="Times New Roman" w:cs="Times New Roman"/>
        </w:rPr>
      </w:pPr>
      <w:r w:rsidRPr="0055512B">
        <w:rPr>
          <w:rFonts w:ascii="Times New Roman" w:eastAsia="Arial" w:hAnsi="Times New Roman" w:cs="Times New Roman"/>
        </w:rPr>
        <w:t xml:space="preserve">Des études environnementales et socio-économiques qui </w:t>
      </w:r>
      <w:r w:rsidR="009D25D7" w:rsidRPr="0055512B">
        <w:rPr>
          <w:rFonts w:ascii="Times New Roman" w:eastAsia="Arial" w:hAnsi="Times New Roman" w:cs="Times New Roman"/>
        </w:rPr>
        <w:t>devront se faire tout au long des</w:t>
      </w:r>
      <w:r w:rsidRPr="0055512B">
        <w:rPr>
          <w:rFonts w:ascii="Times New Roman" w:eastAsia="Arial" w:hAnsi="Times New Roman" w:cs="Times New Roman"/>
        </w:rPr>
        <w:t xml:space="preserve"> programme</w:t>
      </w:r>
      <w:r w:rsidR="009D25D7" w:rsidRPr="0055512B">
        <w:rPr>
          <w:rFonts w:ascii="Times New Roman" w:eastAsia="Arial" w:hAnsi="Times New Roman" w:cs="Times New Roman"/>
        </w:rPr>
        <w:t>s</w:t>
      </w:r>
      <w:r w:rsidRPr="0055512B">
        <w:rPr>
          <w:rFonts w:ascii="Times New Roman" w:eastAsia="Arial" w:hAnsi="Times New Roman" w:cs="Times New Roman"/>
        </w:rPr>
        <w:t xml:space="preserve"> et qui comprendront des évaluations e</w:t>
      </w:r>
      <w:r w:rsidR="00E84246" w:rsidRPr="0055512B">
        <w:rPr>
          <w:rFonts w:ascii="Times New Roman" w:eastAsia="Arial" w:hAnsi="Times New Roman" w:cs="Times New Roman"/>
        </w:rPr>
        <w:t xml:space="preserve">nvironnementales </w:t>
      </w:r>
      <w:r w:rsidR="008255A6" w:rsidRPr="0055512B">
        <w:rPr>
          <w:rFonts w:ascii="Times New Roman" w:eastAsia="Arial" w:hAnsi="Times New Roman" w:cs="Times New Roman"/>
        </w:rPr>
        <w:t xml:space="preserve">et sociales (EAS) des projets </w:t>
      </w:r>
      <w:r w:rsidRPr="0055512B">
        <w:rPr>
          <w:rFonts w:ascii="Times New Roman" w:eastAsia="Arial" w:hAnsi="Times New Roman" w:cs="Times New Roman"/>
        </w:rPr>
        <w:t>à être</w:t>
      </w:r>
      <w:r w:rsidR="008255A6" w:rsidRPr="0055512B">
        <w:rPr>
          <w:rFonts w:ascii="Times New Roman" w:eastAsia="Arial" w:hAnsi="Times New Roman" w:cs="Times New Roman"/>
        </w:rPr>
        <w:t xml:space="preserve"> financés par les programmes</w:t>
      </w:r>
      <w:r w:rsidR="00CD6D66" w:rsidRPr="0055512B">
        <w:rPr>
          <w:rFonts w:ascii="Times New Roman" w:eastAsia="Arial" w:hAnsi="Times New Roman" w:cs="Times New Roman"/>
        </w:rPr>
        <w:t>, avec leurs  PGAS</w:t>
      </w:r>
      <w:r w:rsidR="00904CF7" w:rsidRPr="0055512B">
        <w:rPr>
          <w:rFonts w:ascii="Times New Roman" w:eastAsia="Arial" w:hAnsi="Times New Roman" w:cs="Times New Roman"/>
        </w:rPr>
        <w:t xml:space="preserve"> respectifs</w:t>
      </w:r>
      <w:r w:rsidR="00CD6D66" w:rsidRPr="0055512B">
        <w:rPr>
          <w:rFonts w:ascii="Times New Roman" w:eastAsia="Arial" w:hAnsi="Times New Roman" w:cs="Times New Roman"/>
        </w:rPr>
        <w:t xml:space="preserve">, études de désastres naturels et </w:t>
      </w:r>
      <w:r w:rsidR="00CD6D66" w:rsidRPr="0055512B">
        <w:rPr>
          <w:rFonts w:ascii="Times New Roman" w:hAnsi="Times New Roman" w:cs="Times New Roman"/>
          <w:color w:val="212121"/>
        </w:rPr>
        <w:t>plans de gestion des risques de catastrophes naturels</w:t>
      </w:r>
      <w:r w:rsidR="00CD6D66" w:rsidRPr="0055512B">
        <w:rPr>
          <w:rStyle w:val="FootnoteReference"/>
          <w:rFonts w:ascii="Times New Roman" w:hAnsi="Times New Roman" w:cs="Times New Roman"/>
          <w:color w:val="212121"/>
        </w:rPr>
        <w:footnoteReference w:id="6"/>
      </w:r>
      <w:r w:rsidR="00CD6D66" w:rsidRPr="0055512B">
        <w:rPr>
          <w:rFonts w:ascii="Times New Roman" w:hAnsi="Times New Roman" w:cs="Times New Roman"/>
          <w:color w:val="212121"/>
        </w:rPr>
        <w:t>, pour</w:t>
      </w:r>
      <w:r w:rsidR="00CD6D66" w:rsidRPr="0055512B">
        <w:rPr>
          <w:rFonts w:ascii="Times New Roman" w:eastAsia="Arial" w:hAnsi="Times New Roman" w:cs="Times New Roman"/>
        </w:rPr>
        <w:t xml:space="preserve"> chaque projet.</w:t>
      </w:r>
      <w:r w:rsidR="008255A6" w:rsidRPr="0055512B">
        <w:rPr>
          <w:rFonts w:ascii="Times New Roman" w:eastAsia="Arial" w:hAnsi="Times New Roman" w:cs="Times New Roman"/>
        </w:rPr>
        <w:t xml:space="preserve"> </w:t>
      </w:r>
      <w:r w:rsidRPr="0055512B">
        <w:rPr>
          <w:rFonts w:ascii="Times New Roman" w:eastAsia="Arial" w:hAnsi="Times New Roman" w:cs="Times New Roman"/>
        </w:rPr>
        <w:t xml:space="preserve"> </w:t>
      </w:r>
    </w:p>
    <w:p w14:paraId="7D379182" w14:textId="77777777" w:rsidR="00AF56F0" w:rsidRPr="0055512B" w:rsidRDefault="00AF56F0" w:rsidP="00904CF7">
      <w:pPr>
        <w:pStyle w:val="HTMLPreformatted"/>
        <w:numPr>
          <w:ilvl w:val="0"/>
          <w:numId w:val="18"/>
        </w:numPr>
        <w:shd w:val="clear" w:color="auto" w:fill="FFFFFF"/>
        <w:tabs>
          <w:tab w:val="clear" w:pos="916"/>
          <w:tab w:val="left" w:pos="630"/>
        </w:tabs>
        <w:ind w:left="630" w:hanging="450"/>
        <w:rPr>
          <w:rFonts w:ascii="Times New Roman" w:hAnsi="Times New Roman" w:cs="Times New Roman"/>
          <w:color w:val="212121"/>
          <w:sz w:val="24"/>
          <w:szCs w:val="24"/>
          <w:lang w:val="fr-FR"/>
        </w:rPr>
      </w:pPr>
      <w:r w:rsidRPr="0055512B">
        <w:rPr>
          <w:rFonts w:ascii="Times New Roman" w:hAnsi="Times New Roman" w:cs="Times New Roman"/>
          <w:color w:val="212121"/>
          <w:sz w:val="24"/>
          <w:szCs w:val="24"/>
          <w:lang w:val="fr-FR"/>
        </w:rPr>
        <w:t>Un plan de gestion des risques de catastrophe doit être élaboré et approuvé par la BID avant le début des travaux à Artibonite</w:t>
      </w:r>
    </w:p>
    <w:p w14:paraId="4E249258" w14:textId="77777777" w:rsidR="00DE2E1C" w:rsidRPr="0055512B" w:rsidRDefault="00DE2E1C" w:rsidP="007577F9">
      <w:pPr>
        <w:spacing w:line="276" w:lineRule="auto"/>
        <w:jc w:val="both"/>
        <w:rPr>
          <w:rFonts w:ascii="Times New Roman" w:eastAsia="Times New Roman" w:hAnsi="Times New Roman" w:cs="Times New Roman"/>
          <w:sz w:val="22"/>
          <w:szCs w:val="22"/>
        </w:rPr>
      </w:pPr>
    </w:p>
    <w:p w14:paraId="6C0F2244" w14:textId="77777777" w:rsidR="00DE2E1C" w:rsidRPr="0055512B" w:rsidRDefault="00B95F25" w:rsidP="007577F9">
      <w:pPr>
        <w:spacing w:line="276" w:lineRule="auto"/>
        <w:jc w:val="both"/>
        <w:rPr>
          <w:rFonts w:eastAsia="Arial"/>
        </w:rPr>
      </w:pPr>
      <w:r w:rsidRPr="0055512B">
        <w:rPr>
          <w:rFonts w:eastAsia="Arial"/>
        </w:rPr>
        <w:t>Le suivi de chaque programme</w:t>
      </w:r>
      <w:r w:rsidRPr="0055512B">
        <w:rPr>
          <w:rFonts w:eastAsia="Arial"/>
          <w:u w:val="single"/>
        </w:rPr>
        <w:t xml:space="preserve"> </w:t>
      </w:r>
      <w:r w:rsidR="00DE2E1C" w:rsidRPr="0055512B">
        <w:rPr>
          <w:rFonts w:eastAsia="Arial"/>
        </w:rPr>
        <w:t>aura comme base le Plan d´Opération Annuel (POA) et la m</w:t>
      </w:r>
      <w:r w:rsidRPr="0055512B">
        <w:rPr>
          <w:rFonts w:eastAsia="Arial"/>
        </w:rPr>
        <w:t xml:space="preserve">atrice de résultats. </w:t>
      </w:r>
    </w:p>
    <w:p w14:paraId="44D1C260" w14:textId="65A04CD9" w:rsidR="001156FB" w:rsidRPr="0055512B" w:rsidRDefault="001156FB" w:rsidP="007577F9">
      <w:pPr>
        <w:spacing w:line="276" w:lineRule="auto"/>
        <w:jc w:val="both"/>
        <w:rPr>
          <w:rFonts w:eastAsia="Times New Roman"/>
        </w:rPr>
      </w:pPr>
    </w:p>
    <w:p w14:paraId="3E1AADA6" w14:textId="77777777" w:rsidR="00DE2E1C" w:rsidRPr="0055512B" w:rsidRDefault="00DE2E1C" w:rsidP="007577F9">
      <w:pPr>
        <w:pStyle w:val="ListParagraph"/>
        <w:numPr>
          <w:ilvl w:val="1"/>
          <w:numId w:val="7"/>
        </w:numPr>
        <w:tabs>
          <w:tab w:val="left" w:pos="720"/>
        </w:tabs>
        <w:spacing w:line="276" w:lineRule="auto"/>
        <w:jc w:val="both"/>
        <w:rPr>
          <w:rFonts w:eastAsia="Arial"/>
          <w:b/>
        </w:rPr>
      </w:pPr>
      <w:r w:rsidRPr="0055512B">
        <w:rPr>
          <w:rFonts w:eastAsia="Arial"/>
          <w:b/>
        </w:rPr>
        <w:t>Rapports externes</w:t>
      </w:r>
    </w:p>
    <w:p w14:paraId="20848BCE" w14:textId="77777777" w:rsidR="00DE2E1C" w:rsidRPr="0055512B" w:rsidRDefault="00DE2E1C" w:rsidP="007577F9">
      <w:pPr>
        <w:spacing w:line="276" w:lineRule="auto"/>
        <w:jc w:val="both"/>
        <w:rPr>
          <w:rFonts w:eastAsia="Times New Roman"/>
        </w:rPr>
      </w:pPr>
    </w:p>
    <w:p w14:paraId="17F410CA" w14:textId="77777777" w:rsidR="00DE2E1C" w:rsidRPr="0055512B" w:rsidRDefault="00DE2E1C" w:rsidP="007577F9">
      <w:pPr>
        <w:spacing w:line="276" w:lineRule="auto"/>
        <w:jc w:val="both"/>
        <w:rPr>
          <w:rFonts w:eastAsia="Arial"/>
        </w:rPr>
      </w:pPr>
      <w:r w:rsidRPr="0055512B">
        <w:rPr>
          <w:rFonts w:eastAsia="Arial"/>
        </w:rPr>
        <w:t>La DINEPA, conformément aux engagements pris dans le</w:t>
      </w:r>
      <w:r w:rsidR="001156FB" w:rsidRPr="0055512B">
        <w:rPr>
          <w:rFonts w:eastAsia="Arial"/>
        </w:rPr>
        <w:t>s</w:t>
      </w:r>
      <w:r w:rsidRPr="0055512B">
        <w:rPr>
          <w:rFonts w:eastAsia="Arial"/>
        </w:rPr>
        <w:t xml:space="preserve"> contrat</w:t>
      </w:r>
      <w:r w:rsidR="001156FB" w:rsidRPr="0055512B">
        <w:rPr>
          <w:rFonts w:eastAsia="Arial"/>
        </w:rPr>
        <w:t>s</w:t>
      </w:r>
      <w:r w:rsidRPr="0055512B">
        <w:rPr>
          <w:rFonts w:eastAsia="Arial"/>
        </w:rPr>
        <w:t xml:space="preserve"> de don, soumettra pour non-objec</w:t>
      </w:r>
      <w:r w:rsidR="001156FB" w:rsidRPr="0055512B">
        <w:rPr>
          <w:rFonts w:eastAsia="Arial"/>
        </w:rPr>
        <w:t xml:space="preserve">tion de la Banque </w:t>
      </w:r>
      <w:r w:rsidRPr="0055512B">
        <w:rPr>
          <w:rFonts w:eastAsia="Arial"/>
        </w:rPr>
        <w:t>:</w:t>
      </w:r>
    </w:p>
    <w:p w14:paraId="0934DCA5" w14:textId="77777777" w:rsidR="00DE2E1C" w:rsidRPr="0055512B" w:rsidRDefault="00DE2E1C" w:rsidP="007577F9">
      <w:pPr>
        <w:spacing w:line="276" w:lineRule="auto"/>
        <w:jc w:val="both"/>
        <w:rPr>
          <w:rFonts w:eastAsia="Times New Roman"/>
        </w:rPr>
      </w:pPr>
    </w:p>
    <w:p w14:paraId="4C014F74" w14:textId="77777777" w:rsidR="00DE2E1C" w:rsidRPr="0055512B" w:rsidRDefault="00B95F25" w:rsidP="007577F9">
      <w:pPr>
        <w:spacing w:line="276" w:lineRule="auto"/>
        <w:jc w:val="both"/>
        <w:rPr>
          <w:rFonts w:eastAsia="Arial"/>
        </w:rPr>
      </w:pPr>
      <w:r w:rsidRPr="0055512B">
        <w:rPr>
          <w:rFonts w:eastAsia="Arial"/>
          <w:i/>
          <w:u w:val="single"/>
        </w:rPr>
        <w:t xml:space="preserve">a. </w:t>
      </w:r>
      <w:r w:rsidR="00DE2E1C" w:rsidRPr="0055512B">
        <w:rPr>
          <w:rFonts w:eastAsia="Arial"/>
          <w:i/>
          <w:u w:val="single"/>
        </w:rPr>
        <w:t>Un rapport d'activités semestriel</w:t>
      </w:r>
      <w:r w:rsidR="00DE2E1C" w:rsidRPr="0055512B">
        <w:rPr>
          <w:rFonts w:eastAsia="Arial"/>
        </w:rPr>
        <w:t>, dans les 60 jours suivant la fin de chaque semestre, soit le 28</w:t>
      </w:r>
      <w:r w:rsidR="00DE2E1C" w:rsidRPr="0055512B">
        <w:rPr>
          <w:rFonts w:eastAsia="Arial"/>
          <w:i/>
        </w:rPr>
        <w:t xml:space="preserve"> </w:t>
      </w:r>
      <w:r w:rsidR="00DE2E1C" w:rsidRPr="0055512B">
        <w:rPr>
          <w:rFonts w:eastAsia="Arial"/>
        </w:rPr>
        <w:t>février et le 31 août de chaque année au plus tard, qui compren</w:t>
      </w:r>
      <w:r w:rsidR="001156FB" w:rsidRPr="0055512B">
        <w:rPr>
          <w:rFonts w:eastAsia="Arial"/>
        </w:rPr>
        <w:t>dra au moins les informations d’</w:t>
      </w:r>
      <w:r w:rsidR="00DE2E1C" w:rsidRPr="0055512B">
        <w:rPr>
          <w:rFonts w:eastAsia="Arial"/>
        </w:rPr>
        <w:t>avancement suivantes :</w:t>
      </w:r>
    </w:p>
    <w:p w14:paraId="6951E0BE" w14:textId="77777777" w:rsidR="00DE2E1C" w:rsidRPr="0055512B" w:rsidRDefault="001156FB" w:rsidP="007577F9">
      <w:pPr>
        <w:numPr>
          <w:ilvl w:val="0"/>
          <w:numId w:val="19"/>
        </w:numPr>
        <w:tabs>
          <w:tab w:val="left" w:pos="621"/>
        </w:tabs>
        <w:spacing w:line="276" w:lineRule="auto"/>
        <w:ind w:left="720" w:hanging="360"/>
        <w:jc w:val="both"/>
        <w:rPr>
          <w:rFonts w:eastAsia="Symbol"/>
        </w:rPr>
      </w:pPr>
      <w:r w:rsidRPr="0055512B">
        <w:rPr>
          <w:rFonts w:eastAsia="Arial"/>
        </w:rPr>
        <w:t>état d’</w:t>
      </w:r>
      <w:r w:rsidR="00DE2E1C" w:rsidRPr="0055512B">
        <w:rPr>
          <w:rFonts w:eastAsia="Arial"/>
        </w:rPr>
        <w:t>exécution et avancement en termes de résultats intermédiaires et objectifs finaux pour chacune des composantes;</w:t>
      </w:r>
    </w:p>
    <w:p w14:paraId="0527BD6E" w14:textId="77777777" w:rsidR="00DE2E1C" w:rsidRPr="0055512B" w:rsidRDefault="00DE2E1C" w:rsidP="002E5BE9">
      <w:pPr>
        <w:numPr>
          <w:ilvl w:val="0"/>
          <w:numId w:val="19"/>
        </w:numPr>
        <w:tabs>
          <w:tab w:val="left" w:pos="621"/>
        </w:tabs>
        <w:spacing w:line="276" w:lineRule="auto"/>
        <w:ind w:left="720" w:hanging="360"/>
        <w:rPr>
          <w:rFonts w:eastAsia="Symbol"/>
        </w:rPr>
      </w:pPr>
      <w:r w:rsidRPr="0055512B">
        <w:rPr>
          <w:rFonts w:eastAsia="Arial"/>
        </w:rPr>
        <w:t>comparaison entre activités programmées et activités réalisées, lesquelles devront être décrites en détail ;</w:t>
      </w:r>
    </w:p>
    <w:p w14:paraId="609AE7B8" w14:textId="77777777" w:rsidR="00DE2E1C" w:rsidRPr="0055512B" w:rsidRDefault="00DE2E1C" w:rsidP="002E5BE9">
      <w:pPr>
        <w:numPr>
          <w:ilvl w:val="0"/>
          <w:numId w:val="19"/>
        </w:numPr>
        <w:tabs>
          <w:tab w:val="left" w:pos="620"/>
        </w:tabs>
        <w:spacing w:line="276" w:lineRule="auto"/>
        <w:ind w:left="720" w:hanging="360"/>
        <w:rPr>
          <w:rFonts w:eastAsia="Symbol"/>
        </w:rPr>
      </w:pPr>
      <w:r w:rsidRPr="0055512B">
        <w:rPr>
          <w:rFonts w:eastAsia="Arial"/>
        </w:rPr>
        <w:t>rapport de supervision des travaux de chacune des sous-composantes ;</w:t>
      </w:r>
    </w:p>
    <w:p w14:paraId="31B877FA" w14:textId="77777777" w:rsidR="00DE2E1C" w:rsidRPr="0055512B" w:rsidRDefault="00DE2E1C" w:rsidP="002E5BE9">
      <w:pPr>
        <w:numPr>
          <w:ilvl w:val="0"/>
          <w:numId w:val="20"/>
        </w:numPr>
        <w:tabs>
          <w:tab w:val="left" w:pos="620"/>
        </w:tabs>
        <w:spacing w:line="276" w:lineRule="auto"/>
        <w:ind w:left="720" w:hanging="360"/>
        <w:rPr>
          <w:rFonts w:eastAsia="Symbol"/>
        </w:rPr>
      </w:pPr>
      <w:r w:rsidRPr="0055512B">
        <w:rPr>
          <w:rFonts w:eastAsia="Arial"/>
        </w:rPr>
        <w:t>indicateurs de résultats ;</w:t>
      </w:r>
    </w:p>
    <w:p w14:paraId="0CDF8E83" w14:textId="77777777" w:rsidR="00DE2E1C" w:rsidRPr="0055512B" w:rsidRDefault="00E84246" w:rsidP="002E5BE9">
      <w:pPr>
        <w:numPr>
          <w:ilvl w:val="0"/>
          <w:numId w:val="20"/>
        </w:numPr>
        <w:tabs>
          <w:tab w:val="left" w:pos="620"/>
        </w:tabs>
        <w:spacing w:line="276" w:lineRule="auto"/>
        <w:ind w:left="720" w:hanging="360"/>
        <w:rPr>
          <w:rFonts w:eastAsia="Symbol"/>
        </w:rPr>
      </w:pPr>
      <w:r w:rsidRPr="0055512B">
        <w:rPr>
          <w:rFonts w:eastAsia="Arial"/>
        </w:rPr>
        <w:lastRenderedPageBreak/>
        <w:t>rapport d’</w:t>
      </w:r>
      <w:r w:rsidR="00DE2E1C" w:rsidRPr="0055512B">
        <w:rPr>
          <w:rFonts w:eastAsia="Arial"/>
        </w:rPr>
        <w:t>activités et ré</w:t>
      </w:r>
      <w:r w:rsidRPr="0055512B">
        <w:rPr>
          <w:rFonts w:eastAsia="Arial"/>
        </w:rPr>
        <w:t>sultats de l’Organisme d’</w:t>
      </w:r>
      <w:r w:rsidR="00DE2E1C" w:rsidRPr="0055512B">
        <w:rPr>
          <w:rFonts w:eastAsia="Arial"/>
        </w:rPr>
        <w:t>Exécution</w:t>
      </w:r>
    </w:p>
    <w:p w14:paraId="776ADF26" w14:textId="77777777" w:rsidR="00DE2E1C" w:rsidRPr="0055512B" w:rsidRDefault="00DE2E1C" w:rsidP="002E5BE9">
      <w:pPr>
        <w:numPr>
          <w:ilvl w:val="0"/>
          <w:numId w:val="20"/>
        </w:numPr>
        <w:tabs>
          <w:tab w:val="left" w:pos="620"/>
        </w:tabs>
        <w:spacing w:line="276" w:lineRule="auto"/>
        <w:ind w:left="720" w:hanging="360"/>
        <w:rPr>
          <w:rFonts w:eastAsia="Symbol"/>
        </w:rPr>
      </w:pPr>
      <w:r w:rsidRPr="0055512B">
        <w:rPr>
          <w:rFonts w:eastAsia="Arial"/>
        </w:rPr>
        <w:t>difficultés rencontrées et solutions trouvées ;</w:t>
      </w:r>
    </w:p>
    <w:p w14:paraId="59FFB169" w14:textId="77777777" w:rsidR="00DE2E1C" w:rsidRPr="0055512B" w:rsidRDefault="00DE2E1C" w:rsidP="002E5BE9">
      <w:pPr>
        <w:numPr>
          <w:ilvl w:val="0"/>
          <w:numId w:val="20"/>
        </w:numPr>
        <w:tabs>
          <w:tab w:val="left" w:pos="621"/>
        </w:tabs>
        <w:spacing w:line="276" w:lineRule="auto"/>
        <w:ind w:left="720" w:hanging="360"/>
        <w:rPr>
          <w:rFonts w:eastAsia="Symbol"/>
        </w:rPr>
      </w:pPr>
      <w:r w:rsidRPr="0055512B">
        <w:rPr>
          <w:rFonts w:eastAsia="Arial"/>
        </w:rPr>
        <w:t>analyse de la perspective d'atteindre le</w:t>
      </w:r>
      <w:r w:rsidR="001156FB" w:rsidRPr="0055512B">
        <w:rPr>
          <w:rFonts w:eastAsia="Arial"/>
        </w:rPr>
        <w:t>s objectifs du programme, par l’</w:t>
      </w:r>
      <w:r w:rsidRPr="0055512B">
        <w:rPr>
          <w:rFonts w:eastAsia="Arial"/>
        </w:rPr>
        <w:t xml:space="preserve">évaluation des indicateurs de performance établis dans la matrice de résultats ; si des retards substantiels apparaissent </w:t>
      </w:r>
      <w:r w:rsidR="00A8694B" w:rsidRPr="0055512B">
        <w:rPr>
          <w:rFonts w:eastAsia="Arial"/>
        </w:rPr>
        <w:t>ou risquent d'apparaître dans l’</w:t>
      </w:r>
      <w:r w:rsidRPr="0055512B">
        <w:rPr>
          <w:rFonts w:eastAsia="Arial"/>
        </w:rPr>
        <w:t>exécution du programme, les causes devront en être expliquées, ainsi que les moyens envisagés pour leur résolution;</w:t>
      </w:r>
    </w:p>
    <w:p w14:paraId="4145E5AE" w14:textId="77777777" w:rsidR="00DE2E1C" w:rsidRPr="0055512B" w:rsidRDefault="00DE2E1C" w:rsidP="002E5BE9">
      <w:pPr>
        <w:numPr>
          <w:ilvl w:val="0"/>
          <w:numId w:val="20"/>
        </w:numPr>
        <w:tabs>
          <w:tab w:val="left" w:pos="621"/>
        </w:tabs>
        <w:spacing w:line="276" w:lineRule="auto"/>
        <w:ind w:left="720" w:hanging="360"/>
        <w:rPr>
          <w:rFonts w:eastAsia="Symbol"/>
        </w:rPr>
      </w:pPr>
      <w:r w:rsidRPr="0055512B">
        <w:rPr>
          <w:rFonts w:eastAsia="Arial"/>
        </w:rPr>
        <w:t>situat</w:t>
      </w:r>
      <w:r w:rsidR="00E84246" w:rsidRPr="0055512B">
        <w:rPr>
          <w:rFonts w:eastAsia="Arial"/>
        </w:rPr>
        <w:t>ion financière du pro</w:t>
      </w:r>
      <w:r w:rsidR="00A8694B" w:rsidRPr="0055512B">
        <w:rPr>
          <w:rFonts w:eastAsia="Arial"/>
        </w:rPr>
        <w:t>gramme :</w:t>
      </w:r>
      <w:r w:rsidR="00E84246" w:rsidRPr="0055512B">
        <w:rPr>
          <w:rFonts w:eastAsia="Arial"/>
        </w:rPr>
        <w:t xml:space="preserve"> l’</w:t>
      </w:r>
      <w:r w:rsidRPr="0055512B">
        <w:rPr>
          <w:rFonts w:eastAsia="Arial"/>
        </w:rPr>
        <w:t>information devra inclure des données sur les décaissements réalisés durant le semestre (nombre et montants totaux), le tableau consolidé du budget en vigueur et les investisse</w:t>
      </w:r>
      <w:r w:rsidR="00E84246" w:rsidRPr="0055512B">
        <w:rPr>
          <w:rFonts w:eastAsia="Arial"/>
        </w:rPr>
        <w:t>ments réalisés, par catégorie d’</w:t>
      </w:r>
      <w:r w:rsidRPr="0055512B">
        <w:rPr>
          <w:rFonts w:eastAsia="Arial"/>
        </w:rPr>
        <w:t>investissement, ainsi que les investissements qui seront réalisés au cours du semestre suivant;</w:t>
      </w:r>
    </w:p>
    <w:p w14:paraId="31892A90" w14:textId="77777777" w:rsidR="00DE2E1C" w:rsidRPr="0055512B" w:rsidRDefault="00DE2E1C" w:rsidP="002E5BE9">
      <w:pPr>
        <w:numPr>
          <w:ilvl w:val="0"/>
          <w:numId w:val="20"/>
        </w:numPr>
        <w:tabs>
          <w:tab w:val="left" w:pos="620"/>
        </w:tabs>
        <w:spacing w:line="276" w:lineRule="auto"/>
        <w:ind w:left="720" w:hanging="360"/>
        <w:rPr>
          <w:rFonts w:eastAsia="Symbol"/>
        </w:rPr>
      </w:pPr>
      <w:r w:rsidRPr="0055512B">
        <w:rPr>
          <w:rFonts w:eastAsia="Arial"/>
        </w:rPr>
        <w:t>les questions d'ordre administratif, si nécessaire ;</w:t>
      </w:r>
    </w:p>
    <w:p w14:paraId="7632B4CB" w14:textId="77777777" w:rsidR="00DE2E1C" w:rsidRPr="0055512B" w:rsidRDefault="00DE2E1C" w:rsidP="002E5BE9">
      <w:pPr>
        <w:numPr>
          <w:ilvl w:val="0"/>
          <w:numId w:val="20"/>
        </w:numPr>
        <w:tabs>
          <w:tab w:val="left" w:pos="620"/>
        </w:tabs>
        <w:spacing w:line="276" w:lineRule="auto"/>
        <w:ind w:left="720" w:hanging="360"/>
        <w:rPr>
          <w:rFonts w:eastAsia="Symbol"/>
        </w:rPr>
      </w:pPr>
      <w:r w:rsidRPr="0055512B">
        <w:rPr>
          <w:rFonts w:eastAsia="Arial"/>
        </w:rPr>
        <w:t>état des procédures de recrutement,</w:t>
      </w:r>
    </w:p>
    <w:p w14:paraId="124ED1D3" w14:textId="77777777" w:rsidR="00DE2E1C" w:rsidRPr="0055512B" w:rsidRDefault="00A8694B" w:rsidP="002E5BE9">
      <w:pPr>
        <w:numPr>
          <w:ilvl w:val="0"/>
          <w:numId w:val="20"/>
        </w:numPr>
        <w:tabs>
          <w:tab w:val="left" w:pos="620"/>
        </w:tabs>
        <w:spacing w:line="276" w:lineRule="auto"/>
        <w:ind w:left="720" w:hanging="360"/>
        <w:rPr>
          <w:rFonts w:eastAsia="Symbol"/>
        </w:rPr>
      </w:pPr>
      <w:r w:rsidRPr="0055512B">
        <w:rPr>
          <w:rFonts w:eastAsia="Arial"/>
        </w:rPr>
        <w:t>état des procédures d’</w:t>
      </w:r>
      <w:r w:rsidR="00DE2E1C" w:rsidRPr="0055512B">
        <w:rPr>
          <w:rFonts w:eastAsia="Arial"/>
        </w:rPr>
        <w:t>acquisition de biens et de services,</w:t>
      </w:r>
    </w:p>
    <w:p w14:paraId="74D44BB7" w14:textId="77777777" w:rsidR="00DE2E1C" w:rsidRPr="0055512B" w:rsidRDefault="00DE2E1C" w:rsidP="002E5BE9">
      <w:pPr>
        <w:numPr>
          <w:ilvl w:val="0"/>
          <w:numId w:val="20"/>
        </w:numPr>
        <w:tabs>
          <w:tab w:val="left" w:pos="620"/>
        </w:tabs>
        <w:spacing w:line="276" w:lineRule="auto"/>
        <w:ind w:left="720" w:hanging="360"/>
        <w:rPr>
          <w:rFonts w:eastAsia="Symbol"/>
        </w:rPr>
      </w:pPr>
      <w:r w:rsidRPr="0055512B">
        <w:rPr>
          <w:rFonts w:eastAsia="Arial"/>
        </w:rPr>
        <w:t>rapport sur la supervision des travaux réal</w:t>
      </w:r>
      <w:r w:rsidR="00A8694B" w:rsidRPr="0055512B">
        <w:rPr>
          <w:rFonts w:eastAsia="Arial"/>
        </w:rPr>
        <w:t>isés dans chacun des contrats d’</w:t>
      </w:r>
      <w:r w:rsidRPr="0055512B">
        <w:rPr>
          <w:rFonts w:eastAsia="Arial"/>
        </w:rPr>
        <w:t>installation</w:t>
      </w:r>
    </w:p>
    <w:p w14:paraId="0F6990F0" w14:textId="77777777" w:rsidR="007B7645" w:rsidRPr="0055512B" w:rsidRDefault="007B7645" w:rsidP="00904CF7">
      <w:pPr>
        <w:numPr>
          <w:ilvl w:val="0"/>
          <w:numId w:val="20"/>
        </w:numPr>
        <w:tabs>
          <w:tab w:val="left" w:pos="630"/>
        </w:tabs>
        <w:spacing w:line="276" w:lineRule="auto"/>
        <w:ind w:left="720" w:hanging="360"/>
        <w:rPr>
          <w:rFonts w:ascii="Times New Roman" w:eastAsia="Arial" w:hAnsi="Times New Roman" w:cs="Times New Roman"/>
        </w:rPr>
      </w:pPr>
      <w:r w:rsidRPr="0055512B">
        <w:rPr>
          <w:rFonts w:ascii="Times New Roman" w:eastAsia="Arial" w:hAnsi="Times New Roman" w:cs="Times New Roman"/>
        </w:rPr>
        <w:t xml:space="preserve">état de la gestion environnementale et sociale du Programme, telles que </w:t>
      </w:r>
      <w:r w:rsidR="000B1994" w:rsidRPr="0055512B">
        <w:rPr>
          <w:rFonts w:ascii="Times New Roman" w:eastAsia="Arial" w:hAnsi="Times New Roman" w:cs="Times New Roman"/>
        </w:rPr>
        <w:t xml:space="preserve">rapportées par </w:t>
      </w:r>
      <w:r w:rsidR="00830723" w:rsidRPr="0055512B">
        <w:rPr>
          <w:rFonts w:ascii="Times New Roman" w:eastAsia="Arial" w:hAnsi="Times New Roman" w:cs="Times New Roman"/>
        </w:rPr>
        <w:t xml:space="preserve">le/la spécialiste environnementale et sociale </w:t>
      </w:r>
      <w:r w:rsidR="000B1994" w:rsidRPr="0055512B">
        <w:rPr>
          <w:rFonts w:ascii="Times New Roman" w:eastAsia="Arial" w:hAnsi="Times New Roman" w:cs="Times New Roman"/>
        </w:rPr>
        <w:t xml:space="preserve">sur </w:t>
      </w:r>
      <w:r w:rsidRPr="0055512B">
        <w:rPr>
          <w:rFonts w:ascii="Times New Roman" w:eastAsia="Arial" w:hAnsi="Times New Roman" w:cs="Times New Roman"/>
        </w:rPr>
        <w:t xml:space="preserve">les activités d’engagement des parties prenantes, les études d’évaluation environnementale et sociale préparées, les consultations avec les personnes affectées, </w:t>
      </w:r>
      <w:bookmarkStart w:id="60" w:name="_Hlk491098096"/>
      <w:r w:rsidR="000B1994" w:rsidRPr="0055512B">
        <w:rPr>
          <w:rFonts w:ascii="Times New Roman" w:eastAsia="Arial" w:hAnsi="Times New Roman" w:cs="Times New Roman"/>
        </w:rPr>
        <w:t xml:space="preserve">les inspections de supervision </w:t>
      </w:r>
      <w:bookmarkEnd w:id="60"/>
      <w:r w:rsidR="000B1994" w:rsidRPr="0055512B">
        <w:rPr>
          <w:rFonts w:ascii="Times New Roman" w:eastAsia="Arial" w:hAnsi="Times New Roman" w:cs="Times New Roman"/>
        </w:rPr>
        <w:t xml:space="preserve">et </w:t>
      </w:r>
      <w:r w:rsidRPr="0055512B">
        <w:rPr>
          <w:rFonts w:ascii="Times New Roman" w:eastAsia="Arial" w:hAnsi="Times New Roman" w:cs="Times New Roman"/>
        </w:rPr>
        <w:t>la conformité des entreprises de construction aves le PGAS spécifique à chaque projet, la performance du mécanisme de gestion de griefs, etc. Ces informations devront être collectées et organisées par l’spécialiste environnementale et social de l’OREPA Ouest. (</w:t>
      </w:r>
      <w:r w:rsidR="000B1994" w:rsidRPr="0055512B">
        <w:rPr>
          <w:rFonts w:ascii="Times New Roman" w:eastAsia="Arial" w:hAnsi="Times New Roman" w:cs="Times New Roman"/>
        </w:rPr>
        <w:t>voir section 3.3.a</w:t>
      </w:r>
      <w:r w:rsidRPr="0055512B">
        <w:rPr>
          <w:rFonts w:ascii="Times New Roman" w:eastAsia="Arial" w:hAnsi="Times New Roman" w:cs="Times New Roman"/>
        </w:rPr>
        <w:t>)</w:t>
      </w:r>
    </w:p>
    <w:p w14:paraId="5FE9F890" w14:textId="77777777" w:rsidR="00DE2E1C" w:rsidRPr="0055512B" w:rsidRDefault="00DE2E1C" w:rsidP="007B7645">
      <w:pPr>
        <w:numPr>
          <w:ilvl w:val="0"/>
          <w:numId w:val="20"/>
        </w:numPr>
        <w:tabs>
          <w:tab w:val="left" w:pos="630"/>
        </w:tabs>
        <w:spacing w:line="276" w:lineRule="auto"/>
        <w:ind w:left="630" w:hanging="270"/>
        <w:rPr>
          <w:rFonts w:eastAsia="Symbol"/>
        </w:rPr>
      </w:pPr>
      <w:r w:rsidRPr="0055512B">
        <w:rPr>
          <w:rFonts w:eastAsia="Arial"/>
        </w:rPr>
        <w:t>tout autre point important et pertinent.</w:t>
      </w:r>
    </w:p>
    <w:p w14:paraId="2DF1A10D" w14:textId="77777777" w:rsidR="00DE2E1C" w:rsidRPr="0055512B" w:rsidRDefault="00DE2E1C" w:rsidP="001950BE">
      <w:pPr>
        <w:spacing w:line="276" w:lineRule="auto"/>
        <w:rPr>
          <w:rFonts w:ascii="Times New Roman" w:eastAsia="Times New Roman" w:hAnsi="Times New Roman" w:cs="Times New Roman"/>
        </w:rPr>
      </w:pPr>
    </w:p>
    <w:p w14:paraId="29BC496A" w14:textId="77777777" w:rsidR="00DE2E1C" w:rsidRPr="0055512B" w:rsidRDefault="00B95F25" w:rsidP="00904CF7">
      <w:pPr>
        <w:pStyle w:val="HTMLPreformatted"/>
        <w:shd w:val="clear" w:color="auto" w:fill="FFFFFF"/>
        <w:jc w:val="both"/>
        <w:rPr>
          <w:rFonts w:ascii="Times New Roman" w:eastAsia="Arial" w:hAnsi="Times New Roman" w:cs="Times New Roman"/>
          <w:lang w:val="fr-FR"/>
        </w:rPr>
      </w:pPr>
      <w:r w:rsidRPr="0055512B">
        <w:rPr>
          <w:rFonts w:ascii="Times New Roman" w:eastAsia="Arial" w:hAnsi="Times New Roman" w:cs="Times New Roman"/>
          <w:i/>
          <w:sz w:val="24"/>
          <w:szCs w:val="24"/>
          <w:u w:val="single"/>
          <w:lang w:val="fr-FR"/>
        </w:rPr>
        <w:t xml:space="preserve">b. </w:t>
      </w:r>
      <w:r w:rsidR="00DE2E1C" w:rsidRPr="0055512B">
        <w:rPr>
          <w:rFonts w:ascii="Times New Roman" w:eastAsia="Arial" w:hAnsi="Times New Roman" w:cs="Times New Roman"/>
          <w:i/>
          <w:sz w:val="24"/>
          <w:szCs w:val="24"/>
          <w:u w:val="single"/>
          <w:lang w:val="fr-FR"/>
        </w:rPr>
        <w:t>Un rapport semestriel sur l'état du fonds de roulement</w:t>
      </w:r>
      <w:r w:rsidR="00DE2E1C" w:rsidRPr="0055512B">
        <w:rPr>
          <w:rFonts w:ascii="Times New Roman" w:eastAsia="Arial" w:hAnsi="Times New Roman" w:cs="Times New Roman"/>
          <w:sz w:val="24"/>
          <w:szCs w:val="24"/>
          <w:lang w:val="fr-FR"/>
        </w:rPr>
        <w:t>, au plus tard le 28 février et le 31 août de</w:t>
      </w:r>
      <w:r w:rsidR="00DE2E1C" w:rsidRPr="0055512B">
        <w:rPr>
          <w:rFonts w:ascii="Times New Roman" w:eastAsia="Arial" w:hAnsi="Times New Roman" w:cs="Times New Roman"/>
          <w:i/>
          <w:sz w:val="24"/>
          <w:szCs w:val="24"/>
          <w:lang w:val="fr-FR"/>
        </w:rPr>
        <w:t xml:space="preserve"> </w:t>
      </w:r>
      <w:r w:rsidR="00DE2E1C" w:rsidRPr="0055512B">
        <w:rPr>
          <w:rFonts w:ascii="Times New Roman" w:eastAsia="Arial" w:hAnsi="Times New Roman" w:cs="Times New Roman"/>
          <w:sz w:val="24"/>
          <w:szCs w:val="24"/>
          <w:lang w:val="fr-FR"/>
        </w:rPr>
        <w:t>chaque année; la présentation de l'état du fonds de roulement s'effectuera sous le format standard de la Banque</w:t>
      </w:r>
      <w:r w:rsidR="007B7645" w:rsidRPr="0055512B">
        <w:rPr>
          <w:rFonts w:ascii="Times New Roman" w:eastAsia="Arial" w:hAnsi="Times New Roman" w:cs="Times New Roman"/>
          <w:sz w:val="24"/>
          <w:szCs w:val="24"/>
          <w:lang w:val="fr-FR"/>
        </w:rPr>
        <w:t xml:space="preserve">. </w:t>
      </w:r>
      <w:r w:rsidR="000820FC" w:rsidRPr="0055512B">
        <w:rPr>
          <w:rFonts w:ascii="Times New Roman" w:eastAsia="Arial" w:hAnsi="Times New Roman" w:cs="Times New Roman"/>
          <w:sz w:val="24"/>
          <w:szCs w:val="24"/>
          <w:lang w:val="fr-FR"/>
        </w:rPr>
        <w:t>La DINEPA</w:t>
      </w:r>
      <w:r w:rsidR="00DE2E1C" w:rsidRPr="0055512B">
        <w:rPr>
          <w:rFonts w:ascii="Times New Roman" w:eastAsia="Arial" w:hAnsi="Times New Roman" w:cs="Times New Roman"/>
          <w:sz w:val="24"/>
          <w:szCs w:val="24"/>
          <w:lang w:val="fr-FR"/>
        </w:rPr>
        <w:t xml:space="preserve"> </w:t>
      </w:r>
      <w:r w:rsidR="000820FC" w:rsidRPr="0055512B">
        <w:rPr>
          <w:rFonts w:ascii="Times New Roman" w:eastAsia="Arial" w:hAnsi="Times New Roman" w:cs="Times New Roman"/>
          <w:sz w:val="24"/>
          <w:szCs w:val="24"/>
          <w:lang w:val="fr-FR"/>
        </w:rPr>
        <w:t xml:space="preserve">et </w:t>
      </w:r>
      <w:r w:rsidR="00DE2E1C" w:rsidRPr="0055512B">
        <w:rPr>
          <w:rFonts w:ascii="Times New Roman" w:eastAsia="Arial" w:hAnsi="Times New Roman" w:cs="Times New Roman"/>
          <w:sz w:val="24"/>
          <w:szCs w:val="24"/>
          <w:lang w:val="fr-FR"/>
        </w:rPr>
        <w:t>la Ban</w:t>
      </w:r>
      <w:r w:rsidR="000820FC" w:rsidRPr="0055512B">
        <w:rPr>
          <w:rFonts w:ascii="Times New Roman" w:eastAsia="Arial" w:hAnsi="Times New Roman" w:cs="Times New Roman"/>
          <w:sz w:val="24"/>
          <w:szCs w:val="24"/>
          <w:lang w:val="fr-FR"/>
        </w:rPr>
        <w:t xml:space="preserve">que </w:t>
      </w:r>
      <w:r w:rsidR="00DE2E1C" w:rsidRPr="0055512B">
        <w:rPr>
          <w:rFonts w:ascii="Times New Roman" w:eastAsia="Arial" w:hAnsi="Times New Roman" w:cs="Times New Roman"/>
          <w:sz w:val="24"/>
          <w:szCs w:val="24"/>
          <w:lang w:val="fr-FR"/>
        </w:rPr>
        <w:t>se réuniront au cours du premier trimestre de chaque année après avoir reçu le second rapport semestriel, en vue de :</w:t>
      </w:r>
    </w:p>
    <w:p w14:paraId="37592B3E" w14:textId="77777777" w:rsidR="00DE2E1C" w:rsidRPr="0055512B" w:rsidRDefault="00DE2E1C" w:rsidP="001950BE">
      <w:pPr>
        <w:spacing w:line="276" w:lineRule="auto"/>
        <w:rPr>
          <w:rFonts w:eastAsia="Times New Roman"/>
        </w:rPr>
      </w:pPr>
    </w:p>
    <w:p w14:paraId="72DCCB27" w14:textId="77777777" w:rsidR="00DE2E1C" w:rsidRPr="0055512B" w:rsidRDefault="00DE2E1C" w:rsidP="002E5BE9">
      <w:pPr>
        <w:numPr>
          <w:ilvl w:val="0"/>
          <w:numId w:val="21"/>
        </w:numPr>
        <w:tabs>
          <w:tab w:val="left" w:pos="621"/>
        </w:tabs>
        <w:spacing w:line="276" w:lineRule="auto"/>
        <w:ind w:left="640" w:hanging="355"/>
        <w:rPr>
          <w:rFonts w:eastAsia="Symbol"/>
        </w:rPr>
      </w:pPr>
      <w:r w:rsidRPr="0055512B">
        <w:rPr>
          <w:rFonts w:eastAsia="Arial"/>
        </w:rPr>
        <w:t>mesurer les progrès de chaque activité du Programme mesurés par les indicateurs fournis dans la matrice de résultat ;</w:t>
      </w:r>
    </w:p>
    <w:p w14:paraId="1B6A8B02" w14:textId="77777777" w:rsidR="00DE2E1C" w:rsidRPr="0055512B" w:rsidRDefault="00DE2E1C" w:rsidP="002E5BE9">
      <w:pPr>
        <w:numPr>
          <w:ilvl w:val="0"/>
          <w:numId w:val="21"/>
        </w:numPr>
        <w:tabs>
          <w:tab w:val="left" w:pos="620"/>
        </w:tabs>
        <w:spacing w:line="276" w:lineRule="auto"/>
        <w:ind w:left="620" w:hanging="335"/>
        <w:rPr>
          <w:rFonts w:eastAsia="Symbol"/>
        </w:rPr>
      </w:pPr>
      <w:r w:rsidRPr="0055512B">
        <w:rPr>
          <w:rFonts w:eastAsia="Arial"/>
        </w:rPr>
        <w:t>régler les problèmes éventuels ;</w:t>
      </w:r>
    </w:p>
    <w:p w14:paraId="61639EAC" w14:textId="77777777" w:rsidR="00DE2E1C" w:rsidRPr="0055512B" w:rsidRDefault="00DE2E1C" w:rsidP="002E5BE9">
      <w:pPr>
        <w:numPr>
          <w:ilvl w:val="0"/>
          <w:numId w:val="21"/>
        </w:numPr>
        <w:tabs>
          <w:tab w:val="left" w:pos="620"/>
        </w:tabs>
        <w:spacing w:line="276" w:lineRule="auto"/>
        <w:ind w:left="620" w:hanging="335"/>
        <w:rPr>
          <w:rFonts w:eastAsia="Symbol"/>
        </w:rPr>
      </w:pPr>
      <w:r w:rsidRPr="0055512B">
        <w:rPr>
          <w:rFonts w:eastAsia="Arial"/>
        </w:rPr>
        <w:t>proposer les modifications pour le semestre suivant.</w:t>
      </w:r>
    </w:p>
    <w:p w14:paraId="45CB093F" w14:textId="77777777" w:rsidR="00DE2E1C" w:rsidRPr="0055512B" w:rsidRDefault="00DE2E1C" w:rsidP="001950BE">
      <w:pPr>
        <w:spacing w:line="276" w:lineRule="auto"/>
        <w:rPr>
          <w:rFonts w:eastAsia="Times New Roman"/>
        </w:rPr>
      </w:pPr>
    </w:p>
    <w:p w14:paraId="192E8AC8" w14:textId="77777777" w:rsidR="00DE2E1C" w:rsidRPr="0055512B" w:rsidRDefault="00DE2E1C" w:rsidP="001950BE">
      <w:pPr>
        <w:spacing w:line="276" w:lineRule="auto"/>
        <w:rPr>
          <w:rFonts w:eastAsia="Arial"/>
        </w:rPr>
      </w:pPr>
      <w:r w:rsidRPr="0055512B">
        <w:rPr>
          <w:rFonts w:eastAsia="Arial"/>
        </w:rPr>
        <w:t>Ces réunions ann</w:t>
      </w:r>
      <w:r w:rsidR="000820FC" w:rsidRPr="0055512B">
        <w:rPr>
          <w:rFonts w:eastAsia="Arial"/>
        </w:rPr>
        <w:t>uelles ainsi que les rapports d’activité semestriels s’</w:t>
      </w:r>
      <w:r w:rsidRPr="0055512B">
        <w:rPr>
          <w:rFonts w:eastAsia="Arial"/>
        </w:rPr>
        <w:t>appuieront en particulier sur les rapports de suivi-évaluation préparés par la DINEP</w:t>
      </w:r>
      <w:r w:rsidR="000820FC" w:rsidRPr="0055512B">
        <w:rPr>
          <w:rFonts w:eastAsia="Arial"/>
        </w:rPr>
        <w:t>A, ainsi que sur les rapports d’</w:t>
      </w:r>
      <w:r w:rsidRPr="0055512B">
        <w:rPr>
          <w:rFonts w:eastAsia="Arial"/>
        </w:rPr>
        <w:t>évaluation externe préparés par le prestataire de service.</w:t>
      </w:r>
    </w:p>
    <w:p w14:paraId="298EECC8" w14:textId="77777777" w:rsidR="00DE2E1C" w:rsidRPr="0055512B" w:rsidRDefault="00DE2E1C" w:rsidP="001950BE">
      <w:pPr>
        <w:spacing w:line="276" w:lineRule="auto"/>
        <w:rPr>
          <w:rFonts w:eastAsia="Times New Roman"/>
        </w:rPr>
      </w:pPr>
    </w:p>
    <w:p w14:paraId="6B1E6B20" w14:textId="77777777" w:rsidR="000820FC" w:rsidRPr="0055512B" w:rsidRDefault="000820FC" w:rsidP="001950BE">
      <w:pPr>
        <w:spacing w:line="276" w:lineRule="auto"/>
        <w:rPr>
          <w:rFonts w:eastAsia="Arial"/>
          <w:i/>
          <w:u w:val="single"/>
        </w:rPr>
      </w:pPr>
    </w:p>
    <w:p w14:paraId="0900ACDB" w14:textId="77777777" w:rsidR="00DE2E1C" w:rsidRPr="0055512B" w:rsidRDefault="00B95F25" w:rsidP="001950BE">
      <w:pPr>
        <w:spacing w:line="276" w:lineRule="auto"/>
        <w:rPr>
          <w:rFonts w:eastAsia="Arial"/>
          <w:i/>
          <w:u w:val="single"/>
        </w:rPr>
      </w:pPr>
      <w:r w:rsidRPr="0055512B">
        <w:rPr>
          <w:rFonts w:eastAsia="Arial"/>
          <w:i/>
          <w:u w:val="single"/>
        </w:rPr>
        <w:t xml:space="preserve">c. </w:t>
      </w:r>
      <w:r w:rsidR="000820FC" w:rsidRPr="0055512B">
        <w:rPr>
          <w:rFonts w:eastAsia="Arial"/>
          <w:i/>
          <w:u w:val="single"/>
        </w:rPr>
        <w:t xml:space="preserve">Rapport </w:t>
      </w:r>
      <w:r w:rsidR="00DE2E1C" w:rsidRPr="0055512B">
        <w:rPr>
          <w:rFonts w:eastAsia="Arial"/>
          <w:i/>
          <w:u w:val="single"/>
        </w:rPr>
        <w:t>Exceptionnel</w:t>
      </w:r>
    </w:p>
    <w:p w14:paraId="79F3F558" w14:textId="77777777" w:rsidR="00DE2E1C" w:rsidRPr="0055512B" w:rsidRDefault="00DE2E1C" w:rsidP="001950BE">
      <w:pPr>
        <w:spacing w:line="276" w:lineRule="auto"/>
        <w:rPr>
          <w:rFonts w:eastAsia="Arial"/>
        </w:rPr>
      </w:pPr>
      <w:r w:rsidRPr="0055512B">
        <w:rPr>
          <w:rFonts w:eastAsia="Arial"/>
        </w:rPr>
        <w:t xml:space="preserve">Tout autre rapport qui sera demandé par la Banque </w:t>
      </w:r>
      <w:r w:rsidR="000820FC" w:rsidRPr="0055512B">
        <w:rPr>
          <w:rFonts w:eastAsia="Arial"/>
        </w:rPr>
        <w:t>(</w:t>
      </w:r>
      <w:r w:rsidRPr="0055512B">
        <w:rPr>
          <w:rFonts w:eastAsia="Arial"/>
        </w:rPr>
        <w:t>ou par la Coopération Espagnole</w:t>
      </w:r>
      <w:r w:rsidR="000820FC" w:rsidRPr="0055512B">
        <w:rPr>
          <w:rFonts w:eastAsia="Arial"/>
        </w:rPr>
        <w:t xml:space="preserve"> dans le cas du HA-L1044)</w:t>
      </w:r>
      <w:r w:rsidRPr="0055512B">
        <w:rPr>
          <w:rFonts w:eastAsia="Arial"/>
        </w:rPr>
        <w:t xml:space="preserve"> en cas de retards ou faute</w:t>
      </w:r>
      <w:r w:rsidR="000820FC" w:rsidRPr="0055512B">
        <w:rPr>
          <w:rFonts w:eastAsia="Arial"/>
        </w:rPr>
        <w:t>s répétées de procédures dans l’</w:t>
      </w:r>
      <w:r w:rsidRPr="0055512B">
        <w:rPr>
          <w:rFonts w:eastAsia="Arial"/>
        </w:rPr>
        <w:t>exécution du Programme.</w:t>
      </w:r>
    </w:p>
    <w:p w14:paraId="1F181C1E" w14:textId="77777777" w:rsidR="00DE2E1C" w:rsidRPr="0055512B" w:rsidRDefault="00DE2E1C" w:rsidP="001950BE">
      <w:pPr>
        <w:spacing w:line="276" w:lineRule="auto"/>
        <w:rPr>
          <w:rFonts w:eastAsia="Times New Roman"/>
        </w:rPr>
      </w:pPr>
    </w:p>
    <w:p w14:paraId="7AFB7B25" w14:textId="77777777" w:rsidR="00DE2E1C" w:rsidRPr="0055512B" w:rsidRDefault="00DE2E1C" w:rsidP="00066C9E">
      <w:pPr>
        <w:pStyle w:val="ListParagraph"/>
        <w:numPr>
          <w:ilvl w:val="1"/>
          <w:numId w:val="7"/>
        </w:numPr>
        <w:tabs>
          <w:tab w:val="left" w:pos="720"/>
        </w:tabs>
        <w:spacing w:line="276" w:lineRule="auto"/>
        <w:rPr>
          <w:rFonts w:eastAsia="Arial"/>
          <w:b/>
        </w:rPr>
      </w:pPr>
      <w:r w:rsidRPr="0055512B">
        <w:rPr>
          <w:rFonts w:eastAsia="Arial"/>
          <w:b/>
        </w:rPr>
        <w:t>Rapports internes</w:t>
      </w:r>
    </w:p>
    <w:p w14:paraId="1CB028E3" w14:textId="77777777" w:rsidR="00DE2E1C" w:rsidRPr="0055512B" w:rsidRDefault="00DE2E1C" w:rsidP="001950BE">
      <w:pPr>
        <w:spacing w:line="276" w:lineRule="auto"/>
        <w:rPr>
          <w:rFonts w:eastAsia="Times New Roman"/>
        </w:rPr>
      </w:pPr>
    </w:p>
    <w:p w14:paraId="2D1D5C6A" w14:textId="77777777" w:rsidR="000820FC" w:rsidRPr="0055512B" w:rsidRDefault="000820FC" w:rsidP="001950BE">
      <w:pPr>
        <w:spacing w:line="276" w:lineRule="auto"/>
        <w:rPr>
          <w:rFonts w:eastAsia="Arial"/>
        </w:rPr>
      </w:pPr>
      <w:r w:rsidRPr="0055512B">
        <w:rPr>
          <w:rFonts w:eastAsia="Arial"/>
        </w:rPr>
        <w:t>Le Directeur du CTE RMPP décidera du type et de la fréquence des rapports qui devront lui être soumis par les ingénieurs et par les animateurs actifs dans les divers projets du programme. Toutefois il devra recevoir au moins les rapports suivants:</w:t>
      </w:r>
    </w:p>
    <w:p w14:paraId="5A6F2114" w14:textId="77777777" w:rsidR="000820FC" w:rsidRPr="0055512B" w:rsidRDefault="000820FC" w:rsidP="001950BE">
      <w:pPr>
        <w:spacing w:line="276" w:lineRule="auto"/>
        <w:rPr>
          <w:rFonts w:eastAsia="Arial"/>
        </w:rPr>
      </w:pPr>
    </w:p>
    <w:p w14:paraId="7454DC8C" w14:textId="77777777" w:rsidR="000820FC" w:rsidRPr="0055512B" w:rsidRDefault="000820FC" w:rsidP="002E5BE9">
      <w:pPr>
        <w:numPr>
          <w:ilvl w:val="0"/>
          <w:numId w:val="27"/>
        </w:numPr>
        <w:spacing w:line="276" w:lineRule="auto"/>
        <w:rPr>
          <w:rFonts w:eastAsia="Arial"/>
        </w:rPr>
      </w:pPr>
      <w:r w:rsidRPr="0055512B">
        <w:rPr>
          <w:rFonts w:eastAsia="Arial"/>
        </w:rPr>
        <w:t>rapport d’avancement des projets en cours: activités réalisées par les divers   intervenants, difficultés rencontrées et solutions mises en œuvre (mensuel)</w:t>
      </w:r>
    </w:p>
    <w:p w14:paraId="769DD05B" w14:textId="77777777" w:rsidR="000820FC" w:rsidRPr="0055512B" w:rsidRDefault="000820FC" w:rsidP="002E5BE9">
      <w:pPr>
        <w:numPr>
          <w:ilvl w:val="0"/>
          <w:numId w:val="27"/>
        </w:numPr>
        <w:spacing w:line="276" w:lineRule="auto"/>
        <w:rPr>
          <w:rFonts w:eastAsia="Arial"/>
        </w:rPr>
      </w:pPr>
      <w:r w:rsidRPr="0055512B">
        <w:rPr>
          <w:rFonts w:eastAsia="Arial"/>
        </w:rPr>
        <w:t>Compte rendu bi-mensuel de la réunion d’équipe avec une TODO LIST ;</w:t>
      </w:r>
    </w:p>
    <w:p w14:paraId="1F4F29AC" w14:textId="77777777" w:rsidR="000820FC" w:rsidRPr="0055512B" w:rsidRDefault="000820FC" w:rsidP="002E5BE9">
      <w:pPr>
        <w:numPr>
          <w:ilvl w:val="0"/>
          <w:numId w:val="27"/>
        </w:numPr>
        <w:spacing w:line="276" w:lineRule="auto"/>
        <w:rPr>
          <w:rFonts w:eastAsia="Arial"/>
        </w:rPr>
      </w:pPr>
      <w:r w:rsidRPr="0055512B">
        <w:rPr>
          <w:rFonts w:eastAsia="Arial"/>
        </w:rPr>
        <w:t>rapport sur les flux de la (mensuel)</w:t>
      </w:r>
    </w:p>
    <w:p w14:paraId="3AFE73A4" w14:textId="77777777" w:rsidR="000820FC" w:rsidRPr="0055512B" w:rsidRDefault="000820FC" w:rsidP="002E5BE9">
      <w:pPr>
        <w:numPr>
          <w:ilvl w:val="0"/>
          <w:numId w:val="27"/>
        </w:numPr>
        <w:spacing w:line="276" w:lineRule="auto"/>
        <w:rPr>
          <w:rFonts w:eastAsia="Arial"/>
        </w:rPr>
      </w:pPr>
      <w:r w:rsidRPr="0055512B">
        <w:rPr>
          <w:rFonts w:eastAsia="Arial"/>
        </w:rPr>
        <w:t>rapport sur l</w:t>
      </w:r>
      <w:r w:rsidR="00B95F25" w:rsidRPr="0055512B">
        <w:rPr>
          <w:rFonts w:eastAsia="Arial"/>
        </w:rPr>
        <w:t xml:space="preserve">es recettes perçues par les </w:t>
      </w:r>
      <w:r w:rsidRPr="0055512B">
        <w:rPr>
          <w:rFonts w:eastAsia="Arial"/>
        </w:rPr>
        <w:t>Operateurs dans les villes dont le SAEP a été réhabilité ou construit (trimestriel).</w:t>
      </w:r>
    </w:p>
    <w:p w14:paraId="4EA73158" w14:textId="77777777" w:rsidR="00DE2E1C" w:rsidRPr="0055512B" w:rsidRDefault="00DE2E1C" w:rsidP="001950BE">
      <w:pPr>
        <w:spacing w:line="276" w:lineRule="auto"/>
        <w:rPr>
          <w:rFonts w:eastAsia="Arial"/>
        </w:rPr>
      </w:pPr>
    </w:p>
    <w:p w14:paraId="7F1CE3D7" w14:textId="77777777" w:rsidR="00AA17DE" w:rsidRPr="0055512B" w:rsidRDefault="00AA17DE" w:rsidP="001950BE">
      <w:pPr>
        <w:spacing w:line="276" w:lineRule="auto"/>
        <w:rPr>
          <w:rFonts w:eastAsia="Arial"/>
        </w:rPr>
      </w:pPr>
    </w:p>
    <w:p w14:paraId="125DBE5F" w14:textId="77777777" w:rsidR="000A40FE" w:rsidRPr="0055512B" w:rsidRDefault="000A40FE" w:rsidP="00066C9E">
      <w:pPr>
        <w:pStyle w:val="ListParagraph"/>
        <w:numPr>
          <w:ilvl w:val="1"/>
          <w:numId w:val="7"/>
        </w:numPr>
        <w:tabs>
          <w:tab w:val="left" w:pos="580"/>
        </w:tabs>
        <w:spacing w:line="276" w:lineRule="auto"/>
        <w:rPr>
          <w:rFonts w:eastAsia="Arial"/>
          <w:b/>
        </w:rPr>
      </w:pPr>
      <w:r w:rsidRPr="0055512B">
        <w:rPr>
          <w:rFonts w:eastAsia="Arial"/>
          <w:b/>
        </w:rPr>
        <w:t>AUDITS</w:t>
      </w:r>
    </w:p>
    <w:p w14:paraId="315D0161" w14:textId="77777777" w:rsidR="00F8169C" w:rsidRPr="0055512B" w:rsidRDefault="00F8169C" w:rsidP="00255308">
      <w:pPr>
        <w:spacing w:line="276" w:lineRule="auto"/>
        <w:jc w:val="both"/>
        <w:rPr>
          <w:iCs/>
        </w:rPr>
      </w:pPr>
      <w:r w:rsidRPr="0055512B">
        <w:rPr>
          <w:iCs/>
        </w:rPr>
        <w:t xml:space="preserve">La DINEPA sera responsable du recrutement d’auditeurs externes éligibles à la Banque dans le but de réaliser l’audit du programme comme suit : </w:t>
      </w:r>
    </w:p>
    <w:p w14:paraId="580AA8EC" w14:textId="77777777" w:rsidR="00F8169C" w:rsidRPr="0055512B" w:rsidRDefault="00F8169C" w:rsidP="00255308">
      <w:pPr>
        <w:spacing w:line="276" w:lineRule="auto"/>
        <w:jc w:val="both"/>
        <w:rPr>
          <w:iCs/>
        </w:rPr>
      </w:pPr>
    </w:p>
    <w:p w14:paraId="2BFF58E7" w14:textId="77777777" w:rsidR="00F8169C" w:rsidRPr="0055512B" w:rsidRDefault="00F8169C" w:rsidP="00255308">
      <w:pPr>
        <w:spacing w:line="276" w:lineRule="auto"/>
        <w:jc w:val="both"/>
        <w:rPr>
          <w:iCs/>
        </w:rPr>
      </w:pPr>
      <w:r w:rsidRPr="0055512B">
        <w:rPr>
          <w:iCs/>
        </w:rPr>
        <w:t xml:space="preserve">(i) Un audit financier annuel du programme qui devra être soumis au plus tard 120 jours après la fermeture de chaque année fiscale </w:t>
      </w:r>
    </w:p>
    <w:p w14:paraId="7E02505C" w14:textId="77777777" w:rsidR="00F8169C" w:rsidRPr="0055512B" w:rsidRDefault="00F8169C" w:rsidP="00255308">
      <w:pPr>
        <w:spacing w:line="276" w:lineRule="auto"/>
        <w:jc w:val="both"/>
        <w:rPr>
          <w:iCs/>
        </w:rPr>
      </w:pPr>
    </w:p>
    <w:p w14:paraId="39D1CD56" w14:textId="77777777" w:rsidR="00F8169C" w:rsidRPr="0055512B" w:rsidRDefault="00F8169C" w:rsidP="00255308">
      <w:pPr>
        <w:spacing w:line="276" w:lineRule="auto"/>
        <w:jc w:val="both"/>
        <w:rPr>
          <w:iCs/>
        </w:rPr>
      </w:pPr>
      <w:r w:rsidRPr="0055512B">
        <w:rPr>
          <w:iCs/>
        </w:rPr>
        <w:t xml:space="preserve">(ii) Une revue semestrielle ex post des procédures d’acquisition exécutées par l’OREPA Ouest qui devra être soumise au plus 60 jours après la fin du premier semestre de chaque année fiscale </w:t>
      </w:r>
    </w:p>
    <w:p w14:paraId="40BF3615" w14:textId="77777777" w:rsidR="00F8169C" w:rsidRPr="0055512B" w:rsidRDefault="00F8169C" w:rsidP="00255308">
      <w:pPr>
        <w:spacing w:line="276" w:lineRule="auto"/>
        <w:jc w:val="both"/>
        <w:rPr>
          <w:iCs/>
        </w:rPr>
      </w:pPr>
    </w:p>
    <w:p w14:paraId="028A954E" w14:textId="77777777" w:rsidR="00F8169C" w:rsidRPr="0055512B" w:rsidRDefault="00F8169C" w:rsidP="00255308">
      <w:pPr>
        <w:spacing w:line="276" w:lineRule="auto"/>
        <w:jc w:val="both"/>
        <w:rPr>
          <w:iCs/>
        </w:rPr>
      </w:pPr>
      <w:r w:rsidRPr="0055512B">
        <w:rPr>
          <w:iCs/>
        </w:rPr>
        <w:t xml:space="preserve">(iii) Un audit financier final qui devra être soumis qui devra être soumis au plus 120 jours après la date du dernier décaissement </w:t>
      </w:r>
    </w:p>
    <w:p w14:paraId="198E845D" w14:textId="77777777" w:rsidR="00F8169C" w:rsidRPr="0055512B" w:rsidRDefault="00F8169C" w:rsidP="00255308">
      <w:pPr>
        <w:spacing w:line="276" w:lineRule="auto"/>
        <w:jc w:val="both"/>
        <w:rPr>
          <w:iCs/>
        </w:rPr>
      </w:pPr>
    </w:p>
    <w:p w14:paraId="0B78B204" w14:textId="77777777" w:rsidR="00F8169C" w:rsidRPr="0055512B" w:rsidRDefault="00F8169C" w:rsidP="00255308">
      <w:pPr>
        <w:spacing w:line="276" w:lineRule="auto"/>
        <w:jc w:val="both"/>
        <w:rPr>
          <w:iCs/>
        </w:rPr>
      </w:pPr>
      <w:r w:rsidRPr="0055512B">
        <w:rPr>
          <w:iCs/>
        </w:rPr>
        <w:t xml:space="preserve">(iv) Durant la première année d’exécution, le programme soumettra également des rapports financiers semi-annuels non audités 60 jours après la fin de chaque semestre. Pour les années suivantes, la fréquence de soumission des rapports non audités sera basé sur la mise à jour de l’évaluation du risque, qui sera déterminé durant les missions de supervision. Les audits seront financés par les propres fonds du programme. </w:t>
      </w:r>
    </w:p>
    <w:p w14:paraId="3051FFD9" w14:textId="77777777" w:rsidR="00F8169C" w:rsidRPr="0055512B" w:rsidRDefault="00F8169C" w:rsidP="00255308">
      <w:pPr>
        <w:spacing w:line="276" w:lineRule="auto"/>
        <w:jc w:val="both"/>
        <w:rPr>
          <w:iCs/>
        </w:rPr>
      </w:pPr>
    </w:p>
    <w:p w14:paraId="54D0EABE" w14:textId="77777777" w:rsidR="000A40FE" w:rsidRPr="0055512B" w:rsidRDefault="00F8169C" w:rsidP="00941397">
      <w:pPr>
        <w:spacing w:line="276" w:lineRule="auto"/>
        <w:jc w:val="both"/>
        <w:rPr>
          <w:rFonts w:eastAsia="Times New Roman"/>
        </w:rPr>
      </w:pPr>
      <w:r w:rsidRPr="0055512B">
        <w:rPr>
          <w:iCs/>
        </w:rPr>
        <w:t xml:space="preserve">(v) En plus de l’audit financier du programme, un audit financier annuel du CTE RMPP sera requis et devra être soumis au plus 180 jours après la fermeture de chaque année fiscale et sera financé par les fonds du CTE RMPP. Ce dernier sera responsable de l’embauche de la firme d’audit.   </w:t>
      </w:r>
    </w:p>
    <w:p w14:paraId="6DCA5CBA" w14:textId="77777777" w:rsidR="000A40FE" w:rsidRPr="0055512B" w:rsidRDefault="000A40FE" w:rsidP="00941397">
      <w:pPr>
        <w:spacing w:line="276" w:lineRule="auto"/>
        <w:jc w:val="both"/>
        <w:rPr>
          <w:rFonts w:eastAsia="Times New Roman"/>
        </w:rPr>
      </w:pPr>
    </w:p>
    <w:p w14:paraId="07544662" w14:textId="77777777" w:rsidR="000A40FE" w:rsidRPr="0055512B" w:rsidRDefault="000A40FE" w:rsidP="00941397">
      <w:pPr>
        <w:pStyle w:val="ListParagraph"/>
        <w:numPr>
          <w:ilvl w:val="1"/>
          <w:numId w:val="7"/>
        </w:numPr>
        <w:tabs>
          <w:tab w:val="left" w:pos="580"/>
        </w:tabs>
        <w:spacing w:line="276" w:lineRule="auto"/>
        <w:jc w:val="both"/>
        <w:rPr>
          <w:rFonts w:eastAsia="Arial"/>
          <w:b/>
        </w:rPr>
      </w:pPr>
      <w:r w:rsidRPr="0055512B">
        <w:rPr>
          <w:rFonts w:eastAsia="Arial"/>
          <w:b/>
        </w:rPr>
        <w:t>EVALUATIONS</w:t>
      </w:r>
    </w:p>
    <w:p w14:paraId="471CC5FD" w14:textId="77777777" w:rsidR="000A40FE" w:rsidRPr="0055512B" w:rsidRDefault="000A40FE" w:rsidP="00941397">
      <w:pPr>
        <w:spacing w:line="276" w:lineRule="auto"/>
        <w:jc w:val="both"/>
        <w:rPr>
          <w:rFonts w:eastAsia="Times New Roman"/>
        </w:rPr>
      </w:pPr>
    </w:p>
    <w:p w14:paraId="35E45114" w14:textId="77777777" w:rsidR="000A40FE" w:rsidRPr="0055512B" w:rsidRDefault="00A972DE" w:rsidP="00941397">
      <w:pPr>
        <w:spacing w:line="276" w:lineRule="auto"/>
        <w:jc w:val="both"/>
        <w:rPr>
          <w:rFonts w:eastAsia="Arial"/>
        </w:rPr>
      </w:pPr>
      <w:r w:rsidRPr="0055512B">
        <w:rPr>
          <w:rFonts w:eastAsia="Arial"/>
        </w:rPr>
        <w:t>Les  Programmes  feront  l’</w:t>
      </w:r>
      <w:r w:rsidR="000A40FE" w:rsidRPr="0055512B">
        <w:rPr>
          <w:rFonts w:eastAsia="Arial"/>
        </w:rPr>
        <w:t xml:space="preserve">objet de deux évaluations </w:t>
      </w:r>
      <w:r w:rsidRPr="0055512B">
        <w:rPr>
          <w:rFonts w:eastAsia="Arial"/>
        </w:rPr>
        <w:t>chacune</w:t>
      </w:r>
      <w:r w:rsidR="000A40FE" w:rsidRPr="0055512B">
        <w:rPr>
          <w:rFonts w:eastAsia="Arial"/>
        </w:rPr>
        <w:t>:</w:t>
      </w:r>
    </w:p>
    <w:p w14:paraId="130741C3" w14:textId="77777777" w:rsidR="00A972DE" w:rsidRPr="0055512B" w:rsidRDefault="00A972DE" w:rsidP="00941397">
      <w:pPr>
        <w:spacing w:line="276" w:lineRule="auto"/>
        <w:jc w:val="both"/>
        <w:rPr>
          <w:rFonts w:eastAsia="Arial"/>
        </w:rPr>
      </w:pPr>
    </w:p>
    <w:p w14:paraId="187292FC" w14:textId="77777777" w:rsidR="00A972DE" w:rsidRPr="0055512B" w:rsidRDefault="00A972DE" w:rsidP="00941397">
      <w:pPr>
        <w:spacing w:line="276" w:lineRule="auto"/>
        <w:jc w:val="both"/>
        <w:rPr>
          <w:rFonts w:eastAsia="Arial"/>
        </w:rPr>
      </w:pPr>
      <w:r w:rsidRPr="0055512B">
        <w:rPr>
          <w:rFonts w:eastAsia="Arial"/>
          <w:u w:val="single"/>
        </w:rPr>
        <w:t>Dans le cas du HA-L1044 </w:t>
      </w:r>
      <w:r w:rsidRPr="0055512B">
        <w:rPr>
          <w:rFonts w:eastAsia="Arial"/>
        </w:rPr>
        <w:t xml:space="preserve">: </w:t>
      </w:r>
    </w:p>
    <w:p w14:paraId="7E7D8969" w14:textId="77777777" w:rsidR="00A972DE" w:rsidRPr="0055512B" w:rsidRDefault="000A40FE" w:rsidP="00941397">
      <w:pPr>
        <w:pStyle w:val="SecHeading"/>
        <w:numPr>
          <w:ilvl w:val="0"/>
          <w:numId w:val="28"/>
        </w:numPr>
        <w:spacing w:line="276" w:lineRule="auto"/>
        <w:ind w:left="284"/>
        <w:jc w:val="both"/>
        <w:rPr>
          <w:rFonts w:ascii="Times" w:eastAsia="Arial" w:hAnsi="Times"/>
          <w:b w:val="0"/>
          <w:szCs w:val="24"/>
          <w:lang w:val="fr-FR"/>
        </w:rPr>
      </w:pPr>
      <w:r w:rsidRPr="0055512B">
        <w:rPr>
          <w:rFonts w:ascii="Times" w:eastAsia="Arial" w:hAnsi="Times"/>
          <w:b w:val="0"/>
          <w:szCs w:val="24"/>
          <w:lang w:val="fr-FR"/>
        </w:rPr>
        <w:t>une évaluation à mi-parcours sera effectuée lorsque 50% des fonds du Programme auront été dépen</w:t>
      </w:r>
      <w:r w:rsidR="00A972DE" w:rsidRPr="0055512B">
        <w:rPr>
          <w:rFonts w:ascii="Times" w:eastAsia="Arial" w:hAnsi="Times"/>
          <w:b w:val="0"/>
          <w:szCs w:val="24"/>
          <w:lang w:val="fr-FR"/>
        </w:rPr>
        <w:t>sés ou après deux ans selon l’</w:t>
      </w:r>
      <w:r w:rsidRPr="0055512B">
        <w:rPr>
          <w:rFonts w:ascii="Times" w:eastAsia="Arial" w:hAnsi="Times"/>
          <w:b w:val="0"/>
          <w:szCs w:val="24"/>
          <w:lang w:val="fr-FR"/>
        </w:rPr>
        <w:t>échéance qui sera la plus rapprochée du début des opérations</w:t>
      </w:r>
    </w:p>
    <w:p w14:paraId="310D865E" w14:textId="77777777" w:rsidR="000A40FE" w:rsidRPr="0055512B" w:rsidRDefault="000A40FE" w:rsidP="00941397">
      <w:pPr>
        <w:pStyle w:val="ListParagraph"/>
        <w:numPr>
          <w:ilvl w:val="0"/>
          <w:numId w:val="28"/>
        </w:numPr>
        <w:spacing w:line="276" w:lineRule="auto"/>
        <w:ind w:left="284"/>
        <w:jc w:val="both"/>
        <w:rPr>
          <w:rFonts w:eastAsia="Arial"/>
        </w:rPr>
      </w:pPr>
      <w:r w:rsidRPr="0055512B">
        <w:rPr>
          <w:rFonts w:eastAsia="Arial"/>
        </w:rPr>
        <w:t>une évaluation finale sera réalisée lorsque 90% des fonds auront été déboursés.</w:t>
      </w:r>
    </w:p>
    <w:p w14:paraId="6EE89C7D" w14:textId="77777777" w:rsidR="000A40FE" w:rsidRPr="0055512B" w:rsidRDefault="000A40FE" w:rsidP="00941397">
      <w:pPr>
        <w:spacing w:line="276" w:lineRule="auto"/>
        <w:jc w:val="both"/>
        <w:rPr>
          <w:rFonts w:eastAsia="Times New Roman"/>
        </w:rPr>
      </w:pPr>
    </w:p>
    <w:p w14:paraId="6CC8472B" w14:textId="77777777" w:rsidR="000A40FE" w:rsidRPr="0055512B" w:rsidRDefault="000A40FE" w:rsidP="00941397">
      <w:pPr>
        <w:spacing w:line="276" w:lineRule="auto"/>
        <w:jc w:val="both"/>
        <w:rPr>
          <w:rFonts w:eastAsia="Arial"/>
        </w:rPr>
      </w:pPr>
      <w:r w:rsidRPr="0055512B">
        <w:rPr>
          <w:rFonts w:eastAsia="Arial"/>
        </w:rPr>
        <w:t>Les deux évaluations seront financées par le Programme et seront réalisées par une firme indépendante agrée pa</w:t>
      </w:r>
      <w:r w:rsidR="00A972DE" w:rsidRPr="0055512B">
        <w:rPr>
          <w:rFonts w:eastAsia="Arial"/>
        </w:rPr>
        <w:t>r la BID en consultation avec l’</w:t>
      </w:r>
      <w:r w:rsidRPr="0055512B">
        <w:rPr>
          <w:rFonts w:eastAsia="Arial"/>
        </w:rPr>
        <w:t>AECID.</w:t>
      </w:r>
    </w:p>
    <w:p w14:paraId="5A5F1BDB" w14:textId="77777777" w:rsidR="00A972DE" w:rsidRPr="0055512B" w:rsidRDefault="00A972DE" w:rsidP="00941397">
      <w:pPr>
        <w:spacing w:line="276" w:lineRule="auto"/>
        <w:jc w:val="both"/>
        <w:rPr>
          <w:rFonts w:eastAsia="Arial"/>
        </w:rPr>
      </w:pPr>
    </w:p>
    <w:p w14:paraId="0DBC754E" w14:textId="77777777" w:rsidR="00A972DE" w:rsidRPr="0055512B" w:rsidRDefault="00A972DE" w:rsidP="00941397">
      <w:pPr>
        <w:spacing w:line="276" w:lineRule="auto"/>
        <w:jc w:val="both"/>
        <w:rPr>
          <w:rFonts w:eastAsia="Arial"/>
        </w:rPr>
      </w:pPr>
      <w:r w:rsidRPr="0055512B">
        <w:rPr>
          <w:rFonts w:eastAsia="Arial"/>
          <w:u w:val="single"/>
        </w:rPr>
        <w:t>Dans le cas du HA-L1075 </w:t>
      </w:r>
      <w:r w:rsidRPr="0055512B">
        <w:rPr>
          <w:rFonts w:eastAsia="Arial"/>
        </w:rPr>
        <w:t xml:space="preserve">: </w:t>
      </w:r>
    </w:p>
    <w:p w14:paraId="11ECF586" w14:textId="77777777" w:rsidR="00A972DE" w:rsidRPr="0055512B" w:rsidRDefault="00A972DE" w:rsidP="00941397">
      <w:pPr>
        <w:spacing w:line="276" w:lineRule="auto"/>
        <w:jc w:val="both"/>
        <w:rPr>
          <w:rFonts w:eastAsia="Arial"/>
        </w:rPr>
      </w:pPr>
    </w:p>
    <w:p w14:paraId="4A93D465" w14:textId="77777777" w:rsidR="00A972DE" w:rsidRPr="0055512B" w:rsidRDefault="00A972DE" w:rsidP="00941397">
      <w:pPr>
        <w:pStyle w:val="Clause"/>
        <w:numPr>
          <w:ilvl w:val="0"/>
          <w:numId w:val="29"/>
        </w:numPr>
        <w:tabs>
          <w:tab w:val="clear" w:pos="1980"/>
          <w:tab w:val="left" w:pos="142"/>
          <w:tab w:val="left" w:pos="1350"/>
          <w:tab w:val="left" w:pos="2160"/>
        </w:tabs>
        <w:spacing w:after="0" w:line="276" w:lineRule="auto"/>
        <w:ind w:left="284"/>
        <w:rPr>
          <w:rFonts w:ascii="Times" w:hAnsi="Times" w:cs="Arial"/>
          <w:szCs w:val="24"/>
          <w:lang w:val="fr-FR"/>
        </w:rPr>
      </w:pPr>
      <w:r w:rsidRPr="0055512B">
        <w:rPr>
          <w:rFonts w:ascii="Times" w:hAnsi="Times" w:cs="Arial"/>
          <w:szCs w:val="24"/>
          <w:lang w:val="fr-FR"/>
        </w:rPr>
        <w:t xml:space="preserve">une évaluation initiale, au terme de 18 mois à compter de l'éligibilité des décaissements ou après que 20% des fonds auront été décaissés, suivant ce qui se produira en premier, et </w:t>
      </w:r>
    </w:p>
    <w:p w14:paraId="244801CE" w14:textId="77777777" w:rsidR="00A972DE" w:rsidRPr="0055512B" w:rsidRDefault="00A972DE" w:rsidP="00941397">
      <w:pPr>
        <w:pStyle w:val="Clause"/>
        <w:tabs>
          <w:tab w:val="clear" w:pos="1980"/>
          <w:tab w:val="left" w:pos="142"/>
          <w:tab w:val="left" w:pos="1350"/>
          <w:tab w:val="left" w:pos="2160"/>
        </w:tabs>
        <w:spacing w:after="0" w:line="276" w:lineRule="auto"/>
        <w:ind w:left="284"/>
        <w:rPr>
          <w:rFonts w:ascii="Times" w:hAnsi="Times" w:cs="Arial"/>
          <w:szCs w:val="24"/>
          <w:lang w:val="fr-FR"/>
        </w:rPr>
      </w:pPr>
    </w:p>
    <w:p w14:paraId="797A10E0" w14:textId="77777777" w:rsidR="00A972DE" w:rsidRPr="0055512B" w:rsidRDefault="00A972DE" w:rsidP="00941397">
      <w:pPr>
        <w:pStyle w:val="Clause"/>
        <w:numPr>
          <w:ilvl w:val="0"/>
          <w:numId w:val="29"/>
        </w:numPr>
        <w:tabs>
          <w:tab w:val="clear" w:pos="1980"/>
          <w:tab w:val="left" w:pos="142"/>
          <w:tab w:val="left" w:pos="1350"/>
          <w:tab w:val="left" w:pos="2160"/>
        </w:tabs>
        <w:spacing w:after="0" w:line="276" w:lineRule="auto"/>
        <w:ind w:left="284"/>
        <w:rPr>
          <w:rFonts w:ascii="Times" w:hAnsi="Times" w:cs="Arial"/>
          <w:szCs w:val="24"/>
          <w:lang w:val="fr-FR"/>
        </w:rPr>
      </w:pPr>
      <w:r w:rsidRPr="0055512B">
        <w:rPr>
          <w:rFonts w:ascii="Times" w:hAnsi="Times" w:cs="Arial"/>
          <w:szCs w:val="24"/>
          <w:lang w:val="fr-FR"/>
        </w:rPr>
        <w:t>une évaluation finale suite au décaissement de 80% des fonds. L'évaluation finale contiendra une évaluation socio-économique ex post dont les éléments sont définis dans le Schéma de Suivi et d'Evaluation du Projet.</w:t>
      </w:r>
    </w:p>
    <w:p w14:paraId="5AE667CC" w14:textId="77777777" w:rsidR="00A972DE" w:rsidRPr="0055512B" w:rsidRDefault="00A972DE" w:rsidP="00941397">
      <w:pPr>
        <w:spacing w:line="276" w:lineRule="auto"/>
        <w:jc w:val="both"/>
        <w:rPr>
          <w:rFonts w:eastAsia="Arial"/>
        </w:rPr>
      </w:pPr>
    </w:p>
    <w:p w14:paraId="5428D1DA" w14:textId="77777777" w:rsidR="00C375EE" w:rsidRPr="0055512B" w:rsidRDefault="00C375EE" w:rsidP="00941397">
      <w:pPr>
        <w:spacing w:line="276" w:lineRule="auto"/>
        <w:jc w:val="both"/>
        <w:rPr>
          <w:rFonts w:eastAsia="Arial"/>
          <w:u w:val="single"/>
        </w:rPr>
      </w:pPr>
      <w:r w:rsidRPr="0055512B">
        <w:rPr>
          <w:rFonts w:eastAsia="Arial"/>
          <w:u w:val="single"/>
        </w:rPr>
        <w:t>Dans le cas du HA-L1103</w:t>
      </w:r>
    </w:p>
    <w:p w14:paraId="3D0782BE" w14:textId="77777777" w:rsidR="00A972DE" w:rsidRPr="0055512B" w:rsidRDefault="00A972DE" w:rsidP="00941397">
      <w:pPr>
        <w:spacing w:line="276" w:lineRule="auto"/>
        <w:jc w:val="both"/>
        <w:rPr>
          <w:rFonts w:eastAsia="Arial"/>
        </w:rPr>
      </w:pPr>
    </w:p>
    <w:p w14:paraId="642F981A" w14:textId="77777777" w:rsidR="00F8169C" w:rsidRPr="0055512B" w:rsidRDefault="00F8169C" w:rsidP="00941397">
      <w:pPr>
        <w:pStyle w:val="Clause"/>
        <w:tabs>
          <w:tab w:val="clear" w:pos="1980"/>
          <w:tab w:val="left" w:pos="142"/>
          <w:tab w:val="left" w:pos="1350"/>
          <w:tab w:val="left" w:pos="2160"/>
        </w:tabs>
        <w:spacing w:after="0" w:line="276" w:lineRule="auto"/>
        <w:ind w:left="360"/>
        <w:rPr>
          <w:rFonts w:ascii="Times" w:hAnsi="Times" w:cs="Arial"/>
          <w:szCs w:val="24"/>
          <w:lang w:val="fr-FR"/>
        </w:rPr>
      </w:pPr>
      <w:r w:rsidRPr="0055512B">
        <w:rPr>
          <w:rFonts w:ascii="Times" w:hAnsi="Times" w:cs="Arial"/>
          <w:szCs w:val="24"/>
          <w:lang w:val="fr-FR"/>
        </w:rPr>
        <w:t xml:space="preserve">a. une évaluation initiale, au terme de 18 mois à compter de l'éligibilité des décaissements ou après que 20% des fonds auront été décaissés, suivant ce qui se produira en premier, et </w:t>
      </w:r>
    </w:p>
    <w:p w14:paraId="10EAF890" w14:textId="77777777" w:rsidR="00F8169C" w:rsidRPr="0055512B" w:rsidRDefault="00F8169C" w:rsidP="00941397">
      <w:pPr>
        <w:pStyle w:val="Clause"/>
        <w:tabs>
          <w:tab w:val="clear" w:pos="1980"/>
          <w:tab w:val="left" w:pos="142"/>
          <w:tab w:val="left" w:pos="1350"/>
          <w:tab w:val="left" w:pos="2160"/>
        </w:tabs>
        <w:spacing w:after="0" w:line="276" w:lineRule="auto"/>
        <w:ind w:left="360"/>
        <w:rPr>
          <w:rFonts w:ascii="Times" w:hAnsi="Times" w:cs="Arial"/>
          <w:szCs w:val="24"/>
          <w:lang w:val="fr-FR"/>
        </w:rPr>
      </w:pPr>
    </w:p>
    <w:p w14:paraId="214E5AFF" w14:textId="77777777" w:rsidR="00F8169C" w:rsidRPr="0055512B" w:rsidRDefault="00F8169C" w:rsidP="00941397">
      <w:pPr>
        <w:pStyle w:val="Clause"/>
        <w:tabs>
          <w:tab w:val="clear" w:pos="1980"/>
          <w:tab w:val="left" w:pos="142"/>
          <w:tab w:val="left" w:pos="1350"/>
          <w:tab w:val="left" w:pos="2160"/>
        </w:tabs>
        <w:spacing w:after="0" w:line="276" w:lineRule="auto"/>
        <w:ind w:left="360"/>
        <w:rPr>
          <w:rFonts w:ascii="Times" w:hAnsi="Times" w:cs="Arial"/>
          <w:szCs w:val="24"/>
          <w:lang w:val="fr-FR"/>
        </w:rPr>
      </w:pPr>
      <w:r w:rsidRPr="0055512B">
        <w:rPr>
          <w:rFonts w:ascii="Times" w:hAnsi="Times" w:cs="Arial"/>
          <w:szCs w:val="24"/>
          <w:lang w:val="fr-FR"/>
        </w:rPr>
        <w:t>b. une évaluation finale suite au décaissement de 80% des fonds. L'évaluation finale contiendra une évaluation socio-économique ex post dont les éléments sont définis dans le Schéma de Suivi et d'Evaluation du Projet.</w:t>
      </w:r>
    </w:p>
    <w:p w14:paraId="5605A255" w14:textId="77777777" w:rsidR="00F8169C" w:rsidRPr="0055512B" w:rsidRDefault="00F8169C" w:rsidP="00941397">
      <w:pPr>
        <w:spacing w:line="276" w:lineRule="auto"/>
        <w:jc w:val="both"/>
        <w:rPr>
          <w:rFonts w:eastAsia="Arial"/>
        </w:rPr>
      </w:pPr>
    </w:p>
    <w:p w14:paraId="31316B79" w14:textId="77777777" w:rsidR="000A40FE" w:rsidRPr="0055512B" w:rsidRDefault="000A40FE" w:rsidP="00941397">
      <w:pPr>
        <w:spacing w:line="276" w:lineRule="auto"/>
        <w:jc w:val="both"/>
        <w:rPr>
          <w:rFonts w:eastAsia="Times New Roman"/>
        </w:rPr>
      </w:pPr>
    </w:p>
    <w:p w14:paraId="4FF4DD91" w14:textId="77777777" w:rsidR="000A40FE" w:rsidRPr="0055512B" w:rsidRDefault="000A40FE" w:rsidP="00941397">
      <w:pPr>
        <w:spacing w:line="276" w:lineRule="auto"/>
        <w:jc w:val="both"/>
        <w:rPr>
          <w:rFonts w:eastAsia="Arial"/>
        </w:rPr>
      </w:pPr>
      <w:r w:rsidRPr="0055512B">
        <w:rPr>
          <w:rFonts w:eastAsia="Arial"/>
        </w:rPr>
        <w:lastRenderedPageBreak/>
        <w:t>Les rapports devront évaluer la conformité avec les indicateurs de performance relatifs aux diverses composantes du programme :</w:t>
      </w:r>
    </w:p>
    <w:p w14:paraId="7FE4F0FE" w14:textId="77777777" w:rsidR="000A40FE" w:rsidRPr="0055512B" w:rsidRDefault="000A40FE" w:rsidP="00941397">
      <w:pPr>
        <w:spacing w:line="276" w:lineRule="auto"/>
        <w:jc w:val="both"/>
        <w:rPr>
          <w:rFonts w:eastAsia="Times New Roman"/>
        </w:rPr>
      </w:pPr>
    </w:p>
    <w:p w14:paraId="0CFE4101" w14:textId="77777777" w:rsidR="000A40FE" w:rsidRPr="0055512B" w:rsidRDefault="000A40FE" w:rsidP="00FD083E">
      <w:pPr>
        <w:numPr>
          <w:ilvl w:val="0"/>
          <w:numId w:val="22"/>
        </w:numPr>
        <w:tabs>
          <w:tab w:val="left" w:pos="1080"/>
        </w:tabs>
        <w:spacing w:line="276" w:lineRule="auto"/>
        <w:ind w:left="1080" w:hanging="718"/>
        <w:jc w:val="both"/>
        <w:rPr>
          <w:rFonts w:eastAsia="Arial"/>
        </w:rPr>
      </w:pPr>
      <w:r w:rsidRPr="0055512B">
        <w:rPr>
          <w:rFonts w:eastAsia="Arial"/>
        </w:rPr>
        <w:t>le progrès atteint vers la concrétion des objectifs du programme tels que spécifiés dans la Matrice de Résultats;</w:t>
      </w:r>
    </w:p>
    <w:p w14:paraId="1110793D" w14:textId="77777777" w:rsidR="000A40FE" w:rsidRPr="0055512B" w:rsidRDefault="000A40FE" w:rsidP="00941397">
      <w:pPr>
        <w:numPr>
          <w:ilvl w:val="0"/>
          <w:numId w:val="22"/>
        </w:numPr>
        <w:tabs>
          <w:tab w:val="left" w:pos="624"/>
        </w:tabs>
        <w:spacing w:line="276" w:lineRule="auto"/>
        <w:ind w:left="1080" w:hanging="718"/>
        <w:jc w:val="both"/>
        <w:rPr>
          <w:rFonts w:eastAsia="Arial"/>
        </w:rPr>
      </w:pPr>
      <w:r w:rsidRPr="0055512B">
        <w:rPr>
          <w:rFonts w:eastAsia="Arial"/>
        </w:rPr>
        <w:t>les facteurs q</w:t>
      </w:r>
      <w:r w:rsidR="00676453" w:rsidRPr="0055512B">
        <w:rPr>
          <w:rFonts w:eastAsia="Arial"/>
        </w:rPr>
        <w:t>ui ont causé des retards dans l’</w:t>
      </w:r>
      <w:r w:rsidRPr="0055512B">
        <w:rPr>
          <w:rFonts w:eastAsia="Arial"/>
        </w:rPr>
        <w:t>implémentation du programme et les actions correctives proposées et effectuées;</w:t>
      </w:r>
    </w:p>
    <w:p w14:paraId="4007E3A4" w14:textId="7380C35F" w:rsidR="000A40FE" w:rsidRPr="0055512B" w:rsidRDefault="000A40FE" w:rsidP="00FD083E">
      <w:pPr>
        <w:numPr>
          <w:ilvl w:val="0"/>
          <w:numId w:val="22"/>
        </w:numPr>
        <w:tabs>
          <w:tab w:val="left" w:pos="990"/>
        </w:tabs>
        <w:spacing w:line="276" w:lineRule="auto"/>
        <w:ind w:left="990" w:hanging="630"/>
        <w:jc w:val="both"/>
        <w:rPr>
          <w:rFonts w:eastAsia="Arial"/>
        </w:rPr>
      </w:pPr>
      <w:r w:rsidRPr="0055512B">
        <w:rPr>
          <w:rFonts w:eastAsia="Arial"/>
        </w:rPr>
        <w:t>le niveau de progrès des actions sur les problèmes environnementaux et sociaux</w:t>
      </w:r>
      <w:r w:rsidR="00FD083E" w:rsidRPr="0055512B">
        <w:rPr>
          <w:rFonts w:eastAsia="Arial"/>
        </w:rPr>
        <w:t xml:space="preserve">, </w:t>
      </w:r>
      <w:r w:rsidR="00904CF7" w:rsidRPr="0055512B">
        <w:rPr>
          <w:rFonts w:eastAsia="Arial"/>
        </w:rPr>
        <w:t>spécialement</w:t>
      </w:r>
      <w:r w:rsidR="00E10D0B" w:rsidRPr="0055512B">
        <w:rPr>
          <w:rFonts w:eastAsia="Arial"/>
        </w:rPr>
        <w:t xml:space="preserve"> l’exécution des PGAS, </w:t>
      </w:r>
      <w:r w:rsidR="00FD083E" w:rsidRPr="0055512B">
        <w:rPr>
          <w:rFonts w:eastAsia="Arial"/>
        </w:rPr>
        <w:t xml:space="preserve">selon les indicateurs de performance établis dans le </w:t>
      </w:r>
      <w:r w:rsidR="00E10D0B" w:rsidRPr="0055512B">
        <w:rPr>
          <w:rFonts w:eastAsia="Arial"/>
        </w:rPr>
        <w:t>PESA</w:t>
      </w:r>
      <w:r w:rsidR="00751F4D" w:rsidRPr="0055512B">
        <w:rPr>
          <w:rFonts w:eastAsia="Arial"/>
        </w:rPr>
        <w:t>/Tableau 8.1</w:t>
      </w:r>
      <w:r w:rsidR="00E10D0B" w:rsidRPr="0055512B">
        <w:rPr>
          <w:rFonts w:eastAsia="Arial"/>
        </w:rPr>
        <w:t>.</w:t>
      </w:r>
    </w:p>
    <w:p w14:paraId="09B4D330" w14:textId="77777777" w:rsidR="000A40FE" w:rsidRPr="0055512B" w:rsidRDefault="00FD083E" w:rsidP="00FD083E">
      <w:pPr>
        <w:numPr>
          <w:ilvl w:val="0"/>
          <w:numId w:val="22"/>
        </w:numPr>
        <w:spacing w:line="276" w:lineRule="auto"/>
        <w:ind w:left="720" w:hanging="358"/>
        <w:jc w:val="both"/>
        <w:rPr>
          <w:rFonts w:eastAsia="Arial"/>
        </w:rPr>
      </w:pPr>
      <w:r w:rsidRPr="0055512B">
        <w:rPr>
          <w:rFonts w:eastAsia="Arial"/>
        </w:rPr>
        <w:t xml:space="preserve">     </w:t>
      </w:r>
      <w:r w:rsidR="00676453" w:rsidRPr="0055512B">
        <w:rPr>
          <w:rFonts w:eastAsia="Arial"/>
        </w:rPr>
        <w:t>le niveau d’</w:t>
      </w:r>
      <w:r w:rsidR="000A40FE" w:rsidRPr="0055512B">
        <w:rPr>
          <w:rFonts w:eastAsia="Arial"/>
        </w:rPr>
        <w:t>acceptation des procédures établies par le programme, et</w:t>
      </w:r>
    </w:p>
    <w:p w14:paraId="79168C49" w14:textId="77777777" w:rsidR="000A40FE" w:rsidRPr="0055512B" w:rsidRDefault="00FD083E" w:rsidP="00941397">
      <w:pPr>
        <w:numPr>
          <w:ilvl w:val="0"/>
          <w:numId w:val="22"/>
        </w:numPr>
        <w:tabs>
          <w:tab w:val="left" w:pos="680"/>
        </w:tabs>
        <w:spacing w:line="276" w:lineRule="auto"/>
        <w:ind w:left="680" w:hanging="318"/>
        <w:jc w:val="both"/>
        <w:rPr>
          <w:rFonts w:eastAsia="Arial"/>
        </w:rPr>
      </w:pPr>
      <w:r w:rsidRPr="0055512B">
        <w:rPr>
          <w:rFonts w:eastAsia="Arial"/>
        </w:rPr>
        <w:t xml:space="preserve">      </w:t>
      </w:r>
      <w:r w:rsidR="00676453" w:rsidRPr="0055512B">
        <w:rPr>
          <w:rFonts w:eastAsia="Arial"/>
        </w:rPr>
        <w:t>l’</w:t>
      </w:r>
      <w:r w:rsidR="000A40FE" w:rsidRPr="0055512B">
        <w:rPr>
          <w:rFonts w:eastAsia="Arial"/>
        </w:rPr>
        <w:t>effectivité du système de suivi et supervision de la Banque.</w:t>
      </w:r>
    </w:p>
    <w:p w14:paraId="7110C108" w14:textId="77777777" w:rsidR="000A40FE" w:rsidRPr="0055512B" w:rsidRDefault="000A40FE" w:rsidP="00941397">
      <w:pPr>
        <w:spacing w:line="276" w:lineRule="auto"/>
        <w:jc w:val="both"/>
        <w:rPr>
          <w:rFonts w:eastAsia="Times New Roman"/>
        </w:rPr>
      </w:pPr>
    </w:p>
    <w:p w14:paraId="2ACA3B21" w14:textId="77777777" w:rsidR="000A40FE" w:rsidRPr="0055512B" w:rsidRDefault="000A40FE" w:rsidP="00941397">
      <w:pPr>
        <w:spacing w:line="276" w:lineRule="auto"/>
        <w:jc w:val="both"/>
        <w:rPr>
          <w:rFonts w:eastAsia="Arial"/>
        </w:rPr>
      </w:pPr>
      <w:r w:rsidRPr="0055512B">
        <w:rPr>
          <w:rFonts w:eastAsia="Arial"/>
        </w:rPr>
        <w:t>Afin que</w:t>
      </w:r>
      <w:r w:rsidR="00676453" w:rsidRPr="0055512B">
        <w:rPr>
          <w:rFonts w:eastAsia="Arial"/>
        </w:rPr>
        <w:t xml:space="preserve"> le consultant qui effectuera l’</w:t>
      </w:r>
      <w:r w:rsidRPr="0055512B">
        <w:rPr>
          <w:rFonts w:eastAsia="Arial"/>
        </w:rPr>
        <w:t>évaluation dispose de do</w:t>
      </w:r>
      <w:r w:rsidR="0057160E" w:rsidRPr="0055512B">
        <w:rPr>
          <w:rFonts w:eastAsia="Arial"/>
        </w:rPr>
        <w:t>nnées sur la situation telle qu’</w:t>
      </w:r>
      <w:r w:rsidRPr="0055512B">
        <w:rPr>
          <w:rFonts w:eastAsia="Arial"/>
        </w:rPr>
        <w:t>ell</w:t>
      </w:r>
      <w:r w:rsidR="0057160E" w:rsidRPr="0055512B">
        <w:rPr>
          <w:rFonts w:eastAsia="Arial"/>
        </w:rPr>
        <w:t xml:space="preserve">e se présente avant le début des </w:t>
      </w:r>
      <w:r w:rsidRPr="0055512B">
        <w:rPr>
          <w:rFonts w:eastAsia="Arial"/>
        </w:rPr>
        <w:t>programme</w:t>
      </w:r>
      <w:r w:rsidR="0057160E" w:rsidRPr="0055512B">
        <w:rPr>
          <w:rFonts w:eastAsia="Arial"/>
        </w:rPr>
        <w:t>s respectifs,</w:t>
      </w:r>
      <w:r w:rsidRPr="0055512B">
        <w:rPr>
          <w:rFonts w:eastAsia="Arial"/>
        </w:rPr>
        <w:t xml:space="preserve"> (ligne de base), la DINEPA devra, dès la s</w:t>
      </w:r>
      <w:r w:rsidR="0057160E" w:rsidRPr="0055512B">
        <w:rPr>
          <w:rFonts w:eastAsia="Arial"/>
        </w:rPr>
        <w:t>ignature des</w:t>
      </w:r>
      <w:r w:rsidR="00676453" w:rsidRPr="0055512B">
        <w:rPr>
          <w:rFonts w:eastAsia="Arial"/>
        </w:rPr>
        <w:t xml:space="preserve"> contrat</w:t>
      </w:r>
      <w:r w:rsidR="0057160E" w:rsidRPr="0055512B">
        <w:rPr>
          <w:rFonts w:eastAsia="Arial"/>
        </w:rPr>
        <w:t>s</w:t>
      </w:r>
      <w:r w:rsidR="00676453" w:rsidRPr="0055512B">
        <w:rPr>
          <w:rFonts w:eastAsia="Arial"/>
        </w:rPr>
        <w:t xml:space="preserve"> relatif</w:t>
      </w:r>
      <w:r w:rsidR="0057160E" w:rsidRPr="0055512B">
        <w:rPr>
          <w:rFonts w:eastAsia="Arial"/>
        </w:rPr>
        <w:t>s aux différentes opérations</w:t>
      </w:r>
      <w:r w:rsidRPr="0055512B">
        <w:rPr>
          <w:rFonts w:eastAsia="Arial"/>
        </w:rPr>
        <w:t xml:space="preserve">, mandater un consultant pour identifier, évaluer et quantifier chacun des indicateurs approuvés par la DINEPA, la BID </w:t>
      </w:r>
      <w:r w:rsidR="0080712C" w:rsidRPr="0055512B">
        <w:rPr>
          <w:rFonts w:eastAsia="Arial"/>
        </w:rPr>
        <w:t>(</w:t>
      </w:r>
      <w:r w:rsidRPr="0055512B">
        <w:rPr>
          <w:rFonts w:eastAsia="Arial"/>
        </w:rPr>
        <w:t>et la Coopération Espagnole</w:t>
      </w:r>
      <w:r w:rsidR="0080712C" w:rsidRPr="0055512B">
        <w:rPr>
          <w:rFonts w:eastAsia="Arial"/>
        </w:rPr>
        <w:t xml:space="preserve"> dans le cas du HA-L1044)</w:t>
      </w:r>
      <w:r w:rsidRPr="0055512B">
        <w:rPr>
          <w:rFonts w:eastAsia="Arial"/>
        </w:rPr>
        <w:t>. Ce consultant ne pourra être impliqué dans aucune aut</w:t>
      </w:r>
      <w:r w:rsidR="0080712C" w:rsidRPr="0055512B">
        <w:rPr>
          <w:rFonts w:eastAsia="Arial"/>
        </w:rPr>
        <w:t>re activité du programme afin d’</w:t>
      </w:r>
      <w:r w:rsidRPr="0055512B">
        <w:rPr>
          <w:rFonts w:eastAsia="Arial"/>
        </w:rPr>
        <w:t>assurer son entière objectivité. Le coût de cette activité sera imputé à la composante «Administration du Programme ».</w:t>
      </w:r>
    </w:p>
    <w:p w14:paraId="2B4B3822" w14:textId="77777777" w:rsidR="000A40FE" w:rsidRPr="0055512B" w:rsidRDefault="000A40FE" w:rsidP="00941397">
      <w:pPr>
        <w:spacing w:line="276" w:lineRule="auto"/>
        <w:jc w:val="both"/>
        <w:rPr>
          <w:rFonts w:eastAsia="Times New Roman"/>
        </w:rPr>
      </w:pPr>
    </w:p>
    <w:p w14:paraId="7FB52D57" w14:textId="77777777" w:rsidR="0048101E" w:rsidRPr="0055512B" w:rsidRDefault="0048101E" w:rsidP="00066C9E">
      <w:pPr>
        <w:pStyle w:val="ListParagraph"/>
        <w:numPr>
          <w:ilvl w:val="1"/>
          <w:numId w:val="7"/>
        </w:numPr>
        <w:tabs>
          <w:tab w:val="left" w:pos="580"/>
        </w:tabs>
        <w:spacing w:line="276" w:lineRule="auto"/>
        <w:rPr>
          <w:rFonts w:eastAsia="Arial"/>
          <w:b/>
        </w:rPr>
      </w:pPr>
      <w:r w:rsidRPr="0055512B">
        <w:rPr>
          <w:rFonts w:eastAsia="Arial"/>
          <w:b/>
        </w:rPr>
        <w:t>COMITÉ CONJOINT</w:t>
      </w:r>
    </w:p>
    <w:p w14:paraId="64995D43" w14:textId="77777777" w:rsidR="0048101E" w:rsidRPr="0055512B" w:rsidRDefault="0048101E" w:rsidP="001950BE">
      <w:pPr>
        <w:spacing w:line="276" w:lineRule="auto"/>
        <w:rPr>
          <w:rFonts w:eastAsia="Times New Roman"/>
        </w:rPr>
      </w:pPr>
    </w:p>
    <w:p w14:paraId="6A9BBA84" w14:textId="77777777" w:rsidR="0048101E" w:rsidRPr="0055512B" w:rsidRDefault="0048101E" w:rsidP="00C53FD6">
      <w:pPr>
        <w:spacing w:line="276" w:lineRule="auto"/>
        <w:jc w:val="both"/>
        <w:rPr>
          <w:rFonts w:eastAsia="Arial"/>
        </w:rPr>
      </w:pPr>
      <w:r w:rsidRPr="0055512B">
        <w:rPr>
          <w:rFonts w:eastAsia="Arial"/>
        </w:rPr>
        <w:t>Des réunions conjointes se tiendront chaque six mois pour une révision de l'exécution du programme. Y participeront les représentants des bailleurs de fonds (la BID, la Coopération Espagnole, la BM ou autre), le Directeur Général de la DINEPA, son conseiller/directeur technique, et le Directeur Financier/Administratif de la DINEPA. Au cours de ces réunions, le comité examinera certains aspects clés pour la bonne exécution du programme tels que :</w:t>
      </w:r>
    </w:p>
    <w:p w14:paraId="734F385C" w14:textId="77777777" w:rsidR="0048101E" w:rsidRPr="0055512B" w:rsidRDefault="0048101E" w:rsidP="00C53FD6">
      <w:pPr>
        <w:spacing w:line="276" w:lineRule="auto"/>
        <w:jc w:val="both"/>
        <w:rPr>
          <w:rFonts w:eastAsia="Times New Roman"/>
        </w:rPr>
      </w:pPr>
    </w:p>
    <w:p w14:paraId="41321C88" w14:textId="77777777" w:rsidR="0048101E" w:rsidRPr="0055512B" w:rsidRDefault="00DD1646" w:rsidP="00C53FD6">
      <w:pPr>
        <w:numPr>
          <w:ilvl w:val="1"/>
          <w:numId w:val="26"/>
        </w:numPr>
        <w:tabs>
          <w:tab w:val="left" w:pos="620"/>
        </w:tabs>
        <w:spacing w:line="276" w:lineRule="auto"/>
        <w:ind w:left="620" w:hanging="258"/>
        <w:jc w:val="both"/>
        <w:rPr>
          <w:rFonts w:eastAsia="Arial"/>
        </w:rPr>
      </w:pPr>
      <w:r w:rsidRPr="0055512B">
        <w:rPr>
          <w:rFonts w:eastAsia="Arial"/>
        </w:rPr>
        <w:t>le calendrier d’</w:t>
      </w:r>
      <w:r w:rsidR="0048101E" w:rsidRPr="0055512B">
        <w:rPr>
          <w:rFonts w:eastAsia="Arial"/>
        </w:rPr>
        <w:t>exécution du Programme;</w:t>
      </w:r>
    </w:p>
    <w:p w14:paraId="3A7D51AB" w14:textId="77777777" w:rsidR="0048101E" w:rsidRPr="0055512B" w:rsidRDefault="0048101E" w:rsidP="00C53FD6">
      <w:pPr>
        <w:spacing w:line="276" w:lineRule="auto"/>
        <w:jc w:val="both"/>
        <w:rPr>
          <w:rFonts w:eastAsia="Arial"/>
        </w:rPr>
      </w:pPr>
    </w:p>
    <w:p w14:paraId="74B2D2CD" w14:textId="77777777" w:rsidR="0048101E" w:rsidRPr="0055512B" w:rsidRDefault="0048101E" w:rsidP="00C53FD6">
      <w:pPr>
        <w:numPr>
          <w:ilvl w:val="1"/>
          <w:numId w:val="26"/>
        </w:numPr>
        <w:tabs>
          <w:tab w:val="left" w:pos="620"/>
        </w:tabs>
        <w:spacing w:line="276" w:lineRule="auto"/>
        <w:ind w:left="620" w:hanging="258"/>
        <w:jc w:val="both"/>
        <w:rPr>
          <w:rFonts w:eastAsia="Arial"/>
        </w:rPr>
      </w:pPr>
      <w:r w:rsidRPr="0055512B">
        <w:rPr>
          <w:rFonts w:eastAsia="Arial"/>
        </w:rPr>
        <w:t>le renforcement et les performances des ressources humaines ;</w:t>
      </w:r>
    </w:p>
    <w:p w14:paraId="0B4DFFD5" w14:textId="77777777" w:rsidR="0048101E" w:rsidRPr="0055512B" w:rsidRDefault="0048101E" w:rsidP="00C53FD6">
      <w:pPr>
        <w:spacing w:line="276" w:lineRule="auto"/>
        <w:jc w:val="both"/>
        <w:rPr>
          <w:rFonts w:eastAsia="Arial"/>
        </w:rPr>
      </w:pPr>
    </w:p>
    <w:p w14:paraId="4A5C3D82" w14:textId="77777777" w:rsidR="0048101E" w:rsidRPr="0055512B" w:rsidRDefault="0048101E" w:rsidP="00C53FD6">
      <w:pPr>
        <w:numPr>
          <w:ilvl w:val="1"/>
          <w:numId w:val="26"/>
        </w:numPr>
        <w:tabs>
          <w:tab w:val="left" w:pos="620"/>
        </w:tabs>
        <w:spacing w:line="276" w:lineRule="auto"/>
        <w:ind w:left="620" w:hanging="258"/>
        <w:jc w:val="both"/>
        <w:rPr>
          <w:rFonts w:eastAsia="Arial"/>
        </w:rPr>
      </w:pPr>
      <w:r w:rsidRPr="0055512B">
        <w:rPr>
          <w:rFonts w:eastAsia="Arial"/>
        </w:rPr>
        <w:t>les pratiques de rémunération et le montant des paiements ;</w:t>
      </w:r>
    </w:p>
    <w:p w14:paraId="4FB087BB" w14:textId="77777777" w:rsidR="0048101E" w:rsidRPr="0055512B" w:rsidRDefault="0048101E" w:rsidP="00C53FD6">
      <w:pPr>
        <w:spacing w:line="276" w:lineRule="auto"/>
        <w:jc w:val="both"/>
        <w:rPr>
          <w:rFonts w:eastAsia="Arial"/>
        </w:rPr>
      </w:pPr>
    </w:p>
    <w:p w14:paraId="4253F32A" w14:textId="77777777" w:rsidR="0048101E" w:rsidRPr="0055512B" w:rsidRDefault="00DD1646" w:rsidP="00C53FD6">
      <w:pPr>
        <w:numPr>
          <w:ilvl w:val="1"/>
          <w:numId w:val="26"/>
        </w:numPr>
        <w:tabs>
          <w:tab w:val="left" w:pos="620"/>
        </w:tabs>
        <w:spacing w:line="276" w:lineRule="auto"/>
        <w:ind w:left="620" w:hanging="258"/>
        <w:jc w:val="both"/>
        <w:rPr>
          <w:rFonts w:eastAsia="Arial"/>
        </w:rPr>
      </w:pPr>
      <w:r w:rsidRPr="0055512B">
        <w:rPr>
          <w:rFonts w:eastAsia="Arial"/>
        </w:rPr>
        <w:t>le Manuel d’</w:t>
      </w:r>
      <w:r w:rsidR="0048101E" w:rsidRPr="0055512B">
        <w:rPr>
          <w:rFonts w:eastAsia="Arial"/>
        </w:rPr>
        <w:t>Opération du Programme.</w:t>
      </w:r>
    </w:p>
    <w:p w14:paraId="29A4711E" w14:textId="77777777" w:rsidR="0048101E" w:rsidRPr="0055512B" w:rsidRDefault="0048101E" w:rsidP="00C53FD6">
      <w:pPr>
        <w:spacing w:line="276" w:lineRule="auto"/>
        <w:jc w:val="both"/>
        <w:rPr>
          <w:rFonts w:eastAsia="Arial"/>
        </w:rPr>
      </w:pPr>
    </w:p>
    <w:p w14:paraId="24946417" w14:textId="77777777" w:rsidR="0048101E" w:rsidRPr="0055512B" w:rsidRDefault="0048101E" w:rsidP="00C53FD6">
      <w:pPr>
        <w:numPr>
          <w:ilvl w:val="0"/>
          <w:numId w:val="26"/>
        </w:numPr>
        <w:tabs>
          <w:tab w:val="left" w:pos="288"/>
        </w:tabs>
        <w:spacing w:line="276" w:lineRule="auto"/>
        <w:ind w:firstLine="2"/>
        <w:jc w:val="both"/>
        <w:rPr>
          <w:rFonts w:eastAsia="Arial"/>
        </w:rPr>
      </w:pPr>
      <w:r w:rsidRPr="0055512B">
        <w:rPr>
          <w:rFonts w:eastAsia="Arial"/>
        </w:rPr>
        <w:lastRenderedPageBreak/>
        <w:t>la suite de ces réunions, les problèmes potentiels seront dépistés et les mesures de redressement arrêt</w:t>
      </w:r>
      <w:r w:rsidR="00DD1646" w:rsidRPr="0055512B">
        <w:rPr>
          <w:rFonts w:eastAsia="Arial"/>
        </w:rPr>
        <w:t>ées et portées dans le Manuel d’</w:t>
      </w:r>
      <w:r w:rsidRPr="0055512B">
        <w:rPr>
          <w:rFonts w:eastAsia="Arial"/>
        </w:rPr>
        <w:t>Opérations.</w:t>
      </w:r>
    </w:p>
    <w:p w14:paraId="6BD0982D" w14:textId="77777777" w:rsidR="009C2C7A" w:rsidRPr="0055512B" w:rsidRDefault="009C2C7A" w:rsidP="009C2C7A">
      <w:pPr>
        <w:tabs>
          <w:tab w:val="left" w:pos="288"/>
        </w:tabs>
        <w:spacing w:line="276" w:lineRule="auto"/>
        <w:ind w:left="2"/>
        <w:jc w:val="both"/>
        <w:rPr>
          <w:rFonts w:eastAsia="Arial"/>
        </w:rPr>
      </w:pPr>
    </w:p>
    <w:p w14:paraId="3C6ADDAD" w14:textId="77777777" w:rsidR="001D6B7B" w:rsidRPr="0055512B" w:rsidRDefault="001D6B7B" w:rsidP="00066C9E">
      <w:pPr>
        <w:pStyle w:val="ListParagraph"/>
        <w:numPr>
          <w:ilvl w:val="0"/>
          <w:numId w:val="7"/>
        </w:numPr>
        <w:tabs>
          <w:tab w:val="left" w:pos="580"/>
        </w:tabs>
        <w:spacing w:line="276" w:lineRule="auto"/>
        <w:rPr>
          <w:rFonts w:eastAsia="Arial"/>
          <w:b/>
        </w:rPr>
      </w:pPr>
      <w:r w:rsidRPr="0055512B">
        <w:rPr>
          <w:rFonts w:eastAsia="Arial"/>
          <w:b/>
        </w:rPr>
        <w:t>DOCUMENTS OBLIGATOIRES DE PROGRAMMATION ET SUIVI DES ACTIVITES</w:t>
      </w:r>
    </w:p>
    <w:p w14:paraId="6AC6FBE7" w14:textId="77777777" w:rsidR="001D6B7B" w:rsidRPr="0055512B" w:rsidRDefault="001D6B7B" w:rsidP="001950BE">
      <w:pPr>
        <w:spacing w:line="276" w:lineRule="auto"/>
        <w:rPr>
          <w:rFonts w:eastAsia="Times New Roman"/>
        </w:rPr>
      </w:pPr>
    </w:p>
    <w:p w14:paraId="6EBAC6C0" w14:textId="77777777" w:rsidR="001D6B7B" w:rsidRPr="0055512B" w:rsidRDefault="001D6B7B" w:rsidP="00066C9E">
      <w:pPr>
        <w:pStyle w:val="ListParagraph"/>
        <w:numPr>
          <w:ilvl w:val="1"/>
          <w:numId w:val="7"/>
        </w:numPr>
        <w:tabs>
          <w:tab w:val="left" w:pos="720"/>
        </w:tabs>
        <w:spacing w:line="276" w:lineRule="auto"/>
        <w:rPr>
          <w:rFonts w:eastAsia="Arial"/>
          <w:b/>
        </w:rPr>
      </w:pPr>
      <w:r w:rsidRPr="0055512B">
        <w:rPr>
          <w:rFonts w:eastAsia="Arial"/>
          <w:b/>
        </w:rPr>
        <w:t>Le Plan de Passation de Marchés</w:t>
      </w:r>
    </w:p>
    <w:p w14:paraId="0E679B14" w14:textId="77777777" w:rsidR="001D6B7B" w:rsidRPr="0055512B" w:rsidRDefault="001D6B7B" w:rsidP="001950BE">
      <w:pPr>
        <w:spacing w:line="276" w:lineRule="auto"/>
        <w:rPr>
          <w:rFonts w:eastAsia="Times New Roman"/>
        </w:rPr>
      </w:pPr>
    </w:p>
    <w:p w14:paraId="37B51453" w14:textId="4DF6D82A" w:rsidR="001D6B7B" w:rsidRPr="0055512B" w:rsidRDefault="001D6B7B" w:rsidP="008A76CA">
      <w:pPr>
        <w:spacing w:line="276" w:lineRule="auto"/>
        <w:jc w:val="both"/>
        <w:rPr>
          <w:rFonts w:eastAsia="Arial"/>
        </w:rPr>
      </w:pPr>
      <w:r w:rsidRPr="0055512B">
        <w:rPr>
          <w:rFonts w:eastAsia="Arial"/>
        </w:rPr>
        <w:t>Le plan de passation de marchés est un tableau présentant tous les marchés passés, prévus ou en cours. Une version actualisée doit être fournie, au minimum, chaque 6 mois à la BID.</w:t>
      </w:r>
      <w:r w:rsidR="00403D47" w:rsidRPr="0055512B">
        <w:rPr>
          <w:rFonts w:eastAsia="Arial"/>
        </w:rPr>
        <w:t xml:space="preserve"> </w:t>
      </w:r>
      <w:r w:rsidR="00F4253B" w:rsidRPr="0055512B">
        <w:rPr>
          <w:rFonts w:eastAsia="Arial"/>
        </w:rPr>
        <w:t>Avant de donner la non-objection la BID d</w:t>
      </w:r>
      <w:r w:rsidR="00403D47" w:rsidRPr="0055512B">
        <w:rPr>
          <w:rFonts w:eastAsia="Arial"/>
        </w:rPr>
        <w:t xml:space="preserve">oit </w:t>
      </w:r>
      <w:r w:rsidR="00904CF7" w:rsidRPr="0055512B">
        <w:rPr>
          <w:rFonts w:eastAsia="Arial"/>
        </w:rPr>
        <w:t>s’assurer</w:t>
      </w:r>
      <w:r w:rsidR="00403D47" w:rsidRPr="0055512B">
        <w:rPr>
          <w:rFonts w:eastAsia="Arial"/>
        </w:rPr>
        <w:t xml:space="preserve"> que, dans les cas des travaux d’infrastructure, il </w:t>
      </w:r>
      <w:r w:rsidR="00904CF7" w:rsidRPr="0055512B">
        <w:rPr>
          <w:rFonts w:eastAsia="Arial"/>
        </w:rPr>
        <w:t>y ait</w:t>
      </w:r>
      <w:r w:rsidR="00403D47" w:rsidRPr="0055512B">
        <w:rPr>
          <w:rFonts w:eastAsia="Arial"/>
        </w:rPr>
        <w:t xml:space="preserve"> une étude d’</w:t>
      </w:r>
      <w:r w:rsidR="00751F4D" w:rsidRPr="0055512B">
        <w:rPr>
          <w:rFonts w:eastAsia="Arial"/>
        </w:rPr>
        <w:t>analyse</w:t>
      </w:r>
      <w:r w:rsidR="00403D47" w:rsidRPr="0055512B">
        <w:rPr>
          <w:rFonts w:eastAsia="Arial"/>
        </w:rPr>
        <w:t xml:space="preserve"> environnementale et sociale (</w:t>
      </w:r>
      <w:r w:rsidR="00751F4D" w:rsidRPr="0055512B">
        <w:rPr>
          <w:rFonts w:eastAsia="Arial"/>
        </w:rPr>
        <w:t>A</w:t>
      </w:r>
      <w:r w:rsidR="00403D47" w:rsidRPr="0055512B">
        <w:rPr>
          <w:rFonts w:eastAsia="Arial"/>
        </w:rPr>
        <w:t>ES) avec son PGAS</w:t>
      </w:r>
      <w:r w:rsidR="00904CF7" w:rsidRPr="0055512B">
        <w:rPr>
          <w:rFonts w:eastAsia="Arial"/>
        </w:rPr>
        <w:t xml:space="preserve"> respectif </w:t>
      </w:r>
      <w:r w:rsidR="00403D47" w:rsidRPr="0055512B">
        <w:rPr>
          <w:rFonts w:eastAsia="Arial"/>
        </w:rPr>
        <w:t xml:space="preserve"> et qu’il </w:t>
      </w:r>
      <w:r w:rsidR="00904CF7" w:rsidRPr="0055512B">
        <w:rPr>
          <w:rFonts w:eastAsia="Arial"/>
        </w:rPr>
        <w:t>fasse</w:t>
      </w:r>
      <w:r w:rsidR="00403D47" w:rsidRPr="0055512B">
        <w:rPr>
          <w:rFonts w:eastAsia="Arial"/>
        </w:rPr>
        <w:t xml:space="preserve"> l’objet de consultation avec des personnes affectées.</w:t>
      </w:r>
    </w:p>
    <w:p w14:paraId="38D987A0" w14:textId="77777777" w:rsidR="001D6B7B" w:rsidRPr="0055512B" w:rsidRDefault="001D6B7B" w:rsidP="008A76CA">
      <w:pPr>
        <w:spacing w:line="276" w:lineRule="auto"/>
        <w:jc w:val="both"/>
        <w:rPr>
          <w:rFonts w:eastAsia="Times New Roman"/>
        </w:rPr>
      </w:pPr>
    </w:p>
    <w:p w14:paraId="0C34C5F1" w14:textId="77777777" w:rsidR="001D6B7B" w:rsidRPr="0055512B" w:rsidRDefault="001D6B7B" w:rsidP="008A76CA">
      <w:pPr>
        <w:spacing w:line="276" w:lineRule="auto"/>
        <w:jc w:val="both"/>
        <w:rPr>
          <w:rFonts w:eastAsia="Arial"/>
        </w:rPr>
      </w:pPr>
      <w:r w:rsidRPr="0055512B">
        <w:rPr>
          <w:rFonts w:eastAsia="Arial"/>
        </w:rPr>
        <w:t>Les retards éventuels dans les passations de marché ou les problèm</w:t>
      </w:r>
      <w:r w:rsidR="001871D9" w:rsidRPr="0055512B">
        <w:rPr>
          <w:rFonts w:eastAsia="Arial"/>
        </w:rPr>
        <w:t>es rencontrés dans l’</w:t>
      </w:r>
      <w:r w:rsidRPr="0055512B">
        <w:rPr>
          <w:rFonts w:eastAsia="Arial"/>
        </w:rPr>
        <w:t>exécution des contrats, peuvent accroître considérablement le délai prévu pour la remise ou la mise en fonctionnement des produits, travaux ou services inclus dans le programme, et avo</w:t>
      </w:r>
      <w:r w:rsidR="001871D9" w:rsidRPr="0055512B">
        <w:rPr>
          <w:rFonts w:eastAsia="Arial"/>
        </w:rPr>
        <w:t>ir une incidence négative sur l’</w:t>
      </w:r>
      <w:r w:rsidRPr="0055512B">
        <w:rPr>
          <w:rFonts w:eastAsia="Arial"/>
        </w:rPr>
        <w:t>atteinte des object</w:t>
      </w:r>
      <w:r w:rsidR="001871D9" w:rsidRPr="0055512B">
        <w:rPr>
          <w:rFonts w:eastAsia="Arial"/>
        </w:rPr>
        <w:t>ifs de ce même programme. C’</w:t>
      </w:r>
      <w:r w:rsidRPr="0055512B">
        <w:rPr>
          <w:rFonts w:eastAsia="Arial"/>
        </w:rPr>
        <w:t>est pourquoi, il est nécessaire d'établir des mécanism</w:t>
      </w:r>
      <w:r w:rsidR="001871D9" w:rsidRPr="0055512B">
        <w:rPr>
          <w:rFonts w:eastAsia="Arial"/>
        </w:rPr>
        <w:t>es adéquats afin de contrôler l’</w:t>
      </w:r>
      <w:r w:rsidRPr="0055512B">
        <w:rPr>
          <w:rFonts w:eastAsia="Arial"/>
        </w:rPr>
        <w:t>accomplissement du Plan de</w:t>
      </w:r>
      <w:r w:rsidR="001871D9" w:rsidRPr="0055512B">
        <w:rPr>
          <w:rFonts w:eastAsia="Arial"/>
        </w:rPr>
        <w:t xml:space="preserve"> </w:t>
      </w:r>
      <w:r w:rsidRPr="0055512B">
        <w:rPr>
          <w:rFonts w:eastAsia="Arial"/>
        </w:rPr>
        <w:t>Passation de Marchés.</w:t>
      </w:r>
    </w:p>
    <w:p w14:paraId="5F9A6698" w14:textId="77777777" w:rsidR="0048101E" w:rsidRPr="0055512B" w:rsidRDefault="0048101E" w:rsidP="008A76CA">
      <w:pPr>
        <w:spacing w:line="276" w:lineRule="auto"/>
        <w:jc w:val="both"/>
        <w:rPr>
          <w:rFonts w:eastAsia="Times New Roman"/>
        </w:rPr>
      </w:pPr>
    </w:p>
    <w:p w14:paraId="415ED054" w14:textId="092AA40C" w:rsidR="001D6B7B" w:rsidRPr="0055512B" w:rsidRDefault="001D6B7B" w:rsidP="008A76CA">
      <w:pPr>
        <w:spacing w:line="276" w:lineRule="auto"/>
        <w:jc w:val="both"/>
        <w:rPr>
          <w:rFonts w:eastAsia="Arial"/>
          <w:b/>
        </w:rPr>
      </w:pPr>
      <w:r w:rsidRPr="0055512B">
        <w:rPr>
          <w:rFonts w:eastAsia="Arial"/>
        </w:rPr>
        <w:t>Les contrats résultant des procédures de passation de marchés établissent clairement les droits et les devoirs du Contractant ainsi que les droits et les devoirs de celui avec qui le contrat est passé, de même que la forme, les conditions et les délais dans lesquels doivent être</w:t>
      </w:r>
      <w:r w:rsidR="00760605" w:rsidRPr="0055512B">
        <w:rPr>
          <w:rFonts w:eastAsia="Arial"/>
        </w:rPr>
        <w:t xml:space="preserve"> livrés les produits qui font </w:t>
      </w:r>
      <w:r w:rsidR="00403D47" w:rsidRPr="0055512B">
        <w:rPr>
          <w:rFonts w:eastAsia="Arial"/>
        </w:rPr>
        <w:t>l’objet</w:t>
      </w:r>
      <w:r w:rsidRPr="0055512B">
        <w:rPr>
          <w:rFonts w:eastAsia="Arial"/>
        </w:rPr>
        <w:t xml:space="preserve"> du contrat, ainsi que la forme, les conditions et les délais dans lesquels ont été effectués les paiements correspondants. Des guides générales sur la portée et les produits à exiger dans les contrats d´études, travaux </w:t>
      </w:r>
      <w:r w:rsidR="00F8169C" w:rsidRPr="0055512B">
        <w:rPr>
          <w:rFonts w:eastAsia="Arial"/>
        </w:rPr>
        <w:t>et supervision se présentent en Annexe</w:t>
      </w:r>
      <w:r w:rsidRPr="0055512B">
        <w:rPr>
          <w:rFonts w:eastAsia="Arial"/>
          <w:b/>
        </w:rPr>
        <w:t>.</w:t>
      </w:r>
    </w:p>
    <w:p w14:paraId="6D6AEAB3" w14:textId="77777777" w:rsidR="001D6B7B" w:rsidRPr="0055512B" w:rsidRDefault="001D6B7B" w:rsidP="008A76CA">
      <w:pPr>
        <w:spacing w:line="276" w:lineRule="auto"/>
        <w:jc w:val="both"/>
        <w:rPr>
          <w:rFonts w:eastAsia="Times New Roman"/>
        </w:rPr>
      </w:pPr>
    </w:p>
    <w:p w14:paraId="39BABA1B" w14:textId="77777777" w:rsidR="001D6B7B" w:rsidRPr="0055512B" w:rsidRDefault="00B95B81" w:rsidP="008A76CA">
      <w:pPr>
        <w:spacing w:line="276" w:lineRule="auto"/>
        <w:jc w:val="both"/>
        <w:rPr>
          <w:rFonts w:eastAsia="Arial"/>
        </w:rPr>
      </w:pPr>
      <w:r w:rsidRPr="0055512B">
        <w:rPr>
          <w:rFonts w:eastAsia="Arial"/>
        </w:rPr>
        <w:t>Afin de s’</w:t>
      </w:r>
      <w:r w:rsidR="001D6B7B" w:rsidRPr="0055512B">
        <w:rPr>
          <w:rFonts w:eastAsia="Arial"/>
        </w:rPr>
        <w:t>assurer que tous les aspects et toutes les conditions du Contrat sont respectés, la DINEPA doit également être dotée de mécanismes de gérance fiables et efficaces pour assurer un s</w:t>
      </w:r>
      <w:r w:rsidR="009B4DB1" w:rsidRPr="0055512B">
        <w:rPr>
          <w:rFonts w:eastAsia="Arial"/>
        </w:rPr>
        <w:t>uivi permanent et opportun de l’</w:t>
      </w:r>
      <w:r w:rsidR="001D6B7B" w:rsidRPr="0055512B">
        <w:rPr>
          <w:rFonts w:eastAsia="Arial"/>
        </w:rPr>
        <w:t>action des entités ou des individus engagés, ainsi que de l</w:t>
      </w:r>
      <w:r w:rsidR="009B4DB1" w:rsidRPr="0055512B">
        <w:rPr>
          <w:rFonts w:eastAsia="Arial"/>
        </w:rPr>
        <w:t>’</w:t>
      </w:r>
      <w:r w:rsidR="001D6B7B" w:rsidRPr="0055512B">
        <w:rPr>
          <w:rFonts w:eastAsia="Arial"/>
        </w:rPr>
        <w:t>exécution des cont</w:t>
      </w:r>
      <w:r w:rsidR="009B4DB1" w:rsidRPr="0055512B">
        <w:rPr>
          <w:rFonts w:eastAsia="Arial"/>
        </w:rPr>
        <w:t>rats, et disposer de systèmes d’</w:t>
      </w:r>
      <w:r w:rsidR="001D6B7B" w:rsidRPr="0055512B">
        <w:rPr>
          <w:rFonts w:eastAsia="Arial"/>
        </w:rPr>
        <w:t>administration flexibles qui leur permettent de remplir leurs obligations respectives, tels que la ponctualité dans le versement</w:t>
      </w:r>
      <w:r w:rsidR="009B4DB1" w:rsidRPr="0055512B">
        <w:rPr>
          <w:rFonts w:eastAsia="Arial"/>
        </w:rPr>
        <w:t xml:space="preserve"> des paiements, le traitement d’</w:t>
      </w:r>
      <w:r w:rsidR="001D6B7B" w:rsidRPr="0055512B">
        <w:rPr>
          <w:rFonts w:eastAsia="Arial"/>
        </w:rPr>
        <w:t>éventuelles modifications de la conception ou la prise en compte des réclamations. Un professionnel en ingénierie a été engagé pour cette fonction spécifique.</w:t>
      </w:r>
    </w:p>
    <w:p w14:paraId="4B8278FF" w14:textId="77777777" w:rsidR="001D6B7B" w:rsidRPr="0055512B" w:rsidRDefault="001D6B7B" w:rsidP="008A76CA">
      <w:pPr>
        <w:spacing w:line="276" w:lineRule="auto"/>
        <w:jc w:val="both"/>
        <w:rPr>
          <w:rFonts w:eastAsia="Times New Roman"/>
        </w:rPr>
      </w:pPr>
    </w:p>
    <w:p w14:paraId="6768AAA6" w14:textId="77777777" w:rsidR="001D6B7B" w:rsidRPr="0055512B" w:rsidRDefault="001D6B7B" w:rsidP="008A76CA">
      <w:pPr>
        <w:spacing w:line="276" w:lineRule="auto"/>
        <w:jc w:val="both"/>
        <w:rPr>
          <w:rFonts w:eastAsia="Arial"/>
        </w:rPr>
      </w:pPr>
      <w:r w:rsidRPr="0055512B">
        <w:rPr>
          <w:rFonts w:eastAsia="Arial"/>
        </w:rPr>
        <w:t>Le plan de passation de marchés tel que défini conjointement par la DINEPA et</w:t>
      </w:r>
      <w:r w:rsidR="0043165D" w:rsidRPr="0055512B">
        <w:rPr>
          <w:rFonts w:eastAsia="Arial"/>
        </w:rPr>
        <w:t xml:space="preserve"> la BID </w:t>
      </w:r>
      <w:r w:rsidRPr="0055512B">
        <w:rPr>
          <w:rFonts w:eastAsia="Arial"/>
        </w:rPr>
        <w:t xml:space="preserve">est présenté en </w:t>
      </w:r>
      <w:r w:rsidR="00C91F3F" w:rsidRPr="0055512B">
        <w:rPr>
          <w:rFonts w:eastAsia="Arial"/>
        </w:rPr>
        <w:t>Annexe.</w:t>
      </w:r>
    </w:p>
    <w:p w14:paraId="35677E3E" w14:textId="77777777" w:rsidR="001D6B7B" w:rsidRPr="0055512B" w:rsidRDefault="001D6B7B" w:rsidP="008A76CA">
      <w:pPr>
        <w:spacing w:line="276" w:lineRule="auto"/>
        <w:jc w:val="both"/>
        <w:rPr>
          <w:rFonts w:eastAsia="Times New Roman"/>
        </w:rPr>
      </w:pPr>
    </w:p>
    <w:p w14:paraId="5E62E57E" w14:textId="77777777" w:rsidR="00200F01" w:rsidRPr="0055512B" w:rsidRDefault="001D6B7B" w:rsidP="008A76CA">
      <w:pPr>
        <w:spacing w:line="276" w:lineRule="auto"/>
        <w:jc w:val="both"/>
        <w:rPr>
          <w:rFonts w:eastAsia="Arial"/>
        </w:rPr>
      </w:pPr>
      <w:r w:rsidRPr="0055512B">
        <w:rPr>
          <w:rFonts w:eastAsia="Arial"/>
        </w:rPr>
        <w:t>Ce format identifie les biens, les travaux et les services de consultation qui seront acquis pendant la durée du programme pour soutenir le calendrier de mise en œuvre planifié. Il est organisé sur la base d</w:t>
      </w:r>
      <w:r w:rsidR="00200F01" w:rsidRPr="0055512B">
        <w:rPr>
          <w:rFonts w:eastAsia="Arial"/>
        </w:rPr>
        <w:t>es composantes pour permettre d’</w:t>
      </w:r>
      <w:r w:rsidRPr="0055512B">
        <w:rPr>
          <w:rFonts w:eastAsia="Arial"/>
        </w:rPr>
        <w:t>identifier facilement les besoins des composantes planifiées du programme.</w:t>
      </w:r>
    </w:p>
    <w:p w14:paraId="130AEBDE" w14:textId="77777777" w:rsidR="00200F01" w:rsidRPr="0055512B" w:rsidRDefault="00200F01" w:rsidP="008A76CA">
      <w:pPr>
        <w:spacing w:line="276" w:lineRule="auto"/>
        <w:jc w:val="both"/>
        <w:rPr>
          <w:rFonts w:eastAsia="Times New Roman"/>
        </w:rPr>
      </w:pPr>
    </w:p>
    <w:p w14:paraId="25075601" w14:textId="77777777" w:rsidR="001D6B7B" w:rsidRPr="0055512B" w:rsidRDefault="00B532C6" w:rsidP="008A76CA">
      <w:pPr>
        <w:pStyle w:val="ListParagraph"/>
        <w:numPr>
          <w:ilvl w:val="1"/>
          <w:numId w:val="7"/>
        </w:numPr>
        <w:tabs>
          <w:tab w:val="left" w:pos="720"/>
        </w:tabs>
        <w:spacing w:line="276" w:lineRule="auto"/>
        <w:jc w:val="both"/>
        <w:rPr>
          <w:rFonts w:eastAsia="Arial"/>
          <w:b/>
        </w:rPr>
      </w:pPr>
      <w:r w:rsidRPr="0055512B">
        <w:rPr>
          <w:rFonts w:eastAsia="Arial"/>
          <w:b/>
        </w:rPr>
        <w:t>Le Plan d’Exécution Pluriannuel</w:t>
      </w:r>
      <w:r w:rsidR="001D6B7B" w:rsidRPr="0055512B">
        <w:rPr>
          <w:rFonts w:eastAsia="Arial"/>
          <w:b/>
        </w:rPr>
        <w:t>, le Calendrier d'Exécution, le Budget</w:t>
      </w:r>
    </w:p>
    <w:p w14:paraId="257B1A3D" w14:textId="77777777" w:rsidR="001D6B7B" w:rsidRPr="0055512B" w:rsidRDefault="00B532C6" w:rsidP="008A76CA">
      <w:pPr>
        <w:spacing w:line="276" w:lineRule="auto"/>
        <w:jc w:val="both"/>
        <w:rPr>
          <w:rFonts w:eastAsia="Arial"/>
        </w:rPr>
      </w:pPr>
      <w:r w:rsidRPr="0055512B">
        <w:rPr>
          <w:rFonts w:eastAsia="Arial"/>
        </w:rPr>
        <w:t>Le Plan d´Exécution Pluriannuel</w:t>
      </w:r>
      <w:r w:rsidR="001D6B7B" w:rsidRPr="0055512B">
        <w:rPr>
          <w:rFonts w:eastAsia="Arial"/>
        </w:rPr>
        <w:t xml:space="preserve"> établit le programme d´activités espéré, les responsables, la projection annuelle des dépenses et le budget. Ce plan permet de quantifier les besoins en matière de ressources financières, humaines et logistiques pour la période d´exécution du programme.</w:t>
      </w:r>
    </w:p>
    <w:p w14:paraId="7EAA60A3" w14:textId="77777777" w:rsidR="001D6B7B" w:rsidRPr="0055512B" w:rsidRDefault="001D6B7B" w:rsidP="008A76CA">
      <w:pPr>
        <w:spacing w:line="276" w:lineRule="auto"/>
        <w:jc w:val="both"/>
        <w:rPr>
          <w:rFonts w:eastAsia="Times New Roman"/>
        </w:rPr>
      </w:pPr>
    </w:p>
    <w:p w14:paraId="694A3C2E" w14:textId="77777777" w:rsidR="001D6B7B" w:rsidRPr="0055512B" w:rsidRDefault="001D6B7B" w:rsidP="008A76CA">
      <w:pPr>
        <w:spacing w:line="276" w:lineRule="auto"/>
        <w:jc w:val="both"/>
        <w:rPr>
          <w:rFonts w:eastAsia="Arial"/>
        </w:rPr>
      </w:pPr>
      <w:r w:rsidRPr="0055512B">
        <w:rPr>
          <w:rFonts w:eastAsia="Arial"/>
        </w:rPr>
        <w:t xml:space="preserve">Ce Plan sera la base </w:t>
      </w:r>
      <w:r w:rsidR="00B532C6" w:rsidRPr="0055512B">
        <w:rPr>
          <w:rFonts w:eastAsia="Arial"/>
        </w:rPr>
        <w:t xml:space="preserve">pour la préparation des Plans </w:t>
      </w:r>
      <w:r w:rsidRPr="0055512B">
        <w:rPr>
          <w:rFonts w:eastAsia="Arial"/>
        </w:rPr>
        <w:t>Opération</w:t>
      </w:r>
      <w:r w:rsidR="00B532C6" w:rsidRPr="0055512B">
        <w:rPr>
          <w:rFonts w:eastAsia="Arial"/>
        </w:rPr>
        <w:t>nels</w:t>
      </w:r>
      <w:r w:rsidRPr="0055512B">
        <w:rPr>
          <w:rFonts w:eastAsia="Arial"/>
        </w:rPr>
        <w:t xml:space="preserve"> Annuels et pourra être modifié avec l´approbation de la BID </w:t>
      </w:r>
      <w:r w:rsidR="00200F01" w:rsidRPr="0055512B">
        <w:rPr>
          <w:rFonts w:eastAsia="Arial"/>
        </w:rPr>
        <w:t xml:space="preserve">(en consultation avec l’AECID dans le cas du HA-L1044) </w:t>
      </w:r>
      <w:r w:rsidRPr="0055512B">
        <w:rPr>
          <w:rFonts w:eastAsia="Arial"/>
        </w:rPr>
        <w:t xml:space="preserve">et pourvu </w:t>
      </w:r>
      <w:r w:rsidR="00200F01" w:rsidRPr="0055512B">
        <w:rPr>
          <w:rFonts w:eastAsia="Arial"/>
        </w:rPr>
        <w:t xml:space="preserve">de </w:t>
      </w:r>
      <w:r w:rsidRPr="0055512B">
        <w:rPr>
          <w:rFonts w:eastAsia="Arial"/>
        </w:rPr>
        <w:t>la présentation de la justification correspondante de la part de la DINEPA. Le Plan Opérationnel général</w:t>
      </w:r>
      <w:r w:rsidR="00200F01" w:rsidRPr="0055512B">
        <w:rPr>
          <w:rFonts w:eastAsia="Arial"/>
        </w:rPr>
        <w:t xml:space="preserve"> pour chacun des programmes HA-L1044, HA-L1075 et HA-L1103 </w:t>
      </w:r>
      <w:r w:rsidRPr="0055512B">
        <w:rPr>
          <w:rFonts w:eastAsia="Arial"/>
        </w:rPr>
        <w:t xml:space="preserve"> tel que présenté dans le document du programme approu</w:t>
      </w:r>
      <w:r w:rsidR="00C91F3F" w:rsidRPr="0055512B">
        <w:rPr>
          <w:rFonts w:eastAsia="Arial"/>
        </w:rPr>
        <w:t xml:space="preserve">vé par la BID </w:t>
      </w:r>
      <w:r w:rsidRPr="0055512B">
        <w:rPr>
          <w:rFonts w:eastAsia="Arial"/>
        </w:rPr>
        <w:t>est présenté en</w:t>
      </w:r>
      <w:r w:rsidR="00B532C6" w:rsidRPr="0055512B">
        <w:rPr>
          <w:rFonts w:eastAsia="Arial"/>
        </w:rPr>
        <w:t xml:space="preserve"> </w:t>
      </w:r>
      <w:r w:rsidRPr="0055512B">
        <w:rPr>
          <w:rFonts w:eastAsia="Arial"/>
        </w:rPr>
        <w:t>Annexe</w:t>
      </w:r>
      <w:r w:rsidR="00C91F3F" w:rsidRPr="0055512B">
        <w:rPr>
          <w:rFonts w:eastAsia="Arial"/>
        </w:rPr>
        <w:t>.</w:t>
      </w:r>
    </w:p>
    <w:p w14:paraId="5FF3B15C" w14:textId="77777777" w:rsidR="001D6B7B" w:rsidRPr="0055512B" w:rsidRDefault="001D6B7B" w:rsidP="008A76CA">
      <w:pPr>
        <w:spacing w:line="276" w:lineRule="auto"/>
        <w:jc w:val="both"/>
        <w:rPr>
          <w:rFonts w:eastAsia="Times New Roman"/>
        </w:rPr>
      </w:pPr>
    </w:p>
    <w:p w14:paraId="22E811E8" w14:textId="77777777" w:rsidR="00066C9E" w:rsidRPr="0055512B" w:rsidRDefault="00066C9E" w:rsidP="008A76CA">
      <w:pPr>
        <w:spacing w:line="276" w:lineRule="auto"/>
        <w:jc w:val="both"/>
        <w:rPr>
          <w:rFonts w:eastAsia="Times New Roman"/>
        </w:rPr>
      </w:pPr>
    </w:p>
    <w:p w14:paraId="3C03B1F2" w14:textId="77777777" w:rsidR="001D6B7B" w:rsidRPr="0055512B" w:rsidRDefault="00B532C6" w:rsidP="008A76CA">
      <w:pPr>
        <w:pStyle w:val="ListParagraph"/>
        <w:numPr>
          <w:ilvl w:val="1"/>
          <w:numId w:val="7"/>
        </w:numPr>
        <w:tabs>
          <w:tab w:val="left" w:pos="720"/>
        </w:tabs>
        <w:spacing w:line="276" w:lineRule="auto"/>
        <w:jc w:val="both"/>
        <w:rPr>
          <w:rFonts w:eastAsia="Arial"/>
          <w:b/>
        </w:rPr>
      </w:pPr>
      <w:r w:rsidRPr="0055512B">
        <w:rPr>
          <w:rFonts w:eastAsia="Arial"/>
          <w:b/>
        </w:rPr>
        <w:t xml:space="preserve">Le Plan Opérationnel </w:t>
      </w:r>
      <w:r w:rsidR="001D6B7B" w:rsidRPr="0055512B">
        <w:rPr>
          <w:rFonts w:eastAsia="Arial"/>
          <w:b/>
        </w:rPr>
        <w:t>Annuel (POA)</w:t>
      </w:r>
    </w:p>
    <w:p w14:paraId="74CE6162" w14:textId="77777777" w:rsidR="001D6B7B" w:rsidRPr="0055512B" w:rsidRDefault="00B532C6" w:rsidP="008A76CA">
      <w:pPr>
        <w:spacing w:line="276" w:lineRule="auto"/>
        <w:jc w:val="both"/>
        <w:rPr>
          <w:rFonts w:eastAsia="Arial"/>
        </w:rPr>
      </w:pPr>
      <w:r w:rsidRPr="0055512B">
        <w:rPr>
          <w:rFonts w:eastAsia="Arial"/>
        </w:rPr>
        <w:t xml:space="preserve">Le Plan Opérationnel </w:t>
      </w:r>
      <w:r w:rsidR="001D6B7B" w:rsidRPr="0055512B">
        <w:rPr>
          <w:rFonts w:eastAsia="Arial"/>
        </w:rPr>
        <w:t xml:space="preserve">Annuel (POA) est destiné à </w:t>
      </w:r>
      <w:r w:rsidRPr="0055512B">
        <w:rPr>
          <w:rFonts w:eastAsia="Arial"/>
        </w:rPr>
        <w:t>établir le lien entre le Plan d’Exécution Pluriannuel</w:t>
      </w:r>
      <w:r w:rsidR="001D6B7B" w:rsidRPr="0055512B">
        <w:rPr>
          <w:rFonts w:eastAsia="Arial"/>
        </w:rPr>
        <w:t xml:space="preserve"> du Projet, qui couvre la durée de vie du Projet en termes de ses indicateurs de performance de fin de projet, et les cibles annuelles qui présentent une progression logique de ces objectifs finaux. Il définit les résultats anticipés à partir d</w:t>
      </w:r>
      <w:r w:rsidR="00404E7C" w:rsidRPr="0055512B">
        <w:rPr>
          <w:rFonts w:eastAsia="Arial"/>
        </w:rPr>
        <w:t>’un niveau d’</w:t>
      </w:r>
      <w:r w:rsidR="001D6B7B" w:rsidRPr="0055512B">
        <w:rPr>
          <w:rFonts w:eastAsia="Arial"/>
        </w:rPr>
        <w:t>investisse</w:t>
      </w:r>
      <w:r w:rsidR="00404E7C" w:rsidRPr="0055512B">
        <w:rPr>
          <w:rFonts w:eastAsia="Arial"/>
        </w:rPr>
        <w:t>ments proposé sur une période d’</w:t>
      </w:r>
      <w:r w:rsidR="001D6B7B" w:rsidRPr="0055512B">
        <w:rPr>
          <w:rFonts w:eastAsia="Arial"/>
        </w:rPr>
        <w:t>un an.</w:t>
      </w:r>
    </w:p>
    <w:p w14:paraId="2C7AEFF4" w14:textId="77777777" w:rsidR="001D6B7B" w:rsidRPr="0055512B" w:rsidRDefault="00404E7C" w:rsidP="008A76CA">
      <w:pPr>
        <w:spacing w:line="276" w:lineRule="auto"/>
        <w:jc w:val="both"/>
        <w:rPr>
          <w:rFonts w:eastAsia="Arial"/>
        </w:rPr>
      </w:pPr>
      <w:r w:rsidRPr="0055512B">
        <w:rPr>
          <w:rFonts w:eastAsia="Arial"/>
        </w:rPr>
        <w:t>C’</w:t>
      </w:r>
      <w:r w:rsidR="001D6B7B" w:rsidRPr="0055512B">
        <w:rPr>
          <w:rFonts w:eastAsia="Arial"/>
        </w:rPr>
        <w:t>est un document évolutif mis à jour chaque année, sa première édition devant être fournie lors du séminaire de démarrage en ayant comme ba</w:t>
      </w:r>
      <w:r w:rsidRPr="0055512B">
        <w:rPr>
          <w:rFonts w:eastAsia="Arial"/>
        </w:rPr>
        <w:t xml:space="preserve">se le Plan d’Exécution Pluriannuel </w:t>
      </w:r>
      <w:r w:rsidR="001D6B7B" w:rsidRPr="0055512B">
        <w:rPr>
          <w:rFonts w:eastAsia="Arial"/>
        </w:rPr>
        <w:t>défini ci-dessus.</w:t>
      </w:r>
    </w:p>
    <w:p w14:paraId="03542728" w14:textId="77777777" w:rsidR="001D6B7B" w:rsidRPr="0055512B" w:rsidRDefault="001D6B7B" w:rsidP="008A76CA">
      <w:pPr>
        <w:spacing w:line="276" w:lineRule="auto"/>
        <w:jc w:val="both"/>
        <w:rPr>
          <w:rFonts w:eastAsia="Arial"/>
        </w:rPr>
      </w:pPr>
      <w:r w:rsidRPr="0055512B">
        <w:rPr>
          <w:rFonts w:eastAsia="Arial"/>
        </w:rPr>
        <w:t xml:space="preserve">Le POA constitue </w:t>
      </w:r>
      <w:r w:rsidR="00404E7C" w:rsidRPr="0055512B">
        <w:rPr>
          <w:rFonts w:eastAsia="Arial"/>
        </w:rPr>
        <w:t>la base pour le monitoring et l’</w:t>
      </w:r>
      <w:r w:rsidRPr="0055512B">
        <w:rPr>
          <w:rFonts w:eastAsia="Arial"/>
        </w:rPr>
        <w:t>évaluation par les principaux acteurs qui ont une responsabilité de contrôle, notamment la DINEPA et les Comités de Gestion du Programme, le Ministère des Finances, la BID et la Coopération Espagnole pour l</w:t>
      </w:r>
      <w:r w:rsidR="000D4CFB" w:rsidRPr="0055512B">
        <w:rPr>
          <w:rFonts w:eastAsia="Arial"/>
        </w:rPr>
        <w:t>es rapports sur l’</w:t>
      </w:r>
      <w:r w:rsidRPr="0055512B">
        <w:rPr>
          <w:rFonts w:eastAsia="Arial"/>
        </w:rPr>
        <w:t>état des p</w:t>
      </w:r>
      <w:r w:rsidR="000D4CFB" w:rsidRPr="0055512B">
        <w:rPr>
          <w:rFonts w:eastAsia="Arial"/>
        </w:rPr>
        <w:t>rogrès requis tout au long de l’</w:t>
      </w:r>
      <w:r w:rsidRPr="0055512B">
        <w:rPr>
          <w:rFonts w:eastAsia="Arial"/>
        </w:rPr>
        <w:t>année. Cet instrument est un élément clé du Plan de Supervision pour le Projet.</w:t>
      </w:r>
    </w:p>
    <w:p w14:paraId="4E6ECFE5" w14:textId="77777777" w:rsidR="001D6B7B" w:rsidRPr="0055512B" w:rsidRDefault="006712CA" w:rsidP="008A76CA">
      <w:pPr>
        <w:spacing w:line="276" w:lineRule="auto"/>
        <w:jc w:val="both"/>
        <w:rPr>
          <w:rFonts w:eastAsia="Arial"/>
        </w:rPr>
      </w:pPr>
      <w:r w:rsidRPr="0055512B">
        <w:rPr>
          <w:rFonts w:eastAsia="Arial"/>
        </w:rPr>
        <w:t xml:space="preserve">Les objectifs du Plan Opérationnel </w:t>
      </w:r>
      <w:r w:rsidR="001D6B7B" w:rsidRPr="0055512B">
        <w:rPr>
          <w:rFonts w:eastAsia="Arial"/>
        </w:rPr>
        <w:t>Annuel sont :</w:t>
      </w:r>
    </w:p>
    <w:p w14:paraId="0C2A5E09" w14:textId="77777777" w:rsidR="001D6B7B" w:rsidRPr="0055512B" w:rsidRDefault="001D6B7B" w:rsidP="008A76CA">
      <w:pPr>
        <w:spacing w:line="276" w:lineRule="auto"/>
        <w:jc w:val="both"/>
        <w:rPr>
          <w:rFonts w:eastAsia="Times New Roman"/>
        </w:rPr>
      </w:pPr>
    </w:p>
    <w:p w14:paraId="50664195" w14:textId="77777777" w:rsidR="001D6B7B" w:rsidRPr="0055512B" w:rsidRDefault="000D4CFB" w:rsidP="008A76CA">
      <w:pPr>
        <w:numPr>
          <w:ilvl w:val="0"/>
          <w:numId w:val="30"/>
        </w:numPr>
        <w:tabs>
          <w:tab w:val="left" w:pos="720"/>
        </w:tabs>
        <w:spacing w:line="276" w:lineRule="auto"/>
        <w:ind w:left="720" w:hanging="358"/>
        <w:jc w:val="both"/>
        <w:rPr>
          <w:rFonts w:eastAsia="Arial"/>
        </w:rPr>
      </w:pPr>
      <w:r w:rsidRPr="0055512B">
        <w:rPr>
          <w:rFonts w:eastAsia="Arial"/>
        </w:rPr>
        <w:t>D’</w:t>
      </w:r>
      <w:r w:rsidR="001D6B7B" w:rsidRPr="0055512B">
        <w:rPr>
          <w:rFonts w:eastAsia="Arial"/>
        </w:rPr>
        <w:t>améliorer la g</w:t>
      </w:r>
      <w:r w:rsidRPr="0055512B">
        <w:rPr>
          <w:rFonts w:eastAsia="Arial"/>
        </w:rPr>
        <w:t>estion des projets/programmes d’</w:t>
      </w:r>
      <w:r w:rsidR="001D6B7B" w:rsidRPr="0055512B">
        <w:rPr>
          <w:rFonts w:eastAsia="Arial"/>
        </w:rPr>
        <w:t>investissement en fournissant à toutes les parties prenant</w:t>
      </w:r>
      <w:r w:rsidRPr="0055512B">
        <w:rPr>
          <w:rFonts w:eastAsia="Arial"/>
        </w:rPr>
        <w:t>es une perspective claire sur l’exécution du projet pour l’</w:t>
      </w:r>
      <w:r w:rsidR="001D6B7B" w:rsidRPr="0055512B">
        <w:rPr>
          <w:rFonts w:eastAsia="Arial"/>
        </w:rPr>
        <w:t>année en question.</w:t>
      </w:r>
    </w:p>
    <w:p w14:paraId="7DEEC173" w14:textId="77777777" w:rsidR="001D6B7B" w:rsidRPr="0055512B" w:rsidRDefault="001D6B7B" w:rsidP="008A76CA">
      <w:pPr>
        <w:spacing w:line="276" w:lineRule="auto"/>
        <w:jc w:val="both"/>
        <w:rPr>
          <w:rFonts w:eastAsia="Arial"/>
        </w:rPr>
      </w:pPr>
    </w:p>
    <w:p w14:paraId="4B804E31" w14:textId="77777777" w:rsidR="001D6B7B" w:rsidRPr="0055512B" w:rsidRDefault="001D6B7B" w:rsidP="008A76CA">
      <w:pPr>
        <w:numPr>
          <w:ilvl w:val="0"/>
          <w:numId w:val="30"/>
        </w:numPr>
        <w:tabs>
          <w:tab w:val="left" w:pos="720"/>
        </w:tabs>
        <w:spacing w:line="276" w:lineRule="auto"/>
        <w:ind w:left="720" w:hanging="358"/>
        <w:jc w:val="both"/>
        <w:rPr>
          <w:rFonts w:eastAsia="Arial"/>
        </w:rPr>
      </w:pPr>
      <w:r w:rsidRPr="0055512B">
        <w:rPr>
          <w:rFonts w:eastAsia="Arial"/>
        </w:rPr>
        <w:lastRenderedPageBreak/>
        <w:t xml:space="preserve">De fournir des informations précises qui permettront aux décideurs du Ministère des Finances, de la BID </w:t>
      </w:r>
      <w:r w:rsidR="001A52ED" w:rsidRPr="0055512B">
        <w:rPr>
          <w:rFonts w:eastAsia="Arial"/>
        </w:rPr>
        <w:t>(</w:t>
      </w:r>
      <w:r w:rsidRPr="0055512B">
        <w:rPr>
          <w:rFonts w:eastAsia="Arial"/>
        </w:rPr>
        <w:t>et de la Coopération Espagnole</w:t>
      </w:r>
      <w:r w:rsidR="001A52ED" w:rsidRPr="0055512B">
        <w:rPr>
          <w:rFonts w:eastAsia="Arial"/>
        </w:rPr>
        <w:t xml:space="preserve"> dans le cas du HA-L1044)</w:t>
      </w:r>
      <w:r w:rsidRPr="0055512B">
        <w:rPr>
          <w:rFonts w:eastAsia="Arial"/>
        </w:rPr>
        <w:t xml:space="preserve"> de prendre les meilleures</w:t>
      </w:r>
      <w:r w:rsidR="000D4CFB" w:rsidRPr="0055512B">
        <w:rPr>
          <w:rFonts w:eastAsia="Arial"/>
        </w:rPr>
        <w:t xml:space="preserve"> décisions sur les ressources d’</w:t>
      </w:r>
      <w:r w:rsidRPr="0055512B">
        <w:rPr>
          <w:rFonts w:eastAsia="Arial"/>
        </w:rPr>
        <w:t>i</w:t>
      </w:r>
      <w:r w:rsidR="000D4CFB" w:rsidRPr="0055512B">
        <w:rPr>
          <w:rFonts w:eastAsia="Arial"/>
        </w:rPr>
        <w:t>nvestissements à allouer pour l’</w:t>
      </w:r>
      <w:r w:rsidRPr="0055512B">
        <w:rPr>
          <w:rFonts w:eastAsia="Arial"/>
        </w:rPr>
        <w:t>année en question.</w:t>
      </w:r>
    </w:p>
    <w:p w14:paraId="1444798E" w14:textId="77777777" w:rsidR="001D6B7B" w:rsidRPr="0055512B" w:rsidRDefault="001D6B7B" w:rsidP="008A76CA">
      <w:pPr>
        <w:spacing w:line="276" w:lineRule="auto"/>
        <w:jc w:val="both"/>
        <w:rPr>
          <w:rFonts w:eastAsia="Times New Roman"/>
        </w:rPr>
      </w:pPr>
    </w:p>
    <w:p w14:paraId="21F80891" w14:textId="77777777" w:rsidR="000D4CFB" w:rsidRPr="0055512B" w:rsidRDefault="000D4CFB" w:rsidP="008A76CA">
      <w:pPr>
        <w:spacing w:line="276" w:lineRule="auto"/>
        <w:jc w:val="both"/>
        <w:rPr>
          <w:rFonts w:eastAsia="Arial"/>
        </w:rPr>
      </w:pPr>
    </w:p>
    <w:p w14:paraId="436D5D32" w14:textId="77777777" w:rsidR="001D6B7B" w:rsidRPr="0055512B" w:rsidRDefault="001D6B7B" w:rsidP="008A76CA">
      <w:pPr>
        <w:spacing w:line="276" w:lineRule="auto"/>
        <w:jc w:val="both"/>
        <w:rPr>
          <w:rFonts w:eastAsia="Arial"/>
        </w:rPr>
      </w:pPr>
      <w:r w:rsidRPr="0055512B">
        <w:rPr>
          <w:rFonts w:eastAsia="Arial"/>
        </w:rPr>
        <w:t>Pour la préparation du POA la responsabilité première est celle de la DINEPA. Le</w:t>
      </w:r>
      <w:r w:rsidR="000D4CFB" w:rsidRPr="0055512B">
        <w:rPr>
          <w:rFonts w:eastAsia="Arial"/>
        </w:rPr>
        <w:t xml:space="preserve"> Coordonnateur du Projet en a l’</w:t>
      </w:r>
      <w:r w:rsidRPr="0055512B">
        <w:rPr>
          <w:rFonts w:eastAsia="Arial"/>
        </w:rPr>
        <w:t>ultime responsabilité mais la prépar</w:t>
      </w:r>
      <w:r w:rsidR="000D4CFB" w:rsidRPr="0055512B">
        <w:rPr>
          <w:rFonts w:eastAsia="Arial"/>
        </w:rPr>
        <w:t>ation exige une approche d’</w:t>
      </w:r>
      <w:r w:rsidRPr="0055512B">
        <w:rPr>
          <w:rFonts w:eastAsia="Arial"/>
        </w:rPr>
        <w:t>équipe impliquant l</w:t>
      </w:r>
      <w:r w:rsidR="000D4CFB" w:rsidRPr="0055512B">
        <w:rPr>
          <w:rFonts w:eastAsia="Arial"/>
        </w:rPr>
        <w:t>e personnel clé. Il faudrait qu’</w:t>
      </w:r>
      <w:r w:rsidRPr="0055512B">
        <w:rPr>
          <w:rFonts w:eastAsia="Arial"/>
        </w:rPr>
        <w:t>une seule personne soit responsable de la consolidation des composantes individuelles du POA pour en faire un seul document intégré.</w:t>
      </w:r>
    </w:p>
    <w:p w14:paraId="559D1BAF" w14:textId="77777777" w:rsidR="001D6B7B" w:rsidRPr="0055512B" w:rsidRDefault="001D6B7B" w:rsidP="008A76CA">
      <w:pPr>
        <w:spacing w:line="276" w:lineRule="auto"/>
        <w:jc w:val="both"/>
        <w:rPr>
          <w:rFonts w:eastAsia="Times New Roman"/>
        </w:rPr>
      </w:pPr>
    </w:p>
    <w:p w14:paraId="073BDE39" w14:textId="77777777" w:rsidR="001D6B7B" w:rsidRPr="0055512B" w:rsidRDefault="001A52ED" w:rsidP="008A76CA">
      <w:pPr>
        <w:spacing w:line="276" w:lineRule="auto"/>
        <w:jc w:val="both"/>
        <w:rPr>
          <w:rFonts w:eastAsia="Arial"/>
        </w:rPr>
      </w:pPr>
      <w:r w:rsidRPr="0055512B">
        <w:rPr>
          <w:rFonts w:eastAsia="Arial"/>
        </w:rPr>
        <w:t xml:space="preserve">Le Directeur Général </w:t>
      </w:r>
      <w:r w:rsidR="001D6B7B" w:rsidRPr="0055512B">
        <w:rPr>
          <w:rFonts w:eastAsia="Arial"/>
        </w:rPr>
        <w:t xml:space="preserve">de la DINEPA doit approuver le Plan </w:t>
      </w:r>
      <w:r w:rsidR="000D4CFB" w:rsidRPr="0055512B">
        <w:rPr>
          <w:rFonts w:eastAsia="Arial"/>
        </w:rPr>
        <w:t xml:space="preserve">Opérationnel Annuel </w:t>
      </w:r>
      <w:r w:rsidR="001D6B7B" w:rsidRPr="0055512B">
        <w:rPr>
          <w:rFonts w:eastAsia="Arial"/>
        </w:rPr>
        <w:t xml:space="preserve"> avant sa soumission à la BID.</w:t>
      </w:r>
      <w:r w:rsidR="000D4CFB" w:rsidRPr="0055512B">
        <w:rPr>
          <w:rFonts w:eastAsia="Arial"/>
        </w:rPr>
        <w:t xml:space="preserve"> La BID, (en consultation avec l’</w:t>
      </w:r>
      <w:r w:rsidR="001D6B7B" w:rsidRPr="0055512B">
        <w:rPr>
          <w:rFonts w:eastAsia="Arial"/>
        </w:rPr>
        <w:t>AECID</w:t>
      </w:r>
      <w:r w:rsidR="000D4CFB" w:rsidRPr="0055512B">
        <w:rPr>
          <w:rFonts w:eastAsia="Arial"/>
        </w:rPr>
        <w:t xml:space="preserve"> dans le cas du HA-L1044), a l’ultime autorité d’approuver le POA et d’</w:t>
      </w:r>
      <w:r w:rsidR="001D6B7B" w:rsidRPr="0055512B">
        <w:rPr>
          <w:rFonts w:eastAsia="Arial"/>
        </w:rPr>
        <w:t xml:space="preserve">émettre un avis de « non </w:t>
      </w:r>
      <w:r w:rsidR="000D4CFB" w:rsidRPr="0055512B">
        <w:rPr>
          <w:rFonts w:eastAsia="Arial"/>
        </w:rPr>
        <w:t>objection » avant le début de l’</w:t>
      </w:r>
      <w:r w:rsidR="001D6B7B" w:rsidRPr="0055512B">
        <w:rPr>
          <w:rFonts w:eastAsia="Arial"/>
        </w:rPr>
        <w:t>année de mise en œuvre.</w:t>
      </w:r>
    </w:p>
    <w:p w14:paraId="1EC8D56D" w14:textId="77777777" w:rsidR="001D6B7B" w:rsidRPr="0055512B" w:rsidRDefault="001D6B7B" w:rsidP="008A76CA">
      <w:pPr>
        <w:spacing w:line="276" w:lineRule="auto"/>
        <w:jc w:val="both"/>
        <w:rPr>
          <w:rFonts w:eastAsia="Times New Roman"/>
        </w:rPr>
      </w:pPr>
    </w:p>
    <w:p w14:paraId="19B06A3A" w14:textId="77777777" w:rsidR="001D6B7B" w:rsidRPr="0055512B" w:rsidRDefault="001D6B7B" w:rsidP="008A76CA">
      <w:pPr>
        <w:spacing w:line="276" w:lineRule="auto"/>
        <w:jc w:val="both"/>
        <w:rPr>
          <w:rFonts w:eastAsia="Arial"/>
        </w:rPr>
      </w:pPr>
      <w:r w:rsidRPr="0055512B">
        <w:rPr>
          <w:rFonts w:eastAsia="Arial"/>
        </w:rPr>
        <w:t>Le POA doit suivre une séquence logique à commencer par une identification de la portion des activités, des résultats connexes et des rendements dont la réa</w:t>
      </w:r>
      <w:r w:rsidR="007A00E1" w:rsidRPr="0055512B">
        <w:rPr>
          <w:rFonts w:eastAsia="Arial"/>
        </w:rPr>
        <w:t>lisation est anticipée durant l’</w:t>
      </w:r>
      <w:r w:rsidRPr="0055512B">
        <w:rPr>
          <w:rFonts w:eastAsia="Arial"/>
        </w:rPr>
        <w:t xml:space="preserve">année </w:t>
      </w:r>
      <w:r w:rsidR="007A00E1" w:rsidRPr="0055512B">
        <w:rPr>
          <w:rFonts w:eastAsia="Arial"/>
        </w:rPr>
        <w:t>en question et les éléments qu’i</w:t>
      </w:r>
      <w:r w:rsidRPr="0055512B">
        <w:rPr>
          <w:rFonts w:eastAsia="Arial"/>
        </w:rPr>
        <w:t>l faut pour les réaliser. Il sera donc composé de:</w:t>
      </w:r>
    </w:p>
    <w:p w14:paraId="1FE7EC51" w14:textId="77777777" w:rsidR="001D6B7B" w:rsidRPr="0055512B" w:rsidRDefault="001D6B7B" w:rsidP="008A76CA">
      <w:pPr>
        <w:spacing w:line="276" w:lineRule="auto"/>
        <w:jc w:val="both"/>
        <w:rPr>
          <w:rFonts w:eastAsia="Times New Roman"/>
        </w:rPr>
      </w:pPr>
    </w:p>
    <w:p w14:paraId="1F61B093" w14:textId="77777777" w:rsidR="001D6B7B" w:rsidRPr="0055512B" w:rsidRDefault="001D6B7B" w:rsidP="008A76CA">
      <w:pPr>
        <w:numPr>
          <w:ilvl w:val="0"/>
          <w:numId w:val="31"/>
        </w:numPr>
        <w:tabs>
          <w:tab w:val="left" w:pos="720"/>
        </w:tabs>
        <w:spacing w:line="276" w:lineRule="auto"/>
        <w:ind w:left="720" w:hanging="358"/>
        <w:jc w:val="both"/>
        <w:rPr>
          <w:rFonts w:eastAsia="Arial"/>
        </w:rPr>
      </w:pPr>
      <w:r w:rsidRPr="0055512B">
        <w:rPr>
          <w:rFonts w:eastAsia="Arial"/>
        </w:rPr>
        <w:t>Calendrier de Mise en Œuvre de projet révisé pour la durée de vie du projet</w:t>
      </w:r>
    </w:p>
    <w:p w14:paraId="01BFC662" w14:textId="77777777" w:rsidR="001D6B7B" w:rsidRPr="0055512B" w:rsidRDefault="001D6B7B" w:rsidP="008A76CA">
      <w:pPr>
        <w:spacing w:line="276" w:lineRule="auto"/>
        <w:jc w:val="both"/>
        <w:rPr>
          <w:rFonts w:eastAsia="Arial"/>
        </w:rPr>
      </w:pPr>
    </w:p>
    <w:p w14:paraId="352A3BF3" w14:textId="77777777" w:rsidR="001D6B7B" w:rsidRPr="0055512B" w:rsidRDefault="001D6B7B" w:rsidP="008A76CA">
      <w:pPr>
        <w:numPr>
          <w:ilvl w:val="0"/>
          <w:numId w:val="31"/>
        </w:numPr>
        <w:tabs>
          <w:tab w:val="left" w:pos="720"/>
        </w:tabs>
        <w:spacing w:line="276" w:lineRule="auto"/>
        <w:ind w:left="720" w:hanging="358"/>
        <w:jc w:val="both"/>
        <w:rPr>
          <w:rFonts w:eastAsia="Arial"/>
        </w:rPr>
      </w:pPr>
      <w:r w:rsidRPr="0055512B">
        <w:rPr>
          <w:rFonts w:eastAsia="Arial"/>
        </w:rPr>
        <w:t>La liste des Rendement</w:t>
      </w:r>
      <w:r w:rsidR="006368BB" w:rsidRPr="0055512B">
        <w:rPr>
          <w:rFonts w:eastAsia="Arial"/>
        </w:rPr>
        <w:t>s Anticipés et Résultats pour l’</w:t>
      </w:r>
      <w:r w:rsidRPr="0055512B">
        <w:rPr>
          <w:rFonts w:eastAsia="Arial"/>
        </w:rPr>
        <w:t>Année</w:t>
      </w:r>
    </w:p>
    <w:p w14:paraId="304AA269" w14:textId="77777777" w:rsidR="001D6B7B" w:rsidRPr="0055512B" w:rsidRDefault="001D6B7B" w:rsidP="008A76CA">
      <w:pPr>
        <w:spacing w:line="276" w:lineRule="auto"/>
        <w:jc w:val="both"/>
        <w:rPr>
          <w:rFonts w:eastAsia="Arial"/>
        </w:rPr>
      </w:pPr>
    </w:p>
    <w:p w14:paraId="3A456B6A" w14:textId="77777777" w:rsidR="001D6B7B" w:rsidRPr="0055512B" w:rsidRDefault="001D6B7B" w:rsidP="008A76CA">
      <w:pPr>
        <w:numPr>
          <w:ilvl w:val="0"/>
          <w:numId w:val="31"/>
        </w:numPr>
        <w:tabs>
          <w:tab w:val="left" w:pos="720"/>
        </w:tabs>
        <w:spacing w:line="276" w:lineRule="auto"/>
        <w:ind w:left="720" w:hanging="358"/>
        <w:jc w:val="both"/>
        <w:rPr>
          <w:rFonts w:eastAsia="Arial"/>
        </w:rPr>
      </w:pPr>
      <w:r w:rsidRPr="0055512B">
        <w:rPr>
          <w:rFonts w:eastAsia="Arial"/>
        </w:rPr>
        <w:t>La liste des Activités et Calendrier de Mise en Œuvre</w:t>
      </w:r>
    </w:p>
    <w:p w14:paraId="1436901C" w14:textId="77777777" w:rsidR="001D6B7B" w:rsidRPr="0055512B" w:rsidRDefault="001D6B7B" w:rsidP="008A76CA">
      <w:pPr>
        <w:spacing w:line="276" w:lineRule="auto"/>
        <w:jc w:val="both"/>
        <w:rPr>
          <w:rFonts w:eastAsia="Arial"/>
        </w:rPr>
      </w:pPr>
    </w:p>
    <w:p w14:paraId="0C434A68" w14:textId="77777777" w:rsidR="001D6B7B" w:rsidRPr="0055512B" w:rsidRDefault="001D6B7B" w:rsidP="008A76CA">
      <w:pPr>
        <w:numPr>
          <w:ilvl w:val="0"/>
          <w:numId w:val="31"/>
        </w:numPr>
        <w:tabs>
          <w:tab w:val="left" w:pos="720"/>
        </w:tabs>
        <w:spacing w:line="276" w:lineRule="auto"/>
        <w:ind w:left="720" w:hanging="358"/>
        <w:jc w:val="both"/>
        <w:rPr>
          <w:rFonts w:eastAsia="Arial"/>
        </w:rPr>
      </w:pPr>
      <w:r w:rsidRPr="0055512B">
        <w:rPr>
          <w:rFonts w:eastAsia="Arial"/>
        </w:rPr>
        <w:t>Le Plan de Passation de Marchés - la dernière actualisation semestrielle sera jointe au POA</w:t>
      </w:r>
    </w:p>
    <w:p w14:paraId="0C8A2F28" w14:textId="77777777" w:rsidR="001D6B7B" w:rsidRPr="0055512B" w:rsidRDefault="001D6B7B" w:rsidP="008A76CA">
      <w:pPr>
        <w:spacing w:line="276" w:lineRule="auto"/>
        <w:jc w:val="both"/>
        <w:rPr>
          <w:rFonts w:eastAsia="Arial"/>
        </w:rPr>
      </w:pPr>
    </w:p>
    <w:p w14:paraId="2DD40541" w14:textId="12A351EB" w:rsidR="00E320DF" w:rsidRPr="00922848" w:rsidRDefault="001D6B7B" w:rsidP="008A76CA">
      <w:pPr>
        <w:numPr>
          <w:ilvl w:val="0"/>
          <w:numId w:val="31"/>
        </w:numPr>
        <w:tabs>
          <w:tab w:val="left" w:pos="720"/>
        </w:tabs>
        <w:spacing w:line="276" w:lineRule="auto"/>
        <w:ind w:left="720" w:hanging="358"/>
        <w:jc w:val="both"/>
        <w:rPr>
          <w:rFonts w:eastAsia="Arial"/>
        </w:rPr>
      </w:pPr>
      <w:r w:rsidRPr="0055512B">
        <w:rPr>
          <w:rFonts w:eastAsia="Arial"/>
        </w:rPr>
        <w:t>Les Projections Budgétaires et de Décaissement</w:t>
      </w:r>
    </w:p>
    <w:p w14:paraId="39DA5E43" w14:textId="77777777" w:rsidR="00E320DF" w:rsidRPr="0055512B" w:rsidRDefault="00E320DF" w:rsidP="008A76CA">
      <w:pPr>
        <w:spacing w:line="276" w:lineRule="auto"/>
        <w:jc w:val="both"/>
        <w:rPr>
          <w:rFonts w:eastAsia="Times New Roman"/>
        </w:rPr>
      </w:pPr>
    </w:p>
    <w:p w14:paraId="7191EE6E" w14:textId="77777777" w:rsidR="001D6B7B" w:rsidRPr="0055512B" w:rsidRDefault="001D6B7B" w:rsidP="008A76CA">
      <w:pPr>
        <w:pStyle w:val="ListParagraph"/>
        <w:numPr>
          <w:ilvl w:val="1"/>
          <w:numId w:val="7"/>
        </w:numPr>
        <w:tabs>
          <w:tab w:val="left" w:pos="580"/>
        </w:tabs>
        <w:spacing w:line="276" w:lineRule="auto"/>
        <w:jc w:val="both"/>
        <w:rPr>
          <w:rFonts w:eastAsia="Arial"/>
          <w:b/>
        </w:rPr>
      </w:pPr>
      <w:r w:rsidRPr="0055512B">
        <w:rPr>
          <w:rFonts w:eastAsia="Arial"/>
          <w:b/>
        </w:rPr>
        <w:t>CHRONOGRAMME D’EXECUTION DES CONTRATS</w:t>
      </w:r>
    </w:p>
    <w:p w14:paraId="0674ECC6" w14:textId="77777777" w:rsidR="001D6B7B" w:rsidRPr="0055512B" w:rsidRDefault="001D6B7B" w:rsidP="008A76CA">
      <w:pPr>
        <w:spacing w:line="276" w:lineRule="auto"/>
        <w:jc w:val="both"/>
        <w:rPr>
          <w:rFonts w:eastAsia="Times New Roman"/>
        </w:rPr>
      </w:pPr>
    </w:p>
    <w:p w14:paraId="4EAC1051" w14:textId="77777777" w:rsidR="001D6B7B" w:rsidRPr="0055512B" w:rsidRDefault="001D6B7B" w:rsidP="008A76CA">
      <w:pPr>
        <w:spacing w:line="276" w:lineRule="auto"/>
        <w:jc w:val="both"/>
        <w:rPr>
          <w:rFonts w:eastAsia="Arial"/>
        </w:rPr>
      </w:pPr>
      <w:r w:rsidRPr="0055512B">
        <w:rPr>
          <w:rFonts w:eastAsia="Arial"/>
        </w:rPr>
        <w:t>Un chronogramme, actualisé tous les</w:t>
      </w:r>
      <w:r w:rsidR="00C91F3F" w:rsidRPr="0055512B">
        <w:rPr>
          <w:rFonts w:eastAsia="Arial"/>
        </w:rPr>
        <w:t xml:space="preserve"> 6 mois, sera demandé au CTE-RMPP</w:t>
      </w:r>
      <w:r w:rsidR="006368BB" w:rsidRPr="0055512B">
        <w:rPr>
          <w:rFonts w:eastAsia="Arial"/>
        </w:rPr>
        <w:t xml:space="preserve"> par la BID. Ce Chronogramme d’</w:t>
      </w:r>
      <w:r w:rsidRPr="0055512B">
        <w:rPr>
          <w:rFonts w:eastAsia="Arial"/>
        </w:rPr>
        <w:t>Exécutions sera relié au Plan Opérationnel Annuel et au Plan de Passation de Marchés du Programme, devra établir des objectifs identifiables et lister les progrès de façon</w:t>
      </w:r>
      <w:r w:rsidR="00AA7FAD" w:rsidRPr="0055512B">
        <w:rPr>
          <w:rFonts w:eastAsia="Arial"/>
        </w:rPr>
        <w:t xml:space="preserve"> </w:t>
      </w:r>
      <w:r w:rsidRPr="0055512B">
        <w:rPr>
          <w:rFonts w:eastAsia="Arial"/>
        </w:rPr>
        <w:t>systématique et permanente, afin de détecter les possibles déviations par rappo</w:t>
      </w:r>
      <w:r w:rsidR="00AA7FAD" w:rsidRPr="0055512B">
        <w:rPr>
          <w:rFonts w:eastAsia="Arial"/>
        </w:rPr>
        <w:t>rt aux buts fixés et recevoir l’information opportune quant à l’impact d’</w:t>
      </w:r>
      <w:r w:rsidRPr="0055512B">
        <w:rPr>
          <w:rFonts w:eastAsia="Arial"/>
        </w:rPr>
        <w:t xml:space="preserve">éventuels </w:t>
      </w:r>
      <w:r w:rsidRPr="0055512B">
        <w:rPr>
          <w:rFonts w:eastAsia="Arial"/>
        </w:rPr>
        <w:lastRenderedPageBreak/>
        <w:t>retards. Il montrera, au minimum, les projections trimestrielles de décaissement en se basant sur les modalités de paiement prévisionnelles indiquées dans les contrats (avances de paiement, décomptes, restitution des cautions).</w:t>
      </w:r>
    </w:p>
    <w:p w14:paraId="39FAC998" w14:textId="77777777" w:rsidR="001D6B7B" w:rsidRPr="0055512B" w:rsidRDefault="001D6B7B" w:rsidP="008A76CA">
      <w:pPr>
        <w:spacing w:line="276" w:lineRule="auto"/>
        <w:jc w:val="both"/>
        <w:rPr>
          <w:rFonts w:eastAsia="Times New Roman"/>
        </w:rPr>
      </w:pPr>
    </w:p>
    <w:p w14:paraId="6514A1B6" w14:textId="77777777" w:rsidR="001D6B7B" w:rsidRPr="0055512B" w:rsidRDefault="001D6B7B" w:rsidP="001950BE">
      <w:pPr>
        <w:spacing w:line="276" w:lineRule="auto"/>
        <w:ind w:left="8"/>
        <w:rPr>
          <w:rFonts w:eastAsia="Arial"/>
        </w:rPr>
      </w:pPr>
      <w:r w:rsidRPr="0055512B">
        <w:rPr>
          <w:rFonts w:eastAsia="Arial"/>
        </w:rPr>
        <w:t>Ce chronogramme devra être cohérent avec le plan de passation de marchés auquel il pourra être rattaché (fichiers électroniques liés).</w:t>
      </w:r>
    </w:p>
    <w:p w14:paraId="638CA69F" w14:textId="77777777" w:rsidR="001D6B7B" w:rsidRPr="0055512B" w:rsidRDefault="001D6B7B" w:rsidP="001950BE">
      <w:pPr>
        <w:spacing w:line="276" w:lineRule="auto"/>
        <w:rPr>
          <w:rFonts w:eastAsia="Times New Roman"/>
        </w:rPr>
      </w:pPr>
    </w:p>
    <w:p w14:paraId="44630622" w14:textId="50AB4AAF" w:rsidR="001D6B7B" w:rsidRPr="00922848" w:rsidRDefault="001D6B7B" w:rsidP="00922848">
      <w:pPr>
        <w:spacing w:line="276" w:lineRule="auto"/>
        <w:ind w:left="8"/>
        <w:jc w:val="both"/>
        <w:rPr>
          <w:rFonts w:eastAsia="Arial"/>
        </w:rPr>
      </w:pPr>
      <w:r w:rsidRPr="0055512B">
        <w:rPr>
          <w:rFonts w:eastAsia="Arial"/>
        </w:rPr>
        <w:t>Il est également nécessaire de disposer d</w:t>
      </w:r>
      <w:r w:rsidR="00C87D4E" w:rsidRPr="0055512B">
        <w:rPr>
          <w:rFonts w:ascii="Times New Roman" w:eastAsia="Arial" w:hAnsi="Times New Roman" w:cs="Times New Roman"/>
        </w:rPr>
        <w:t>’</w:t>
      </w:r>
      <w:r w:rsidRPr="0055512B">
        <w:rPr>
          <w:rFonts w:eastAsia="Arial"/>
        </w:rPr>
        <w:t>un Chronogramme, idéalement le même que le chronogramme d</w:t>
      </w:r>
      <w:r w:rsidR="00C87D4E" w:rsidRPr="0055512B">
        <w:rPr>
          <w:rFonts w:ascii="Times New Roman" w:eastAsia="Arial" w:hAnsi="Times New Roman" w:cs="Times New Roman"/>
        </w:rPr>
        <w:t>’</w:t>
      </w:r>
      <w:r w:rsidRPr="0055512B">
        <w:rPr>
          <w:rFonts w:eastAsia="Arial"/>
        </w:rPr>
        <w:t>exécution des contrats, mesurant l</w:t>
      </w:r>
      <w:r w:rsidR="00C87D4E" w:rsidRPr="0055512B">
        <w:rPr>
          <w:rFonts w:ascii="Times New Roman" w:eastAsia="Arial" w:hAnsi="Times New Roman" w:cs="Times New Roman"/>
        </w:rPr>
        <w:t>’</w:t>
      </w:r>
      <w:r w:rsidRPr="0055512B">
        <w:rPr>
          <w:rFonts w:eastAsia="Arial"/>
        </w:rPr>
        <w:t>Avancement Physico-Financier du Contrat, afin de contrôler l</w:t>
      </w:r>
      <w:r w:rsidR="00C87D4E" w:rsidRPr="0055512B">
        <w:rPr>
          <w:rFonts w:ascii="Times New Roman" w:eastAsia="Arial" w:hAnsi="Times New Roman" w:cs="Times New Roman"/>
        </w:rPr>
        <w:t>’</w:t>
      </w:r>
      <w:r w:rsidRPr="0055512B">
        <w:rPr>
          <w:rFonts w:eastAsia="Arial"/>
        </w:rPr>
        <w:t xml:space="preserve">exécution de chaque contrat en particulier. Dans ce Chronogramme, les dates auxquelles doivent se produire certains événements sont signalées mais aussi les dates de livraison des produits, de même que les flux de </w:t>
      </w:r>
      <w:r w:rsidR="00C91F3F" w:rsidRPr="0055512B">
        <w:rPr>
          <w:rFonts w:eastAsia="Arial"/>
        </w:rPr>
        <w:t xml:space="preserve">décaissements prévus. Le CTE-RMPP </w:t>
      </w:r>
      <w:r w:rsidRPr="0055512B">
        <w:rPr>
          <w:rFonts w:eastAsia="Arial"/>
        </w:rPr>
        <w:t>doit recevoir des rapports sur les progrès et les enregistrer, au moins sur une base mensuelle, afin de pouvoir vérifier que les objectifs sont bien atteints, analyser la cause des retards, s</w:t>
      </w:r>
      <w:r w:rsidR="00C87D4E" w:rsidRPr="0055512B">
        <w:rPr>
          <w:rFonts w:ascii="Times New Roman" w:eastAsia="Arial" w:hAnsi="Times New Roman" w:cs="Times New Roman"/>
        </w:rPr>
        <w:t>’</w:t>
      </w:r>
      <w:r w:rsidRPr="0055512B">
        <w:rPr>
          <w:rFonts w:eastAsia="Arial"/>
        </w:rPr>
        <w:t>il y en avait, déterminer les mesures correctives à adopter et programmer à nouveau le chronogramme d</w:t>
      </w:r>
      <w:r w:rsidR="00C87D4E" w:rsidRPr="0055512B">
        <w:rPr>
          <w:rFonts w:ascii="Times New Roman" w:eastAsia="Arial" w:hAnsi="Times New Roman" w:cs="Times New Roman"/>
        </w:rPr>
        <w:t>’</w:t>
      </w:r>
      <w:r w:rsidRPr="0055512B">
        <w:rPr>
          <w:rFonts w:eastAsia="Arial"/>
        </w:rPr>
        <w:t>exécution, le Plan Opérationnel Annuel (POA) et le Plan de Passation de Marchés, et solliciter pour ce faire, la “Non Objection” de la Banque. Si les retards sont imputables au fournisseur, entrepreneur ou exécuteur des services pour lesquels est passé l</w:t>
      </w:r>
      <w:r w:rsidR="00C87D4E" w:rsidRPr="0055512B">
        <w:rPr>
          <w:rFonts w:ascii="Times New Roman" w:eastAsia="Arial" w:hAnsi="Times New Roman" w:cs="Times New Roman"/>
        </w:rPr>
        <w:t>’</w:t>
      </w:r>
      <w:r w:rsidRPr="0055512B">
        <w:rPr>
          <w:rFonts w:eastAsia="Arial"/>
        </w:rPr>
        <w:t>Appel d</w:t>
      </w:r>
      <w:r w:rsidR="00C87D4E" w:rsidRPr="0055512B">
        <w:rPr>
          <w:rFonts w:ascii="Times New Roman" w:eastAsia="Arial" w:hAnsi="Times New Roman" w:cs="Times New Roman"/>
        </w:rPr>
        <w:t>’</w:t>
      </w:r>
      <w:r w:rsidRPr="0055512B">
        <w:rPr>
          <w:rFonts w:eastAsia="Arial"/>
        </w:rPr>
        <w:t>Offres, et ont pour conséquence de plus longs délais, et/ou impliquent des coûts pour le Contractant, ce dernier appliquera à l</w:t>
      </w:r>
      <w:r w:rsidR="00C87D4E" w:rsidRPr="0055512B">
        <w:rPr>
          <w:rFonts w:ascii="Times New Roman" w:eastAsia="Arial" w:hAnsi="Times New Roman" w:cs="Times New Roman"/>
        </w:rPr>
        <w:t>’</w:t>
      </w:r>
      <w:r w:rsidRPr="0055512B">
        <w:rPr>
          <w:rFonts w:eastAsia="Arial"/>
        </w:rPr>
        <w:t>Entrepreneur les sanctions prévues dans ses contrats.</w:t>
      </w:r>
    </w:p>
    <w:p w14:paraId="25EF1E8B" w14:textId="77777777" w:rsidR="001D6B7B" w:rsidRPr="0055512B" w:rsidRDefault="001D6B7B" w:rsidP="008A76CA">
      <w:pPr>
        <w:spacing w:line="276" w:lineRule="auto"/>
        <w:jc w:val="both"/>
        <w:rPr>
          <w:rFonts w:eastAsia="Times New Roman"/>
        </w:rPr>
      </w:pPr>
    </w:p>
    <w:p w14:paraId="61738C51" w14:textId="77777777" w:rsidR="001D6B7B" w:rsidRPr="0055512B" w:rsidRDefault="00C91F3F" w:rsidP="008A76CA">
      <w:pPr>
        <w:pStyle w:val="ListParagraph"/>
        <w:numPr>
          <w:ilvl w:val="1"/>
          <w:numId w:val="7"/>
        </w:numPr>
        <w:tabs>
          <w:tab w:val="left" w:pos="588"/>
        </w:tabs>
        <w:spacing w:line="276" w:lineRule="auto"/>
        <w:jc w:val="both"/>
        <w:rPr>
          <w:rFonts w:eastAsia="Arial"/>
          <w:b/>
        </w:rPr>
      </w:pPr>
      <w:r w:rsidRPr="0055512B">
        <w:rPr>
          <w:rFonts w:eastAsia="Arial"/>
          <w:b/>
        </w:rPr>
        <w:t>CONTRÔLES DE QUALITÉ, RÉ</w:t>
      </w:r>
      <w:r w:rsidR="001D6B7B" w:rsidRPr="0055512B">
        <w:rPr>
          <w:rFonts w:eastAsia="Arial"/>
          <w:b/>
        </w:rPr>
        <w:t>CEPTION ET ACCEPTATION FINALE DES PRODUITS</w:t>
      </w:r>
    </w:p>
    <w:p w14:paraId="28DAE6C1" w14:textId="77777777" w:rsidR="001D6B7B" w:rsidRPr="0055512B" w:rsidRDefault="001D6B7B" w:rsidP="008A76CA">
      <w:pPr>
        <w:spacing w:line="276" w:lineRule="auto"/>
        <w:jc w:val="both"/>
        <w:rPr>
          <w:rFonts w:eastAsia="Times New Roman"/>
        </w:rPr>
      </w:pPr>
    </w:p>
    <w:p w14:paraId="70D34018" w14:textId="77777777" w:rsidR="001D6B7B" w:rsidRPr="0055512B" w:rsidRDefault="00C91F3F" w:rsidP="008A76CA">
      <w:pPr>
        <w:spacing w:line="276" w:lineRule="auto"/>
        <w:ind w:left="8"/>
        <w:jc w:val="both"/>
        <w:rPr>
          <w:rFonts w:eastAsia="Arial"/>
        </w:rPr>
      </w:pPr>
      <w:r w:rsidRPr="0055512B">
        <w:rPr>
          <w:rFonts w:eastAsia="Arial"/>
        </w:rPr>
        <w:t>Le CTE-RMPP</w:t>
      </w:r>
      <w:r w:rsidR="001D6B7B" w:rsidRPr="0055512B">
        <w:rPr>
          <w:rFonts w:eastAsia="Arial"/>
        </w:rPr>
        <w:t xml:space="preserve"> est responsable du contrôle tech</w:t>
      </w:r>
      <w:r w:rsidRPr="0055512B">
        <w:rPr>
          <w:rFonts w:eastAsia="Arial"/>
        </w:rPr>
        <w:t xml:space="preserve">nique des contrats. De ce fait, de concert avec l’OREPA Ouest il </w:t>
      </w:r>
      <w:r w:rsidR="001D6B7B" w:rsidRPr="0055512B">
        <w:rPr>
          <w:rFonts w:eastAsia="Arial"/>
        </w:rPr>
        <w:t>devra vérifier que les conceptions, les spécificités techniques, les termes et les conditions de ces contrats sont respecté</w:t>
      </w:r>
      <w:r w:rsidRPr="0055512B">
        <w:rPr>
          <w:rFonts w:eastAsia="Arial"/>
        </w:rPr>
        <w:t>e</w:t>
      </w:r>
      <w:r w:rsidR="001D6B7B" w:rsidRPr="0055512B">
        <w:rPr>
          <w:rFonts w:eastAsia="Arial"/>
        </w:rPr>
        <w:t>s dans leur totalité, dans tous ses aspects formels, techniques et légaux. Un contrôle concomitant pourra être effectué conjointement par la banque et la DINEPA ou par l’intermédiaire de consultants ou entités spécialisées avec lesquelles il a été passé un marché à cette fin, ainsi qu’il est établi dans le Contrat de Prêt.</w:t>
      </w:r>
    </w:p>
    <w:p w14:paraId="734ECB95" w14:textId="77777777" w:rsidR="001D6B7B" w:rsidRPr="0055512B" w:rsidRDefault="001D6B7B" w:rsidP="008A76CA">
      <w:pPr>
        <w:spacing w:line="276" w:lineRule="auto"/>
        <w:jc w:val="both"/>
        <w:rPr>
          <w:rFonts w:eastAsia="Times New Roman"/>
        </w:rPr>
      </w:pPr>
    </w:p>
    <w:p w14:paraId="30E4FE81" w14:textId="77777777" w:rsidR="001D6B7B" w:rsidRPr="0055512B" w:rsidRDefault="001D6B7B" w:rsidP="008A76CA">
      <w:pPr>
        <w:spacing w:line="276" w:lineRule="auto"/>
        <w:ind w:left="8"/>
        <w:jc w:val="both"/>
        <w:rPr>
          <w:rFonts w:eastAsia="Arial"/>
        </w:rPr>
      </w:pPr>
      <w:r w:rsidRPr="0055512B">
        <w:rPr>
          <w:rFonts w:eastAsia="Arial"/>
        </w:rPr>
        <w:t>Les résultats des échantillons, évaluations, essais et tests pour vérifier la qualité des produits qui ont été livrés doivent être archivés de façon adéquate et être disponibles afin d’être révisés, à tout moment, par la Banque ou des audits désignés par cette dernière. De manière similaire, toutes les modifications, les réparations ou remplacements effectués afin de combler les déficiences qui ont été détectées doivent être listés et archivés. Cette documentation fera partie de l’Archive du Programme.</w:t>
      </w:r>
    </w:p>
    <w:p w14:paraId="5C045994" w14:textId="77777777" w:rsidR="001D6B7B" w:rsidRPr="0055512B" w:rsidRDefault="001D6B7B" w:rsidP="008A76CA">
      <w:pPr>
        <w:spacing w:line="276" w:lineRule="auto"/>
        <w:jc w:val="both"/>
        <w:rPr>
          <w:rFonts w:eastAsia="Times New Roman"/>
        </w:rPr>
      </w:pPr>
    </w:p>
    <w:p w14:paraId="2DED5DE1" w14:textId="77777777" w:rsidR="001D6B7B" w:rsidRPr="0055512B" w:rsidRDefault="001D6B7B" w:rsidP="008A76CA">
      <w:pPr>
        <w:spacing w:line="276" w:lineRule="auto"/>
        <w:ind w:left="8"/>
        <w:jc w:val="both"/>
        <w:rPr>
          <w:rFonts w:eastAsia="Arial"/>
        </w:rPr>
      </w:pPr>
      <w:r w:rsidRPr="0055512B">
        <w:rPr>
          <w:rFonts w:eastAsia="Arial"/>
        </w:rPr>
        <w:lastRenderedPageBreak/>
        <w:t>La réception et l’acceptation finale des biens, travaux ou services qui ont été livrés ou réalisés s’effectueront après l’exécution des preuves de fonctionnement, les inspections techniques ou les évaluations établies dans les contrats, et seront enregistrées dans un Acte signé par les deux Parties.</w:t>
      </w:r>
    </w:p>
    <w:p w14:paraId="13E2B9B8" w14:textId="008FDA2F" w:rsidR="001D6B7B" w:rsidRPr="0055512B" w:rsidRDefault="001D6B7B" w:rsidP="00922848">
      <w:pPr>
        <w:spacing w:line="276" w:lineRule="auto"/>
        <w:jc w:val="both"/>
        <w:rPr>
          <w:rFonts w:eastAsia="Arial"/>
        </w:rPr>
      </w:pPr>
    </w:p>
    <w:p w14:paraId="7BFB7612" w14:textId="77777777" w:rsidR="001D6B7B" w:rsidRPr="0055512B" w:rsidRDefault="001D6B7B" w:rsidP="008A76CA">
      <w:pPr>
        <w:pStyle w:val="ListParagraph"/>
        <w:numPr>
          <w:ilvl w:val="1"/>
          <w:numId w:val="7"/>
        </w:numPr>
        <w:tabs>
          <w:tab w:val="left" w:pos="580"/>
        </w:tabs>
        <w:spacing w:line="276" w:lineRule="auto"/>
        <w:jc w:val="both"/>
        <w:rPr>
          <w:rFonts w:eastAsia="Arial"/>
          <w:b/>
        </w:rPr>
      </w:pPr>
      <w:r w:rsidRPr="0055512B">
        <w:rPr>
          <w:rFonts w:eastAsia="Arial"/>
          <w:b/>
        </w:rPr>
        <w:t>EVALUATION DE LA PERFORMANCE DE L’ENTREPRISE ET DES CONSULTANTS</w:t>
      </w:r>
    </w:p>
    <w:p w14:paraId="4D40F5E9" w14:textId="36B86968" w:rsidR="001D6B7B" w:rsidRPr="0055512B" w:rsidRDefault="001D6B7B" w:rsidP="008A76CA">
      <w:pPr>
        <w:spacing w:line="276" w:lineRule="auto"/>
        <w:jc w:val="both"/>
        <w:rPr>
          <w:rFonts w:eastAsia="Times New Roman"/>
        </w:rPr>
      </w:pPr>
    </w:p>
    <w:p w14:paraId="5026C615" w14:textId="77777777" w:rsidR="001D6B7B" w:rsidRPr="0055512B" w:rsidRDefault="001D6B7B" w:rsidP="008A76CA">
      <w:pPr>
        <w:spacing w:line="276" w:lineRule="auto"/>
        <w:jc w:val="both"/>
        <w:rPr>
          <w:rFonts w:eastAsia="Arial"/>
        </w:rPr>
      </w:pPr>
      <w:r w:rsidRPr="0055512B">
        <w:rPr>
          <w:rFonts w:eastAsia="Arial"/>
        </w:rPr>
        <w:t>Lorsque les travaux et les s</w:t>
      </w:r>
      <w:r w:rsidR="00C91F3F" w:rsidRPr="0055512B">
        <w:rPr>
          <w:rFonts w:eastAsia="Arial"/>
        </w:rPr>
        <w:t>ervices sont terminés, le CTE-RMPP</w:t>
      </w:r>
      <w:r w:rsidRPr="0055512B">
        <w:rPr>
          <w:rFonts w:eastAsia="Arial"/>
        </w:rPr>
        <w:t xml:space="preserve"> doit effectuer une évaluation de la performance de l’entreprise ou des consultants en fonction de paramètres établis antérieurement. Il transmettra son évaluation à la BID.</w:t>
      </w:r>
    </w:p>
    <w:p w14:paraId="7A89F6AE" w14:textId="77777777" w:rsidR="001D6B7B" w:rsidRPr="0055512B" w:rsidRDefault="001D6B7B" w:rsidP="008A76CA">
      <w:pPr>
        <w:spacing w:line="276" w:lineRule="auto"/>
        <w:jc w:val="both"/>
        <w:rPr>
          <w:rFonts w:eastAsia="Times New Roman"/>
        </w:rPr>
      </w:pPr>
    </w:p>
    <w:p w14:paraId="60CE78B8" w14:textId="0851EF44" w:rsidR="00C91F3F" w:rsidRPr="00922848" w:rsidRDefault="001D6B7B" w:rsidP="008A76CA">
      <w:pPr>
        <w:spacing w:line="276" w:lineRule="auto"/>
        <w:jc w:val="both"/>
        <w:rPr>
          <w:rFonts w:eastAsia="Arial"/>
        </w:rPr>
      </w:pPr>
      <w:r w:rsidRPr="0055512B">
        <w:rPr>
          <w:rFonts w:eastAsia="Arial"/>
        </w:rPr>
        <w:t xml:space="preserve">Elle doit prendre en compte : la qualité des produits qui ont été livrés; l’efficacité et le caractère idoine du personnel et des équipements qui ont été employés; le respect des délais ; sa bonne disposition pour négocier et réaliser les ajustements ou les ajouts nécessaires afin d’améliorer le programme ou </w:t>
      </w:r>
      <w:r w:rsidR="00C91F3F" w:rsidRPr="0055512B">
        <w:rPr>
          <w:rFonts w:eastAsia="Arial"/>
        </w:rPr>
        <w:t>les propositions faites par le CTE-RMPP</w:t>
      </w:r>
      <w:r w:rsidRPr="0055512B">
        <w:rPr>
          <w:rFonts w:eastAsia="Arial"/>
        </w:rPr>
        <w:t xml:space="preserve"> et sa bonne volonté pour apporter une réponse aux observations de cette dernière ou de son représentant</w:t>
      </w:r>
      <w:r w:rsidR="00830723" w:rsidRPr="0055512B">
        <w:rPr>
          <w:rFonts w:eastAsia="Arial"/>
        </w:rPr>
        <w:t>. En ce qu</w:t>
      </w:r>
      <w:r w:rsidR="00E320DF" w:rsidRPr="0055512B">
        <w:rPr>
          <w:rFonts w:eastAsia="Arial"/>
        </w:rPr>
        <w:t>i</w:t>
      </w:r>
      <w:r w:rsidR="00830723" w:rsidRPr="0055512B">
        <w:rPr>
          <w:rFonts w:eastAsia="Arial"/>
        </w:rPr>
        <w:t xml:space="preserve"> concerne la performance environnementale e</w:t>
      </w:r>
      <w:r w:rsidR="00E320DF" w:rsidRPr="0055512B">
        <w:rPr>
          <w:rFonts w:eastAsia="Arial"/>
        </w:rPr>
        <w:t>t</w:t>
      </w:r>
      <w:r w:rsidR="00830723" w:rsidRPr="0055512B">
        <w:rPr>
          <w:rFonts w:eastAsia="Arial"/>
        </w:rPr>
        <w:t xml:space="preserve"> sociale, le/la spécialiste environnementale et sociale doit évaluer l’entreprise selon sa</w:t>
      </w:r>
      <w:r w:rsidR="00F4253B" w:rsidRPr="0055512B">
        <w:rPr>
          <w:rFonts w:eastAsia="Arial"/>
        </w:rPr>
        <w:t xml:space="preserve"> conformité avec le PGAS, en accord avec les indicateurs de performance établis dans le PESA (Tableau 8.1)</w:t>
      </w:r>
      <w:r w:rsidRPr="0055512B">
        <w:rPr>
          <w:rFonts w:eastAsia="Arial"/>
        </w:rPr>
        <w:t>. Cette information sera mise à disposition de la Banque, et pourra être utilisée comme antécédent pour la qualification et l’adjudication de contrats lors de procédures de passation de marchés futures.</w:t>
      </w:r>
    </w:p>
    <w:p w14:paraId="6BFA07C1" w14:textId="77777777" w:rsidR="00C8718B" w:rsidRPr="0055512B" w:rsidRDefault="00C8718B" w:rsidP="008A76CA">
      <w:pPr>
        <w:spacing w:line="276" w:lineRule="auto"/>
        <w:jc w:val="both"/>
        <w:rPr>
          <w:rFonts w:eastAsia="Times New Roman"/>
        </w:rPr>
      </w:pPr>
    </w:p>
    <w:p w14:paraId="720859F1" w14:textId="77777777" w:rsidR="001D6B7B" w:rsidRPr="0055512B" w:rsidRDefault="001D6B7B" w:rsidP="008A76CA">
      <w:pPr>
        <w:pStyle w:val="ListParagraph"/>
        <w:numPr>
          <w:ilvl w:val="1"/>
          <w:numId w:val="7"/>
        </w:numPr>
        <w:tabs>
          <w:tab w:val="left" w:pos="580"/>
        </w:tabs>
        <w:spacing w:line="276" w:lineRule="auto"/>
        <w:jc w:val="both"/>
        <w:rPr>
          <w:rFonts w:eastAsia="Arial"/>
          <w:b/>
        </w:rPr>
      </w:pPr>
      <w:r w:rsidRPr="0055512B">
        <w:rPr>
          <w:rFonts w:eastAsia="Arial"/>
          <w:b/>
        </w:rPr>
        <w:t>RAPPORTS D’ETUDES, DE CHANTIERS ET DE SERVICES</w:t>
      </w:r>
    </w:p>
    <w:p w14:paraId="456F62DE" w14:textId="77777777" w:rsidR="001D6B7B" w:rsidRPr="0055512B" w:rsidRDefault="001D6B7B" w:rsidP="008A76CA">
      <w:pPr>
        <w:spacing w:line="276" w:lineRule="auto"/>
        <w:jc w:val="both"/>
        <w:rPr>
          <w:rFonts w:eastAsia="Times New Roman"/>
        </w:rPr>
      </w:pPr>
    </w:p>
    <w:p w14:paraId="5D30C347" w14:textId="77777777" w:rsidR="001D6B7B" w:rsidRPr="0055512B" w:rsidRDefault="001D6B7B" w:rsidP="008A76CA">
      <w:pPr>
        <w:spacing w:line="276" w:lineRule="auto"/>
        <w:jc w:val="both"/>
        <w:rPr>
          <w:rFonts w:eastAsia="Arial"/>
        </w:rPr>
      </w:pPr>
      <w:r w:rsidRPr="0055512B">
        <w:rPr>
          <w:rFonts w:eastAsia="Arial"/>
        </w:rPr>
        <w:t>Tous les rapports mentionnés dans ce Manuel</w:t>
      </w:r>
      <w:r w:rsidR="00C91F3F" w:rsidRPr="0055512B">
        <w:rPr>
          <w:rFonts w:eastAsia="Arial"/>
        </w:rPr>
        <w:t xml:space="preserve"> </w:t>
      </w:r>
      <w:r w:rsidRPr="0055512B">
        <w:rPr>
          <w:rFonts w:eastAsia="Arial"/>
        </w:rPr>
        <w:t xml:space="preserve">seront transmis sous format électronique au </w:t>
      </w:r>
      <w:r w:rsidR="00C91F3F" w:rsidRPr="0055512B">
        <w:rPr>
          <w:rFonts w:eastAsia="Arial"/>
        </w:rPr>
        <w:t>responsable sectoriel de la BID. Le CTE-RMPP</w:t>
      </w:r>
      <w:r w:rsidRPr="0055512B">
        <w:rPr>
          <w:rFonts w:eastAsia="Arial"/>
        </w:rPr>
        <w:t xml:space="preserve"> se basera préférentiellement sur les fréquences suivantes pour établir les obligations contractuelles des contractants :</w:t>
      </w:r>
    </w:p>
    <w:p w14:paraId="32C05276" w14:textId="77777777" w:rsidR="001D6B7B" w:rsidRPr="0055512B" w:rsidRDefault="001D6B7B" w:rsidP="008A76CA">
      <w:pPr>
        <w:spacing w:line="276" w:lineRule="auto"/>
        <w:jc w:val="both"/>
        <w:rPr>
          <w:rFonts w:eastAsia="Times New Roman"/>
        </w:rPr>
      </w:pPr>
    </w:p>
    <w:p w14:paraId="17284047" w14:textId="77777777" w:rsidR="001D6B7B" w:rsidRPr="0055512B" w:rsidRDefault="001D6B7B" w:rsidP="008A76CA">
      <w:pPr>
        <w:spacing w:line="276" w:lineRule="auto"/>
        <w:jc w:val="both"/>
        <w:rPr>
          <w:rFonts w:eastAsia="Arial"/>
        </w:rPr>
      </w:pPr>
      <w:r w:rsidRPr="0055512B">
        <w:rPr>
          <w:rFonts w:eastAsia="Arial"/>
          <w:u w:val="single"/>
        </w:rPr>
        <w:t>Rapports d’études</w:t>
      </w:r>
      <w:r w:rsidRPr="0055512B">
        <w:rPr>
          <w:rFonts w:eastAsia="Arial"/>
        </w:rPr>
        <w:t xml:space="preserve"> :</w:t>
      </w:r>
    </w:p>
    <w:p w14:paraId="7E369B3D" w14:textId="77777777" w:rsidR="001D6B7B" w:rsidRPr="0055512B" w:rsidRDefault="001D6B7B" w:rsidP="008A76CA">
      <w:pPr>
        <w:numPr>
          <w:ilvl w:val="0"/>
          <w:numId w:val="32"/>
        </w:numPr>
        <w:tabs>
          <w:tab w:val="left" w:pos="140"/>
        </w:tabs>
        <w:spacing w:line="276" w:lineRule="auto"/>
        <w:ind w:left="720" w:hanging="360"/>
        <w:jc w:val="both"/>
        <w:rPr>
          <w:rFonts w:eastAsia="Arial"/>
        </w:rPr>
      </w:pPr>
      <w:r w:rsidRPr="0055512B">
        <w:rPr>
          <w:rFonts w:eastAsia="Arial"/>
        </w:rPr>
        <w:t>tous les 3 mois au minimum pour des études supérieures à 6 mois</w:t>
      </w:r>
    </w:p>
    <w:p w14:paraId="0FEE5CE3" w14:textId="77777777" w:rsidR="001D6B7B" w:rsidRPr="0055512B" w:rsidRDefault="001D6B7B" w:rsidP="008A76CA">
      <w:pPr>
        <w:numPr>
          <w:ilvl w:val="0"/>
          <w:numId w:val="32"/>
        </w:numPr>
        <w:tabs>
          <w:tab w:val="left" w:pos="140"/>
        </w:tabs>
        <w:spacing w:line="276" w:lineRule="auto"/>
        <w:ind w:left="720" w:hanging="360"/>
        <w:jc w:val="both"/>
        <w:rPr>
          <w:rFonts w:eastAsia="Arial"/>
        </w:rPr>
      </w:pPr>
      <w:r w:rsidRPr="0055512B">
        <w:rPr>
          <w:rFonts w:eastAsia="Arial"/>
        </w:rPr>
        <w:t>au moins un rapport intermédiaire et un rapport final pour les études inférieures à 6 mois.</w:t>
      </w:r>
    </w:p>
    <w:p w14:paraId="466E2F54" w14:textId="77777777" w:rsidR="001D6B7B" w:rsidRPr="0055512B" w:rsidRDefault="001D6B7B" w:rsidP="008A76CA">
      <w:pPr>
        <w:spacing w:line="276" w:lineRule="auto"/>
        <w:jc w:val="both"/>
        <w:rPr>
          <w:rFonts w:eastAsia="Times New Roman"/>
        </w:rPr>
      </w:pPr>
    </w:p>
    <w:p w14:paraId="0C1A9292" w14:textId="77777777" w:rsidR="001D6B7B" w:rsidRPr="0055512B" w:rsidRDefault="001D6B7B" w:rsidP="008A76CA">
      <w:pPr>
        <w:spacing w:line="276" w:lineRule="auto"/>
        <w:jc w:val="both"/>
        <w:rPr>
          <w:rFonts w:eastAsia="Arial"/>
        </w:rPr>
      </w:pPr>
      <w:r w:rsidRPr="0055512B">
        <w:rPr>
          <w:rFonts w:eastAsia="Arial"/>
        </w:rPr>
        <w:t>Les contrats indiqueront un délai de quelques semaines pour réviser le rapport final et demander au prestataire des corrections et un rapport final définitif.</w:t>
      </w:r>
    </w:p>
    <w:p w14:paraId="72759179" w14:textId="77777777" w:rsidR="001D6B7B" w:rsidRPr="0055512B" w:rsidRDefault="001D6B7B" w:rsidP="008A76CA">
      <w:pPr>
        <w:spacing w:line="276" w:lineRule="auto"/>
        <w:jc w:val="both"/>
        <w:rPr>
          <w:rFonts w:eastAsia="Times New Roman"/>
        </w:rPr>
      </w:pPr>
    </w:p>
    <w:p w14:paraId="235AD621" w14:textId="77777777" w:rsidR="001D6B7B" w:rsidRPr="0055512B" w:rsidRDefault="001D6B7B" w:rsidP="008A76CA">
      <w:pPr>
        <w:spacing w:line="276" w:lineRule="auto"/>
        <w:jc w:val="both"/>
        <w:rPr>
          <w:rFonts w:eastAsia="Arial"/>
        </w:rPr>
      </w:pPr>
      <w:r w:rsidRPr="0055512B">
        <w:rPr>
          <w:rFonts w:eastAsia="Arial"/>
          <w:u w:val="single"/>
        </w:rPr>
        <w:t>Rapports d’avancement de chantier</w:t>
      </w:r>
      <w:r w:rsidRPr="0055512B">
        <w:rPr>
          <w:rFonts w:eastAsia="Arial"/>
        </w:rPr>
        <w:t xml:space="preserve"> :</w:t>
      </w:r>
    </w:p>
    <w:p w14:paraId="6ED57D89" w14:textId="77777777" w:rsidR="001D6B7B" w:rsidRPr="0055512B" w:rsidRDefault="001D6B7B" w:rsidP="008A76CA">
      <w:pPr>
        <w:spacing w:line="276" w:lineRule="auto"/>
        <w:jc w:val="both"/>
        <w:rPr>
          <w:rFonts w:eastAsia="Arial"/>
        </w:rPr>
      </w:pPr>
      <w:r w:rsidRPr="0055512B">
        <w:rPr>
          <w:rFonts w:eastAsia="Arial"/>
        </w:rPr>
        <w:lastRenderedPageBreak/>
        <w:t>Il sera demandé à la supervision (soit direct</w:t>
      </w:r>
      <w:r w:rsidR="00C91F3F" w:rsidRPr="0055512B">
        <w:rPr>
          <w:rFonts w:eastAsia="Arial"/>
        </w:rPr>
        <w:t xml:space="preserve">ement par le CTE- RMPP </w:t>
      </w:r>
      <w:r w:rsidRPr="0055512B">
        <w:rPr>
          <w:rFonts w:eastAsia="Arial"/>
        </w:rPr>
        <w:t>soit par des firmes de supervision) de faire des réunions de chantier mensuelles et d’envoyer un rapport mensuel au Maître d’ouvrage.</w:t>
      </w:r>
    </w:p>
    <w:p w14:paraId="0F3DF0E6" w14:textId="77777777" w:rsidR="001D6B7B" w:rsidRPr="0055512B" w:rsidRDefault="001D6B7B" w:rsidP="008A76CA">
      <w:pPr>
        <w:spacing w:line="276" w:lineRule="auto"/>
        <w:jc w:val="both"/>
        <w:rPr>
          <w:rFonts w:eastAsia="Times New Roman"/>
        </w:rPr>
      </w:pPr>
    </w:p>
    <w:p w14:paraId="564F7268" w14:textId="77777777" w:rsidR="001D6B7B" w:rsidRPr="0055512B" w:rsidRDefault="00C91F3F" w:rsidP="008A76CA">
      <w:pPr>
        <w:spacing w:line="276" w:lineRule="auto"/>
        <w:jc w:val="both"/>
        <w:rPr>
          <w:rFonts w:eastAsia="Arial"/>
        </w:rPr>
      </w:pPr>
      <w:r w:rsidRPr="0055512B">
        <w:rPr>
          <w:rFonts w:eastAsia="Arial"/>
        </w:rPr>
        <w:t xml:space="preserve">Le CTE-RMPP </w:t>
      </w:r>
      <w:r w:rsidR="001D6B7B" w:rsidRPr="0055512B">
        <w:rPr>
          <w:rFonts w:eastAsia="Arial"/>
        </w:rPr>
        <w:t>enverra une copie informatique de chaque rapport reçu avec les commentaires de ses services techniques et de la Direction, dans les 3 semaines qui suivront leur réception.</w:t>
      </w:r>
    </w:p>
    <w:p w14:paraId="40E4EB3B" w14:textId="77777777" w:rsidR="009C2C7A" w:rsidRPr="0055512B" w:rsidRDefault="009C2C7A" w:rsidP="008A76CA">
      <w:pPr>
        <w:spacing w:line="276" w:lineRule="auto"/>
        <w:jc w:val="both"/>
        <w:rPr>
          <w:rFonts w:eastAsia="Arial"/>
        </w:rPr>
      </w:pPr>
    </w:p>
    <w:p w14:paraId="227028FD" w14:textId="2C4A3116" w:rsidR="00E320DF" w:rsidRPr="0055512B" w:rsidRDefault="009C2C7A" w:rsidP="008A76CA">
      <w:pPr>
        <w:spacing w:line="276" w:lineRule="auto"/>
        <w:jc w:val="both"/>
        <w:rPr>
          <w:rFonts w:eastAsia="Arial"/>
        </w:rPr>
      </w:pPr>
      <w:r w:rsidRPr="0055512B">
        <w:rPr>
          <w:rFonts w:eastAsia="Arial"/>
        </w:rPr>
        <w:t xml:space="preserve">Les rapports mensuels </w:t>
      </w:r>
      <w:r w:rsidRPr="0055512B">
        <w:rPr>
          <w:rFonts w:eastAsia="Arial"/>
          <w:u w:val="single"/>
        </w:rPr>
        <w:t>d’avancement de chantier doivent inclure aussi des informations sur la conformité des travaux avec le PGAS développé spécifiquement pour l’étape des travaux du projet.</w:t>
      </w:r>
      <w:r w:rsidR="00F777AA" w:rsidRPr="0055512B">
        <w:rPr>
          <w:rFonts w:eastAsia="Arial"/>
          <w:u w:val="single"/>
        </w:rPr>
        <w:t xml:space="preserve"> Parmi les informations requises sont : la conformité avec chaque plan du PGAS ; les griefs soumis par la communauté avoisinante et le processus d’attention a</w:t>
      </w:r>
      <w:r w:rsidR="00E320DF" w:rsidRPr="0055512B">
        <w:rPr>
          <w:rFonts w:eastAsia="Arial"/>
          <w:u w:val="single"/>
        </w:rPr>
        <w:t>ux</w:t>
      </w:r>
      <w:r w:rsidR="00F777AA" w:rsidRPr="0055512B">
        <w:rPr>
          <w:rFonts w:eastAsia="Arial"/>
          <w:u w:val="single"/>
        </w:rPr>
        <w:t xml:space="preserve"> dits griefs ; la gestion des déchets solides dangereux et non dangereux ; les efforts réalisés pour embaucher des femmes ; les incidents de travail ; les capacitations dans les chantiers ; les activités d’engagement des parties prenantes. Ces informations doivent être appuyées </w:t>
      </w:r>
      <w:r w:rsidR="00E320DF" w:rsidRPr="0055512B">
        <w:rPr>
          <w:rFonts w:eastAsia="Arial"/>
          <w:u w:val="single"/>
        </w:rPr>
        <w:t xml:space="preserve">par </w:t>
      </w:r>
      <w:r w:rsidR="00F777AA" w:rsidRPr="0055512B">
        <w:rPr>
          <w:rFonts w:eastAsia="Arial"/>
          <w:u w:val="single"/>
        </w:rPr>
        <w:t>des photos et d’autres évidences.</w:t>
      </w:r>
    </w:p>
    <w:p w14:paraId="71720204" w14:textId="77777777" w:rsidR="001D6B7B" w:rsidRPr="0055512B" w:rsidRDefault="001D6B7B" w:rsidP="008A76CA">
      <w:pPr>
        <w:spacing w:line="276" w:lineRule="auto"/>
        <w:jc w:val="both"/>
        <w:rPr>
          <w:rFonts w:eastAsia="Times New Roman"/>
        </w:rPr>
      </w:pPr>
    </w:p>
    <w:p w14:paraId="3DC4535B" w14:textId="77777777" w:rsidR="001D6B7B" w:rsidRPr="0055512B" w:rsidRDefault="007515D4" w:rsidP="008A76CA">
      <w:pPr>
        <w:pStyle w:val="ListParagraph"/>
        <w:numPr>
          <w:ilvl w:val="1"/>
          <w:numId w:val="7"/>
        </w:numPr>
        <w:tabs>
          <w:tab w:val="left" w:pos="580"/>
        </w:tabs>
        <w:spacing w:line="276" w:lineRule="auto"/>
        <w:jc w:val="both"/>
        <w:rPr>
          <w:rFonts w:eastAsia="Arial"/>
          <w:b/>
        </w:rPr>
      </w:pPr>
      <w:r w:rsidRPr="0055512B">
        <w:rPr>
          <w:rFonts w:eastAsia="Arial"/>
          <w:b/>
        </w:rPr>
        <w:t>VISITES TECHNIQUES</w:t>
      </w:r>
    </w:p>
    <w:p w14:paraId="2FBEA64C" w14:textId="77777777" w:rsidR="001D6B7B" w:rsidRPr="0055512B" w:rsidRDefault="001D6B7B" w:rsidP="008A76CA">
      <w:pPr>
        <w:spacing w:line="276" w:lineRule="auto"/>
        <w:jc w:val="both"/>
        <w:rPr>
          <w:rFonts w:eastAsia="Times New Roman"/>
        </w:rPr>
      </w:pPr>
    </w:p>
    <w:p w14:paraId="3FFE7C17" w14:textId="77777777" w:rsidR="001D6B7B" w:rsidRPr="0055512B" w:rsidRDefault="001D6B7B" w:rsidP="008A76CA">
      <w:pPr>
        <w:spacing w:line="276" w:lineRule="auto"/>
        <w:jc w:val="both"/>
        <w:rPr>
          <w:rFonts w:eastAsia="Arial"/>
        </w:rPr>
      </w:pPr>
      <w:r w:rsidRPr="0055512B">
        <w:rPr>
          <w:rFonts w:eastAsia="Arial"/>
        </w:rPr>
        <w:t xml:space="preserve">Des visites techniques doivent se faire tout au long </w:t>
      </w:r>
      <w:r w:rsidR="00C91F3F" w:rsidRPr="0055512B">
        <w:rPr>
          <w:rFonts w:eastAsia="Arial"/>
        </w:rPr>
        <w:t>du cycle du projet par le CTE-RMPP</w:t>
      </w:r>
      <w:r w:rsidRPr="0055512B">
        <w:rPr>
          <w:rFonts w:eastAsia="Arial"/>
        </w:rPr>
        <w:t>.</w:t>
      </w:r>
    </w:p>
    <w:p w14:paraId="20EB46F7" w14:textId="77777777" w:rsidR="001D6B7B" w:rsidRPr="0055512B" w:rsidRDefault="001D6B7B" w:rsidP="008A76CA">
      <w:pPr>
        <w:spacing w:line="276" w:lineRule="auto"/>
        <w:jc w:val="both"/>
        <w:rPr>
          <w:rFonts w:eastAsia="Times New Roman"/>
        </w:rPr>
      </w:pPr>
    </w:p>
    <w:p w14:paraId="7D0E2594" w14:textId="77777777" w:rsidR="001D6B7B" w:rsidRPr="0055512B" w:rsidRDefault="001D6B7B" w:rsidP="008A76CA">
      <w:pPr>
        <w:spacing w:line="276" w:lineRule="auto"/>
        <w:ind w:left="8"/>
        <w:jc w:val="both"/>
        <w:rPr>
          <w:rFonts w:eastAsia="Arial"/>
        </w:rPr>
      </w:pPr>
      <w:r w:rsidRPr="0055512B">
        <w:rPr>
          <w:rFonts w:eastAsia="Arial"/>
        </w:rPr>
        <w:t>En ce qui concerne les aspects techniques les visites de terrain seront faites par un ingénieur</w:t>
      </w:r>
      <w:r w:rsidR="00C87D4E" w:rsidRPr="0055512B">
        <w:rPr>
          <w:rFonts w:eastAsia="Arial"/>
        </w:rPr>
        <w:t xml:space="preserve"> </w:t>
      </w:r>
      <w:r w:rsidRPr="0055512B">
        <w:rPr>
          <w:rFonts w:eastAsia="Arial"/>
        </w:rPr>
        <w:t>chargé du suivi des études ou des travaux, avec la participation du représentant du prestataire ou du soumissionnaire. Elles auront comme objectif, entre autres :</w:t>
      </w:r>
    </w:p>
    <w:p w14:paraId="22C49348" w14:textId="77777777" w:rsidR="001D6B7B" w:rsidRPr="0055512B" w:rsidRDefault="001D6B7B" w:rsidP="008A76CA">
      <w:pPr>
        <w:spacing w:line="276" w:lineRule="auto"/>
        <w:jc w:val="both"/>
        <w:rPr>
          <w:rFonts w:eastAsia="Times New Roman"/>
        </w:rPr>
      </w:pPr>
    </w:p>
    <w:p w14:paraId="6A52F603" w14:textId="77777777" w:rsidR="001D6B7B" w:rsidRPr="0055512B" w:rsidRDefault="001D6B7B" w:rsidP="008A76CA">
      <w:pPr>
        <w:numPr>
          <w:ilvl w:val="0"/>
          <w:numId w:val="33"/>
        </w:numPr>
        <w:tabs>
          <w:tab w:val="left" w:pos="720"/>
        </w:tabs>
        <w:spacing w:line="276" w:lineRule="auto"/>
        <w:ind w:left="720" w:hanging="358"/>
        <w:jc w:val="both"/>
        <w:rPr>
          <w:rFonts w:eastAsia="Arial"/>
        </w:rPr>
      </w:pPr>
      <w:r w:rsidRPr="0055512B">
        <w:rPr>
          <w:rFonts w:eastAsia="Arial"/>
        </w:rPr>
        <w:t>Vérifier les conditions topographiques, hydrauliques, géologiques, géotechniques, et autres qui soient nécessaires pour l’exécution des études ou des travaux.</w:t>
      </w:r>
    </w:p>
    <w:p w14:paraId="0BB4CE86" w14:textId="77777777" w:rsidR="001D6B7B" w:rsidRPr="0055512B" w:rsidRDefault="001D6B7B" w:rsidP="008A76CA">
      <w:pPr>
        <w:numPr>
          <w:ilvl w:val="0"/>
          <w:numId w:val="33"/>
        </w:numPr>
        <w:tabs>
          <w:tab w:val="left" w:pos="720"/>
        </w:tabs>
        <w:spacing w:line="276" w:lineRule="auto"/>
        <w:ind w:left="720" w:hanging="358"/>
        <w:jc w:val="both"/>
        <w:rPr>
          <w:rFonts w:eastAsia="Arial"/>
        </w:rPr>
      </w:pPr>
      <w:r w:rsidRPr="0055512B">
        <w:rPr>
          <w:rFonts w:eastAsia="Arial"/>
        </w:rPr>
        <w:t>Vérifier la disponibilité des terrains pour les travaux.</w:t>
      </w:r>
    </w:p>
    <w:p w14:paraId="3263A0B4" w14:textId="77777777" w:rsidR="001D6B7B" w:rsidRPr="0055512B" w:rsidRDefault="001D6B7B" w:rsidP="008A76CA">
      <w:pPr>
        <w:numPr>
          <w:ilvl w:val="0"/>
          <w:numId w:val="33"/>
        </w:numPr>
        <w:tabs>
          <w:tab w:val="left" w:pos="720"/>
        </w:tabs>
        <w:spacing w:line="276" w:lineRule="auto"/>
        <w:ind w:left="720" w:hanging="358"/>
        <w:jc w:val="both"/>
        <w:rPr>
          <w:rFonts w:eastAsia="Arial"/>
        </w:rPr>
      </w:pPr>
      <w:r w:rsidRPr="0055512B">
        <w:rPr>
          <w:rFonts w:eastAsia="Arial"/>
        </w:rPr>
        <w:t>Confirmer les avances des études préliminaires, la prise des échantillons, les mesures et quantités demandées par les études.</w:t>
      </w:r>
    </w:p>
    <w:p w14:paraId="3318F1CF" w14:textId="77777777" w:rsidR="001D6B7B" w:rsidRPr="0055512B" w:rsidRDefault="001D6B7B" w:rsidP="008A76CA">
      <w:pPr>
        <w:numPr>
          <w:ilvl w:val="0"/>
          <w:numId w:val="33"/>
        </w:numPr>
        <w:tabs>
          <w:tab w:val="left" w:pos="720"/>
        </w:tabs>
        <w:spacing w:line="276" w:lineRule="auto"/>
        <w:ind w:left="720" w:hanging="358"/>
        <w:jc w:val="both"/>
        <w:rPr>
          <w:rFonts w:eastAsia="Arial"/>
        </w:rPr>
      </w:pPr>
      <w:r w:rsidRPr="0055512B">
        <w:rPr>
          <w:rFonts w:eastAsia="Arial"/>
        </w:rPr>
        <w:t>Vérifier les quantités d’œuvre exécutées face au chronogramme des travaux, confirmer la disponibilité du personnel et de l’équipement.</w:t>
      </w:r>
    </w:p>
    <w:p w14:paraId="5F015290" w14:textId="77777777" w:rsidR="001D6B7B" w:rsidRPr="0055512B" w:rsidRDefault="001D6B7B" w:rsidP="008A76CA">
      <w:pPr>
        <w:numPr>
          <w:ilvl w:val="0"/>
          <w:numId w:val="33"/>
        </w:numPr>
        <w:tabs>
          <w:tab w:val="left" w:pos="720"/>
        </w:tabs>
        <w:spacing w:line="276" w:lineRule="auto"/>
        <w:ind w:left="720" w:hanging="358"/>
        <w:jc w:val="both"/>
        <w:rPr>
          <w:rFonts w:eastAsia="Arial"/>
        </w:rPr>
      </w:pPr>
      <w:r w:rsidRPr="0055512B">
        <w:rPr>
          <w:rFonts w:eastAsia="Arial"/>
        </w:rPr>
        <w:t>Faire un registre photographique de l’évolution des études ou des travaux</w:t>
      </w:r>
    </w:p>
    <w:p w14:paraId="50C93946" w14:textId="77777777" w:rsidR="001D6B7B" w:rsidRPr="0055512B" w:rsidRDefault="001D6B7B" w:rsidP="008A76CA">
      <w:pPr>
        <w:numPr>
          <w:ilvl w:val="0"/>
          <w:numId w:val="33"/>
        </w:numPr>
        <w:tabs>
          <w:tab w:val="left" w:pos="720"/>
        </w:tabs>
        <w:spacing w:line="276" w:lineRule="auto"/>
        <w:ind w:left="720" w:hanging="358"/>
        <w:jc w:val="both"/>
        <w:rPr>
          <w:rFonts w:eastAsia="Arial"/>
        </w:rPr>
      </w:pPr>
      <w:r w:rsidRPr="0055512B">
        <w:rPr>
          <w:rFonts w:eastAsia="Arial"/>
        </w:rPr>
        <w:t>Effectuer des mesures ponctuelles sur les travaux effectués (Par exemple : mesure de la profondeur d’enfouissement, épaisseur de lit de sable, état physique et fonctionnalité des accessoires hydrauliques, vérification des dosages de béton…)</w:t>
      </w:r>
    </w:p>
    <w:p w14:paraId="52A71FE6" w14:textId="77777777" w:rsidR="001D6B7B" w:rsidRPr="0055512B" w:rsidRDefault="001D6B7B" w:rsidP="008A76CA">
      <w:pPr>
        <w:numPr>
          <w:ilvl w:val="0"/>
          <w:numId w:val="33"/>
        </w:numPr>
        <w:tabs>
          <w:tab w:val="left" w:pos="720"/>
        </w:tabs>
        <w:spacing w:line="276" w:lineRule="auto"/>
        <w:ind w:left="720" w:hanging="358"/>
        <w:jc w:val="both"/>
        <w:rPr>
          <w:rFonts w:eastAsia="Arial"/>
        </w:rPr>
      </w:pPr>
      <w:r w:rsidRPr="0055512B">
        <w:rPr>
          <w:rFonts w:eastAsia="Arial"/>
        </w:rPr>
        <w:t>Évaluer les problèmes et proposer des solutions pour la finalisation des études ou travaux</w:t>
      </w:r>
    </w:p>
    <w:p w14:paraId="707FA2DA" w14:textId="77777777" w:rsidR="001D6B7B" w:rsidRPr="0055512B" w:rsidRDefault="001D6B7B" w:rsidP="008A76CA">
      <w:pPr>
        <w:numPr>
          <w:ilvl w:val="0"/>
          <w:numId w:val="33"/>
        </w:numPr>
        <w:tabs>
          <w:tab w:val="left" w:pos="720"/>
        </w:tabs>
        <w:spacing w:line="276" w:lineRule="auto"/>
        <w:ind w:left="720" w:hanging="358"/>
        <w:jc w:val="both"/>
        <w:rPr>
          <w:rFonts w:eastAsia="Arial"/>
        </w:rPr>
      </w:pPr>
      <w:r w:rsidRPr="0055512B">
        <w:rPr>
          <w:rFonts w:eastAsia="Arial"/>
        </w:rPr>
        <w:t>Évaluer si les aspects environnementaux et sociaux et les mesures de mitigation ont été respectés</w:t>
      </w:r>
    </w:p>
    <w:p w14:paraId="6B977F67" w14:textId="77777777" w:rsidR="001D6B7B" w:rsidRPr="0055512B" w:rsidRDefault="001D6B7B" w:rsidP="008A76CA">
      <w:pPr>
        <w:numPr>
          <w:ilvl w:val="0"/>
          <w:numId w:val="33"/>
        </w:numPr>
        <w:tabs>
          <w:tab w:val="left" w:pos="720"/>
        </w:tabs>
        <w:spacing w:line="276" w:lineRule="auto"/>
        <w:ind w:left="720" w:hanging="358"/>
        <w:jc w:val="both"/>
        <w:rPr>
          <w:rFonts w:eastAsia="Arial"/>
        </w:rPr>
      </w:pPr>
      <w:r w:rsidRPr="0055512B">
        <w:rPr>
          <w:rFonts w:eastAsia="Arial"/>
        </w:rPr>
        <w:lastRenderedPageBreak/>
        <w:t>Évaluer les indicateurs de performance définis pour les études ou les travaux.</w:t>
      </w:r>
    </w:p>
    <w:p w14:paraId="2DFF7626" w14:textId="77777777" w:rsidR="001D6B7B" w:rsidRPr="0055512B" w:rsidRDefault="001D6B7B" w:rsidP="008A76CA">
      <w:pPr>
        <w:spacing w:line="276" w:lineRule="auto"/>
        <w:jc w:val="both"/>
        <w:rPr>
          <w:rFonts w:eastAsia="Times New Roman"/>
        </w:rPr>
      </w:pPr>
    </w:p>
    <w:p w14:paraId="3C6460A7" w14:textId="77777777" w:rsidR="001D6B7B" w:rsidRPr="0055512B" w:rsidRDefault="001D6B7B" w:rsidP="008A76CA">
      <w:pPr>
        <w:spacing w:line="276" w:lineRule="auto"/>
        <w:jc w:val="both"/>
        <w:rPr>
          <w:rFonts w:eastAsia="Arial"/>
        </w:rPr>
      </w:pPr>
      <w:r w:rsidRPr="0055512B">
        <w:rPr>
          <w:rFonts w:eastAsia="Arial"/>
        </w:rPr>
        <w:t>Toute visite comprendra un rapport détaillé du processus, des résultats et des accords.</w:t>
      </w:r>
    </w:p>
    <w:p w14:paraId="71DCC021" w14:textId="77777777" w:rsidR="001D6B7B" w:rsidRPr="0055512B" w:rsidRDefault="001D6B7B" w:rsidP="008A76CA">
      <w:pPr>
        <w:spacing w:line="276" w:lineRule="auto"/>
        <w:jc w:val="both"/>
        <w:rPr>
          <w:rFonts w:eastAsia="Times New Roman"/>
        </w:rPr>
      </w:pPr>
    </w:p>
    <w:p w14:paraId="3CC3AD8C" w14:textId="77777777" w:rsidR="001D6B7B" w:rsidRPr="0055512B" w:rsidRDefault="001D6B7B" w:rsidP="008A76CA">
      <w:pPr>
        <w:spacing w:line="276" w:lineRule="auto"/>
        <w:jc w:val="both"/>
        <w:rPr>
          <w:rFonts w:eastAsia="Arial"/>
        </w:rPr>
      </w:pPr>
      <w:r w:rsidRPr="0055512B">
        <w:rPr>
          <w:rFonts w:eastAsia="Arial"/>
        </w:rPr>
        <w:t>En ce qui concerne les aspects sociaux, ce processus comprendra le rapport d</w:t>
      </w:r>
      <w:r w:rsidR="00C87D4E" w:rsidRPr="0055512B">
        <w:rPr>
          <w:rFonts w:ascii="Times New Roman" w:eastAsia="Arial" w:hAnsi="Times New Roman" w:cs="Times New Roman"/>
        </w:rPr>
        <w:t>’</w:t>
      </w:r>
      <w:r w:rsidRPr="0055512B">
        <w:rPr>
          <w:rFonts w:eastAsia="Arial"/>
        </w:rPr>
        <w:t>une visite technique de terrain par un spécialiste social du projet, impliquant à la fois une inspection du site et des entretiens avec les membres de la communauté locale, (et en particulier, avec ceux qui vivent sur ou à proximité des terrains affectés, ainsi que ceux qui l</w:t>
      </w:r>
      <w:r w:rsidR="00C87D4E" w:rsidRPr="0055512B">
        <w:rPr>
          <w:rFonts w:eastAsia="Arial"/>
        </w:rPr>
        <w:t>’</w:t>
      </w:r>
      <w:r w:rsidRPr="0055512B">
        <w:rPr>
          <w:rFonts w:eastAsia="Arial"/>
        </w:rPr>
        <w:t>ont contribué).</w:t>
      </w:r>
    </w:p>
    <w:p w14:paraId="39E59B91" w14:textId="77777777" w:rsidR="001D6B7B" w:rsidRPr="0055512B" w:rsidRDefault="001D6B7B" w:rsidP="008A76CA">
      <w:pPr>
        <w:spacing w:line="276" w:lineRule="auto"/>
        <w:jc w:val="both"/>
        <w:rPr>
          <w:rFonts w:eastAsia="Times New Roman"/>
        </w:rPr>
      </w:pPr>
    </w:p>
    <w:p w14:paraId="388DDCFF" w14:textId="2857CCB7" w:rsidR="004C4DA1" w:rsidRPr="0055512B" w:rsidRDefault="004C4DA1" w:rsidP="004C4DA1">
      <w:pPr>
        <w:spacing w:line="276" w:lineRule="auto"/>
        <w:jc w:val="both"/>
        <w:rPr>
          <w:rFonts w:eastAsia="Arial"/>
        </w:rPr>
      </w:pPr>
      <w:r w:rsidRPr="0055512B">
        <w:rPr>
          <w:rFonts w:eastAsia="Arial"/>
        </w:rPr>
        <w:t>En ce qui concerne les aspects environnementaux et de sécurité du travail, ce processus comprendra le rapport d</w:t>
      </w:r>
      <w:r w:rsidRPr="0055512B">
        <w:rPr>
          <w:rFonts w:ascii="Times New Roman" w:eastAsia="Arial" w:hAnsi="Times New Roman" w:cs="Times New Roman"/>
        </w:rPr>
        <w:t>’</w:t>
      </w:r>
      <w:r w:rsidRPr="0055512B">
        <w:rPr>
          <w:rFonts w:eastAsia="Arial"/>
        </w:rPr>
        <w:t xml:space="preserve">une visite technique de terrain par un spécialiste </w:t>
      </w:r>
      <w:r w:rsidR="00E320DF" w:rsidRPr="0055512B">
        <w:rPr>
          <w:rFonts w:eastAsia="Arial"/>
        </w:rPr>
        <w:t xml:space="preserve">en </w:t>
      </w:r>
      <w:r w:rsidRPr="0055512B">
        <w:rPr>
          <w:rFonts w:eastAsia="Arial"/>
        </w:rPr>
        <w:t>environnement</w:t>
      </w:r>
      <w:r w:rsidR="00E320DF" w:rsidRPr="0055512B">
        <w:rPr>
          <w:rFonts w:eastAsia="Arial"/>
        </w:rPr>
        <w:t xml:space="preserve">, </w:t>
      </w:r>
      <w:r w:rsidRPr="0055512B">
        <w:rPr>
          <w:rFonts w:eastAsia="Arial"/>
        </w:rPr>
        <w:t>santé et sécurité du travail, impliquant à la fois une inspection du site et des entretiens avec les membres de la communauté locale, (et en particulier, avec ceux qui vivent sur ou à proximité des terrains affectés</w:t>
      </w:r>
      <w:r w:rsidR="00E66C7F" w:rsidRPr="0055512B">
        <w:rPr>
          <w:rFonts w:eastAsia="Arial"/>
        </w:rPr>
        <w:t>)</w:t>
      </w:r>
      <w:r w:rsidRPr="0055512B">
        <w:rPr>
          <w:rFonts w:eastAsia="Arial"/>
        </w:rPr>
        <w:t>, pour identifier les impacts produits par les travaux (bruits, poussières, risques à la sécurité, etc..).</w:t>
      </w:r>
    </w:p>
    <w:p w14:paraId="3563FBE1" w14:textId="77777777" w:rsidR="001D6B7B" w:rsidRPr="0055512B" w:rsidRDefault="001D6B7B" w:rsidP="008A76CA">
      <w:pPr>
        <w:spacing w:line="276" w:lineRule="auto"/>
        <w:jc w:val="both"/>
        <w:rPr>
          <w:rFonts w:eastAsia="Times New Roman"/>
        </w:rPr>
      </w:pPr>
    </w:p>
    <w:p w14:paraId="57C2A707" w14:textId="77777777" w:rsidR="001D6B7B" w:rsidRPr="0055512B" w:rsidRDefault="00422F4D" w:rsidP="008A76CA">
      <w:pPr>
        <w:pStyle w:val="ListParagraph"/>
        <w:numPr>
          <w:ilvl w:val="1"/>
          <w:numId w:val="7"/>
        </w:numPr>
        <w:tabs>
          <w:tab w:val="left" w:pos="580"/>
        </w:tabs>
        <w:spacing w:line="276" w:lineRule="auto"/>
        <w:jc w:val="both"/>
        <w:rPr>
          <w:rFonts w:eastAsia="Arial"/>
          <w:b/>
        </w:rPr>
      </w:pPr>
      <w:r w:rsidRPr="0055512B">
        <w:rPr>
          <w:rFonts w:eastAsia="Arial"/>
          <w:b/>
        </w:rPr>
        <w:t>REVUES DE CONTRATS</w:t>
      </w:r>
    </w:p>
    <w:p w14:paraId="618E8B89" w14:textId="77777777" w:rsidR="001D6B7B" w:rsidRPr="0055512B" w:rsidRDefault="001D6B7B" w:rsidP="008A76CA">
      <w:pPr>
        <w:spacing w:line="276" w:lineRule="auto"/>
        <w:jc w:val="both"/>
        <w:rPr>
          <w:rFonts w:eastAsia="Times New Roman"/>
        </w:rPr>
      </w:pPr>
    </w:p>
    <w:p w14:paraId="348BF85D" w14:textId="77777777" w:rsidR="001D6B7B" w:rsidRPr="0055512B" w:rsidRDefault="001D6B7B" w:rsidP="008A76CA">
      <w:pPr>
        <w:spacing w:line="276" w:lineRule="auto"/>
        <w:jc w:val="both"/>
        <w:rPr>
          <w:rFonts w:eastAsia="Arial"/>
        </w:rPr>
      </w:pPr>
      <w:r w:rsidRPr="0055512B">
        <w:rPr>
          <w:rFonts w:eastAsia="Arial"/>
        </w:rPr>
        <w:t xml:space="preserve">Sur la base du chronogramme d’exécution des contrats et du plan de passation de marchés, </w:t>
      </w:r>
      <w:r w:rsidR="00C87D4E" w:rsidRPr="0055512B">
        <w:rPr>
          <w:rFonts w:eastAsia="Arial"/>
        </w:rPr>
        <w:t>la BID</w:t>
      </w:r>
      <w:r w:rsidR="00422F4D" w:rsidRPr="0055512B">
        <w:rPr>
          <w:rFonts w:eastAsia="Arial"/>
        </w:rPr>
        <w:t xml:space="preserve">, le CTE-RMPP et l’OREPA Ouest </w:t>
      </w:r>
      <w:r w:rsidRPr="0055512B">
        <w:rPr>
          <w:rFonts w:eastAsia="Arial"/>
        </w:rPr>
        <w:t xml:space="preserve"> programmeront, chaque mois une revue des contrats. Cette revue impliquera au minimum :</w:t>
      </w:r>
    </w:p>
    <w:p w14:paraId="78C3C958" w14:textId="77777777" w:rsidR="001D6B7B" w:rsidRPr="0055512B" w:rsidRDefault="001D6B7B" w:rsidP="008A76CA">
      <w:pPr>
        <w:numPr>
          <w:ilvl w:val="0"/>
          <w:numId w:val="34"/>
        </w:numPr>
        <w:tabs>
          <w:tab w:val="left" w:pos="720"/>
        </w:tabs>
        <w:spacing w:line="276" w:lineRule="auto"/>
        <w:ind w:left="720" w:hanging="358"/>
        <w:jc w:val="both"/>
        <w:rPr>
          <w:rFonts w:eastAsia="Arial"/>
        </w:rPr>
      </w:pPr>
      <w:r w:rsidRPr="0055512B">
        <w:rPr>
          <w:rFonts w:eastAsia="Arial"/>
        </w:rPr>
        <w:t>le Spécialiste de la BID, ou son suppléant</w:t>
      </w:r>
    </w:p>
    <w:p w14:paraId="0A1032B4" w14:textId="77777777" w:rsidR="001D6B7B" w:rsidRPr="0055512B" w:rsidRDefault="00422F4D" w:rsidP="008A76CA">
      <w:pPr>
        <w:numPr>
          <w:ilvl w:val="0"/>
          <w:numId w:val="34"/>
        </w:numPr>
        <w:tabs>
          <w:tab w:val="left" w:pos="720"/>
        </w:tabs>
        <w:spacing w:line="276" w:lineRule="auto"/>
        <w:ind w:left="720" w:hanging="358"/>
        <w:jc w:val="both"/>
        <w:rPr>
          <w:rFonts w:eastAsia="Arial"/>
        </w:rPr>
      </w:pPr>
      <w:r w:rsidRPr="0055512B">
        <w:rPr>
          <w:rFonts w:eastAsia="Arial"/>
        </w:rPr>
        <w:t>le Directeur du CTE-RMPP, ou son suppléant</w:t>
      </w:r>
    </w:p>
    <w:p w14:paraId="2A75CF13" w14:textId="77777777" w:rsidR="002E5BE9" w:rsidRPr="0055512B" w:rsidRDefault="001D6B7B" w:rsidP="008A76CA">
      <w:pPr>
        <w:numPr>
          <w:ilvl w:val="0"/>
          <w:numId w:val="34"/>
        </w:numPr>
        <w:tabs>
          <w:tab w:val="left" w:pos="720"/>
        </w:tabs>
        <w:spacing w:line="276" w:lineRule="auto"/>
        <w:ind w:left="720" w:hanging="358"/>
        <w:jc w:val="both"/>
        <w:rPr>
          <w:rFonts w:eastAsia="Arial"/>
        </w:rPr>
      </w:pPr>
      <w:r w:rsidRPr="0055512B">
        <w:rPr>
          <w:rFonts w:eastAsia="Arial"/>
        </w:rPr>
        <w:t>Le spécialiste en passation de marché de</w:t>
      </w:r>
      <w:r w:rsidR="00422F4D" w:rsidRPr="0055512B">
        <w:rPr>
          <w:rFonts w:eastAsia="Arial"/>
        </w:rPr>
        <w:t xml:space="preserve"> l’OREPA Ouest</w:t>
      </w:r>
    </w:p>
    <w:p w14:paraId="0495E1C6" w14:textId="77777777" w:rsidR="001D6B7B" w:rsidRPr="0055512B" w:rsidRDefault="001D6B7B" w:rsidP="008A76CA">
      <w:pPr>
        <w:numPr>
          <w:ilvl w:val="0"/>
          <w:numId w:val="34"/>
        </w:numPr>
        <w:tabs>
          <w:tab w:val="left" w:pos="720"/>
        </w:tabs>
        <w:spacing w:line="276" w:lineRule="auto"/>
        <w:ind w:left="720" w:hanging="358"/>
        <w:jc w:val="both"/>
        <w:rPr>
          <w:rFonts w:eastAsia="Arial"/>
        </w:rPr>
      </w:pPr>
      <w:r w:rsidRPr="0055512B">
        <w:rPr>
          <w:rFonts w:eastAsia="Arial"/>
        </w:rPr>
        <w:t>, ou son suppléant</w:t>
      </w:r>
    </w:p>
    <w:p w14:paraId="0503228E" w14:textId="77777777" w:rsidR="001D6B7B" w:rsidRPr="0055512B" w:rsidRDefault="001D6B7B" w:rsidP="008A76CA">
      <w:pPr>
        <w:numPr>
          <w:ilvl w:val="0"/>
          <w:numId w:val="34"/>
        </w:numPr>
        <w:tabs>
          <w:tab w:val="left" w:pos="720"/>
        </w:tabs>
        <w:spacing w:line="276" w:lineRule="auto"/>
        <w:ind w:left="720" w:hanging="358"/>
        <w:jc w:val="both"/>
        <w:rPr>
          <w:rFonts w:eastAsia="Arial"/>
        </w:rPr>
      </w:pPr>
      <w:r w:rsidRPr="0055512B">
        <w:rPr>
          <w:rFonts w:eastAsia="Arial"/>
        </w:rPr>
        <w:t>Le responsable financier de la DINEPA, ou son suppléant</w:t>
      </w:r>
    </w:p>
    <w:p w14:paraId="645148D9" w14:textId="77777777" w:rsidR="001D6B7B" w:rsidRPr="0055512B" w:rsidRDefault="001D6B7B" w:rsidP="001950BE">
      <w:pPr>
        <w:spacing w:line="276" w:lineRule="auto"/>
        <w:rPr>
          <w:rFonts w:eastAsia="Times New Roman"/>
        </w:rPr>
      </w:pPr>
    </w:p>
    <w:p w14:paraId="3597BA42" w14:textId="183F6C0E" w:rsidR="00642B52" w:rsidRPr="00922848" w:rsidRDefault="00F8169C" w:rsidP="00642B52">
      <w:pPr>
        <w:pStyle w:val="ListParagraph"/>
        <w:numPr>
          <w:ilvl w:val="0"/>
          <w:numId w:val="7"/>
        </w:numPr>
        <w:spacing w:line="276" w:lineRule="auto"/>
        <w:rPr>
          <w:rFonts w:eastAsia="Times New Roman"/>
          <w:b/>
        </w:rPr>
      </w:pPr>
      <w:r w:rsidRPr="0055512B">
        <w:rPr>
          <w:rFonts w:eastAsia="Times New Roman"/>
          <w:b/>
        </w:rPr>
        <w:t xml:space="preserve">PROCÉDURES DE PASSATION DE MARCHÉ </w:t>
      </w:r>
    </w:p>
    <w:p w14:paraId="18D153DD" w14:textId="77777777" w:rsidR="00642B52" w:rsidRPr="0055512B" w:rsidRDefault="00F8169C" w:rsidP="008A76CA">
      <w:pPr>
        <w:autoSpaceDE w:val="0"/>
        <w:autoSpaceDN w:val="0"/>
        <w:adjustRightInd w:val="0"/>
        <w:spacing w:before="120" w:after="120" w:line="276" w:lineRule="auto"/>
        <w:ind w:left="180"/>
        <w:jc w:val="both"/>
        <w:rPr>
          <w:rFonts w:cs="Arial"/>
        </w:rPr>
      </w:pPr>
      <w:r w:rsidRPr="0055512B">
        <w:rPr>
          <w:rFonts w:eastAsia="Arial"/>
        </w:rPr>
        <w:t>Toute acquisition de biens, de services et de travaux devra se faire de manière transparente et conforme aux politiques de la BID</w:t>
      </w:r>
      <w:r w:rsidR="00642B52" w:rsidRPr="0055512B">
        <w:rPr>
          <w:rFonts w:eastAsia="Arial"/>
        </w:rPr>
        <w:t xml:space="preserve">. </w:t>
      </w:r>
      <w:r w:rsidR="00642B52" w:rsidRPr="0055512B">
        <w:rPr>
          <w:rFonts w:cs="Arial"/>
          <w:b/>
        </w:rPr>
        <w:t xml:space="preserve"> </w:t>
      </w:r>
      <w:r w:rsidR="00642B52" w:rsidRPr="0055512B">
        <w:rPr>
          <w:rFonts w:cs="Arial"/>
        </w:rPr>
        <w:t xml:space="preserve">La DINEPA et la Banque se mettront d’accord sur le plan de Passation de Marché, qui couvre la durée entière du programme. Il sera mis à jour chaque six mois, ou si nécessaire, ou à toutes les fois prévues par  les politiques de la Banque. </w:t>
      </w:r>
    </w:p>
    <w:p w14:paraId="318B0F9D" w14:textId="77777777" w:rsidR="00F8169C" w:rsidRPr="0055512B" w:rsidRDefault="00642B52" w:rsidP="008A76CA">
      <w:pPr>
        <w:autoSpaceDE w:val="0"/>
        <w:autoSpaceDN w:val="0"/>
        <w:adjustRightInd w:val="0"/>
        <w:spacing w:before="120" w:after="120" w:line="276" w:lineRule="auto"/>
        <w:ind w:left="180"/>
        <w:jc w:val="both"/>
        <w:rPr>
          <w:color w:val="000000"/>
        </w:rPr>
      </w:pPr>
      <w:r w:rsidRPr="0055512B">
        <w:rPr>
          <w:rFonts w:cs="Arial"/>
        </w:rPr>
        <w:t xml:space="preserve">Les acquisitions dans le cadre du  programme seront réalisées selon les politiques d’acquisition des Biens et Services financés par la Banque </w:t>
      </w:r>
      <w:r w:rsidRPr="0055512B">
        <w:rPr>
          <w:color w:val="000000"/>
        </w:rPr>
        <w:t xml:space="preserve">(GN-2349-9), datant de mars 2011 ; et les politiques pour la Sélection et l’Embauche des Consultants financés par la Banque (GN-2350-9), datant de mars 2011. </w:t>
      </w:r>
    </w:p>
    <w:p w14:paraId="3EE2DB11" w14:textId="77777777" w:rsidR="00F8169C" w:rsidRPr="0055512B" w:rsidRDefault="00F8169C" w:rsidP="008A76CA">
      <w:pPr>
        <w:spacing w:line="276" w:lineRule="auto"/>
        <w:jc w:val="both"/>
        <w:rPr>
          <w:rFonts w:eastAsia="Times New Roman"/>
        </w:rPr>
      </w:pPr>
    </w:p>
    <w:p w14:paraId="1FFAFDA2" w14:textId="77777777" w:rsidR="00F8169C" w:rsidRPr="0055512B" w:rsidRDefault="00F8169C" w:rsidP="008A76CA">
      <w:pPr>
        <w:spacing w:line="276" w:lineRule="auto"/>
        <w:jc w:val="both"/>
        <w:rPr>
          <w:rFonts w:eastAsia="Arial"/>
        </w:rPr>
      </w:pPr>
      <w:r w:rsidRPr="0055512B">
        <w:rPr>
          <w:rFonts w:eastAsia="Arial"/>
        </w:rPr>
        <w:lastRenderedPageBreak/>
        <w:t>Pour toute acquisition de biens, de services et de travaux, la démarche suivra les étapes suivantes :</w:t>
      </w:r>
    </w:p>
    <w:p w14:paraId="7AE0FD40" w14:textId="77777777" w:rsidR="00F8169C" w:rsidRPr="0055512B" w:rsidRDefault="00F8169C" w:rsidP="008A76CA">
      <w:pPr>
        <w:spacing w:line="276" w:lineRule="auto"/>
        <w:jc w:val="both"/>
        <w:rPr>
          <w:rFonts w:eastAsia="Times New Roman"/>
        </w:rPr>
      </w:pPr>
    </w:p>
    <w:p w14:paraId="24607271" w14:textId="77777777" w:rsidR="00F8169C" w:rsidRPr="0055512B" w:rsidRDefault="00642B52" w:rsidP="008A76CA">
      <w:pPr>
        <w:numPr>
          <w:ilvl w:val="0"/>
          <w:numId w:val="23"/>
        </w:numPr>
        <w:tabs>
          <w:tab w:val="left" w:pos="1060"/>
        </w:tabs>
        <w:spacing w:line="276" w:lineRule="auto"/>
        <w:ind w:left="1060" w:hanging="352"/>
        <w:jc w:val="both"/>
        <w:rPr>
          <w:rFonts w:eastAsia="Arial"/>
        </w:rPr>
      </w:pPr>
      <w:r w:rsidRPr="0055512B">
        <w:rPr>
          <w:rFonts w:eastAsia="Arial"/>
        </w:rPr>
        <w:t xml:space="preserve">L’OREPA Ouest </w:t>
      </w:r>
      <w:r w:rsidR="00F8169C" w:rsidRPr="0055512B">
        <w:rPr>
          <w:rFonts w:eastAsia="Arial"/>
        </w:rPr>
        <w:t xml:space="preserve"> rédige les documents de l’appel d’offres, de consultation ou les propositions de gré à gré en respectant les trames obligatoires fournies par la BID.</w:t>
      </w:r>
    </w:p>
    <w:p w14:paraId="23132C00" w14:textId="77777777" w:rsidR="00F8169C" w:rsidRPr="0055512B" w:rsidRDefault="00F8169C" w:rsidP="008A76CA">
      <w:pPr>
        <w:numPr>
          <w:ilvl w:val="0"/>
          <w:numId w:val="23"/>
        </w:numPr>
        <w:tabs>
          <w:tab w:val="left" w:pos="1060"/>
        </w:tabs>
        <w:spacing w:line="276" w:lineRule="auto"/>
        <w:ind w:left="1060" w:hanging="352"/>
        <w:jc w:val="both"/>
        <w:rPr>
          <w:rFonts w:eastAsia="Arial"/>
        </w:rPr>
      </w:pPr>
      <w:r w:rsidRPr="0055512B">
        <w:rPr>
          <w:rFonts w:eastAsia="Arial"/>
        </w:rPr>
        <w:t>Elle soumet ces documents à la BI</w:t>
      </w:r>
      <w:r w:rsidR="00642B52" w:rsidRPr="0055512B">
        <w:rPr>
          <w:rFonts w:eastAsia="Arial"/>
        </w:rPr>
        <w:t xml:space="preserve">D </w:t>
      </w:r>
      <w:r w:rsidRPr="0055512B">
        <w:rPr>
          <w:rFonts w:eastAsia="Arial"/>
        </w:rPr>
        <w:t>pour non-objection à la publication des documents.</w:t>
      </w:r>
    </w:p>
    <w:p w14:paraId="318BB266" w14:textId="50107526" w:rsidR="00F8169C" w:rsidRPr="0055512B" w:rsidRDefault="00F8169C" w:rsidP="008A76CA">
      <w:pPr>
        <w:numPr>
          <w:ilvl w:val="0"/>
          <w:numId w:val="23"/>
        </w:numPr>
        <w:tabs>
          <w:tab w:val="left" w:pos="1060"/>
        </w:tabs>
        <w:spacing w:line="276" w:lineRule="auto"/>
        <w:ind w:left="1060" w:hanging="352"/>
        <w:jc w:val="both"/>
        <w:rPr>
          <w:rFonts w:eastAsia="Arial"/>
        </w:rPr>
      </w:pPr>
      <w:r w:rsidRPr="0055512B">
        <w:rPr>
          <w:rFonts w:eastAsia="Arial"/>
        </w:rPr>
        <w:t>La</w:t>
      </w:r>
      <w:r w:rsidR="00642B52" w:rsidRPr="0055512B">
        <w:rPr>
          <w:rFonts w:eastAsia="Arial"/>
        </w:rPr>
        <w:t xml:space="preserve"> BID  peut </w:t>
      </w:r>
      <w:r w:rsidRPr="0055512B">
        <w:rPr>
          <w:rFonts w:eastAsia="Arial"/>
        </w:rPr>
        <w:t>demander des clarifications, modifications ou ajouts à ces dossiers, puis, après rectification, accordent sa non-objection.</w:t>
      </w:r>
      <w:r w:rsidR="00E66C7F" w:rsidRPr="0055512B">
        <w:rPr>
          <w:rFonts w:eastAsia="Arial"/>
        </w:rPr>
        <w:t xml:space="preserve"> Dans les cas des projets d’infrastructures, avant de donner la </w:t>
      </w:r>
      <w:r w:rsidR="000F411C" w:rsidRPr="0055512B">
        <w:rPr>
          <w:rFonts w:eastAsia="Arial"/>
        </w:rPr>
        <w:t xml:space="preserve">non-objection, la </w:t>
      </w:r>
      <w:r w:rsidR="00E66C7F" w:rsidRPr="0055512B">
        <w:rPr>
          <w:rFonts w:eastAsia="Arial"/>
        </w:rPr>
        <w:t>BID</w:t>
      </w:r>
      <w:r w:rsidR="00830723" w:rsidRPr="0055512B">
        <w:rPr>
          <w:rFonts w:eastAsia="Arial"/>
        </w:rPr>
        <w:t xml:space="preserve"> doit</w:t>
      </w:r>
      <w:r w:rsidR="000F411C" w:rsidRPr="0055512B">
        <w:rPr>
          <w:rFonts w:eastAsia="Arial"/>
        </w:rPr>
        <w:t xml:space="preserve"> réviser</w:t>
      </w:r>
      <w:r w:rsidR="00E66C7F" w:rsidRPr="0055512B">
        <w:rPr>
          <w:rFonts w:eastAsia="Arial"/>
        </w:rPr>
        <w:t xml:space="preserve"> que les AES </w:t>
      </w:r>
      <w:r w:rsidR="00EB07E7" w:rsidRPr="0055512B">
        <w:rPr>
          <w:rFonts w:eastAsia="Arial"/>
        </w:rPr>
        <w:t xml:space="preserve">adéquates </w:t>
      </w:r>
      <w:r w:rsidR="00E66C7F" w:rsidRPr="0055512B">
        <w:rPr>
          <w:rFonts w:eastAsia="Arial"/>
        </w:rPr>
        <w:t xml:space="preserve">et </w:t>
      </w:r>
      <w:r w:rsidR="00E320DF" w:rsidRPr="0055512B">
        <w:rPr>
          <w:rFonts w:eastAsia="Arial"/>
        </w:rPr>
        <w:t xml:space="preserve">les </w:t>
      </w:r>
      <w:r w:rsidR="00E66C7F" w:rsidRPr="0055512B">
        <w:rPr>
          <w:rFonts w:eastAsia="Arial"/>
        </w:rPr>
        <w:t xml:space="preserve">PGAS ont été </w:t>
      </w:r>
      <w:r w:rsidR="000F411C" w:rsidRPr="0055512B">
        <w:rPr>
          <w:rFonts w:eastAsia="Arial"/>
        </w:rPr>
        <w:t>développés</w:t>
      </w:r>
      <w:r w:rsidR="00E66C7F" w:rsidRPr="0055512B">
        <w:rPr>
          <w:rFonts w:eastAsia="Arial"/>
        </w:rPr>
        <w:t xml:space="preserve"> et </w:t>
      </w:r>
      <w:r w:rsidR="000F411C" w:rsidRPr="0055512B">
        <w:rPr>
          <w:rFonts w:eastAsia="Arial"/>
        </w:rPr>
        <w:t>consultés</w:t>
      </w:r>
      <w:r w:rsidR="00E66C7F" w:rsidRPr="0055512B">
        <w:rPr>
          <w:rFonts w:eastAsia="Arial"/>
        </w:rPr>
        <w:t xml:space="preserve"> avec les populations </w:t>
      </w:r>
      <w:r w:rsidR="000F411C" w:rsidRPr="0055512B">
        <w:rPr>
          <w:rFonts w:eastAsia="Arial"/>
        </w:rPr>
        <w:t>affectées</w:t>
      </w:r>
      <w:r w:rsidR="00E66C7F" w:rsidRPr="0055512B">
        <w:rPr>
          <w:rFonts w:eastAsia="Arial"/>
        </w:rPr>
        <w:t xml:space="preserve">. </w:t>
      </w:r>
    </w:p>
    <w:p w14:paraId="5747C7F3" w14:textId="77777777" w:rsidR="00F8169C" w:rsidRPr="0055512B" w:rsidRDefault="00642B52" w:rsidP="008A76CA">
      <w:pPr>
        <w:numPr>
          <w:ilvl w:val="0"/>
          <w:numId w:val="23"/>
        </w:numPr>
        <w:tabs>
          <w:tab w:val="left" w:pos="1060"/>
        </w:tabs>
        <w:spacing w:line="276" w:lineRule="auto"/>
        <w:ind w:left="1060" w:hanging="352"/>
        <w:jc w:val="both"/>
        <w:rPr>
          <w:rFonts w:eastAsia="Arial"/>
        </w:rPr>
      </w:pPr>
      <w:r w:rsidRPr="0055512B">
        <w:rPr>
          <w:rFonts w:eastAsia="Arial"/>
        </w:rPr>
        <w:t xml:space="preserve">L’OREPA Ouest </w:t>
      </w:r>
      <w:r w:rsidR="00F8169C" w:rsidRPr="0055512B">
        <w:rPr>
          <w:rFonts w:eastAsia="Arial"/>
        </w:rPr>
        <w:t xml:space="preserve"> publie l</w:t>
      </w:r>
      <w:r w:rsidR="00F8169C" w:rsidRPr="0055512B">
        <w:rPr>
          <w:rFonts w:ascii="Times New Roman" w:eastAsia="Arial" w:hAnsi="Times New Roman" w:cs="Times New Roman"/>
        </w:rPr>
        <w:t>’</w:t>
      </w:r>
      <w:r w:rsidR="00F8169C" w:rsidRPr="0055512B">
        <w:rPr>
          <w:rFonts w:eastAsia="Arial"/>
        </w:rPr>
        <w:t>appel d</w:t>
      </w:r>
      <w:r w:rsidR="00F8169C" w:rsidRPr="0055512B">
        <w:rPr>
          <w:rFonts w:ascii="Times New Roman" w:eastAsia="Arial" w:hAnsi="Times New Roman" w:cs="Times New Roman"/>
        </w:rPr>
        <w:t>’</w:t>
      </w:r>
      <w:r w:rsidR="00F8169C" w:rsidRPr="0055512B">
        <w:rPr>
          <w:rFonts w:eastAsia="Arial"/>
        </w:rPr>
        <w:t>offres ou la consultation correspondante selon les procédures obligatoires fournies par la BID.</w:t>
      </w:r>
    </w:p>
    <w:p w14:paraId="77CE8765" w14:textId="77777777" w:rsidR="00F8169C" w:rsidRPr="0055512B" w:rsidRDefault="00F8169C" w:rsidP="008A76CA">
      <w:pPr>
        <w:numPr>
          <w:ilvl w:val="1"/>
          <w:numId w:val="24"/>
        </w:numPr>
        <w:tabs>
          <w:tab w:val="left" w:pos="1060"/>
        </w:tabs>
        <w:spacing w:line="276" w:lineRule="auto"/>
        <w:ind w:left="1060" w:hanging="352"/>
        <w:jc w:val="both"/>
        <w:rPr>
          <w:rFonts w:eastAsia="Arial"/>
        </w:rPr>
      </w:pPr>
      <w:r w:rsidRPr="0055512B">
        <w:rPr>
          <w:rFonts w:eastAsia="Arial"/>
        </w:rPr>
        <w:t>Après réception des dossiers</w:t>
      </w:r>
      <w:r w:rsidR="00642B52" w:rsidRPr="0055512B">
        <w:rPr>
          <w:rFonts w:eastAsia="Arial"/>
        </w:rPr>
        <w:t xml:space="preserve"> des soumissionnaires, l’OREPA Ouest </w:t>
      </w:r>
      <w:r w:rsidRPr="0055512B">
        <w:rPr>
          <w:rFonts w:eastAsia="Arial"/>
        </w:rPr>
        <w:t xml:space="preserve"> met en place une commission d</w:t>
      </w:r>
      <w:r w:rsidR="00642B52" w:rsidRPr="0055512B">
        <w:rPr>
          <w:rFonts w:ascii="Times New Roman" w:eastAsia="Arial" w:hAnsi="Times New Roman" w:cs="Times New Roman"/>
        </w:rPr>
        <w:t>’</w:t>
      </w:r>
      <w:r w:rsidRPr="0055512B">
        <w:rPr>
          <w:rFonts w:eastAsia="Arial"/>
        </w:rPr>
        <w:t>analyse des offres selon les procédures fournies par la BID.</w:t>
      </w:r>
    </w:p>
    <w:p w14:paraId="492D30E4" w14:textId="77777777" w:rsidR="00F8169C" w:rsidRPr="0055512B" w:rsidRDefault="00F8169C" w:rsidP="008A76CA">
      <w:pPr>
        <w:spacing w:line="276" w:lineRule="auto"/>
        <w:jc w:val="both"/>
        <w:rPr>
          <w:rFonts w:eastAsia="Arial"/>
        </w:rPr>
      </w:pPr>
    </w:p>
    <w:p w14:paraId="65B976C3" w14:textId="77777777" w:rsidR="00F8169C" w:rsidRPr="0055512B" w:rsidRDefault="00F8169C" w:rsidP="008A76CA">
      <w:pPr>
        <w:numPr>
          <w:ilvl w:val="1"/>
          <w:numId w:val="24"/>
        </w:numPr>
        <w:tabs>
          <w:tab w:val="left" w:pos="1060"/>
        </w:tabs>
        <w:spacing w:line="276" w:lineRule="auto"/>
        <w:ind w:left="1060" w:hanging="352"/>
        <w:jc w:val="both"/>
        <w:rPr>
          <w:rFonts w:eastAsia="Arial"/>
        </w:rPr>
      </w:pPr>
      <w:r w:rsidRPr="0055512B">
        <w:rPr>
          <w:rFonts w:eastAsia="Arial"/>
        </w:rPr>
        <w:t>Le rapport de la commission d</w:t>
      </w:r>
      <w:r w:rsidR="00642B52" w:rsidRPr="0055512B">
        <w:rPr>
          <w:rFonts w:ascii="Times New Roman" w:eastAsia="Arial" w:hAnsi="Times New Roman" w:cs="Times New Roman"/>
        </w:rPr>
        <w:t>’</w:t>
      </w:r>
      <w:r w:rsidRPr="0055512B">
        <w:rPr>
          <w:rFonts w:eastAsia="Arial"/>
        </w:rPr>
        <w:t>analyse est ensuite envoyé à la BID</w:t>
      </w:r>
      <w:r w:rsidR="00642B52" w:rsidRPr="0055512B">
        <w:rPr>
          <w:rFonts w:eastAsia="Arial"/>
        </w:rPr>
        <w:t xml:space="preserve"> </w:t>
      </w:r>
      <w:r w:rsidRPr="0055512B">
        <w:rPr>
          <w:rFonts w:eastAsia="Arial"/>
        </w:rPr>
        <w:t>avec les copies des offres de tous les soumissionnaires, pour non-objection.</w:t>
      </w:r>
    </w:p>
    <w:p w14:paraId="170E122D" w14:textId="77777777" w:rsidR="00F8169C" w:rsidRPr="0055512B" w:rsidRDefault="00F8169C" w:rsidP="008A76CA">
      <w:pPr>
        <w:spacing w:line="276" w:lineRule="auto"/>
        <w:jc w:val="both"/>
        <w:rPr>
          <w:rFonts w:eastAsia="Arial"/>
        </w:rPr>
      </w:pPr>
    </w:p>
    <w:p w14:paraId="11DBFB14" w14:textId="77777777" w:rsidR="00F8169C" w:rsidRPr="0055512B" w:rsidRDefault="00642B52" w:rsidP="008A76CA">
      <w:pPr>
        <w:numPr>
          <w:ilvl w:val="1"/>
          <w:numId w:val="24"/>
        </w:numPr>
        <w:tabs>
          <w:tab w:val="left" w:pos="1060"/>
        </w:tabs>
        <w:spacing w:line="276" w:lineRule="auto"/>
        <w:ind w:left="1060" w:hanging="352"/>
        <w:jc w:val="both"/>
        <w:rPr>
          <w:rFonts w:eastAsia="Arial"/>
        </w:rPr>
      </w:pPr>
      <w:r w:rsidRPr="0055512B">
        <w:rPr>
          <w:rFonts w:eastAsia="Arial"/>
        </w:rPr>
        <w:t>La BID signale sa</w:t>
      </w:r>
      <w:r w:rsidR="00F8169C" w:rsidRPr="0055512B">
        <w:rPr>
          <w:rFonts w:eastAsia="Arial"/>
        </w:rPr>
        <w:t xml:space="preserve"> non-objection à l</w:t>
      </w:r>
      <w:r w:rsidRPr="0055512B">
        <w:rPr>
          <w:rFonts w:ascii="Times New Roman" w:eastAsia="Arial" w:hAnsi="Times New Roman" w:cs="Times New Roman"/>
        </w:rPr>
        <w:t>’</w:t>
      </w:r>
      <w:r w:rsidR="00F8169C" w:rsidRPr="0055512B">
        <w:rPr>
          <w:rFonts w:eastAsia="Arial"/>
        </w:rPr>
        <w:t xml:space="preserve">adjudicataire proposé par le comité ou demande une révision ou exprime un désaccord ; après la décision finale, la </w:t>
      </w:r>
      <w:r w:rsidRPr="0055512B">
        <w:rPr>
          <w:rFonts w:eastAsia="Arial"/>
        </w:rPr>
        <w:t>BID doit</w:t>
      </w:r>
      <w:r w:rsidR="00F8169C" w:rsidRPr="0055512B">
        <w:rPr>
          <w:rFonts w:eastAsia="Arial"/>
        </w:rPr>
        <w:t xml:space="preserve"> fournir la non-objection.</w:t>
      </w:r>
    </w:p>
    <w:p w14:paraId="3F3BE09E" w14:textId="77777777" w:rsidR="00F8169C" w:rsidRPr="0055512B" w:rsidRDefault="00F8169C" w:rsidP="008A76CA">
      <w:pPr>
        <w:spacing w:line="276" w:lineRule="auto"/>
        <w:jc w:val="both"/>
        <w:rPr>
          <w:rFonts w:eastAsia="Arial"/>
        </w:rPr>
      </w:pPr>
    </w:p>
    <w:p w14:paraId="7724E9A2" w14:textId="77777777" w:rsidR="00F8169C" w:rsidRPr="0055512B" w:rsidRDefault="00F8169C" w:rsidP="008A76CA">
      <w:pPr>
        <w:spacing w:line="276" w:lineRule="auto"/>
        <w:jc w:val="both"/>
        <w:rPr>
          <w:rFonts w:eastAsia="Arial"/>
        </w:rPr>
      </w:pPr>
    </w:p>
    <w:p w14:paraId="5E23DCB1" w14:textId="77777777" w:rsidR="00F8169C" w:rsidRPr="0055512B" w:rsidRDefault="00F8169C" w:rsidP="008A76CA">
      <w:pPr>
        <w:numPr>
          <w:ilvl w:val="0"/>
          <w:numId w:val="24"/>
        </w:numPr>
        <w:tabs>
          <w:tab w:val="left" w:pos="360"/>
        </w:tabs>
        <w:spacing w:line="276" w:lineRule="auto"/>
        <w:ind w:left="360" w:hanging="284"/>
        <w:jc w:val="both"/>
        <w:rPr>
          <w:rFonts w:eastAsia="Arial"/>
          <w:u w:val="single"/>
        </w:rPr>
      </w:pPr>
      <w:r w:rsidRPr="0055512B">
        <w:rPr>
          <w:rFonts w:eastAsia="Arial"/>
          <w:u w:val="single"/>
        </w:rPr>
        <w:t>Demandes de non-objection</w:t>
      </w:r>
    </w:p>
    <w:p w14:paraId="20D6616C" w14:textId="77777777" w:rsidR="00F8169C" w:rsidRPr="0055512B" w:rsidRDefault="00F8169C" w:rsidP="008A76CA">
      <w:pPr>
        <w:spacing w:line="276" w:lineRule="auto"/>
        <w:jc w:val="both"/>
        <w:rPr>
          <w:rFonts w:eastAsia="Times New Roman"/>
        </w:rPr>
      </w:pPr>
    </w:p>
    <w:p w14:paraId="5B642E05" w14:textId="1C045BBD" w:rsidR="00F8169C" w:rsidRPr="0055512B" w:rsidRDefault="00F8169C" w:rsidP="008A76CA">
      <w:pPr>
        <w:spacing w:line="276" w:lineRule="auto"/>
        <w:jc w:val="both"/>
        <w:rPr>
          <w:rFonts w:eastAsia="Arial"/>
        </w:rPr>
      </w:pPr>
      <w:r w:rsidRPr="0055512B">
        <w:rPr>
          <w:rFonts w:eastAsia="Arial"/>
        </w:rPr>
        <w:t>Tout achat / Vente de matériel, recrutement / licenciement du personnel, déplacement / hébergement hors du lieu principal de travail, dépense d</w:t>
      </w:r>
      <w:r w:rsidRPr="0055512B">
        <w:rPr>
          <w:rFonts w:ascii="Times New Roman" w:eastAsia="Arial" w:hAnsi="Times New Roman" w:cs="Times New Roman"/>
        </w:rPr>
        <w:t>’</w:t>
      </w:r>
      <w:r w:rsidRPr="0055512B">
        <w:rPr>
          <w:rFonts w:eastAsia="Arial"/>
        </w:rPr>
        <w:t>ordre logistique devra faire l</w:t>
      </w:r>
      <w:r w:rsidRPr="0055512B">
        <w:rPr>
          <w:rFonts w:ascii="Times New Roman" w:eastAsia="Arial" w:hAnsi="Times New Roman" w:cs="Times New Roman"/>
        </w:rPr>
        <w:t>’</w:t>
      </w:r>
      <w:r w:rsidRPr="0055512B">
        <w:rPr>
          <w:rFonts w:eastAsia="Arial"/>
        </w:rPr>
        <w:t>objet d</w:t>
      </w:r>
      <w:r w:rsidRPr="0055512B">
        <w:rPr>
          <w:rFonts w:ascii="Times New Roman" w:eastAsia="Arial" w:hAnsi="Times New Roman" w:cs="Times New Roman"/>
        </w:rPr>
        <w:t>’</w:t>
      </w:r>
      <w:r w:rsidRPr="0055512B">
        <w:rPr>
          <w:rFonts w:eastAsia="Arial"/>
        </w:rPr>
        <w:t>une demande de non-objection à la B</w:t>
      </w:r>
      <w:r w:rsidR="00922848">
        <w:rPr>
          <w:rFonts w:eastAsia="Arial"/>
        </w:rPr>
        <w:t>ID</w:t>
      </w:r>
      <w:r w:rsidRPr="0055512B">
        <w:rPr>
          <w:rFonts w:eastAsia="Arial"/>
        </w:rPr>
        <w:t>. La demande devra être accompagnée de :</w:t>
      </w:r>
    </w:p>
    <w:p w14:paraId="2D466217" w14:textId="77777777" w:rsidR="00F8169C" w:rsidRPr="0055512B" w:rsidRDefault="00F8169C" w:rsidP="008A76CA">
      <w:pPr>
        <w:spacing w:line="276" w:lineRule="auto"/>
        <w:jc w:val="both"/>
        <w:rPr>
          <w:rFonts w:eastAsia="Times New Roman"/>
        </w:rPr>
      </w:pPr>
    </w:p>
    <w:p w14:paraId="002DD1E5" w14:textId="77777777" w:rsidR="00F8169C" w:rsidRPr="0055512B" w:rsidRDefault="00F8169C" w:rsidP="008A76CA">
      <w:pPr>
        <w:numPr>
          <w:ilvl w:val="0"/>
          <w:numId w:val="25"/>
        </w:numPr>
        <w:tabs>
          <w:tab w:val="left" w:pos="720"/>
        </w:tabs>
        <w:spacing w:line="276" w:lineRule="auto"/>
        <w:ind w:left="720" w:hanging="358"/>
        <w:jc w:val="both"/>
        <w:rPr>
          <w:rFonts w:eastAsia="Arial"/>
        </w:rPr>
      </w:pPr>
      <w:r w:rsidRPr="0055512B">
        <w:rPr>
          <w:rFonts w:eastAsia="Arial"/>
        </w:rPr>
        <w:t>dossier d</w:t>
      </w:r>
      <w:r w:rsidRPr="0055512B">
        <w:rPr>
          <w:rFonts w:ascii="Times New Roman" w:eastAsia="Arial" w:hAnsi="Times New Roman" w:cs="Times New Roman"/>
        </w:rPr>
        <w:t>’</w:t>
      </w:r>
      <w:r w:rsidRPr="0055512B">
        <w:rPr>
          <w:rFonts w:eastAsia="Arial"/>
        </w:rPr>
        <w:t>appel d</w:t>
      </w:r>
      <w:r w:rsidRPr="0055512B">
        <w:rPr>
          <w:rFonts w:ascii="Times New Roman" w:eastAsia="Arial" w:hAnsi="Times New Roman" w:cs="Times New Roman"/>
        </w:rPr>
        <w:t>’</w:t>
      </w:r>
      <w:r w:rsidRPr="0055512B">
        <w:rPr>
          <w:rFonts w:eastAsia="Arial"/>
        </w:rPr>
        <w:t>offres / de consultation suivant le modèle administratif fourni par la BID et toutes annexes utiles</w:t>
      </w:r>
    </w:p>
    <w:p w14:paraId="78D9E0E1" w14:textId="77777777" w:rsidR="00F8169C" w:rsidRPr="0055512B" w:rsidRDefault="00F8169C" w:rsidP="008A76CA">
      <w:pPr>
        <w:spacing w:line="276" w:lineRule="auto"/>
        <w:jc w:val="both"/>
        <w:rPr>
          <w:rFonts w:eastAsia="Arial"/>
        </w:rPr>
      </w:pPr>
    </w:p>
    <w:p w14:paraId="59951BC3" w14:textId="77777777" w:rsidR="00F8169C" w:rsidRPr="0055512B" w:rsidRDefault="00F8169C" w:rsidP="008A76CA">
      <w:pPr>
        <w:numPr>
          <w:ilvl w:val="0"/>
          <w:numId w:val="25"/>
        </w:numPr>
        <w:tabs>
          <w:tab w:val="left" w:pos="720"/>
        </w:tabs>
        <w:spacing w:line="276" w:lineRule="auto"/>
        <w:ind w:left="720" w:hanging="358"/>
        <w:jc w:val="both"/>
        <w:rPr>
          <w:rFonts w:eastAsia="Arial"/>
        </w:rPr>
      </w:pPr>
      <w:r w:rsidRPr="0055512B">
        <w:rPr>
          <w:rFonts w:eastAsia="Arial"/>
        </w:rPr>
        <w:t>termes de références spécifiques au dossier concerné</w:t>
      </w:r>
    </w:p>
    <w:p w14:paraId="4856F203" w14:textId="77777777" w:rsidR="00F8169C" w:rsidRPr="0055512B" w:rsidRDefault="00F8169C" w:rsidP="008A76CA">
      <w:pPr>
        <w:spacing w:line="276" w:lineRule="auto"/>
        <w:jc w:val="both"/>
        <w:rPr>
          <w:rFonts w:eastAsia="Times New Roman"/>
        </w:rPr>
      </w:pPr>
    </w:p>
    <w:p w14:paraId="4A8F45B0" w14:textId="4FFF5E60" w:rsidR="00F8169C" w:rsidRPr="0055512B" w:rsidRDefault="00F8169C" w:rsidP="008A76CA">
      <w:pPr>
        <w:spacing w:line="276" w:lineRule="auto"/>
        <w:jc w:val="both"/>
        <w:rPr>
          <w:rFonts w:eastAsia="Arial"/>
        </w:rPr>
      </w:pPr>
      <w:r w:rsidRPr="0055512B">
        <w:rPr>
          <w:rFonts w:eastAsia="Arial"/>
        </w:rPr>
        <w:lastRenderedPageBreak/>
        <w:t>Sans non-o</w:t>
      </w:r>
      <w:r w:rsidR="00922848">
        <w:rPr>
          <w:rFonts w:eastAsia="Arial"/>
        </w:rPr>
        <w:t>bjection de la part de la BID</w:t>
      </w:r>
      <w:r w:rsidRPr="0055512B">
        <w:rPr>
          <w:rFonts w:eastAsia="Arial"/>
        </w:rPr>
        <w:t>, aucun contrat d</w:t>
      </w:r>
      <w:r w:rsidRPr="0055512B">
        <w:rPr>
          <w:rFonts w:ascii="Times New Roman" w:eastAsia="Arial" w:hAnsi="Times New Roman" w:cs="Times New Roman"/>
        </w:rPr>
        <w:t>’</w:t>
      </w:r>
      <w:r w:rsidRPr="0055512B">
        <w:rPr>
          <w:rFonts w:eastAsia="Arial"/>
        </w:rPr>
        <w:t>acquisition de biens, de services ou de travaux ne sera considéré comme valable par la BID et pourra être rejeté (à l</w:t>
      </w:r>
      <w:r w:rsidRPr="0055512B">
        <w:rPr>
          <w:rFonts w:ascii="Times New Roman" w:eastAsia="Arial" w:hAnsi="Times New Roman" w:cs="Times New Roman"/>
        </w:rPr>
        <w:t>’</w:t>
      </w:r>
      <w:r w:rsidRPr="0055512B">
        <w:rPr>
          <w:rFonts w:eastAsia="Arial"/>
        </w:rPr>
        <w:t>exception des dépenses d</w:t>
      </w:r>
      <w:r w:rsidRPr="0055512B">
        <w:rPr>
          <w:rFonts w:ascii="Times New Roman" w:eastAsia="Arial" w:hAnsi="Times New Roman" w:cs="Times New Roman"/>
        </w:rPr>
        <w:t>’</w:t>
      </w:r>
      <w:r w:rsidRPr="0055512B">
        <w:rPr>
          <w:rFonts w:eastAsia="Arial"/>
        </w:rPr>
        <w:t>administration courantes de l</w:t>
      </w:r>
      <w:r w:rsidRPr="0055512B">
        <w:rPr>
          <w:rFonts w:ascii="Times New Roman" w:eastAsia="Arial" w:hAnsi="Times New Roman" w:cs="Times New Roman"/>
        </w:rPr>
        <w:t>’</w:t>
      </w:r>
      <w:r w:rsidRPr="0055512B">
        <w:rPr>
          <w:rFonts w:eastAsia="Arial"/>
        </w:rPr>
        <w:t>agence d</w:t>
      </w:r>
      <w:r w:rsidRPr="0055512B">
        <w:rPr>
          <w:rFonts w:ascii="Times New Roman" w:eastAsia="Arial" w:hAnsi="Times New Roman" w:cs="Times New Roman"/>
        </w:rPr>
        <w:t>’</w:t>
      </w:r>
      <w:r w:rsidRPr="0055512B">
        <w:rPr>
          <w:rFonts w:eastAsia="Arial"/>
        </w:rPr>
        <w:t xml:space="preserve">exécution petit matériel bureautique, entretien des véhicules… - qui resteraient en-dessous des seuils admis). La </w:t>
      </w:r>
      <w:r w:rsidR="00642B52" w:rsidRPr="0055512B">
        <w:rPr>
          <w:rFonts w:eastAsia="Arial"/>
        </w:rPr>
        <w:t>BID pourrai</w:t>
      </w:r>
      <w:r w:rsidRPr="0055512B">
        <w:rPr>
          <w:rFonts w:eastAsia="Arial"/>
        </w:rPr>
        <w:t>t demander toute précision utile aux demandes de non-objection avec acceptation.</w:t>
      </w:r>
    </w:p>
    <w:p w14:paraId="757160A7" w14:textId="77777777" w:rsidR="00F8169C" w:rsidRPr="0055512B" w:rsidRDefault="00F8169C" w:rsidP="008A76CA">
      <w:pPr>
        <w:spacing w:line="276" w:lineRule="auto"/>
        <w:jc w:val="both"/>
        <w:rPr>
          <w:rFonts w:eastAsia="Times New Roman"/>
        </w:rPr>
      </w:pPr>
    </w:p>
    <w:p w14:paraId="1995E034" w14:textId="77777777" w:rsidR="00F8169C" w:rsidRPr="0055512B" w:rsidRDefault="00F8169C" w:rsidP="008A76CA">
      <w:pPr>
        <w:spacing w:line="276" w:lineRule="auto"/>
        <w:jc w:val="both"/>
        <w:rPr>
          <w:rFonts w:eastAsia="Arial"/>
        </w:rPr>
      </w:pPr>
      <w:r w:rsidRPr="0055512B">
        <w:rPr>
          <w:rFonts w:eastAsia="Arial"/>
        </w:rPr>
        <w:t>La demande pourra être faite par voie électronique à condition que la DINEPA mette en place un archivage électronique adéquat.</w:t>
      </w:r>
    </w:p>
    <w:p w14:paraId="25C6F658" w14:textId="77777777" w:rsidR="00F8169C" w:rsidRPr="0055512B" w:rsidRDefault="00F8169C" w:rsidP="008A76CA">
      <w:pPr>
        <w:spacing w:line="276" w:lineRule="auto"/>
        <w:jc w:val="both"/>
        <w:rPr>
          <w:rFonts w:eastAsia="Times New Roman"/>
        </w:rPr>
      </w:pPr>
    </w:p>
    <w:p w14:paraId="5CE5646F" w14:textId="77777777" w:rsidR="00F8169C" w:rsidRPr="0055512B" w:rsidRDefault="00F8169C" w:rsidP="008A76CA">
      <w:pPr>
        <w:spacing w:line="276" w:lineRule="auto"/>
        <w:ind w:left="20"/>
        <w:jc w:val="both"/>
        <w:rPr>
          <w:rFonts w:eastAsia="Arial"/>
        </w:rPr>
      </w:pPr>
      <w:r w:rsidRPr="0055512B">
        <w:rPr>
          <w:rFonts w:eastAsia="Arial"/>
        </w:rPr>
        <w:t>(</w:t>
      </w:r>
      <w:r w:rsidRPr="0055512B">
        <w:rPr>
          <w:rFonts w:eastAsia="Arial"/>
          <w:u w:val="single"/>
        </w:rPr>
        <w:t>ii) L’analyse et l</w:t>
      </w:r>
      <w:r w:rsidRPr="0055512B">
        <w:rPr>
          <w:rFonts w:ascii="Times New Roman" w:eastAsia="Arial" w:hAnsi="Times New Roman" w:cs="Times New Roman"/>
          <w:u w:val="single"/>
        </w:rPr>
        <w:t>’</w:t>
      </w:r>
      <w:r w:rsidRPr="0055512B">
        <w:rPr>
          <w:rFonts w:eastAsia="Arial"/>
          <w:u w:val="single"/>
        </w:rPr>
        <w:t>attribution des marchés et contrats</w:t>
      </w:r>
    </w:p>
    <w:p w14:paraId="674AE7B0" w14:textId="77777777" w:rsidR="00F8169C" w:rsidRPr="0055512B" w:rsidRDefault="00F8169C" w:rsidP="008A76CA">
      <w:pPr>
        <w:spacing w:line="276" w:lineRule="auto"/>
        <w:jc w:val="both"/>
        <w:rPr>
          <w:rFonts w:eastAsia="Times New Roman"/>
        </w:rPr>
      </w:pPr>
    </w:p>
    <w:p w14:paraId="3FA74452" w14:textId="77777777" w:rsidR="00F8169C" w:rsidRPr="0055512B" w:rsidRDefault="00F8169C" w:rsidP="008A76CA">
      <w:pPr>
        <w:spacing w:line="276" w:lineRule="auto"/>
        <w:jc w:val="both"/>
        <w:rPr>
          <w:rFonts w:eastAsia="Arial"/>
        </w:rPr>
      </w:pPr>
      <w:r w:rsidRPr="0055512B">
        <w:rPr>
          <w:rFonts w:eastAsia="Arial"/>
        </w:rPr>
        <w:t>Pour tout processus de passation de marchés une commission d</w:t>
      </w:r>
      <w:r w:rsidRPr="0055512B">
        <w:rPr>
          <w:rFonts w:ascii="Times New Roman" w:eastAsia="Arial" w:hAnsi="Times New Roman" w:cs="Times New Roman"/>
        </w:rPr>
        <w:t>’</w:t>
      </w:r>
      <w:r w:rsidRPr="0055512B">
        <w:rPr>
          <w:rFonts w:eastAsia="Arial"/>
        </w:rPr>
        <w:t>analyse et d'évaluation des offres jouissant de son autonomie sera mise en place. La commission devra évaluer les offres, préparer son rapport tout en incluant ses recommandations pour l'attribution du marché (annulation de l'appel d'offr</w:t>
      </w:r>
      <w:r w:rsidR="00642B52" w:rsidRPr="0055512B">
        <w:rPr>
          <w:rFonts w:eastAsia="Arial"/>
        </w:rPr>
        <w:t>es ou autre décision). L’OREPA Ouest</w:t>
      </w:r>
      <w:r w:rsidRPr="0055512B">
        <w:rPr>
          <w:rFonts w:eastAsia="Arial"/>
        </w:rPr>
        <w:t xml:space="preserve"> transmettra à</w:t>
      </w:r>
      <w:r w:rsidR="00642B52" w:rsidRPr="0055512B">
        <w:rPr>
          <w:rFonts w:eastAsia="Arial"/>
        </w:rPr>
        <w:t xml:space="preserve"> la BID </w:t>
      </w:r>
      <w:r w:rsidRPr="0055512B">
        <w:rPr>
          <w:rFonts w:eastAsia="Arial"/>
        </w:rPr>
        <w:t xml:space="preserve"> le rapport d'analyse et d'évaluation des offres pour non-objection. La commission </w:t>
      </w:r>
      <w:r w:rsidR="00642B52" w:rsidRPr="0055512B">
        <w:rPr>
          <w:rFonts w:eastAsia="Arial"/>
        </w:rPr>
        <w:t>sera mise en place par l’OREPA</w:t>
      </w:r>
      <w:r w:rsidRPr="0055512B">
        <w:rPr>
          <w:rFonts w:eastAsia="Arial"/>
        </w:rPr>
        <w:t xml:space="preserve"> et sera composée d</w:t>
      </w:r>
      <w:r w:rsidRPr="0055512B">
        <w:rPr>
          <w:rFonts w:ascii="Times New Roman" w:eastAsia="Arial" w:hAnsi="Times New Roman" w:cs="Times New Roman"/>
        </w:rPr>
        <w:t>’</w:t>
      </w:r>
      <w:r w:rsidRPr="0055512B">
        <w:rPr>
          <w:rFonts w:eastAsia="Arial"/>
        </w:rPr>
        <w:t>au moins trois personnes. Un membre</w:t>
      </w:r>
      <w:r w:rsidR="00642B52" w:rsidRPr="0055512B">
        <w:rPr>
          <w:rFonts w:eastAsia="Arial"/>
        </w:rPr>
        <w:t xml:space="preserve"> du personnel cadre de l’OREPA Ouest</w:t>
      </w:r>
      <w:r w:rsidRPr="0055512B">
        <w:rPr>
          <w:rFonts w:eastAsia="Arial"/>
        </w:rPr>
        <w:t xml:space="preserve"> présidera cette commission, les autres membres seront issus du personnel salarié ou consultant de</w:t>
      </w:r>
      <w:r w:rsidR="00642B52" w:rsidRPr="0055512B">
        <w:rPr>
          <w:rFonts w:eastAsia="Arial"/>
        </w:rPr>
        <w:t>s agences publiques conce</w:t>
      </w:r>
      <w:r w:rsidR="00AC342A" w:rsidRPr="0055512B">
        <w:rPr>
          <w:rFonts w:eastAsia="Arial"/>
        </w:rPr>
        <w:t>rnées</w:t>
      </w:r>
      <w:r w:rsidR="00642B52" w:rsidRPr="0055512B">
        <w:rPr>
          <w:rFonts w:eastAsia="Arial"/>
        </w:rPr>
        <w:t xml:space="preserve">. </w:t>
      </w:r>
      <w:r w:rsidRPr="0055512B">
        <w:rPr>
          <w:rFonts w:eastAsia="Arial"/>
        </w:rPr>
        <w:t>Aucun membre ne doit se trouver en situation de conflit d</w:t>
      </w:r>
      <w:r w:rsidRPr="0055512B">
        <w:rPr>
          <w:rFonts w:ascii="Times New Roman" w:eastAsia="Arial" w:hAnsi="Times New Roman" w:cs="Times New Roman"/>
        </w:rPr>
        <w:t>’</w:t>
      </w:r>
      <w:r w:rsidRPr="0055512B">
        <w:rPr>
          <w:rFonts w:eastAsia="Arial"/>
        </w:rPr>
        <w:t>intérêt avec un ou des soumissionnaires.</w:t>
      </w:r>
    </w:p>
    <w:p w14:paraId="637C7C16" w14:textId="37270A0F" w:rsidR="00642B52" w:rsidRPr="0055512B" w:rsidRDefault="00642B52" w:rsidP="00922848">
      <w:pPr>
        <w:autoSpaceDE w:val="0"/>
        <w:autoSpaceDN w:val="0"/>
        <w:adjustRightInd w:val="0"/>
        <w:spacing w:before="120" w:after="120" w:line="276" w:lineRule="auto"/>
        <w:rPr>
          <w:color w:val="000000"/>
          <w:u w:val="single"/>
        </w:rPr>
      </w:pPr>
    </w:p>
    <w:p w14:paraId="39B150DA" w14:textId="77777777" w:rsidR="00642B52" w:rsidRPr="0055512B" w:rsidRDefault="00642B52" w:rsidP="00AD1481">
      <w:pPr>
        <w:autoSpaceDE w:val="0"/>
        <w:autoSpaceDN w:val="0"/>
        <w:adjustRightInd w:val="0"/>
        <w:spacing w:before="120" w:after="120" w:line="276" w:lineRule="auto"/>
        <w:ind w:left="180"/>
        <w:jc w:val="both"/>
        <w:rPr>
          <w:color w:val="000000"/>
        </w:rPr>
      </w:pPr>
      <w:r w:rsidRPr="0055512B">
        <w:rPr>
          <w:color w:val="000000"/>
          <w:u w:val="single"/>
        </w:rPr>
        <w:t>(iii) Acquisition pour Travaux, Biens, et Services (à l’exception des services de consultation</w:t>
      </w:r>
      <w:r w:rsidR="00EC6D17" w:rsidRPr="0055512B">
        <w:rPr>
          <w:color w:val="000000"/>
          <w:u w:val="single"/>
        </w:rPr>
        <w:t xml:space="preserve"> et d’</w:t>
      </w:r>
      <w:r w:rsidR="000F411C" w:rsidRPr="0055512B">
        <w:rPr>
          <w:color w:val="000000"/>
          <w:u w:val="single"/>
        </w:rPr>
        <w:t>analyse</w:t>
      </w:r>
      <w:r w:rsidR="00EC6D17" w:rsidRPr="0055512B">
        <w:rPr>
          <w:color w:val="000000"/>
          <w:u w:val="single"/>
        </w:rPr>
        <w:t xml:space="preserve"> environnementale et sociale</w:t>
      </w:r>
      <w:r w:rsidRPr="0055512B">
        <w:rPr>
          <w:color w:val="000000"/>
          <w:u w:val="single"/>
        </w:rPr>
        <w:t xml:space="preserve">) </w:t>
      </w:r>
      <w:r w:rsidRPr="0055512B">
        <w:rPr>
          <w:color w:val="000000"/>
        </w:rPr>
        <w:t>–</w:t>
      </w:r>
    </w:p>
    <w:p w14:paraId="62779482" w14:textId="77777777" w:rsidR="00642B52" w:rsidRPr="0055512B" w:rsidRDefault="00642B52" w:rsidP="00AD1481">
      <w:pPr>
        <w:autoSpaceDE w:val="0"/>
        <w:autoSpaceDN w:val="0"/>
        <w:adjustRightInd w:val="0"/>
        <w:spacing w:before="120" w:after="120" w:line="276" w:lineRule="auto"/>
        <w:ind w:left="180"/>
        <w:jc w:val="both"/>
        <w:rPr>
          <w:color w:val="000000"/>
        </w:rPr>
      </w:pPr>
      <w:r w:rsidRPr="0055512B">
        <w:rPr>
          <w:color w:val="000000"/>
        </w:rPr>
        <w:t xml:space="preserve"> Les contrats pour les Travaux, Biens et Services à l’exception des services de consultation générés sur le projet et sujets à la des appels d’offres internationaux seront exécutés en utilisant les Documents de Soumission Standards (SBDs) produits par la Banque. Les procédés sujets à des appels d’offres nationaux (NCB) seront exécutés en utilisant les documents d’appel d’offre nationaux acceptés par la Banque. La revue des spécifications techniques durant la préparation du processus de sélection est de la responsabilité du spécialiste sectoriel affecté au programme. </w:t>
      </w:r>
    </w:p>
    <w:p w14:paraId="20892CD9" w14:textId="77777777" w:rsidR="00642B52" w:rsidRPr="0055512B" w:rsidRDefault="00642B52" w:rsidP="00AD1481">
      <w:pPr>
        <w:autoSpaceDE w:val="0"/>
        <w:autoSpaceDN w:val="0"/>
        <w:adjustRightInd w:val="0"/>
        <w:spacing w:before="120" w:after="120" w:line="276" w:lineRule="auto"/>
        <w:ind w:left="180"/>
        <w:jc w:val="both"/>
        <w:rPr>
          <w:color w:val="000000"/>
          <w:u w:val="single"/>
        </w:rPr>
      </w:pPr>
    </w:p>
    <w:p w14:paraId="498A50B5" w14:textId="77777777" w:rsidR="00642B52" w:rsidRPr="0055512B" w:rsidRDefault="00642B52" w:rsidP="00AD1481">
      <w:pPr>
        <w:autoSpaceDE w:val="0"/>
        <w:autoSpaceDN w:val="0"/>
        <w:adjustRightInd w:val="0"/>
        <w:spacing w:before="120" w:after="120" w:line="276" w:lineRule="auto"/>
        <w:ind w:left="180"/>
        <w:jc w:val="both"/>
        <w:rPr>
          <w:color w:val="000000"/>
          <w:u w:val="single"/>
        </w:rPr>
      </w:pPr>
      <w:r w:rsidRPr="0055512B">
        <w:rPr>
          <w:color w:val="000000"/>
          <w:u w:val="single"/>
        </w:rPr>
        <w:t>iv) (Procédure d’acquisition en cas de Participation Communautaire</w:t>
      </w:r>
    </w:p>
    <w:p w14:paraId="5A46FB5B" w14:textId="77777777" w:rsidR="00642B52" w:rsidRPr="0055512B" w:rsidRDefault="00642B52" w:rsidP="00AD1481">
      <w:pPr>
        <w:autoSpaceDE w:val="0"/>
        <w:autoSpaceDN w:val="0"/>
        <w:adjustRightInd w:val="0"/>
        <w:spacing w:before="120" w:after="120" w:line="276" w:lineRule="auto"/>
        <w:ind w:left="180"/>
        <w:jc w:val="both"/>
        <w:rPr>
          <w:color w:val="000000"/>
        </w:rPr>
      </w:pPr>
      <w:r w:rsidRPr="0055512B">
        <w:rPr>
          <w:color w:val="000000"/>
        </w:rPr>
        <w:t xml:space="preserve">Une firme ou une organisation non gouvernementale sera sélectionnée dans le but d’organiser la participation communautaire en vue de la construction du système d’eau semi collectif. L’étendue de la participation de la communauté sera détaillé dans le manuel des opérations. </w:t>
      </w:r>
    </w:p>
    <w:p w14:paraId="7025B676" w14:textId="77777777" w:rsidR="00642B52" w:rsidRPr="0055512B" w:rsidRDefault="00642B52" w:rsidP="00AD1481">
      <w:pPr>
        <w:autoSpaceDE w:val="0"/>
        <w:autoSpaceDN w:val="0"/>
        <w:adjustRightInd w:val="0"/>
        <w:spacing w:before="120" w:after="120" w:line="276" w:lineRule="auto"/>
        <w:ind w:left="180"/>
        <w:jc w:val="both"/>
        <w:rPr>
          <w:color w:val="000000"/>
          <w:u w:val="single"/>
        </w:rPr>
      </w:pPr>
      <w:r w:rsidRPr="0055512B">
        <w:rPr>
          <w:color w:val="000000"/>
          <w:u w:val="single"/>
        </w:rPr>
        <w:lastRenderedPageBreak/>
        <w:t xml:space="preserve">(v) Sélection et Embauche des consultants </w:t>
      </w:r>
    </w:p>
    <w:p w14:paraId="71D5B5FD" w14:textId="6AAF9235" w:rsidR="00642B52" w:rsidRPr="0055512B" w:rsidRDefault="00642B52" w:rsidP="00AD1481">
      <w:pPr>
        <w:autoSpaceDE w:val="0"/>
        <w:autoSpaceDN w:val="0"/>
        <w:adjustRightInd w:val="0"/>
        <w:spacing w:before="120" w:after="120" w:line="276" w:lineRule="auto"/>
        <w:ind w:left="180"/>
        <w:jc w:val="both"/>
        <w:rPr>
          <w:color w:val="000000"/>
        </w:rPr>
      </w:pPr>
      <w:r w:rsidRPr="0055512B">
        <w:rPr>
          <w:color w:val="000000"/>
        </w:rPr>
        <w:t xml:space="preserve">Les contrats de service de consultation générés sur ce projet seront exécutés en utilisant les Requêtes Standardes de Propositions (SRFPs) produits ou acceptés par la Banque. La revue des Termes de Référence pour la sélection des services de consultation </w:t>
      </w:r>
      <w:r w:rsidR="00EC6D17" w:rsidRPr="0055512B">
        <w:rPr>
          <w:color w:val="000000"/>
          <w:u w:val="single"/>
        </w:rPr>
        <w:t>et d’</w:t>
      </w:r>
      <w:r w:rsidR="000F411C" w:rsidRPr="0055512B">
        <w:rPr>
          <w:color w:val="000000"/>
          <w:u w:val="single"/>
        </w:rPr>
        <w:t>analyse</w:t>
      </w:r>
      <w:r w:rsidR="00EC6D17" w:rsidRPr="0055512B">
        <w:rPr>
          <w:color w:val="000000"/>
          <w:u w:val="single"/>
        </w:rPr>
        <w:t xml:space="preserve"> environnementale et sociale</w:t>
      </w:r>
      <w:r w:rsidR="00EC6D17" w:rsidRPr="0055512B">
        <w:rPr>
          <w:color w:val="000000"/>
        </w:rPr>
        <w:t xml:space="preserve"> </w:t>
      </w:r>
      <w:r w:rsidRPr="0055512B">
        <w:rPr>
          <w:color w:val="000000"/>
        </w:rPr>
        <w:t>est de la responsabilité d</w:t>
      </w:r>
      <w:r w:rsidR="00EC6D17" w:rsidRPr="0055512B">
        <w:rPr>
          <w:color w:val="000000"/>
        </w:rPr>
        <w:t>es</w:t>
      </w:r>
      <w:r w:rsidRPr="0055512B">
        <w:rPr>
          <w:color w:val="000000"/>
        </w:rPr>
        <w:t xml:space="preserve"> spécialiste</w:t>
      </w:r>
      <w:r w:rsidR="00EC6D17" w:rsidRPr="0055512B">
        <w:rPr>
          <w:color w:val="000000"/>
        </w:rPr>
        <w:t>s</w:t>
      </w:r>
      <w:r w:rsidRPr="0055512B">
        <w:rPr>
          <w:color w:val="000000"/>
        </w:rPr>
        <w:t xml:space="preserve"> sectoriel</w:t>
      </w:r>
      <w:r w:rsidR="00EC6D17" w:rsidRPr="0055512B">
        <w:rPr>
          <w:color w:val="000000"/>
        </w:rPr>
        <w:t>s</w:t>
      </w:r>
      <w:r w:rsidR="00E320DF" w:rsidRPr="0055512B">
        <w:rPr>
          <w:color w:val="000000"/>
        </w:rPr>
        <w:t xml:space="preserve"> </w:t>
      </w:r>
      <w:r w:rsidR="00EC6D17" w:rsidRPr="0055512B">
        <w:rPr>
          <w:color w:val="000000"/>
        </w:rPr>
        <w:t>/environnementa</w:t>
      </w:r>
      <w:r w:rsidR="00E320DF" w:rsidRPr="0055512B">
        <w:rPr>
          <w:color w:val="000000"/>
        </w:rPr>
        <w:t>ux</w:t>
      </w:r>
      <w:r w:rsidR="00EC6D17" w:rsidRPr="0055512B">
        <w:rPr>
          <w:color w:val="000000"/>
        </w:rPr>
        <w:t>/socia</w:t>
      </w:r>
      <w:r w:rsidR="00E320DF" w:rsidRPr="0055512B">
        <w:rPr>
          <w:color w:val="000000"/>
        </w:rPr>
        <w:t>x</w:t>
      </w:r>
      <w:r w:rsidRPr="0055512B">
        <w:rPr>
          <w:color w:val="000000"/>
        </w:rPr>
        <w:t xml:space="preserve">.  </w:t>
      </w:r>
    </w:p>
    <w:p w14:paraId="2EB3A51F" w14:textId="77777777" w:rsidR="00642B52" w:rsidRPr="0055512B" w:rsidRDefault="00642B52" w:rsidP="00AD1481">
      <w:pPr>
        <w:autoSpaceDE w:val="0"/>
        <w:autoSpaceDN w:val="0"/>
        <w:adjustRightInd w:val="0"/>
        <w:spacing w:before="120" w:after="120" w:line="276" w:lineRule="auto"/>
        <w:ind w:left="180"/>
        <w:jc w:val="both"/>
        <w:rPr>
          <w:color w:val="000000"/>
          <w:u w:val="single"/>
        </w:rPr>
      </w:pPr>
      <w:r w:rsidRPr="0055512B">
        <w:rPr>
          <w:color w:val="000000"/>
          <w:u w:val="single"/>
        </w:rPr>
        <w:t>(vi) Entente Directe</w:t>
      </w:r>
    </w:p>
    <w:p w14:paraId="3CD253A1" w14:textId="77777777" w:rsidR="00642B52" w:rsidRPr="0055512B" w:rsidRDefault="00642B52" w:rsidP="00AD1481">
      <w:pPr>
        <w:autoSpaceDE w:val="0"/>
        <w:autoSpaceDN w:val="0"/>
        <w:adjustRightInd w:val="0"/>
        <w:spacing w:before="120" w:after="120" w:line="276" w:lineRule="auto"/>
        <w:ind w:left="180"/>
        <w:jc w:val="both"/>
        <w:rPr>
          <w:rFonts w:cs="Arial"/>
        </w:rPr>
      </w:pPr>
      <w:r w:rsidRPr="0055512B">
        <w:rPr>
          <w:color w:val="000000"/>
        </w:rPr>
        <w:t xml:space="preserve">La firme SAFEGE sera embauchée pour la supervision </w:t>
      </w:r>
      <w:r w:rsidR="00EC6D17" w:rsidRPr="0055512B">
        <w:rPr>
          <w:color w:val="000000"/>
        </w:rPr>
        <w:t xml:space="preserve">technique, environnementale et de santé et sécurité </w:t>
      </w:r>
      <w:r w:rsidR="000F411C" w:rsidRPr="0055512B">
        <w:rPr>
          <w:color w:val="000000"/>
        </w:rPr>
        <w:t>occupationnel</w:t>
      </w:r>
      <w:r w:rsidR="00EC6D17" w:rsidRPr="0055512B">
        <w:rPr>
          <w:color w:val="000000"/>
        </w:rPr>
        <w:t xml:space="preserve"> </w:t>
      </w:r>
      <w:r w:rsidRPr="0055512B">
        <w:rPr>
          <w:color w:val="000000"/>
        </w:rPr>
        <w:t xml:space="preserve">des travaux du réservoir de Bolosse Mariani et du réservoir R236, ainsi que les travaux de distribution d’eau à Carrefour et Cité Soleil. Cette entente directe est justifiée par la clause 3.10(d) étant donné l’expérience exceptionnelle de la firme dans ce type de travaux. Cette firme était en charge de la conception des dessins des travaux et de ce fait démontre une connaissance approfondie du programme. Les services réalisés ont été jugés satisfaisants par la DINEPA et il est considéré que la connaissance du programme par la firme constitue un facteur crucial pour une bonne exécution des travaux. </w:t>
      </w:r>
      <w:bookmarkStart w:id="61" w:name="_Toc244412085"/>
    </w:p>
    <w:p w14:paraId="6BDF1842" w14:textId="77777777" w:rsidR="00642B52" w:rsidRPr="0055512B" w:rsidRDefault="00642B52" w:rsidP="00AD1481">
      <w:pPr>
        <w:autoSpaceDE w:val="0"/>
        <w:autoSpaceDN w:val="0"/>
        <w:adjustRightInd w:val="0"/>
        <w:spacing w:before="120" w:after="120" w:line="276" w:lineRule="auto"/>
        <w:ind w:left="180"/>
        <w:jc w:val="both"/>
        <w:rPr>
          <w:rFonts w:cs="Arial"/>
          <w:u w:val="single"/>
        </w:rPr>
      </w:pPr>
      <w:r w:rsidRPr="0055512B">
        <w:rPr>
          <w:rFonts w:cs="Arial"/>
          <w:u w:val="single"/>
        </w:rPr>
        <w:t>(vii) Dépenses récurrentes</w:t>
      </w:r>
    </w:p>
    <w:p w14:paraId="68B294D5" w14:textId="77777777" w:rsidR="00642B52" w:rsidRPr="0055512B" w:rsidRDefault="00642B52" w:rsidP="00AD1481">
      <w:pPr>
        <w:autoSpaceDE w:val="0"/>
        <w:autoSpaceDN w:val="0"/>
        <w:adjustRightInd w:val="0"/>
        <w:spacing w:before="120" w:after="120" w:line="276" w:lineRule="auto"/>
        <w:ind w:left="180"/>
        <w:jc w:val="both"/>
        <w:rPr>
          <w:rFonts w:cs="Arial"/>
        </w:rPr>
      </w:pPr>
      <w:r w:rsidRPr="0055512B">
        <w:rPr>
          <w:rFonts w:cs="Arial"/>
        </w:rPr>
        <w:t xml:space="preserve">En se basant sur le plan d’affaires du CTE RMPP récemment mis à jour en mars 2016, cette organisation nécessite encore un appui financier sur les dépenses récurrentes associées à l’acquisition de carburant, de chlore et au paiement des factures d’électricité. Il est attendu que le support financier sera nécessaire courant 2018, jusqu’à ce qu’un équilibre financier soit retrouvé. Des contrats-types seront  établis pour ces dépenses récurrentes, comme ce qui a été déjà fait dans le programme HA-L1075, qui continuera a couvrir les coûts ainsi que l’opération présente. Ces procédures d’acquisition seront conduites en suivant les procédures administratives de l’agence d’exécution, qui ont elles-mêmes été révisées et acceptées par la Banque. </w:t>
      </w:r>
    </w:p>
    <w:bookmarkEnd w:id="61"/>
    <w:p w14:paraId="2604AF22" w14:textId="77777777" w:rsidR="00642B52" w:rsidRPr="0055512B" w:rsidRDefault="00C8718B" w:rsidP="00AD1481">
      <w:pPr>
        <w:spacing w:line="276" w:lineRule="auto"/>
        <w:jc w:val="both"/>
        <w:rPr>
          <w:u w:val="single"/>
        </w:rPr>
      </w:pPr>
      <w:r w:rsidRPr="0055512B">
        <w:rPr>
          <w:u w:val="single"/>
        </w:rPr>
        <w:t>Conditions spéciales à considérer</w:t>
      </w:r>
    </w:p>
    <w:p w14:paraId="1CBF7994" w14:textId="77777777" w:rsidR="00C8718B" w:rsidRPr="0055512B" w:rsidRDefault="00C8718B" w:rsidP="00AD1481">
      <w:pPr>
        <w:pBdr>
          <w:top w:val="nil"/>
          <w:left w:val="nil"/>
          <w:bottom w:val="nil"/>
          <w:right w:val="nil"/>
          <w:between w:val="nil"/>
          <w:bar w:val="nil"/>
        </w:pBdr>
        <w:spacing w:before="120" w:after="120" w:line="276" w:lineRule="auto"/>
        <w:jc w:val="both"/>
      </w:pPr>
      <w:r w:rsidRPr="0055512B">
        <w:t>La capacité fiduciaire du bureau central de la DINEPA a été évaluée lors de la coopération technique exécutée entre 2014 et 2015 (HA-T1190). Basé sur cette évaluation et la supervision de la Banque, le niveau de risque de cette opération est classé “moyen”. Cependant, étant donné que l’OREPA Ouest exécutera les activités de passation de marché à travers un mécanisme de délégation d’autorité jusqu’à un seuil défini, des mesures spéciales de mitigation doivent être implémentées:</w:t>
      </w:r>
    </w:p>
    <w:p w14:paraId="78A7EE84" w14:textId="77777777" w:rsidR="00C8718B" w:rsidRPr="0055512B" w:rsidRDefault="00C8718B" w:rsidP="00AD1481">
      <w:pPr>
        <w:pBdr>
          <w:top w:val="nil"/>
          <w:left w:val="nil"/>
          <w:bottom w:val="nil"/>
          <w:right w:val="nil"/>
          <w:between w:val="nil"/>
          <w:bar w:val="nil"/>
        </w:pBdr>
        <w:spacing w:before="120" w:after="120" w:line="276" w:lineRule="auto"/>
        <w:jc w:val="both"/>
      </w:pPr>
      <w:r w:rsidRPr="0055512B">
        <w:t xml:space="preserve"> (i) L’approbation d’un procédé applicable à toutes les activités de passation de marché conduits à l’OREPA par la DINEPA central devra être clairement décrite et les seuils de délégation d’autorité définies. Un manuel de procédures de Passation de marchés décrivant le fonctionnement des structures décentralisées doit être adopté entre la Banque </w:t>
      </w:r>
      <w:r w:rsidRPr="0055512B">
        <w:lastRenderedPageBreak/>
        <w:t xml:space="preserve">et la Direction de la DINEPA. Les rôles et responsabilités de l’équipe de Passation de Marché de l’OREPA Ouest doivent être clairement définis et acceptés, aussi bien que la ligne de supervision applicable au spécialiste de passation de marché basé à l’OREPA qui devrait travailler sous la supervision technique de la DPEM à la DINEPA Centrale et la supervision administrative du Directeur de l’OREPA ; </w:t>
      </w:r>
    </w:p>
    <w:p w14:paraId="5D76304B" w14:textId="77777777" w:rsidR="00C8718B" w:rsidRPr="0055512B" w:rsidRDefault="00C8718B" w:rsidP="00AD1481">
      <w:pPr>
        <w:pBdr>
          <w:top w:val="nil"/>
          <w:left w:val="nil"/>
          <w:bottom w:val="nil"/>
          <w:right w:val="nil"/>
          <w:between w:val="nil"/>
          <w:bar w:val="nil"/>
        </w:pBdr>
        <w:spacing w:before="120" w:after="120" w:line="276" w:lineRule="auto"/>
        <w:jc w:val="both"/>
      </w:pPr>
      <w:r w:rsidRPr="0055512B">
        <w:t xml:space="preserve">(ii) Dans le but d’absorber la charge de travail de la nouvelle opération sans pour autant diminuer la qualité des activités de passation de marché, il est recommandé que l’OREPA Ouest embauche un second assistant, qui supportera le spécialiste en Passation de Marché dans les aspects administratifs et dans l’organisation du système d’archivage, l’assistant actuel supportera le Spécialiste dans la préparation des documents d’appels d’offre et pendant les étapes spécifiques du processus d’acquisition, incluant la gestion des contrats. </w:t>
      </w:r>
    </w:p>
    <w:p w14:paraId="1A278E48" w14:textId="77777777" w:rsidR="00EC6D17" w:rsidRPr="0055512B" w:rsidRDefault="00EC6D17" w:rsidP="00E320DF">
      <w:pPr>
        <w:pStyle w:val="ListParagraph"/>
        <w:numPr>
          <w:ilvl w:val="0"/>
          <w:numId w:val="48"/>
        </w:numPr>
        <w:pBdr>
          <w:top w:val="nil"/>
          <w:left w:val="nil"/>
          <w:bottom w:val="nil"/>
          <w:right w:val="nil"/>
          <w:between w:val="nil"/>
          <w:bar w:val="nil"/>
        </w:pBdr>
        <w:spacing w:before="120" w:after="120" w:line="276" w:lineRule="auto"/>
        <w:jc w:val="both"/>
      </w:pPr>
      <w:r w:rsidRPr="0055512B">
        <w:t xml:space="preserve">Il est très important de noter que pour l’opération HA-L1103, les appels d’offre devront inclure les plans et </w:t>
      </w:r>
      <w:r w:rsidR="00A05631" w:rsidRPr="0055512B">
        <w:t>procédures</w:t>
      </w:r>
      <w:r w:rsidRPr="0055512B">
        <w:t xml:space="preserve"> de mitigation environnementale</w:t>
      </w:r>
      <w:r w:rsidR="00A05631" w:rsidRPr="0055512B">
        <w:t>,</w:t>
      </w:r>
      <w:r w:rsidRPr="0055512B">
        <w:t xml:space="preserve"> sociale</w:t>
      </w:r>
      <w:r w:rsidR="00A05631" w:rsidRPr="0055512B">
        <w:t xml:space="preserve">, </w:t>
      </w:r>
      <w:r w:rsidRPr="0055512B">
        <w:t xml:space="preserve">de </w:t>
      </w:r>
      <w:r w:rsidR="00A05631" w:rsidRPr="0055512B">
        <w:t>santé</w:t>
      </w:r>
      <w:r w:rsidRPr="0055512B">
        <w:t xml:space="preserve"> </w:t>
      </w:r>
      <w:r w:rsidR="00A05631" w:rsidRPr="0055512B">
        <w:t>occupationnelle</w:t>
      </w:r>
      <w:r w:rsidRPr="0055512B">
        <w:t xml:space="preserve"> et </w:t>
      </w:r>
      <w:r w:rsidR="00A05631" w:rsidRPr="0055512B">
        <w:t>sécurité</w:t>
      </w:r>
      <w:r w:rsidRPr="0055512B">
        <w:t xml:space="preserve"> du travail</w:t>
      </w:r>
      <w:r w:rsidR="00A05631" w:rsidRPr="0055512B">
        <w:t xml:space="preserve"> établies dans le </w:t>
      </w:r>
      <w:r w:rsidR="000F411C" w:rsidRPr="0055512B">
        <w:t xml:space="preserve">PESA (Tableau 8.1 - Plan - </w:t>
      </w:r>
      <w:r w:rsidR="00A05631" w:rsidRPr="0055512B">
        <w:t>Cadre de Gestion Environnementale et Sociale du Programme</w:t>
      </w:r>
      <w:r w:rsidR="000F411C" w:rsidRPr="0055512B">
        <w:t>)</w:t>
      </w:r>
      <w:r w:rsidR="00A05631" w:rsidRPr="0055512B">
        <w:t xml:space="preserve"> et </w:t>
      </w:r>
      <w:r w:rsidRPr="0055512B">
        <w:t>qu</w:t>
      </w:r>
      <w:r w:rsidR="00A05631" w:rsidRPr="0055512B">
        <w:t>i</w:t>
      </w:r>
      <w:r w:rsidRPr="0055512B">
        <w:t xml:space="preserve"> doivent </w:t>
      </w:r>
      <w:r w:rsidR="00A05631" w:rsidRPr="0055512B">
        <w:t>être</w:t>
      </w:r>
      <w:r w:rsidRPr="0055512B">
        <w:t xml:space="preserve"> </w:t>
      </w:r>
      <w:r w:rsidR="00EB07E7" w:rsidRPr="0055512B">
        <w:t xml:space="preserve">développés </w:t>
      </w:r>
      <w:r w:rsidR="00CA554F" w:rsidRPr="0055512B">
        <w:t xml:space="preserve">en détail a niveau </w:t>
      </w:r>
      <w:r w:rsidR="00EB07E7" w:rsidRPr="0055512B">
        <w:t>opérationnelle</w:t>
      </w:r>
      <w:r w:rsidR="00CA554F" w:rsidRPr="0055512B">
        <w:t xml:space="preserve">, </w:t>
      </w:r>
      <w:r w:rsidRPr="0055512B">
        <w:t>suivis et mis</w:t>
      </w:r>
      <w:r w:rsidR="00A05631" w:rsidRPr="0055512B">
        <w:t>es</w:t>
      </w:r>
      <w:r w:rsidRPr="0055512B">
        <w:t xml:space="preserve"> en œuvre par tou</w:t>
      </w:r>
      <w:r w:rsidR="00A05631" w:rsidRPr="0055512B">
        <w:t>s les</w:t>
      </w:r>
      <w:r w:rsidRPr="0055512B">
        <w:t xml:space="preserve"> entreprises de construction </w:t>
      </w:r>
      <w:r w:rsidR="00A05631" w:rsidRPr="0055512B">
        <w:t>des travaux financés par le Programme.</w:t>
      </w:r>
    </w:p>
    <w:p w14:paraId="7A8A1C3F" w14:textId="6C88E114" w:rsidR="00C8718B" w:rsidRPr="0055512B" w:rsidRDefault="00C8718B" w:rsidP="00AD1481">
      <w:pPr>
        <w:pBdr>
          <w:top w:val="nil"/>
          <w:left w:val="nil"/>
          <w:bottom w:val="nil"/>
          <w:right w:val="nil"/>
          <w:between w:val="nil"/>
          <w:bar w:val="nil"/>
        </w:pBdr>
        <w:spacing w:before="120" w:after="120" w:line="276" w:lineRule="auto"/>
        <w:jc w:val="both"/>
        <w:rPr>
          <w:i/>
        </w:rPr>
      </w:pPr>
      <w:r w:rsidRPr="0055512B">
        <w:t xml:space="preserve"> (</w:t>
      </w:r>
      <w:r w:rsidR="00EC6D17" w:rsidRPr="0055512B">
        <w:t>iv</w:t>
      </w:r>
      <w:r w:rsidRPr="0055512B">
        <w:t xml:space="preserve">) Avec la structure décentralisée et la délégation d’autorité, il est essential que tous les dossiers en rapport avec les activités d’acquisition conduits au niveau de l’OREPA soient disponibles en tout temps. L’équipe de Passation de Marché de l’OREPA est en train de travailler sur la mise en place d’un système d’archivage à la fois en papier et électronique. La Banque suivra les progrès de cette activité par des visites fiduciaires. Le système d’archivage doit être complété et organisé au début de la phase d’exécution du projet. </w:t>
      </w:r>
    </w:p>
    <w:p w14:paraId="1F6A90A7" w14:textId="77777777" w:rsidR="001376DF" w:rsidRPr="0055512B" w:rsidRDefault="001376DF" w:rsidP="00AD1481">
      <w:pPr>
        <w:spacing w:line="276" w:lineRule="auto"/>
        <w:jc w:val="both"/>
        <w:rPr>
          <w:rFonts w:eastAsia="Times New Roman"/>
        </w:rPr>
      </w:pPr>
    </w:p>
    <w:p w14:paraId="563C2292" w14:textId="77777777" w:rsidR="00F8169C" w:rsidRPr="0055512B" w:rsidRDefault="009D7224" w:rsidP="00AD1481">
      <w:pPr>
        <w:pStyle w:val="ListParagraph"/>
        <w:numPr>
          <w:ilvl w:val="0"/>
          <w:numId w:val="7"/>
        </w:numPr>
        <w:spacing w:line="276" w:lineRule="auto"/>
        <w:jc w:val="both"/>
        <w:rPr>
          <w:rFonts w:eastAsia="Times New Roman"/>
          <w:b/>
        </w:rPr>
      </w:pPr>
      <w:r w:rsidRPr="0055512B">
        <w:rPr>
          <w:rFonts w:eastAsia="Times New Roman"/>
          <w:b/>
        </w:rPr>
        <w:t xml:space="preserve">PROCÉDURES FINANCIÈRES </w:t>
      </w:r>
    </w:p>
    <w:p w14:paraId="5C0714F4" w14:textId="77777777" w:rsidR="009D7224" w:rsidRPr="0055512B" w:rsidRDefault="009D7224" w:rsidP="00AD1481">
      <w:pPr>
        <w:spacing w:line="226" w:lineRule="auto"/>
        <w:ind w:right="20"/>
        <w:jc w:val="both"/>
        <w:rPr>
          <w:rFonts w:eastAsia="Arial"/>
        </w:rPr>
      </w:pPr>
      <w:r w:rsidRPr="0055512B">
        <w:rPr>
          <w:rFonts w:eastAsia="Arial"/>
        </w:rPr>
        <w:t>Les procédures financières à suivre dans le cadre des programme HA-L1044, HA-L1075 et HA-L1103 sont celles en vigueur au sein de la BID. Elles sont complétées par les directives de la DINEPA dans le cadre de la préparation des activités requises.</w:t>
      </w:r>
    </w:p>
    <w:p w14:paraId="16BBAD49" w14:textId="77777777" w:rsidR="001376DF" w:rsidRPr="0055512B" w:rsidRDefault="001376DF" w:rsidP="00AD1481">
      <w:pPr>
        <w:spacing w:line="226" w:lineRule="auto"/>
        <w:ind w:right="20"/>
        <w:jc w:val="both"/>
        <w:rPr>
          <w:rFonts w:eastAsia="Arial"/>
        </w:rPr>
      </w:pPr>
    </w:p>
    <w:p w14:paraId="38F3786D" w14:textId="77777777" w:rsidR="001376DF" w:rsidRPr="0055512B" w:rsidRDefault="001376DF" w:rsidP="00AD1481">
      <w:pPr>
        <w:pStyle w:val="ListParagraph"/>
        <w:numPr>
          <w:ilvl w:val="1"/>
          <w:numId w:val="7"/>
        </w:numPr>
        <w:spacing w:line="226" w:lineRule="auto"/>
        <w:ind w:right="20"/>
        <w:jc w:val="both"/>
        <w:rPr>
          <w:rFonts w:eastAsia="Arial"/>
          <w:b/>
        </w:rPr>
      </w:pPr>
      <w:r w:rsidRPr="0055512B">
        <w:rPr>
          <w:rFonts w:eastAsia="Arial"/>
          <w:b/>
        </w:rPr>
        <w:t>Planification</w:t>
      </w:r>
    </w:p>
    <w:p w14:paraId="6F5FBC32" w14:textId="77777777" w:rsidR="001376DF" w:rsidRPr="0055512B" w:rsidRDefault="001376DF" w:rsidP="00AD1481">
      <w:pPr>
        <w:spacing w:line="226" w:lineRule="auto"/>
        <w:ind w:right="20"/>
        <w:jc w:val="both"/>
        <w:rPr>
          <w:rFonts w:eastAsia="Arial"/>
        </w:rPr>
      </w:pPr>
    </w:p>
    <w:p w14:paraId="46C3B8C2" w14:textId="77777777" w:rsidR="001376DF" w:rsidRPr="0055512B" w:rsidRDefault="001376DF" w:rsidP="001376DF">
      <w:pPr>
        <w:spacing w:line="226" w:lineRule="auto"/>
        <w:ind w:right="20"/>
        <w:jc w:val="both"/>
        <w:rPr>
          <w:rFonts w:eastAsia="Arial"/>
        </w:rPr>
      </w:pPr>
      <w:r w:rsidRPr="0055512B">
        <w:rPr>
          <w:rFonts w:eastAsia="Arial"/>
        </w:rPr>
        <w:t>Le CTE RMPP sera en charge de la préparation du plan d’opération annuel et du plan de trésorerie des opérations citées. Il le soumettra à la DINEPA pour approbation. Il sera également  responsable de la préparation des requêtes de décaissements, de justification, de la gestion des contrats et de tenir à jour les archives des projets.</w:t>
      </w:r>
    </w:p>
    <w:p w14:paraId="5D93C836" w14:textId="77777777" w:rsidR="001376DF" w:rsidRPr="0055512B" w:rsidRDefault="001376DF" w:rsidP="001376DF">
      <w:pPr>
        <w:spacing w:line="226" w:lineRule="auto"/>
        <w:ind w:right="20"/>
        <w:jc w:val="both"/>
        <w:rPr>
          <w:rFonts w:eastAsia="Arial"/>
        </w:rPr>
      </w:pPr>
    </w:p>
    <w:p w14:paraId="0974A260" w14:textId="77777777" w:rsidR="001376DF" w:rsidRPr="0055512B" w:rsidRDefault="001376DF" w:rsidP="001376DF">
      <w:pPr>
        <w:spacing w:line="226" w:lineRule="auto"/>
        <w:ind w:right="20"/>
        <w:jc w:val="both"/>
        <w:rPr>
          <w:rFonts w:eastAsia="Arial"/>
        </w:rPr>
      </w:pPr>
      <w:r w:rsidRPr="0055512B">
        <w:rPr>
          <w:rFonts w:eastAsia="Arial"/>
        </w:rPr>
        <w:t>La DINEPA sera chargée de la supervision de l’exécution financière des opérations. Elle révisera et approuvera l</w:t>
      </w:r>
      <w:r w:rsidR="00725E46" w:rsidRPr="0055512B">
        <w:rPr>
          <w:rFonts w:eastAsia="Arial"/>
        </w:rPr>
        <w:t>es plans</w:t>
      </w:r>
      <w:r w:rsidRPr="0055512B">
        <w:rPr>
          <w:rFonts w:eastAsia="Arial"/>
        </w:rPr>
        <w:t xml:space="preserve"> d’opération </w:t>
      </w:r>
      <w:r w:rsidR="00725E46" w:rsidRPr="0055512B">
        <w:rPr>
          <w:rFonts w:eastAsia="Arial"/>
        </w:rPr>
        <w:t xml:space="preserve">annuel </w:t>
      </w:r>
      <w:r w:rsidRPr="0055512B">
        <w:rPr>
          <w:rFonts w:eastAsia="Arial"/>
        </w:rPr>
        <w:t>et plan de trésorerie soumis par le CTE RMPP. Elle les soumettra à la Banque pour non objection. Elle révisera les demandes de décaissements et d’avance de fonds préparées par le CTE RMPP, avant transmission à la Banque.</w:t>
      </w:r>
    </w:p>
    <w:p w14:paraId="5A85FFC9" w14:textId="77777777" w:rsidR="001376DF" w:rsidRPr="0055512B" w:rsidRDefault="001376DF" w:rsidP="001376DF">
      <w:pPr>
        <w:spacing w:line="226" w:lineRule="auto"/>
        <w:ind w:right="20"/>
        <w:jc w:val="both"/>
        <w:rPr>
          <w:rFonts w:eastAsia="Arial"/>
        </w:rPr>
      </w:pPr>
    </w:p>
    <w:p w14:paraId="61B2A3B9" w14:textId="77777777" w:rsidR="001376DF" w:rsidRPr="0055512B" w:rsidRDefault="001376DF" w:rsidP="001376DF">
      <w:pPr>
        <w:spacing w:line="226" w:lineRule="auto"/>
        <w:ind w:right="20"/>
        <w:jc w:val="both"/>
        <w:rPr>
          <w:rFonts w:eastAsia="Arial"/>
        </w:rPr>
      </w:pPr>
      <w:r w:rsidRPr="0055512B">
        <w:rPr>
          <w:rFonts w:eastAsia="Arial"/>
        </w:rPr>
        <w:t xml:space="preserve">Un mécanisme d’exécution pour le décaissement des fonds de la DINEPA centrale vers le CTE RMPP a été établi. Selon ce mécanisme, les activités et les dépenses à effectuer seront réalisées sur la base d’une planification financière sur une période de quatre (4) mois tenant compte d’une exécution mensuelle des dépenses et permettant de couvrir les besoins de liquidité du CTE de la RMPP dans le cadre de la mise en œuvre de ces opérations.  </w:t>
      </w:r>
    </w:p>
    <w:p w14:paraId="1D3FEB04" w14:textId="77777777" w:rsidR="001376DF" w:rsidRPr="0055512B" w:rsidRDefault="001376DF" w:rsidP="001376DF">
      <w:pPr>
        <w:spacing w:line="226" w:lineRule="auto"/>
        <w:ind w:right="20"/>
        <w:jc w:val="both"/>
        <w:rPr>
          <w:rFonts w:eastAsia="Arial"/>
        </w:rPr>
      </w:pPr>
    </w:p>
    <w:p w14:paraId="3827C721" w14:textId="77777777" w:rsidR="001376DF" w:rsidRPr="0055512B" w:rsidRDefault="001376DF" w:rsidP="001376DF">
      <w:pPr>
        <w:spacing w:line="226" w:lineRule="auto"/>
        <w:ind w:right="20"/>
        <w:jc w:val="both"/>
        <w:rPr>
          <w:rFonts w:eastAsia="Arial"/>
        </w:rPr>
      </w:pPr>
      <w:r w:rsidRPr="0055512B">
        <w:rPr>
          <w:rFonts w:eastAsia="Arial"/>
        </w:rPr>
        <w:t>Tous les paiements relatifs aux contrats dont les processus seront à</w:t>
      </w:r>
      <w:r w:rsidR="00725E46" w:rsidRPr="0055512B">
        <w:rPr>
          <w:rFonts w:eastAsia="Arial"/>
        </w:rPr>
        <w:t xml:space="preserve"> la charge de l’OREPA </w:t>
      </w:r>
      <w:r w:rsidRPr="0055512B">
        <w:rPr>
          <w:rFonts w:eastAsia="Arial"/>
        </w:rPr>
        <w:t xml:space="preserve"> ainsi que tous les paiements pour des dépenses de moins de 5,000 dollars seront à la charge du CTE</w:t>
      </w:r>
      <w:r w:rsidR="00725E46" w:rsidRPr="0055512B">
        <w:rPr>
          <w:rFonts w:eastAsia="Arial"/>
        </w:rPr>
        <w:t xml:space="preserve"> RMPP. Des considérations spéciales pourront ê</w:t>
      </w:r>
      <w:r w:rsidRPr="0055512B">
        <w:rPr>
          <w:rFonts w:eastAsia="Arial"/>
        </w:rPr>
        <w:t>tre prises en vue du paiement par le CTE au titre de contrat d’acquisition d’intrants prévus au plan de passation de marches par le CTE tels que carburant, chlore et petit matériel hydraulique faisant suite aux</w:t>
      </w:r>
      <w:r w:rsidR="00725E46" w:rsidRPr="0055512B">
        <w:rPr>
          <w:rFonts w:eastAsia="Arial"/>
        </w:rPr>
        <w:t xml:space="preserve"> é</w:t>
      </w:r>
      <w:r w:rsidRPr="0055512B">
        <w:rPr>
          <w:rFonts w:eastAsia="Arial"/>
        </w:rPr>
        <w:t xml:space="preserve">valuations par la DINEPA des dispositifs de contrôle des approvisionnements du CTE. </w:t>
      </w:r>
    </w:p>
    <w:p w14:paraId="690F0C2F" w14:textId="77777777" w:rsidR="001376DF" w:rsidRPr="0055512B" w:rsidRDefault="001376DF" w:rsidP="001376DF">
      <w:pPr>
        <w:spacing w:line="226" w:lineRule="auto"/>
        <w:ind w:right="20"/>
        <w:jc w:val="both"/>
        <w:rPr>
          <w:rFonts w:eastAsia="Arial"/>
        </w:rPr>
      </w:pPr>
    </w:p>
    <w:p w14:paraId="0153670E" w14:textId="77777777" w:rsidR="001376DF" w:rsidRPr="0055512B" w:rsidRDefault="001376DF" w:rsidP="001376DF">
      <w:pPr>
        <w:spacing w:line="226" w:lineRule="auto"/>
        <w:ind w:right="20"/>
        <w:jc w:val="both"/>
        <w:rPr>
          <w:rFonts w:eastAsia="Arial"/>
        </w:rPr>
      </w:pPr>
      <w:r w:rsidRPr="0055512B">
        <w:rPr>
          <w:rFonts w:eastAsia="Arial"/>
        </w:rPr>
        <w:t xml:space="preserve">Un compte spécial a été ouvert au bénéfice du CTE RMPP pour chacun des programmes: (i) Programme « Eau et Assainissement à Port-au-Prince I » (2351/GR-HA / GRT/WS-12277-HA) et (ii)  Programme « Eau et Assainissement à Port-au-Prince II » (2946/GR-HA). </w:t>
      </w:r>
      <w:r w:rsidR="00725E46" w:rsidRPr="0055512B">
        <w:rPr>
          <w:rFonts w:eastAsia="Arial"/>
        </w:rPr>
        <w:t xml:space="preserve">Un compte spécial devra également être ouvert pour le programme « Eau et Assainissement à Port-au-Prince III » </w:t>
      </w:r>
      <w:r w:rsidRPr="0055512B">
        <w:rPr>
          <w:rFonts w:eastAsia="Arial"/>
        </w:rPr>
        <w:t>Ces comptes sont uniquement destinés à recevoir les avances de fonds provenant de la DINEPA et à effectuer les paiements prévus dans le cadre de ces programmes.</w:t>
      </w:r>
    </w:p>
    <w:p w14:paraId="77A540DA" w14:textId="77777777" w:rsidR="001376DF" w:rsidRPr="0055512B" w:rsidRDefault="001376DF" w:rsidP="001376DF">
      <w:pPr>
        <w:spacing w:line="226" w:lineRule="auto"/>
        <w:ind w:right="20"/>
        <w:jc w:val="both"/>
        <w:rPr>
          <w:rFonts w:eastAsia="Arial"/>
        </w:rPr>
      </w:pPr>
    </w:p>
    <w:p w14:paraId="19B5D0F4" w14:textId="77777777" w:rsidR="001376DF" w:rsidRPr="0055512B" w:rsidRDefault="001376DF" w:rsidP="001376DF">
      <w:pPr>
        <w:spacing w:line="226" w:lineRule="auto"/>
        <w:ind w:right="20"/>
        <w:jc w:val="both"/>
        <w:rPr>
          <w:rFonts w:eastAsia="Arial"/>
        </w:rPr>
      </w:pPr>
    </w:p>
    <w:p w14:paraId="6F1DD2EA" w14:textId="77777777" w:rsidR="001376DF" w:rsidRPr="0055512B" w:rsidRDefault="001376DF" w:rsidP="00066C9E">
      <w:pPr>
        <w:pStyle w:val="ListParagraph"/>
        <w:numPr>
          <w:ilvl w:val="1"/>
          <w:numId w:val="7"/>
        </w:numPr>
        <w:spacing w:line="226" w:lineRule="auto"/>
        <w:ind w:right="20"/>
        <w:jc w:val="both"/>
        <w:rPr>
          <w:rFonts w:eastAsia="Arial"/>
          <w:b/>
        </w:rPr>
      </w:pPr>
      <w:r w:rsidRPr="0055512B">
        <w:rPr>
          <w:rFonts w:eastAsia="Arial"/>
          <w:b/>
        </w:rPr>
        <w:t>Processus d’exécution des dépenses au niveau du CTE RMPP</w:t>
      </w:r>
    </w:p>
    <w:p w14:paraId="663156A3" w14:textId="77777777" w:rsidR="001376DF" w:rsidRPr="0055512B" w:rsidRDefault="001376DF" w:rsidP="001376DF">
      <w:pPr>
        <w:spacing w:line="226" w:lineRule="auto"/>
        <w:ind w:right="20"/>
        <w:jc w:val="both"/>
        <w:rPr>
          <w:rFonts w:eastAsia="Arial"/>
          <w:b/>
        </w:rPr>
      </w:pPr>
    </w:p>
    <w:p w14:paraId="0DD5A055" w14:textId="77777777" w:rsidR="001376DF" w:rsidRPr="0055512B" w:rsidRDefault="001376DF" w:rsidP="001376DF">
      <w:pPr>
        <w:spacing w:line="226" w:lineRule="auto"/>
        <w:ind w:right="20"/>
        <w:jc w:val="both"/>
        <w:rPr>
          <w:rFonts w:eastAsia="Arial"/>
        </w:rPr>
      </w:pPr>
      <w:r w:rsidRPr="0055512B">
        <w:rPr>
          <w:rFonts w:eastAsia="Arial"/>
        </w:rPr>
        <w:t>Le Directeur du CTE RMPP joue aussi le rôle de Responsable de projet pour ces programmes. Ainsi, à ce titre, il pilote l’ensemble du processus.</w:t>
      </w:r>
      <w:r w:rsidRPr="0055512B" w:rsidDel="009A3AA2">
        <w:rPr>
          <w:rFonts w:eastAsia="Arial"/>
        </w:rPr>
        <w:t xml:space="preserve"> </w:t>
      </w:r>
    </w:p>
    <w:p w14:paraId="57748CAF" w14:textId="77777777" w:rsidR="001376DF" w:rsidRPr="0055512B" w:rsidRDefault="001376DF" w:rsidP="001376DF">
      <w:pPr>
        <w:spacing w:line="226" w:lineRule="auto"/>
        <w:ind w:right="20"/>
        <w:jc w:val="both"/>
        <w:rPr>
          <w:rFonts w:eastAsia="Arial"/>
          <w:b/>
        </w:rPr>
      </w:pPr>
    </w:p>
    <w:p w14:paraId="2D45EB12" w14:textId="77777777" w:rsidR="001376DF" w:rsidRPr="0055512B" w:rsidRDefault="001376DF" w:rsidP="001376DF">
      <w:pPr>
        <w:spacing w:line="226" w:lineRule="auto"/>
        <w:ind w:right="20"/>
        <w:jc w:val="both"/>
        <w:rPr>
          <w:rFonts w:eastAsia="Arial"/>
          <w:b/>
        </w:rPr>
      </w:pPr>
      <w:r w:rsidRPr="0055512B">
        <w:rPr>
          <w:rFonts w:eastAsia="Arial"/>
          <w:b/>
        </w:rPr>
        <w:t>1</w:t>
      </w:r>
      <w:r w:rsidRPr="0055512B">
        <w:rPr>
          <w:rFonts w:eastAsia="Arial"/>
          <w:b/>
          <w:vertAlign w:val="superscript"/>
        </w:rPr>
        <w:t>ère</w:t>
      </w:r>
      <w:r w:rsidRPr="0055512B">
        <w:rPr>
          <w:rFonts w:eastAsia="Arial"/>
          <w:b/>
        </w:rPr>
        <w:t xml:space="preserve"> étape (cas d’une dépense ne faisant pas l’objet d’un contrat, &lt; 5,000 dollars américains) : </w:t>
      </w:r>
    </w:p>
    <w:p w14:paraId="6E57CEAE" w14:textId="77777777" w:rsidR="001376DF" w:rsidRPr="0055512B" w:rsidRDefault="001376DF" w:rsidP="001376DF">
      <w:pPr>
        <w:spacing w:line="226" w:lineRule="auto"/>
        <w:ind w:right="20"/>
        <w:jc w:val="both"/>
        <w:rPr>
          <w:rFonts w:eastAsia="Arial"/>
          <w:b/>
        </w:rPr>
      </w:pPr>
      <w:r w:rsidRPr="0055512B">
        <w:rPr>
          <w:rFonts w:eastAsia="Arial"/>
          <w:b/>
        </w:rPr>
        <w:t>Emission d’un ordre d'achat bon de réquisition conforme au plan de dépenses ayant reçu la non-objection de la BID.</w:t>
      </w:r>
    </w:p>
    <w:p w14:paraId="39A0CB71" w14:textId="77777777" w:rsidR="001376DF" w:rsidRPr="0055512B" w:rsidRDefault="001376DF" w:rsidP="001376DF">
      <w:pPr>
        <w:spacing w:line="226" w:lineRule="auto"/>
        <w:ind w:right="20"/>
        <w:jc w:val="both"/>
        <w:rPr>
          <w:rFonts w:eastAsia="Arial"/>
        </w:rPr>
      </w:pPr>
    </w:p>
    <w:p w14:paraId="68A98CFC" w14:textId="77777777" w:rsidR="001376DF" w:rsidRPr="0055512B" w:rsidRDefault="001376DF" w:rsidP="001376DF">
      <w:pPr>
        <w:spacing w:line="226" w:lineRule="auto"/>
        <w:ind w:right="20"/>
        <w:jc w:val="both"/>
        <w:rPr>
          <w:rFonts w:eastAsia="Arial"/>
        </w:rPr>
      </w:pPr>
      <w:r w:rsidRPr="0055512B">
        <w:rPr>
          <w:rFonts w:eastAsia="Arial"/>
        </w:rPr>
        <w:t>A partir des bons de réquisition soumis par différentes Directions du CTE à la Direction Administrative et Financière (DAF), celle-ci engage le service des achats à la recherche de trois pro</w:t>
      </w:r>
      <w:r w:rsidR="00725E46" w:rsidRPr="0055512B">
        <w:rPr>
          <w:rFonts w:eastAsia="Arial"/>
        </w:rPr>
        <w:t xml:space="preserve"> forma. Suite à la comparaison de </w:t>
      </w:r>
      <w:r w:rsidRPr="0055512B">
        <w:rPr>
          <w:rFonts w:eastAsia="Arial"/>
        </w:rPr>
        <w:t>pro</w:t>
      </w:r>
      <w:r w:rsidR="00725E46" w:rsidRPr="0055512B">
        <w:rPr>
          <w:rFonts w:eastAsia="Arial"/>
        </w:rPr>
        <w:t xml:space="preserve"> forma</w:t>
      </w:r>
      <w:r w:rsidRPr="0055512B">
        <w:rPr>
          <w:rFonts w:eastAsia="Arial"/>
        </w:rPr>
        <w:t xml:space="preserve"> et la sélection du meilleur prix et/ou de la meilleure qualité technique, le service des achats prépare un ordre d'achat.</w:t>
      </w:r>
    </w:p>
    <w:p w14:paraId="4B927EB5" w14:textId="77777777" w:rsidR="001376DF" w:rsidRPr="0055512B" w:rsidRDefault="001376DF" w:rsidP="001376DF">
      <w:pPr>
        <w:spacing w:line="226" w:lineRule="auto"/>
        <w:ind w:right="20"/>
        <w:jc w:val="both"/>
        <w:rPr>
          <w:rFonts w:eastAsia="Arial"/>
        </w:rPr>
      </w:pPr>
    </w:p>
    <w:p w14:paraId="4E13B374" w14:textId="77777777" w:rsidR="001376DF" w:rsidRPr="0055512B" w:rsidRDefault="001376DF" w:rsidP="001376DF">
      <w:pPr>
        <w:spacing w:line="226" w:lineRule="auto"/>
        <w:ind w:right="20"/>
        <w:jc w:val="both"/>
        <w:rPr>
          <w:rFonts w:eastAsia="Arial"/>
        </w:rPr>
      </w:pPr>
      <w:r w:rsidRPr="0055512B">
        <w:rPr>
          <w:rFonts w:eastAsia="Arial"/>
        </w:rPr>
        <w:t>La direction administrative et financière identifie les ordres d'achat à la</w:t>
      </w:r>
      <w:r w:rsidR="00725E46" w:rsidRPr="0055512B">
        <w:rPr>
          <w:rFonts w:eastAsia="Arial"/>
        </w:rPr>
        <w:t xml:space="preserve"> fois inférieurs ou égal à USD 5,000</w:t>
      </w:r>
      <w:r w:rsidRPr="0055512B">
        <w:rPr>
          <w:rFonts w:eastAsia="Arial"/>
        </w:rPr>
        <w:t>, et dont l'objet est compatible au plan de dépenses des moins de</w:t>
      </w:r>
      <w:r w:rsidR="00725E46" w:rsidRPr="0055512B">
        <w:rPr>
          <w:rFonts w:eastAsia="Arial"/>
        </w:rPr>
        <w:t xml:space="preserve"> USD </w:t>
      </w:r>
      <w:r w:rsidRPr="0055512B">
        <w:rPr>
          <w:rFonts w:eastAsia="Arial"/>
        </w:rPr>
        <w:t xml:space="preserve"> 5</w:t>
      </w:r>
      <w:r w:rsidR="00725E46" w:rsidRPr="0055512B">
        <w:rPr>
          <w:rFonts w:eastAsia="Arial"/>
        </w:rPr>
        <w:t>,</w:t>
      </w:r>
      <w:r w:rsidRPr="0055512B">
        <w:rPr>
          <w:rFonts w:eastAsia="Arial"/>
        </w:rPr>
        <w:t xml:space="preserve">000 ayant reçu la non-objection de la BID pour un période de 4 mois. </w:t>
      </w:r>
    </w:p>
    <w:p w14:paraId="64D850D7" w14:textId="77777777" w:rsidR="001376DF" w:rsidRPr="0055512B" w:rsidRDefault="001376DF" w:rsidP="001376DF">
      <w:pPr>
        <w:spacing w:line="226" w:lineRule="auto"/>
        <w:ind w:right="20"/>
        <w:jc w:val="both"/>
        <w:rPr>
          <w:rFonts w:eastAsia="Arial"/>
        </w:rPr>
      </w:pPr>
    </w:p>
    <w:p w14:paraId="59A230EE" w14:textId="77777777" w:rsidR="001376DF" w:rsidRPr="0055512B" w:rsidRDefault="00725E46" w:rsidP="001376DF">
      <w:pPr>
        <w:spacing w:line="226" w:lineRule="auto"/>
        <w:ind w:right="20"/>
        <w:jc w:val="both"/>
        <w:rPr>
          <w:rFonts w:eastAsia="Arial"/>
          <w:b/>
        </w:rPr>
      </w:pPr>
      <w:r w:rsidRPr="0055512B">
        <w:rPr>
          <w:rFonts w:eastAsia="Arial"/>
          <w:b/>
        </w:rPr>
        <w:t>2</w:t>
      </w:r>
      <w:r w:rsidRPr="0055512B">
        <w:rPr>
          <w:rFonts w:eastAsia="Arial"/>
          <w:b/>
          <w:vertAlign w:val="superscript"/>
        </w:rPr>
        <w:t>ème</w:t>
      </w:r>
      <w:r w:rsidRPr="0055512B">
        <w:rPr>
          <w:rFonts w:eastAsia="Arial"/>
          <w:b/>
        </w:rPr>
        <w:t xml:space="preserve"> </w:t>
      </w:r>
      <w:r w:rsidR="001376DF" w:rsidRPr="0055512B">
        <w:rPr>
          <w:rFonts w:eastAsia="Arial"/>
          <w:b/>
        </w:rPr>
        <w:t xml:space="preserve"> étape (cas d’une dépense faisant l’objet d’un contrat): Emission d’un ordre d'achat ou d'un formulaire de requête de paiement conforme au plan de dépenses</w:t>
      </w:r>
    </w:p>
    <w:p w14:paraId="3E3BF8B9" w14:textId="77777777" w:rsidR="001376DF" w:rsidRPr="0055512B" w:rsidRDefault="001376DF" w:rsidP="001376DF">
      <w:pPr>
        <w:spacing w:line="226" w:lineRule="auto"/>
        <w:ind w:right="20"/>
        <w:jc w:val="both"/>
        <w:rPr>
          <w:rFonts w:eastAsia="Arial"/>
        </w:rPr>
      </w:pPr>
    </w:p>
    <w:p w14:paraId="1DC19804" w14:textId="77777777" w:rsidR="001376DF" w:rsidRPr="0055512B" w:rsidRDefault="001376DF" w:rsidP="001376DF">
      <w:pPr>
        <w:spacing w:line="226" w:lineRule="auto"/>
        <w:ind w:right="20"/>
        <w:jc w:val="both"/>
        <w:rPr>
          <w:rFonts w:eastAsia="Arial"/>
        </w:rPr>
      </w:pPr>
      <w:r w:rsidRPr="0055512B">
        <w:rPr>
          <w:rFonts w:eastAsia="Arial"/>
        </w:rPr>
        <w:lastRenderedPageBreak/>
        <w:t>A partir du contrat signé, la Direction Administrative et financière engage le Service des achats à l'émission d'un ordre d'achat ou d'un service à tiers selon qu'il s'agit de travaux, d'acquisition de biens ou de services.</w:t>
      </w:r>
    </w:p>
    <w:p w14:paraId="26F19DE2" w14:textId="77777777" w:rsidR="001376DF" w:rsidRPr="0055512B" w:rsidRDefault="001376DF" w:rsidP="001376DF">
      <w:pPr>
        <w:spacing w:line="226" w:lineRule="auto"/>
        <w:ind w:right="20"/>
        <w:jc w:val="both"/>
        <w:rPr>
          <w:rFonts w:eastAsia="Arial"/>
        </w:rPr>
      </w:pPr>
    </w:p>
    <w:p w14:paraId="1E42A512" w14:textId="77777777" w:rsidR="001376DF" w:rsidRPr="0055512B" w:rsidRDefault="001376DF" w:rsidP="001376DF">
      <w:pPr>
        <w:spacing w:line="226" w:lineRule="auto"/>
        <w:ind w:right="20"/>
        <w:jc w:val="both"/>
        <w:rPr>
          <w:rFonts w:eastAsia="Arial"/>
        </w:rPr>
      </w:pPr>
      <w:r w:rsidRPr="0055512B">
        <w:rPr>
          <w:rFonts w:eastAsia="Arial"/>
        </w:rPr>
        <w:t>Dans le cas des contrats de service ou de travaux à paiements partiels échelonnés, le contrat sera soumis au Secrétariat général pour que son exécution soit effectuée sous le contrôle de l'unité de supervision. C'est également cette unité qui procédera aux requêtes de paiement en soumettant ces requêtes à la Direction Administrative et financière.</w:t>
      </w:r>
    </w:p>
    <w:p w14:paraId="7DC35F54" w14:textId="77777777" w:rsidR="001376DF" w:rsidRPr="0055512B" w:rsidRDefault="001376DF" w:rsidP="001376DF">
      <w:pPr>
        <w:spacing w:line="226" w:lineRule="auto"/>
        <w:ind w:right="20"/>
        <w:jc w:val="both"/>
        <w:rPr>
          <w:rFonts w:eastAsia="Arial"/>
        </w:rPr>
      </w:pPr>
    </w:p>
    <w:p w14:paraId="4B2D17C5" w14:textId="77777777" w:rsidR="001376DF" w:rsidRPr="0055512B" w:rsidRDefault="00725E46" w:rsidP="001376DF">
      <w:pPr>
        <w:spacing w:line="226" w:lineRule="auto"/>
        <w:ind w:right="20"/>
        <w:jc w:val="both"/>
        <w:rPr>
          <w:rFonts w:eastAsia="Arial"/>
        </w:rPr>
      </w:pPr>
      <w:r w:rsidRPr="0055512B">
        <w:rPr>
          <w:rFonts w:eastAsia="Arial"/>
          <w:b/>
        </w:rPr>
        <w:t>3</w:t>
      </w:r>
      <w:r w:rsidRPr="0055512B">
        <w:rPr>
          <w:rFonts w:eastAsia="Arial"/>
          <w:b/>
          <w:vertAlign w:val="superscript"/>
        </w:rPr>
        <w:t xml:space="preserve">ème </w:t>
      </w:r>
      <w:r w:rsidR="001376DF" w:rsidRPr="0055512B">
        <w:rPr>
          <w:rFonts w:eastAsia="Arial"/>
          <w:b/>
        </w:rPr>
        <w:t xml:space="preserve"> étape</w:t>
      </w:r>
      <w:r w:rsidR="001376DF" w:rsidRPr="0055512B">
        <w:rPr>
          <w:rFonts w:eastAsia="Arial"/>
        </w:rPr>
        <w:t> :</w:t>
      </w:r>
      <w:r w:rsidR="001376DF" w:rsidRPr="0055512B">
        <w:rPr>
          <w:rFonts w:eastAsia="Arial"/>
        </w:rPr>
        <w:tab/>
      </w:r>
      <w:r w:rsidR="001376DF" w:rsidRPr="0055512B">
        <w:rPr>
          <w:rFonts w:eastAsia="Arial"/>
          <w:b/>
        </w:rPr>
        <w:t>Contrôle budgétaire par le Service du Budget</w:t>
      </w:r>
    </w:p>
    <w:p w14:paraId="1BF5BCF5" w14:textId="77777777" w:rsidR="001376DF" w:rsidRPr="0055512B" w:rsidRDefault="001376DF" w:rsidP="001376DF">
      <w:pPr>
        <w:spacing w:line="226" w:lineRule="auto"/>
        <w:ind w:right="20"/>
        <w:jc w:val="both"/>
        <w:rPr>
          <w:rFonts w:eastAsia="Arial"/>
        </w:rPr>
      </w:pPr>
      <w:r w:rsidRPr="0055512B">
        <w:rPr>
          <w:rFonts w:eastAsia="Arial"/>
        </w:rPr>
        <w:t>Les ordres d'achats identifiés par la DAF sont transmis au Service du Budget pour un contrôle budgétaire, puis sont transmis au Service de la Comptabilité pour l'émission de chèque. Dans le cas où l'objet des dépenses est jugé non conforme (la conformité porte essentiellement sur les faits suivants : dépenses budgétisées, solde budgétaire positif, présence de trois pro</w:t>
      </w:r>
      <w:r w:rsidR="00725E46" w:rsidRPr="0055512B">
        <w:rPr>
          <w:rFonts w:eastAsia="Arial"/>
        </w:rPr>
        <w:t xml:space="preserve"> forma</w:t>
      </w:r>
      <w:r w:rsidRPr="0055512B">
        <w:rPr>
          <w:rFonts w:eastAsia="Arial"/>
        </w:rPr>
        <w:t>, autorisation valide, etc ), les ordres d’achat seront retournés à la Direction administrative et financière.</w:t>
      </w:r>
    </w:p>
    <w:p w14:paraId="3D5EB50E" w14:textId="77777777" w:rsidR="001376DF" w:rsidRPr="0055512B" w:rsidRDefault="001376DF" w:rsidP="001376DF">
      <w:pPr>
        <w:spacing w:line="226" w:lineRule="auto"/>
        <w:ind w:right="20"/>
        <w:jc w:val="both"/>
        <w:rPr>
          <w:rFonts w:eastAsia="Arial"/>
        </w:rPr>
      </w:pPr>
    </w:p>
    <w:p w14:paraId="7554C0CF" w14:textId="77777777" w:rsidR="001376DF" w:rsidRPr="0055512B" w:rsidRDefault="00725E46" w:rsidP="001376DF">
      <w:pPr>
        <w:spacing w:line="226" w:lineRule="auto"/>
        <w:ind w:right="20"/>
        <w:jc w:val="both"/>
        <w:rPr>
          <w:rFonts w:eastAsia="Arial"/>
          <w:b/>
        </w:rPr>
      </w:pPr>
      <w:r w:rsidRPr="0055512B">
        <w:rPr>
          <w:rFonts w:eastAsia="Arial"/>
          <w:b/>
        </w:rPr>
        <w:t>4</w:t>
      </w:r>
      <w:r w:rsidR="001376DF" w:rsidRPr="0055512B">
        <w:rPr>
          <w:rFonts w:eastAsia="Arial"/>
          <w:b/>
          <w:vertAlign w:val="superscript"/>
        </w:rPr>
        <w:t>ème</w:t>
      </w:r>
      <w:r w:rsidR="001376DF" w:rsidRPr="0055512B">
        <w:rPr>
          <w:rFonts w:eastAsia="Arial"/>
          <w:b/>
        </w:rPr>
        <w:t xml:space="preserve"> étape :</w:t>
      </w:r>
      <w:r w:rsidR="001376DF" w:rsidRPr="0055512B">
        <w:rPr>
          <w:rFonts w:eastAsia="Arial"/>
          <w:b/>
        </w:rPr>
        <w:tab/>
        <w:t>Processus d’émission du chèque auprès du Service de la Comptabilité</w:t>
      </w:r>
    </w:p>
    <w:p w14:paraId="4F75C686" w14:textId="77777777" w:rsidR="001376DF" w:rsidRPr="0055512B" w:rsidRDefault="001376DF" w:rsidP="001376DF">
      <w:pPr>
        <w:spacing w:line="226" w:lineRule="auto"/>
        <w:ind w:right="20"/>
        <w:jc w:val="both"/>
        <w:rPr>
          <w:rFonts w:eastAsia="Arial"/>
        </w:rPr>
      </w:pPr>
      <w:r w:rsidRPr="0055512B">
        <w:rPr>
          <w:rFonts w:eastAsia="Arial"/>
        </w:rPr>
        <w:t>Le Service de la Comptabilité saisit les données sur le logiciel comptable puis produit, dans un premier temps un voucher, et transmet le dossier annexé au Chef d'Unité Finances qui vérifie la conformité des documents de dépenses. Après validation, le Chef de l'Unité transmet le dossier à la Comptabilité qui procède alors à l'émission du chèque et enregistre la commande dans une rubrique spécifique BID pour le suivi comptable.</w:t>
      </w:r>
    </w:p>
    <w:p w14:paraId="744DF04C" w14:textId="77777777" w:rsidR="001376DF" w:rsidRPr="0055512B" w:rsidRDefault="001376DF" w:rsidP="001376DF">
      <w:pPr>
        <w:spacing w:line="226" w:lineRule="auto"/>
        <w:ind w:right="20"/>
        <w:jc w:val="both"/>
        <w:rPr>
          <w:rFonts w:eastAsia="Arial"/>
        </w:rPr>
      </w:pPr>
      <w:r w:rsidRPr="0055512B">
        <w:rPr>
          <w:rFonts w:eastAsia="Arial"/>
        </w:rPr>
        <w:t xml:space="preserve"> </w:t>
      </w:r>
    </w:p>
    <w:p w14:paraId="6D0889D8" w14:textId="77777777" w:rsidR="001376DF" w:rsidRPr="0055512B" w:rsidRDefault="001376DF" w:rsidP="001376DF">
      <w:pPr>
        <w:spacing w:line="226" w:lineRule="auto"/>
        <w:ind w:right="20"/>
        <w:jc w:val="both"/>
        <w:rPr>
          <w:rFonts w:eastAsia="Arial"/>
        </w:rPr>
      </w:pPr>
      <w:r w:rsidRPr="0055512B">
        <w:rPr>
          <w:rFonts w:eastAsia="Arial"/>
        </w:rPr>
        <w:t>Le Service de la comptabilité a la responsabilité de tenir à jour un dossier numérique et un dossier physique des dépenses par source de fonds afin de faciliter, d'une part, l'évaluation du pourcentage admissible pour le renouvellement du fonds et d'autre part, la vérification des pièces justificatives par les auditeurs externes des programmes.</w:t>
      </w:r>
    </w:p>
    <w:p w14:paraId="7B9D1595" w14:textId="77777777" w:rsidR="001376DF" w:rsidRPr="0055512B" w:rsidRDefault="001376DF" w:rsidP="001376DF">
      <w:pPr>
        <w:spacing w:line="226" w:lineRule="auto"/>
        <w:ind w:right="20"/>
        <w:jc w:val="both"/>
        <w:rPr>
          <w:rFonts w:eastAsia="Arial"/>
        </w:rPr>
      </w:pPr>
    </w:p>
    <w:p w14:paraId="5451E78B" w14:textId="77777777" w:rsidR="001376DF" w:rsidRPr="0055512B" w:rsidRDefault="001376DF" w:rsidP="001376DF">
      <w:pPr>
        <w:spacing w:line="226" w:lineRule="auto"/>
        <w:ind w:right="20"/>
        <w:jc w:val="both"/>
        <w:rPr>
          <w:rFonts w:eastAsia="Arial"/>
        </w:rPr>
      </w:pPr>
      <w:r w:rsidRPr="0055512B">
        <w:rPr>
          <w:rFonts w:eastAsia="Arial"/>
          <w:b/>
        </w:rPr>
        <w:t>4</w:t>
      </w:r>
      <w:r w:rsidRPr="0055512B">
        <w:rPr>
          <w:rFonts w:eastAsia="Arial"/>
          <w:b/>
          <w:vertAlign w:val="superscript"/>
        </w:rPr>
        <w:t>ème</w:t>
      </w:r>
      <w:r w:rsidRPr="0055512B">
        <w:rPr>
          <w:rFonts w:eastAsia="Arial"/>
          <w:b/>
        </w:rPr>
        <w:t xml:space="preserve"> étape :</w:t>
      </w:r>
      <w:r w:rsidRPr="0055512B">
        <w:rPr>
          <w:rFonts w:eastAsia="Arial"/>
          <w:b/>
        </w:rPr>
        <w:tab/>
        <w:t xml:space="preserve">Processus de signature du chèque </w:t>
      </w:r>
      <w:r w:rsidRPr="0055512B">
        <w:rPr>
          <w:rFonts w:eastAsia="Arial"/>
        </w:rPr>
        <w:t xml:space="preserve"> </w:t>
      </w:r>
    </w:p>
    <w:p w14:paraId="652CA76B" w14:textId="77777777" w:rsidR="001376DF" w:rsidRPr="0055512B" w:rsidRDefault="001376DF" w:rsidP="001376DF">
      <w:pPr>
        <w:spacing w:line="226" w:lineRule="auto"/>
        <w:ind w:right="20"/>
        <w:jc w:val="both"/>
        <w:rPr>
          <w:rFonts w:eastAsia="Arial"/>
        </w:rPr>
      </w:pPr>
    </w:p>
    <w:p w14:paraId="7D1FB199" w14:textId="77777777" w:rsidR="001376DF" w:rsidRPr="0055512B" w:rsidRDefault="001376DF" w:rsidP="001376DF">
      <w:pPr>
        <w:spacing w:line="226" w:lineRule="auto"/>
        <w:ind w:right="20"/>
        <w:jc w:val="both"/>
        <w:rPr>
          <w:rFonts w:eastAsia="Arial"/>
        </w:rPr>
      </w:pPr>
      <w:r w:rsidRPr="0055512B">
        <w:rPr>
          <w:rFonts w:eastAsia="Arial"/>
        </w:rPr>
        <w:t>Le voucher du chèque est signé par le Directeur Administratif et Financier, puis transmis à l'Unité Audit Interne pour vérification de conformité aux normes administratives et financières du CTE.</w:t>
      </w:r>
    </w:p>
    <w:p w14:paraId="43ED32D8" w14:textId="77777777" w:rsidR="001376DF" w:rsidRPr="0055512B" w:rsidRDefault="001376DF" w:rsidP="001376DF">
      <w:pPr>
        <w:spacing w:line="226" w:lineRule="auto"/>
        <w:ind w:right="20"/>
        <w:jc w:val="both"/>
        <w:rPr>
          <w:rFonts w:eastAsia="Arial"/>
        </w:rPr>
      </w:pPr>
      <w:r w:rsidRPr="0055512B">
        <w:rPr>
          <w:rFonts w:eastAsia="Arial"/>
        </w:rPr>
        <w:t>Puis le Dossier complet revient à la Direction administrative et financière pour la première signature du chèque proprement dit à apposer par le Directeur administratif et financier.</w:t>
      </w:r>
    </w:p>
    <w:p w14:paraId="7DC45079" w14:textId="77777777" w:rsidR="001376DF" w:rsidRPr="0055512B" w:rsidRDefault="001376DF" w:rsidP="001376DF">
      <w:pPr>
        <w:spacing w:line="226" w:lineRule="auto"/>
        <w:ind w:right="20"/>
        <w:jc w:val="both"/>
        <w:rPr>
          <w:rFonts w:eastAsia="Arial"/>
        </w:rPr>
      </w:pPr>
      <w:r w:rsidRPr="0055512B">
        <w:rPr>
          <w:rFonts w:eastAsia="Arial"/>
        </w:rPr>
        <w:t>Le Dossier est ensuite acheminé au Directeur du CTE-RMPP qui appose la seconde signature.</w:t>
      </w:r>
    </w:p>
    <w:p w14:paraId="6F502126" w14:textId="77777777" w:rsidR="001376DF" w:rsidRPr="0055512B" w:rsidRDefault="001376DF" w:rsidP="001376DF">
      <w:pPr>
        <w:spacing w:line="226" w:lineRule="auto"/>
        <w:ind w:right="20"/>
        <w:jc w:val="both"/>
        <w:rPr>
          <w:rFonts w:eastAsia="Arial"/>
        </w:rPr>
      </w:pPr>
      <w:r w:rsidRPr="0055512B">
        <w:rPr>
          <w:rFonts w:eastAsia="Arial"/>
        </w:rPr>
        <w:t>Le chèque est enfin transmis au service des achats pour paiement.</w:t>
      </w:r>
    </w:p>
    <w:p w14:paraId="70149DEC" w14:textId="77777777" w:rsidR="001376DF" w:rsidRPr="0055512B" w:rsidRDefault="001376DF" w:rsidP="001376DF">
      <w:pPr>
        <w:spacing w:line="226" w:lineRule="auto"/>
        <w:ind w:right="20"/>
        <w:jc w:val="both"/>
        <w:rPr>
          <w:rFonts w:eastAsia="Arial"/>
        </w:rPr>
      </w:pPr>
      <w:r w:rsidRPr="0055512B">
        <w:rPr>
          <w:rFonts w:eastAsia="Arial"/>
        </w:rPr>
        <w:t>En cas d'absence de l'un des signataires susmentionnés, la signature du Directeur de l'OREPA-OUEST sera apposée.</w:t>
      </w:r>
    </w:p>
    <w:p w14:paraId="61FB4EF5" w14:textId="77777777" w:rsidR="001376DF" w:rsidRPr="0055512B" w:rsidRDefault="001376DF" w:rsidP="001376DF">
      <w:pPr>
        <w:spacing w:line="226" w:lineRule="auto"/>
        <w:ind w:right="20"/>
        <w:jc w:val="both"/>
        <w:rPr>
          <w:rFonts w:eastAsia="Arial"/>
        </w:rPr>
      </w:pPr>
    </w:p>
    <w:p w14:paraId="01110053" w14:textId="77777777" w:rsidR="001376DF" w:rsidRPr="0055512B" w:rsidRDefault="001376DF" w:rsidP="001376DF">
      <w:pPr>
        <w:spacing w:line="226" w:lineRule="auto"/>
        <w:ind w:right="20"/>
        <w:jc w:val="both"/>
        <w:rPr>
          <w:rFonts w:eastAsia="Arial"/>
          <w:b/>
        </w:rPr>
      </w:pPr>
      <w:r w:rsidRPr="0055512B">
        <w:rPr>
          <w:rFonts w:eastAsia="Arial"/>
          <w:b/>
        </w:rPr>
        <w:t>5</w:t>
      </w:r>
      <w:r w:rsidRPr="0055512B">
        <w:rPr>
          <w:rFonts w:eastAsia="Arial"/>
          <w:b/>
          <w:vertAlign w:val="superscript"/>
        </w:rPr>
        <w:t>ème</w:t>
      </w:r>
      <w:r w:rsidRPr="0055512B">
        <w:rPr>
          <w:rFonts w:eastAsia="Arial"/>
          <w:b/>
        </w:rPr>
        <w:t xml:space="preserve"> étape : Processus de paiement et d'acquisition effective du bien, du service ou des travaux.</w:t>
      </w:r>
    </w:p>
    <w:p w14:paraId="0446122C" w14:textId="77777777" w:rsidR="001376DF" w:rsidRPr="0055512B" w:rsidRDefault="001376DF" w:rsidP="001376DF">
      <w:pPr>
        <w:spacing w:line="226" w:lineRule="auto"/>
        <w:ind w:right="20"/>
        <w:jc w:val="both"/>
        <w:rPr>
          <w:rFonts w:eastAsia="Arial"/>
        </w:rPr>
      </w:pPr>
    </w:p>
    <w:p w14:paraId="0F33E74C" w14:textId="77777777" w:rsidR="001376DF" w:rsidRPr="0055512B" w:rsidRDefault="001376DF" w:rsidP="001376DF">
      <w:pPr>
        <w:spacing w:line="226" w:lineRule="auto"/>
        <w:ind w:right="20"/>
        <w:jc w:val="both"/>
        <w:rPr>
          <w:rFonts w:eastAsia="Arial"/>
        </w:rPr>
      </w:pPr>
      <w:r w:rsidRPr="0055512B">
        <w:rPr>
          <w:rFonts w:eastAsia="Arial"/>
        </w:rPr>
        <w:t>Le Service des Achats livre le chèque au bénéficiaire contre réception du bien acheté ou suite à la validation de la conformité du service ou des travaux réalisés et obtient un reçu du bénéficiaire, qui est archivé..</w:t>
      </w:r>
    </w:p>
    <w:p w14:paraId="553D0E41" w14:textId="77777777" w:rsidR="001376DF" w:rsidRPr="0055512B" w:rsidRDefault="001376DF" w:rsidP="001376DF">
      <w:pPr>
        <w:spacing w:line="226" w:lineRule="auto"/>
        <w:ind w:right="20"/>
        <w:jc w:val="both"/>
        <w:rPr>
          <w:rFonts w:eastAsia="Arial"/>
        </w:rPr>
      </w:pPr>
    </w:p>
    <w:p w14:paraId="2258C4AA" w14:textId="77777777" w:rsidR="001376DF" w:rsidRPr="0055512B" w:rsidRDefault="001376DF" w:rsidP="001376DF">
      <w:pPr>
        <w:spacing w:line="226" w:lineRule="auto"/>
        <w:ind w:right="20"/>
        <w:jc w:val="both"/>
        <w:rPr>
          <w:rFonts w:eastAsia="Arial"/>
          <w:b/>
        </w:rPr>
      </w:pPr>
      <w:r w:rsidRPr="0055512B">
        <w:rPr>
          <w:rFonts w:eastAsia="Arial"/>
          <w:b/>
        </w:rPr>
        <w:t>6</w:t>
      </w:r>
      <w:r w:rsidRPr="0055512B">
        <w:rPr>
          <w:rFonts w:eastAsia="Arial"/>
          <w:b/>
          <w:vertAlign w:val="superscript"/>
        </w:rPr>
        <w:t>ème</w:t>
      </w:r>
      <w:r w:rsidRPr="0055512B">
        <w:rPr>
          <w:rFonts w:eastAsia="Arial"/>
          <w:b/>
        </w:rPr>
        <w:t xml:space="preserve"> étape :</w:t>
      </w:r>
      <w:r w:rsidRPr="0055512B">
        <w:rPr>
          <w:rFonts w:eastAsia="Arial"/>
          <w:b/>
        </w:rPr>
        <w:tab/>
        <w:t>Contrôle Unité de Gestion du Projet</w:t>
      </w:r>
    </w:p>
    <w:p w14:paraId="427D6CC6" w14:textId="77777777" w:rsidR="001376DF" w:rsidRPr="0055512B" w:rsidRDefault="001376DF" w:rsidP="001376DF">
      <w:pPr>
        <w:spacing w:line="226" w:lineRule="auto"/>
        <w:ind w:right="20"/>
        <w:jc w:val="both"/>
        <w:rPr>
          <w:rFonts w:eastAsia="Arial"/>
        </w:rPr>
      </w:pPr>
    </w:p>
    <w:p w14:paraId="60C2B88D" w14:textId="77777777" w:rsidR="001376DF" w:rsidRPr="0055512B" w:rsidRDefault="001376DF" w:rsidP="001376DF">
      <w:pPr>
        <w:spacing w:line="226" w:lineRule="auto"/>
        <w:ind w:right="20"/>
        <w:jc w:val="both"/>
        <w:rPr>
          <w:rFonts w:eastAsia="Arial"/>
        </w:rPr>
      </w:pPr>
      <w:r w:rsidRPr="0055512B">
        <w:rPr>
          <w:rFonts w:eastAsia="Arial"/>
          <w:b/>
          <w:u w:val="single"/>
        </w:rPr>
        <w:t>Sur une base mensuelle</w:t>
      </w:r>
      <w:r w:rsidRPr="0055512B">
        <w:rPr>
          <w:rFonts w:eastAsia="Arial"/>
        </w:rPr>
        <w:t xml:space="preserve">, le Responsable de Projet du CTE RMPP, en collaboration avec la personne désignée au niveau de la Direction administrative et financière du CTE, transmet les rapports financiers suivants </w:t>
      </w:r>
      <w:commentRangeStart w:id="62"/>
      <w:r w:rsidRPr="0055512B">
        <w:rPr>
          <w:rFonts w:eastAsia="Arial"/>
        </w:rPr>
        <w:t xml:space="preserve">à la Direction administrative et financière de la DINEPA </w:t>
      </w:r>
      <w:commentRangeEnd w:id="62"/>
      <w:r w:rsidRPr="0055512B">
        <w:rPr>
          <w:rFonts w:eastAsia="Arial"/>
        </w:rPr>
        <w:commentReference w:id="62"/>
      </w:r>
      <w:r w:rsidRPr="0055512B">
        <w:rPr>
          <w:rFonts w:eastAsia="Arial"/>
        </w:rPr>
        <w:t xml:space="preserve"> pour contrôle:</w:t>
      </w:r>
    </w:p>
    <w:p w14:paraId="292EE426" w14:textId="1E91F2D3" w:rsidR="001376DF" w:rsidRPr="0055512B" w:rsidRDefault="001376DF" w:rsidP="002E5BE9">
      <w:pPr>
        <w:numPr>
          <w:ilvl w:val="0"/>
          <w:numId w:val="42"/>
        </w:numPr>
        <w:spacing w:line="226" w:lineRule="auto"/>
        <w:ind w:right="20"/>
        <w:jc w:val="both"/>
        <w:rPr>
          <w:rFonts w:eastAsia="Arial"/>
        </w:rPr>
      </w:pPr>
      <w:r w:rsidRPr="0055512B">
        <w:rPr>
          <w:rFonts w:eastAsia="Arial"/>
        </w:rPr>
        <w:t>Un état des dépenses effectuées y compris les copies des pièces justificatives;  les originaux seront conservés dans les archives du CTE ;</w:t>
      </w:r>
    </w:p>
    <w:p w14:paraId="06F34100" w14:textId="77777777" w:rsidR="001376DF" w:rsidRPr="0055512B" w:rsidRDefault="001376DF" w:rsidP="002E5BE9">
      <w:pPr>
        <w:numPr>
          <w:ilvl w:val="0"/>
          <w:numId w:val="42"/>
        </w:numPr>
        <w:spacing w:line="226" w:lineRule="auto"/>
        <w:ind w:right="20"/>
        <w:jc w:val="both"/>
        <w:rPr>
          <w:rFonts w:eastAsia="Arial"/>
        </w:rPr>
      </w:pPr>
      <w:r w:rsidRPr="0055512B">
        <w:rPr>
          <w:rFonts w:eastAsia="Arial"/>
        </w:rPr>
        <w:t>Une liste des engagements contractuels à payer ;</w:t>
      </w:r>
    </w:p>
    <w:p w14:paraId="3D116382" w14:textId="77777777" w:rsidR="001376DF" w:rsidRPr="0055512B" w:rsidRDefault="001376DF" w:rsidP="002E5BE9">
      <w:pPr>
        <w:numPr>
          <w:ilvl w:val="0"/>
          <w:numId w:val="42"/>
        </w:numPr>
        <w:spacing w:line="226" w:lineRule="auto"/>
        <w:ind w:right="20"/>
        <w:jc w:val="both"/>
        <w:rPr>
          <w:rFonts w:eastAsia="Arial"/>
        </w:rPr>
      </w:pPr>
      <w:r w:rsidRPr="0055512B">
        <w:rPr>
          <w:rFonts w:eastAsia="Arial"/>
        </w:rPr>
        <w:t>Un rapport sur la réconciliation des comptes bancaires.</w:t>
      </w:r>
    </w:p>
    <w:p w14:paraId="5F234924" w14:textId="77777777" w:rsidR="001376DF" w:rsidRPr="0055512B" w:rsidRDefault="001376DF" w:rsidP="001376DF">
      <w:pPr>
        <w:spacing w:line="226" w:lineRule="auto"/>
        <w:ind w:right="20"/>
        <w:jc w:val="both"/>
        <w:rPr>
          <w:rFonts w:eastAsia="Arial"/>
        </w:rPr>
      </w:pPr>
      <w:r w:rsidRPr="0055512B">
        <w:rPr>
          <w:rFonts w:eastAsia="Arial"/>
        </w:rPr>
        <w:t>Les rapports financiers seront signés par les signataires autorisés du CTE : (i) Chef d'unité financière, (ii) Directeur Administratif et financier et (iii) Directeur du CTE-RMPP (ou de la personne habilitée à signer en l’absence de ce dernier)</w:t>
      </w:r>
    </w:p>
    <w:p w14:paraId="67B9DEE4" w14:textId="77777777" w:rsidR="001376DF" w:rsidRPr="0055512B" w:rsidRDefault="001376DF" w:rsidP="001376DF">
      <w:pPr>
        <w:spacing w:line="226" w:lineRule="auto"/>
        <w:ind w:right="20"/>
        <w:jc w:val="both"/>
        <w:rPr>
          <w:rFonts w:eastAsia="Arial"/>
        </w:rPr>
      </w:pPr>
    </w:p>
    <w:p w14:paraId="60A8B17C" w14:textId="77777777" w:rsidR="001376DF" w:rsidRPr="0055512B" w:rsidRDefault="001376DF" w:rsidP="001376DF">
      <w:pPr>
        <w:spacing w:line="226" w:lineRule="auto"/>
        <w:ind w:right="20"/>
        <w:jc w:val="both"/>
        <w:rPr>
          <w:rFonts w:eastAsia="Arial"/>
        </w:rPr>
      </w:pPr>
      <w:r w:rsidRPr="0055512B">
        <w:rPr>
          <w:rFonts w:eastAsia="Arial"/>
        </w:rPr>
        <w:t xml:space="preserve">Les rapports sollicités, au complet, incluant les originaux des pièces justificatives seront transmis au Directeur du CTE-RMPP  pour les suites utiles.  </w:t>
      </w:r>
    </w:p>
    <w:p w14:paraId="42ADC806" w14:textId="77777777" w:rsidR="001376DF" w:rsidRPr="0055512B" w:rsidRDefault="001376DF" w:rsidP="001376DF">
      <w:pPr>
        <w:spacing w:line="226" w:lineRule="auto"/>
        <w:ind w:right="20"/>
        <w:jc w:val="both"/>
        <w:rPr>
          <w:rFonts w:eastAsia="Arial"/>
        </w:rPr>
      </w:pPr>
    </w:p>
    <w:p w14:paraId="1FDF7030" w14:textId="77777777" w:rsidR="001376DF" w:rsidRPr="0055512B" w:rsidRDefault="001376DF" w:rsidP="001376DF">
      <w:pPr>
        <w:spacing w:line="226" w:lineRule="auto"/>
        <w:ind w:right="20"/>
        <w:jc w:val="both"/>
        <w:rPr>
          <w:rFonts w:eastAsia="Arial"/>
        </w:rPr>
      </w:pPr>
      <w:r w:rsidRPr="0055512B">
        <w:rPr>
          <w:rFonts w:eastAsia="Arial"/>
        </w:rPr>
        <w:t>A hauteur de 80% de dépenses justifiées, le CTE pourra préparer une nouvelle demande d’avance de fonds selon les principes établis et la soumettre à la DINEPA  pour validation et transmission à la BID pour les suites nécessaires.</w:t>
      </w:r>
      <w:r w:rsidRPr="0055512B">
        <w:rPr>
          <w:rFonts w:eastAsia="Arial"/>
          <w:b/>
        </w:rPr>
        <w:t xml:space="preserve"> Le versement de toute nouvelle avance de fonds est conditionné par le respect des procédures établies et la disponibilité des fonds.</w:t>
      </w:r>
    </w:p>
    <w:p w14:paraId="59DFAB64" w14:textId="77777777" w:rsidR="001376DF" w:rsidRPr="0055512B" w:rsidRDefault="001376DF" w:rsidP="001376DF">
      <w:pPr>
        <w:spacing w:line="226" w:lineRule="auto"/>
        <w:ind w:right="20"/>
        <w:jc w:val="both"/>
        <w:rPr>
          <w:rFonts w:eastAsia="Arial"/>
        </w:rPr>
      </w:pPr>
    </w:p>
    <w:p w14:paraId="74BEFFE1" w14:textId="77777777" w:rsidR="00725E46" w:rsidRPr="0055512B" w:rsidRDefault="00725E46" w:rsidP="00422F4D">
      <w:pPr>
        <w:pStyle w:val="ListParagraph"/>
        <w:numPr>
          <w:ilvl w:val="1"/>
          <w:numId w:val="7"/>
        </w:numPr>
        <w:autoSpaceDE w:val="0"/>
        <w:autoSpaceDN w:val="0"/>
        <w:adjustRightInd w:val="0"/>
        <w:spacing w:before="120" w:after="120" w:line="276" w:lineRule="auto"/>
        <w:rPr>
          <w:rFonts w:ascii="Times New Roman" w:eastAsia="Times New Roman" w:hAnsi="Times New Roman"/>
          <w:b/>
        </w:rPr>
      </w:pPr>
      <w:r w:rsidRPr="0055512B">
        <w:rPr>
          <w:rFonts w:ascii="Times New Roman" w:eastAsia="Times New Roman" w:hAnsi="Times New Roman"/>
          <w:b/>
        </w:rPr>
        <w:t>Conditions spéciales à considérer</w:t>
      </w:r>
    </w:p>
    <w:p w14:paraId="5E6B51CC" w14:textId="77777777" w:rsidR="00725E46" w:rsidRPr="0055512B" w:rsidRDefault="009F131A" w:rsidP="002635A2">
      <w:pPr>
        <w:autoSpaceDE w:val="0"/>
        <w:autoSpaceDN w:val="0"/>
        <w:adjustRightInd w:val="0"/>
        <w:spacing w:before="120" w:after="120" w:line="276" w:lineRule="auto"/>
        <w:jc w:val="both"/>
      </w:pPr>
      <w:r w:rsidRPr="0055512B">
        <w:t xml:space="preserve">Selon la plus récente évaluation institutionnelle  de la DINEPA conduit en mars 2016, le risque fiduciaire en gestion financière est toujours considéré comme moyen, car le nouveau système comptable installé n’est pas utilisé pour la préparation des rapports financiers, ce qui entraîne des longs délais dans l’enregistrement des transactions. Les délais dans la remise des rapports sont principalement dûs au nombre limité de comptables malgré une augmentation du nombre de projets gérés par la DINEPA. De plus, des mesures de renforcement sont également nécessaires </w:t>
      </w:r>
      <w:r w:rsidR="001D2058" w:rsidRPr="0055512B">
        <w:t>dans la gestion des actifs e</w:t>
      </w:r>
      <w:r w:rsidR="00725E46" w:rsidRPr="0055512B">
        <w:t>t de l’inventaire, qui continue</w:t>
      </w:r>
      <w:r w:rsidR="001D2058" w:rsidRPr="0055512B">
        <w:t xml:space="preserve"> de se faire au moyen d’un tableur Excel. Pour diminue</w:t>
      </w:r>
      <w:r w:rsidR="00725E46" w:rsidRPr="0055512B">
        <w:t>r ces risques, la DINEPA devra</w:t>
      </w:r>
      <w:r w:rsidR="00DD3CF8" w:rsidRPr="0055512B">
        <w:t xml:space="preserve">: </w:t>
      </w:r>
    </w:p>
    <w:p w14:paraId="562DF113" w14:textId="77777777" w:rsidR="00725E46" w:rsidRPr="0055512B" w:rsidRDefault="00DD3CF8" w:rsidP="002635A2">
      <w:pPr>
        <w:autoSpaceDE w:val="0"/>
        <w:autoSpaceDN w:val="0"/>
        <w:adjustRightInd w:val="0"/>
        <w:spacing w:before="120" w:after="120" w:line="276" w:lineRule="auto"/>
        <w:jc w:val="both"/>
      </w:pPr>
      <w:r w:rsidRPr="0055512B">
        <w:t xml:space="preserve">a. </w:t>
      </w:r>
      <w:r w:rsidR="001D2058" w:rsidRPr="0055512B">
        <w:t xml:space="preserve"> considérer d’inclure dans ses requêtes de paiement les codes comptables afin de faciliter le traitement des transactions, </w:t>
      </w:r>
    </w:p>
    <w:p w14:paraId="3B864A4F" w14:textId="77777777" w:rsidR="00725E46" w:rsidRPr="0055512B" w:rsidRDefault="00DD3CF8" w:rsidP="002635A2">
      <w:pPr>
        <w:autoSpaceDE w:val="0"/>
        <w:autoSpaceDN w:val="0"/>
        <w:adjustRightInd w:val="0"/>
        <w:spacing w:before="120" w:after="120" w:line="276" w:lineRule="auto"/>
        <w:jc w:val="both"/>
      </w:pPr>
      <w:r w:rsidRPr="0055512B">
        <w:t>b. fournir des formations additionnelles au personnel</w:t>
      </w:r>
      <w:r w:rsidR="00725E46" w:rsidRPr="0055512B">
        <w:t xml:space="preserve"> utilisant le nouveau logiciel</w:t>
      </w:r>
    </w:p>
    <w:p w14:paraId="29DD7B76" w14:textId="77777777" w:rsidR="00725E46" w:rsidRPr="0055512B" w:rsidRDefault="00725E46" w:rsidP="002635A2">
      <w:pPr>
        <w:autoSpaceDE w:val="0"/>
        <w:autoSpaceDN w:val="0"/>
        <w:adjustRightInd w:val="0"/>
        <w:spacing w:before="120" w:after="120" w:line="276" w:lineRule="auto"/>
        <w:jc w:val="both"/>
      </w:pPr>
      <w:r w:rsidRPr="0055512B">
        <w:t>c. implé</w:t>
      </w:r>
      <w:r w:rsidR="00DD3CF8" w:rsidRPr="0055512B">
        <w:t>menter un logiciel d’inventaire pour le suivi d</w:t>
      </w:r>
      <w:r w:rsidRPr="0055512B">
        <w:t xml:space="preserve">e l’inventaire </w:t>
      </w:r>
    </w:p>
    <w:p w14:paraId="30D631A3" w14:textId="77777777" w:rsidR="009F131A" w:rsidRPr="0055512B" w:rsidRDefault="00DD3CF8" w:rsidP="002635A2">
      <w:pPr>
        <w:autoSpaceDE w:val="0"/>
        <w:autoSpaceDN w:val="0"/>
        <w:adjustRightInd w:val="0"/>
        <w:spacing w:before="120" w:after="120" w:line="276" w:lineRule="auto"/>
        <w:jc w:val="both"/>
      </w:pPr>
      <w:r w:rsidRPr="0055512B">
        <w:t xml:space="preserve">d. finaliser la </w:t>
      </w:r>
      <w:r w:rsidR="00725E46" w:rsidRPr="0055512B">
        <w:t>préparation des manuels de procé</w:t>
      </w:r>
      <w:r w:rsidRPr="0055512B">
        <w:t>dure. Nous recommandons également le recrutement d’un comptable suite à l’augmentation de la charge de travail.</w:t>
      </w:r>
    </w:p>
    <w:p w14:paraId="243B16E7" w14:textId="77777777" w:rsidR="00EC0106" w:rsidRPr="0055512B" w:rsidRDefault="00EC0106" w:rsidP="002635A2">
      <w:pPr>
        <w:autoSpaceDE w:val="0"/>
        <w:autoSpaceDN w:val="0"/>
        <w:adjustRightInd w:val="0"/>
        <w:spacing w:before="120" w:after="120" w:line="276" w:lineRule="auto"/>
        <w:ind w:left="720"/>
        <w:jc w:val="both"/>
      </w:pPr>
    </w:p>
    <w:p w14:paraId="09EA69D9" w14:textId="77777777" w:rsidR="00545D52" w:rsidRPr="0055512B" w:rsidRDefault="00725E46" w:rsidP="002635A2">
      <w:pPr>
        <w:autoSpaceDE w:val="0"/>
        <w:autoSpaceDN w:val="0"/>
        <w:adjustRightInd w:val="0"/>
        <w:spacing w:before="120" w:after="120" w:line="276" w:lineRule="auto"/>
        <w:jc w:val="both"/>
      </w:pPr>
      <w:r w:rsidRPr="0055512B">
        <w:lastRenderedPageBreak/>
        <w:t>Pour le CTE- RMPP, une é</w:t>
      </w:r>
      <w:r w:rsidR="00111738" w:rsidRPr="0055512B">
        <w:t>valuation a été conduit</w:t>
      </w:r>
      <w:r w:rsidRPr="0055512B">
        <w:t>e</w:t>
      </w:r>
      <w:r w:rsidR="00111738" w:rsidRPr="0055512B">
        <w:t xml:space="preserve"> en mars 2016 par la Banque, q</w:t>
      </w:r>
      <w:r w:rsidRPr="0055512B">
        <w:t>ui a révélé une amé</w:t>
      </w:r>
      <w:r w:rsidR="00111738" w:rsidRPr="0055512B">
        <w:t>lioration significative  du niveau de risque depuis 2013. Ceci est dû à l’emploi de personnel clé dans la Direction Administrative et Financière</w:t>
      </w:r>
      <w:r w:rsidRPr="0055512B">
        <w:t>, le renforcement d’une unité</w:t>
      </w:r>
      <w:r w:rsidR="00B509DE" w:rsidRPr="0055512B">
        <w:t xml:space="preserve"> de contrôle inte</w:t>
      </w:r>
      <w:r w:rsidRPr="0055512B">
        <w:t>rne, l’implémentation d’un systè</w:t>
      </w:r>
      <w:r w:rsidR="00B509DE" w:rsidRPr="0055512B">
        <w:t xml:space="preserve">me comptable de gestion de projet et la </w:t>
      </w:r>
      <w:r w:rsidRPr="0055512B">
        <w:t>formation du personnel aux procé</w:t>
      </w:r>
      <w:r w:rsidR="00B509DE" w:rsidRPr="0055512B">
        <w:t>dures de gestion financière de</w:t>
      </w:r>
      <w:r w:rsidRPr="0055512B">
        <w:t xml:space="preserve"> la Banque. Le niveau de risque </w:t>
      </w:r>
      <w:r w:rsidR="00B509DE" w:rsidRPr="0055512B">
        <w:t>est actuellement évalué à “Moyen”. Le niveau de risqué serait bien meilleur avec l’installation du logiciel ACCPAC au CTE RMPP, ce qui réduirait les délais dans le traitement les rapp</w:t>
      </w:r>
      <w:r w:rsidRPr="0055512B">
        <w:t>orts des transactions, le forma</w:t>
      </w:r>
      <w:r w:rsidR="00B509DE" w:rsidRPr="0055512B">
        <w:t xml:space="preserve">tage du logiciel comptable </w:t>
      </w:r>
      <w:r w:rsidRPr="0055512B">
        <w:t>pour permettre la pré</w:t>
      </w:r>
      <w:r w:rsidR="00F70B19" w:rsidRPr="0055512B">
        <w:t xml:space="preserve">paration des rapports financiers, l’inclusion du budget du projet dans le système comptable afin de permettre le suivi de l’exécution du budget et le renforcement continu </w:t>
      </w:r>
      <w:r w:rsidR="00066C9E" w:rsidRPr="0055512B">
        <w:t>de l’unité de contrôle interne.</w:t>
      </w:r>
    </w:p>
    <w:sectPr w:rsidR="00545D52" w:rsidRPr="0055512B" w:rsidSect="00D0325E">
      <w:footerReference w:type="even" r:id="rId11"/>
      <w:footerReference w:type="default" r:id="rId12"/>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2" w:author="Matthieussent Romain, Sarah C." w:date="2017-08-08T23:58:00Z" w:initials="MRSC">
    <w:p w14:paraId="2CF1683C" w14:textId="77777777" w:rsidR="008E6760" w:rsidRDefault="008E6760" w:rsidP="001376DF">
      <w:pPr>
        <w:pStyle w:val="CommentText"/>
      </w:pPr>
      <w:r>
        <w:rPr>
          <w:rStyle w:val="CommentReference"/>
        </w:rPr>
        <w:annotationRef/>
      </w:r>
      <w:r>
        <w:rPr>
          <w:noProof/>
        </w:rPr>
        <w:t>Monsieur FONROSE doit ajouter une formule pour impliquer l'OREPA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F168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F1683C" w16cid:durableId="1D74C2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7B9F7" w14:textId="77777777" w:rsidR="008E6760" w:rsidRDefault="008E6760" w:rsidP="00A46C4F">
      <w:r>
        <w:separator/>
      </w:r>
    </w:p>
  </w:endnote>
  <w:endnote w:type="continuationSeparator" w:id="0">
    <w:p w14:paraId="578F7AC9" w14:textId="77777777" w:rsidR="008E6760" w:rsidRDefault="008E6760" w:rsidP="00A4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DD878" w14:textId="77777777" w:rsidR="008E6760" w:rsidRDefault="008E6760" w:rsidP="00D823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3634B4" w14:textId="77777777" w:rsidR="008E6760" w:rsidRDefault="008E6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CC1C" w14:textId="5BF0F0F6" w:rsidR="008E6760" w:rsidRDefault="008E6760" w:rsidP="00D823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356F">
      <w:rPr>
        <w:rStyle w:val="PageNumber"/>
        <w:noProof/>
      </w:rPr>
      <w:t>16</w:t>
    </w:r>
    <w:r>
      <w:rPr>
        <w:rStyle w:val="PageNumber"/>
      </w:rPr>
      <w:fldChar w:fldCharType="end"/>
    </w:r>
  </w:p>
  <w:p w14:paraId="75D913DA" w14:textId="77777777" w:rsidR="008E6760" w:rsidRDefault="008E6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EA2BC" w14:textId="77777777" w:rsidR="008E6760" w:rsidRDefault="008E6760" w:rsidP="00A46C4F">
      <w:r>
        <w:separator/>
      </w:r>
    </w:p>
  </w:footnote>
  <w:footnote w:type="continuationSeparator" w:id="0">
    <w:p w14:paraId="53F4ECC4" w14:textId="77777777" w:rsidR="008E6760" w:rsidRDefault="008E6760" w:rsidP="00A46C4F">
      <w:r>
        <w:continuationSeparator/>
      </w:r>
    </w:p>
  </w:footnote>
  <w:footnote w:id="1">
    <w:p w14:paraId="71F8F4FC" w14:textId="77777777" w:rsidR="008E6760" w:rsidRPr="00CA6108" w:rsidRDefault="008E6760" w:rsidP="00E320DF">
      <w:pPr>
        <w:spacing w:line="276" w:lineRule="auto"/>
        <w:ind w:left="90" w:hanging="90"/>
      </w:pPr>
      <w:r w:rsidRPr="00E320DF">
        <w:rPr>
          <w:rStyle w:val="FootnoteReference"/>
          <w:sz w:val="20"/>
        </w:rPr>
        <w:footnoteRef/>
      </w:r>
      <w:r w:rsidRPr="00E320DF">
        <w:rPr>
          <w:sz w:val="20"/>
        </w:rPr>
        <w:t xml:space="preserve"> </w:t>
      </w:r>
      <w:r w:rsidRPr="00E320DF">
        <w:rPr>
          <w:sz w:val="20"/>
          <w:szCs w:val="20"/>
        </w:rPr>
        <w:t xml:space="preserve">Y inclut le </w:t>
      </w:r>
      <w:r>
        <w:rPr>
          <w:sz w:val="20"/>
          <w:szCs w:val="20"/>
        </w:rPr>
        <w:t>s</w:t>
      </w:r>
      <w:r w:rsidRPr="00E320DF">
        <w:rPr>
          <w:sz w:val="20"/>
          <w:szCs w:val="20"/>
        </w:rPr>
        <w:t xml:space="preserve">uivi </w:t>
      </w:r>
      <w:r>
        <w:rPr>
          <w:sz w:val="20"/>
          <w:szCs w:val="20"/>
        </w:rPr>
        <w:t>e</w:t>
      </w:r>
      <w:r w:rsidRPr="00E320DF">
        <w:rPr>
          <w:sz w:val="20"/>
          <w:szCs w:val="20"/>
        </w:rPr>
        <w:t xml:space="preserve">nvironnementale et </w:t>
      </w:r>
      <w:r>
        <w:rPr>
          <w:sz w:val="20"/>
          <w:szCs w:val="20"/>
        </w:rPr>
        <w:t>s</w:t>
      </w:r>
      <w:r w:rsidRPr="00E320DF">
        <w:rPr>
          <w:sz w:val="20"/>
          <w:szCs w:val="20"/>
        </w:rPr>
        <w:t>ociale</w:t>
      </w:r>
    </w:p>
    <w:p w14:paraId="76DB49C6" w14:textId="77777777" w:rsidR="008E6760" w:rsidRPr="00E320DF" w:rsidRDefault="008E6760">
      <w:pPr>
        <w:pStyle w:val="FootnoteText"/>
        <w:rPr>
          <w:lang w:val="fr-FR"/>
        </w:rPr>
      </w:pPr>
    </w:p>
  </w:footnote>
  <w:footnote w:id="2">
    <w:p w14:paraId="55AA363A" w14:textId="77777777" w:rsidR="008E6760" w:rsidRPr="00E320DF" w:rsidRDefault="008E6760">
      <w:pPr>
        <w:pStyle w:val="FootnoteText"/>
        <w:rPr>
          <w:lang w:val="fr-FR"/>
        </w:rPr>
      </w:pPr>
      <w:r>
        <w:rPr>
          <w:rStyle w:val="FootnoteReference"/>
        </w:rPr>
        <w:footnoteRef/>
      </w:r>
      <w:r w:rsidRPr="00E320DF">
        <w:rPr>
          <w:lang w:val="fr-FR"/>
        </w:rPr>
        <w:t xml:space="preserve"> Y inclut l</w:t>
      </w:r>
      <w:r>
        <w:rPr>
          <w:lang w:val="fr-FR"/>
        </w:rPr>
        <w:t>a performance e</w:t>
      </w:r>
      <w:r w:rsidRPr="00E320DF">
        <w:rPr>
          <w:lang w:val="fr-FR"/>
        </w:rPr>
        <w:t xml:space="preserve">nvironnementale et </w:t>
      </w:r>
      <w:r>
        <w:rPr>
          <w:lang w:val="fr-FR"/>
        </w:rPr>
        <w:t>s</w:t>
      </w:r>
      <w:r w:rsidRPr="00E320DF">
        <w:rPr>
          <w:lang w:val="fr-FR"/>
        </w:rPr>
        <w:t>ociale</w:t>
      </w:r>
    </w:p>
  </w:footnote>
  <w:footnote w:id="3">
    <w:p w14:paraId="7DEF2E4D" w14:textId="77777777" w:rsidR="008E6760" w:rsidRPr="00672E98" w:rsidRDefault="008E6760">
      <w:pPr>
        <w:pStyle w:val="FootnoteText"/>
        <w:rPr>
          <w:lang w:val="fr-FR"/>
        </w:rPr>
      </w:pPr>
      <w:r>
        <w:rPr>
          <w:rStyle w:val="FootnoteReference"/>
        </w:rPr>
        <w:footnoteRef/>
      </w:r>
      <w:r w:rsidRPr="00672E98">
        <w:rPr>
          <w:lang w:val="fr-FR"/>
        </w:rPr>
        <w:t xml:space="preserve"> Tel </w:t>
      </w:r>
      <w:r>
        <w:rPr>
          <w:lang w:val="fr-FR"/>
        </w:rPr>
        <w:t>qu’exigé</w:t>
      </w:r>
      <w:r w:rsidRPr="00672E98">
        <w:rPr>
          <w:lang w:val="fr-FR"/>
        </w:rPr>
        <w:t xml:space="preserve"> par l’OP-703/B.5 </w:t>
      </w:r>
    </w:p>
  </w:footnote>
  <w:footnote w:id="4">
    <w:p w14:paraId="5BD03B01" w14:textId="77777777" w:rsidR="008E6760" w:rsidRPr="00672E98" w:rsidRDefault="008E6760">
      <w:pPr>
        <w:pStyle w:val="FootnoteText"/>
        <w:rPr>
          <w:lang w:val="fr-FR"/>
        </w:rPr>
      </w:pPr>
      <w:r>
        <w:rPr>
          <w:rStyle w:val="FootnoteReference"/>
        </w:rPr>
        <w:footnoteRef/>
      </w:r>
      <w:r w:rsidRPr="00672E98">
        <w:rPr>
          <w:lang w:val="fr-FR"/>
        </w:rPr>
        <w:t xml:space="preserve"> </w:t>
      </w:r>
      <w:r w:rsidRPr="0043316A">
        <w:rPr>
          <w:lang w:val="fr-FR"/>
        </w:rPr>
        <w:t xml:space="preserve">Tel </w:t>
      </w:r>
      <w:r>
        <w:rPr>
          <w:lang w:val="fr-FR"/>
        </w:rPr>
        <w:t>qu’exigé</w:t>
      </w:r>
      <w:r w:rsidRPr="0043316A">
        <w:rPr>
          <w:lang w:val="fr-FR"/>
        </w:rPr>
        <w:t xml:space="preserve"> par l’OP-703/B.</w:t>
      </w:r>
      <w:r>
        <w:rPr>
          <w:lang w:val="fr-FR"/>
        </w:rPr>
        <w:t>6</w:t>
      </w:r>
    </w:p>
  </w:footnote>
  <w:footnote w:id="5">
    <w:p w14:paraId="5E747917" w14:textId="77777777" w:rsidR="008E6760" w:rsidRPr="00672E98" w:rsidRDefault="008E6760" w:rsidP="009D3874">
      <w:pPr>
        <w:pStyle w:val="FootnoteText"/>
        <w:ind w:left="0" w:firstLine="0"/>
        <w:rPr>
          <w:rFonts w:ascii="Arial" w:hAnsi="Arial" w:cs="Arial"/>
          <w:sz w:val="18"/>
          <w:szCs w:val="18"/>
          <w:lang w:val="fr-FR"/>
        </w:rPr>
      </w:pPr>
    </w:p>
  </w:footnote>
  <w:footnote w:id="6">
    <w:p w14:paraId="4D73DA45" w14:textId="77777777" w:rsidR="008E6760" w:rsidRPr="00904CF7" w:rsidRDefault="008E6760">
      <w:pPr>
        <w:pStyle w:val="FootnoteText"/>
        <w:rPr>
          <w:lang w:val="fr-FR"/>
        </w:rPr>
      </w:pPr>
      <w:r>
        <w:rPr>
          <w:rStyle w:val="FootnoteReference"/>
        </w:rPr>
        <w:footnoteRef/>
      </w:r>
      <w:r w:rsidRPr="00904CF7">
        <w:rPr>
          <w:lang w:val="fr-FR"/>
        </w:rPr>
        <w:t xml:space="preserve"> Tel qu’</w:t>
      </w:r>
      <w:r w:rsidRPr="00CD6D66">
        <w:rPr>
          <w:lang w:val="fr-FR"/>
        </w:rPr>
        <w:t>exigé</w:t>
      </w:r>
      <w:r w:rsidRPr="00904CF7">
        <w:rPr>
          <w:lang w:val="fr-FR"/>
        </w:rPr>
        <w:t xml:space="preserve"> par l’OP-703/B.5, and OP-704.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19E21BB2"/>
    <w:lvl w:ilvl="0" w:tplc="C6869E0C">
      <w:start w:val="1"/>
      <w:numFmt w:val="bullet"/>
      <w:lvlText w:val="-"/>
      <w:lvlJc w:val="left"/>
    </w:lvl>
    <w:lvl w:ilvl="1" w:tplc="BFBE6286">
      <w:start w:val="1"/>
      <w:numFmt w:val="bullet"/>
      <w:lvlText w:val=""/>
      <w:lvlJc w:val="left"/>
    </w:lvl>
    <w:lvl w:ilvl="2" w:tplc="4D145878">
      <w:start w:val="1"/>
      <w:numFmt w:val="bullet"/>
      <w:lvlText w:val=""/>
      <w:lvlJc w:val="left"/>
    </w:lvl>
    <w:lvl w:ilvl="3" w:tplc="637ACF80">
      <w:start w:val="1"/>
      <w:numFmt w:val="bullet"/>
      <w:lvlText w:val=""/>
      <w:lvlJc w:val="left"/>
    </w:lvl>
    <w:lvl w:ilvl="4" w:tplc="E452ACF4">
      <w:start w:val="1"/>
      <w:numFmt w:val="bullet"/>
      <w:lvlText w:val=""/>
      <w:lvlJc w:val="left"/>
    </w:lvl>
    <w:lvl w:ilvl="5" w:tplc="8C68102C">
      <w:start w:val="1"/>
      <w:numFmt w:val="bullet"/>
      <w:lvlText w:val=""/>
      <w:lvlJc w:val="left"/>
    </w:lvl>
    <w:lvl w:ilvl="6" w:tplc="A64AE710">
      <w:start w:val="1"/>
      <w:numFmt w:val="bullet"/>
      <w:lvlText w:val=""/>
      <w:lvlJc w:val="left"/>
    </w:lvl>
    <w:lvl w:ilvl="7" w:tplc="02248CAC">
      <w:start w:val="1"/>
      <w:numFmt w:val="bullet"/>
      <w:lvlText w:val=""/>
      <w:lvlJc w:val="left"/>
    </w:lvl>
    <w:lvl w:ilvl="8" w:tplc="2496E3EC">
      <w:start w:val="1"/>
      <w:numFmt w:val="bullet"/>
      <w:lvlText w:val=""/>
      <w:lvlJc w:val="left"/>
    </w:lvl>
  </w:abstractNum>
  <w:abstractNum w:abstractNumId="1" w15:restartNumberingAfterBreak="0">
    <w:nsid w:val="00000008"/>
    <w:multiLevelType w:val="hybridMultilevel"/>
    <w:tmpl w:val="75E0858A"/>
    <w:lvl w:ilvl="0" w:tplc="1764CB6E">
      <w:start w:val="1"/>
      <w:numFmt w:val="bullet"/>
      <w:lvlText w:val="-"/>
      <w:lvlJc w:val="left"/>
    </w:lvl>
    <w:lvl w:ilvl="1" w:tplc="C4B03BCA">
      <w:start w:val="1"/>
      <w:numFmt w:val="bullet"/>
      <w:lvlText w:val=""/>
      <w:lvlJc w:val="left"/>
    </w:lvl>
    <w:lvl w:ilvl="2" w:tplc="2D9E6B5C">
      <w:start w:val="1"/>
      <w:numFmt w:val="bullet"/>
      <w:lvlText w:val=""/>
      <w:lvlJc w:val="left"/>
    </w:lvl>
    <w:lvl w:ilvl="3" w:tplc="14AEBD3A">
      <w:start w:val="1"/>
      <w:numFmt w:val="bullet"/>
      <w:lvlText w:val=""/>
      <w:lvlJc w:val="left"/>
    </w:lvl>
    <w:lvl w:ilvl="4" w:tplc="F4B2EC32">
      <w:start w:val="1"/>
      <w:numFmt w:val="bullet"/>
      <w:lvlText w:val=""/>
      <w:lvlJc w:val="left"/>
    </w:lvl>
    <w:lvl w:ilvl="5" w:tplc="C2AE2FA2">
      <w:start w:val="1"/>
      <w:numFmt w:val="bullet"/>
      <w:lvlText w:val=""/>
      <w:lvlJc w:val="left"/>
    </w:lvl>
    <w:lvl w:ilvl="6" w:tplc="AEC6777E">
      <w:start w:val="1"/>
      <w:numFmt w:val="bullet"/>
      <w:lvlText w:val=""/>
      <w:lvlJc w:val="left"/>
    </w:lvl>
    <w:lvl w:ilvl="7" w:tplc="B5BEDF82">
      <w:start w:val="1"/>
      <w:numFmt w:val="bullet"/>
      <w:lvlText w:val=""/>
      <w:lvlJc w:val="left"/>
    </w:lvl>
    <w:lvl w:ilvl="8" w:tplc="151AEFFC">
      <w:start w:val="1"/>
      <w:numFmt w:val="bullet"/>
      <w:lvlText w:val=""/>
      <w:lvlJc w:val="left"/>
    </w:lvl>
  </w:abstractNum>
  <w:abstractNum w:abstractNumId="2" w15:restartNumberingAfterBreak="0">
    <w:nsid w:val="0000000A"/>
    <w:multiLevelType w:val="hybridMultilevel"/>
    <w:tmpl w:val="5399C654"/>
    <w:lvl w:ilvl="0" w:tplc="B8449F38">
      <w:start w:val="1"/>
      <w:numFmt w:val="bullet"/>
      <w:lvlText w:val=""/>
      <w:lvlJc w:val="left"/>
    </w:lvl>
    <w:lvl w:ilvl="1" w:tplc="A2FC06B0">
      <w:start w:val="1"/>
      <w:numFmt w:val="bullet"/>
      <w:lvlText w:val=""/>
      <w:lvlJc w:val="left"/>
    </w:lvl>
    <w:lvl w:ilvl="2" w:tplc="F4644768">
      <w:start w:val="1"/>
      <w:numFmt w:val="bullet"/>
      <w:lvlText w:val=""/>
      <w:lvlJc w:val="left"/>
    </w:lvl>
    <w:lvl w:ilvl="3" w:tplc="DAE04D24">
      <w:start w:val="1"/>
      <w:numFmt w:val="bullet"/>
      <w:lvlText w:val=""/>
      <w:lvlJc w:val="left"/>
    </w:lvl>
    <w:lvl w:ilvl="4" w:tplc="D8B8B4FE">
      <w:start w:val="1"/>
      <w:numFmt w:val="bullet"/>
      <w:lvlText w:val=""/>
      <w:lvlJc w:val="left"/>
    </w:lvl>
    <w:lvl w:ilvl="5" w:tplc="EB388700">
      <w:start w:val="1"/>
      <w:numFmt w:val="bullet"/>
      <w:lvlText w:val=""/>
      <w:lvlJc w:val="left"/>
    </w:lvl>
    <w:lvl w:ilvl="6" w:tplc="9AA674F2">
      <w:start w:val="1"/>
      <w:numFmt w:val="bullet"/>
      <w:lvlText w:val=""/>
      <w:lvlJc w:val="left"/>
    </w:lvl>
    <w:lvl w:ilvl="7" w:tplc="DC5EB1A0">
      <w:start w:val="1"/>
      <w:numFmt w:val="bullet"/>
      <w:lvlText w:val=""/>
      <w:lvlJc w:val="left"/>
    </w:lvl>
    <w:lvl w:ilvl="8" w:tplc="ED848258">
      <w:start w:val="1"/>
      <w:numFmt w:val="bullet"/>
      <w:lvlText w:val=""/>
      <w:lvlJc w:val="left"/>
    </w:lvl>
  </w:abstractNum>
  <w:abstractNum w:abstractNumId="3" w15:restartNumberingAfterBreak="0">
    <w:nsid w:val="00000028"/>
    <w:multiLevelType w:val="hybridMultilevel"/>
    <w:tmpl w:val="312167AC"/>
    <w:lvl w:ilvl="0" w:tplc="EFF62FE0">
      <w:start w:val="1"/>
      <w:numFmt w:val="lowerRoman"/>
      <w:lvlText w:val="%1."/>
      <w:lvlJc w:val="left"/>
    </w:lvl>
    <w:lvl w:ilvl="1" w:tplc="1A1635B8">
      <w:start w:val="1"/>
      <w:numFmt w:val="bullet"/>
      <w:lvlText w:val=""/>
      <w:lvlJc w:val="left"/>
    </w:lvl>
    <w:lvl w:ilvl="2" w:tplc="5D004C7E">
      <w:start w:val="1"/>
      <w:numFmt w:val="bullet"/>
      <w:lvlText w:val=""/>
      <w:lvlJc w:val="left"/>
    </w:lvl>
    <w:lvl w:ilvl="3" w:tplc="DF44CDB0">
      <w:start w:val="1"/>
      <w:numFmt w:val="bullet"/>
      <w:lvlText w:val=""/>
      <w:lvlJc w:val="left"/>
    </w:lvl>
    <w:lvl w:ilvl="4" w:tplc="9086E59C">
      <w:start w:val="1"/>
      <w:numFmt w:val="bullet"/>
      <w:lvlText w:val=""/>
      <w:lvlJc w:val="left"/>
    </w:lvl>
    <w:lvl w:ilvl="5" w:tplc="2A36B17E">
      <w:start w:val="1"/>
      <w:numFmt w:val="bullet"/>
      <w:lvlText w:val=""/>
      <w:lvlJc w:val="left"/>
    </w:lvl>
    <w:lvl w:ilvl="6" w:tplc="B65EE14C">
      <w:start w:val="1"/>
      <w:numFmt w:val="bullet"/>
      <w:lvlText w:val=""/>
      <w:lvlJc w:val="left"/>
    </w:lvl>
    <w:lvl w:ilvl="7" w:tplc="9FCA9E8C">
      <w:start w:val="1"/>
      <w:numFmt w:val="bullet"/>
      <w:lvlText w:val=""/>
      <w:lvlJc w:val="left"/>
    </w:lvl>
    <w:lvl w:ilvl="8" w:tplc="ECAAD326">
      <w:start w:val="1"/>
      <w:numFmt w:val="bullet"/>
      <w:lvlText w:val=""/>
      <w:lvlJc w:val="left"/>
    </w:lvl>
  </w:abstractNum>
  <w:abstractNum w:abstractNumId="4" w15:restartNumberingAfterBreak="0">
    <w:nsid w:val="00000029"/>
    <w:multiLevelType w:val="hybridMultilevel"/>
    <w:tmpl w:val="631B64D4"/>
    <w:lvl w:ilvl="0" w:tplc="F3AA61DA">
      <w:start w:val="4"/>
      <w:numFmt w:val="lowerRoman"/>
      <w:lvlText w:val="%1."/>
      <w:lvlJc w:val="left"/>
    </w:lvl>
    <w:lvl w:ilvl="1" w:tplc="61C06FB6">
      <w:start w:val="1"/>
      <w:numFmt w:val="bullet"/>
      <w:lvlText w:val=""/>
      <w:lvlJc w:val="left"/>
    </w:lvl>
    <w:lvl w:ilvl="2" w:tplc="264ECE7E">
      <w:start w:val="1"/>
      <w:numFmt w:val="bullet"/>
      <w:lvlText w:val=""/>
      <w:lvlJc w:val="left"/>
    </w:lvl>
    <w:lvl w:ilvl="3" w:tplc="42CAB93E">
      <w:start w:val="1"/>
      <w:numFmt w:val="bullet"/>
      <w:lvlText w:val=""/>
      <w:lvlJc w:val="left"/>
    </w:lvl>
    <w:lvl w:ilvl="4" w:tplc="EECE1C3E">
      <w:start w:val="1"/>
      <w:numFmt w:val="bullet"/>
      <w:lvlText w:val=""/>
      <w:lvlJc w:val="left"/>
    </w:lvl>
    <w:lvl w:ilvl="5" w:tplc="FBF8222E">
      <w:start w:val="1"/>
      <w:numFmt w:val="bullet"/>
      <w:lvlText w:val=""/>
      <w:lvlJc w:val="left"/>
    </w:lvl>
    <w:lvl w:ilvl="6" w:tplc="C908DE9E">
      <w:start w:val="1"/>
      <w:numFmt w:val="bullet"/>
      <w:lvlText w:val=""/>
      <w:lvlJc w:val="left"/>
    </w:lvl>
    <w:lvl w:ilvl="7" w:tplc="F110BB90">
      <w:start w:val="1"/>
      <w:numFmt w:val="bullet"/>
      <w:lvlText w:val=""/>
      <w:lvlJc w:val="left"/>
    </w:lvl>
    <w:lvl w:ilvl="8" w:tplc="F4807226">
      <w:start w:val="1"/>
      <w:numFmt w:val="bullet"/>
      <w:lvlText w:val=""/>
      <w:lvlJc w:val="left"/>
    </w:lvl>
  </w:abstractNum>
  <w:abstractNum w:abstractNumId="5" w15:restartNumberingAfterBreak="0">
    <w:nsid w:val="0000002A"/>
    <w:multiLevelType w:val="hybridMultilevel"/>
    <w:tmpl w:val="78B5E776"/>
    <w:lvl w:ilvl="0" w:tplc="CC825382">
      <w:start w:val="1"/>
      <w:numFmt w:val="lowerLetter"/>
      <w:lvlText w:val="%1."/>
      <w:lvlJc w:val="left"/>
    </w:lvl>
    <w:lvl w:ilvl="1" w:tplc="322AF7DE">
      <w:start w:val="1"/>
      <w:numFmt w:val="bullet"/>
      <w:lvlText w:val=""/>
      <w:lvlJc w:val="left"/>
    </w:lvl>
    <w:lvl w:ilvl="2" w:tplc="8FA0734E">
      <w:start w:val="1"/>
      <w:numFmt w:val="bullet"/>
      <w:lvlText w:val=""/>
      <w:lvlJc w:val="left"/>
    </w:lvl>
    <w:lvl w:ilvl="3" w:tplc="0A62C69A">
      <w:start w:val="1"/>
      <w:numFmt w:val="bullet"/>
      <w:lvlText w:val=""/>
      <w:lvlJc w:val="left"/>
    </w:lvl>
    <w:lvl w:ilvl="4" w:tplc="A3F43338">
      <w:start w:val="1"/>
      <w:numFmt w:val="bullet"/>
      <w:lvlText w:val=""/>
      <w:lvlJc w:val="left"/>
    </w:lvl>
    <w:lvl w:ilvl="5" w:tplc="74E01586">
      <w:start w:val="1"/>
      <w:numFmt w:val="bullet"/>
      <w:lvlText w:val=""/>
      <w:lvlJc w:val="left"/>
    </w:lvl>
    <w:lvl w:ilvl="6" w:tplc="1CBA5166">
      <w:start w:val="1"/>
      <w:numFmt w:val="bullet"/>
      <w:lvlText w:val=""/>
      <w:lvlJc w:val="left"/>
    </w:lvl>
    <w:lvl w:ilvl="7" w:tplc="144E7988">
      <w:start w:val="1"/>
      <w:numFmt w:val="bullet"/>
      <w:lvlText w:val=""/>
      <w:lvlJc w:val="left"/>
    </w:lvl>
    <w:lvl w:ilvl="8" w:tplc="F1A87EE2">
      <w:start w:val="1"/>
      <w:numFmt w:val="bullet"/>
      <w:lvlText w:val=""/>
      <w:lvlJc w:val="left"/>
    </w:lvl>
  </w:abstractNum>
  <w:abstractNum w:abstractNumId="6" w15:restartNumberingAfterBreak="0">
    <w:nsid w:val="0000002B"/>
    <w:multiLevelType w:val="hybridMultilevel"/>
    <w:tmpl w:val="75486E46"/>
    <w:lvl w:ilvl="0" w:tplc="73841AE8">
      <w:start w:val="1"/>
      <w:numFmt w:val="lowerRoman"/>
      <w:lvlText w:val="(%1)"/>
      <w:lvlJc w:val="left"/>
    </w:lvl>
    <w:lvl w:ilvl="1" w:tplc="B428F1AC">
      <w:start w:val="1"/>
      <w:numFmt w:val="bullet"/>
      <w:lvlText w:val=""/>
      <w:lvlJc w:val="left"/>
    </w:lvl>
    <w:lvl w:ilvl="2" w:tplc="E11A4026">
      <w:start w:val="1"/>
      <w:numFmt w:val="bullet"/>
      <w:lvlText w:val=""/>
      <w:lvlJc w:val="left"/>
    </w:lvl>
    <w:lvl w:ilvl="3" w:tplc="5C4E799A">
      <w:start w:val="1"/>
      <w:numFmt w:val="bullet"/>
      <w:lvlText w:val=""/>
      <w:lvlJc w:val="left"/>
    </w:lvl>
    <w:lvl w:ilvl="4" w:tplc="63F656A2">
      <w:start w:val="1"/>
      <w:numFmt w:val="bullet"/>
      <w:lvlText w:val=""/>
      <w:lvlJc w:val="left"/>
    </w:lvl>
    <w:lvl w:ilvl="5" w:tplc="20560470">
      <w:start w:val="1"/>
      <w:numFmt w:val="bullet"/>
      <w:lvlText w:val=""/>
      <w:lvlJc w:val="left"/>
    </w:lvl>
    <w:lvl w:ilvl="6" w:tplc="80C6BABA">
      <w:start w:val="1"/>
      <w:numFmt w:val="bullet"/>
      <w:lvlText w:val=""/>
      <w:lvlJc w:val="left"/>
    </w:lvl>
    <w:lvl w:ilvl="7" w:tplc="0E289AFC">
      <w:start w:val="1"/>
      <w:numFmt w:val="bullet"/>
      <w:lvlText w:val=""/>
      <w:lvlJc w:val="left"/>
    </w:lvl>
    <w:lvl w:ilvl="8" w:tplc="2AD6DCA8">
      <w:start w:val="1"/>
      <w:numFmt w:val="bullet"/>
      <w:lvlText w:val=""/>
      <w:lvlJc w:val="left"/>
    </w:lvl>
  </w:abstractNum>
  <w:abstractNum w:abstractNumId="7" w15:restartNumberingAfterBreak="0">
    <w:nsid w:val="0000002D"/>
    <w:multiLevelType w:val="hybridMultilevel"/>
    <w:tmpl w:val="1A0DDE32"/>
    <w:lvl w:ilvl="0" w:tplc="3BC2F134">
      <w:start w:val="1"/>
      <w:numFmt w:val="lowerRoman"/>
      <w:lvlText w:val="%1."/>
      <w:lvlJc w:val="left"/>
    </w:lvl>
    <w:lvl w:ilvl="1" w:tplc="14A0C24C">
      <w:start w:val="1"/>
      <w:numFmt w:val="bullet"/>
      <w:lvlText w:val=""/>
      <w:lvlJc w:val="left"/>
    </w:lvl>
    <w:lvl w:ilvl="2" w:tplc="75E07164">
      <w:start w:val="1"/>
      <w:numFmt w:val="bullet"/>
      <w:lvlText w:val=""/>
      <w:lvlJc w:val="left"/>
    </w:lvl>
    <w:lvl w:ilvl="3" w:tplc="9A6E0620">
      <w:start w:val="1"/>
      <w:numFmt w:val="bullet"/>
      <w:lvlText w:val=""/>
      <w:lvlJc w:val="left"/>
    </w:lvl>
    <w:lvl w:ilvl="4" w:tplc="4D867D44">
      <w:start w:val="1"/>
      <w:numFmt w:val="bullet"/>
      <w:lvlText w:val=""/>
      <w:lvlJc w:val="left"/>
    </w:lvl>
    <w:lvl w:ilvl="5" w:tplc="F60CBDF6">
      <w:start w:val="1"/>
      <w:numFmt w:val="bullet"/>
      <w:lvlText w:val=""/>
      <w:lvlJc w:val="left"/>
    </w:lvl>
    <w:lvl w:ilvl="6" w:tplc="1D50FD34">
      <w:start w:val="1"/>
      <w:numFmt w:val="bullet"/>
      <w:lvlText w:val=""/>
      <w:lvlJc w:val="left"/>
    </w:lvl>
    <w:lvl w:ilvl="7" w:tplc="6D4EE8C0">
      <w:start w:val="1"/>
      <w:numFmt w:val="bullet"/>
      <w:lvlText w:val=""/>
      <w:lvlJc w:val="left"/>
    </w:lvl>
    <w:lvl w:ilvl="8" w:tplc="B43844E2">
      <w:start w:val="1"/>
      <w:numFmt w:val="bullet"/>
      <w:lvlText w:val=""/>
      <w:lvlJc w:val="left"/>
    </w:lvl>
  </w:abstractNum>
  <w:abstractNum w:abstractNumId="8" w15:restartNumberingAfterBreak="0">
    <w:nsid w:val="00000030"/>
    <w:multiLevelType w:val="hybridMultilevel"/>
    <w:tmpl w:val="260D8C4A"/>
    <w:lvl w:ilvl="0" w:tplc="FE92E8E0">
      <w:start w:val="1"/>
      <w:numFmt w:val="bullet"/>
      <w:lvlText w:val=""/>
      <w:lvlJc w:val="left"/>
    </w:lvl>
    <w:lvl w:ilvl="1" w:tplc="87C40094">
      <w:start w:val="1"/>
      <w:numFmt w:val="bullet"/>
      <w:lvlText w:val=""/>
      <w:lvlJc w:val="left"/>
    </w:lvl>
    <w:lvl w:ilvl="2" w:tplc="7AB040F6">
      <w:start w:val="1"/>
      <w:numFmt w:val="bullet"/>
      <w:lvlText w:val=""/>
      <w:lvlJc w:val="left"/>
    </w:lvl>
    <w:lvl w:ilvl="3" w:tplc="A8400D98">
      <w:start w:val="1"/>
      <w:numFmt w:val="bullet"/>
      <w:lvlText w:val=""/>
      <w:lvlJc w:val="left"/>
    </w:lvl>
    <w:lvl w:ilvl="4" w:tplc="EDA81004">
      <w:start w:val="1"/>
      <w:numFmt w:val="bullet"/>
      <w:lvlText w:val=""/>
      <w:lvlJc w:val="left"/>
    </w:lvl>
    <w:lvl w:ilvl="5" w:tplc="D4324364">
      <w:start w:val="1"/>
      <w:numFmt w:val="bullet"/>
      <w:lvlText w:val=""/>
      <w:lvlJc w:val="left"/>
    </w:lvl>
    <w:lvl w:ilvl="6" w:tplc="D45A18D4">
      <w:start w:val="1"/>
      <w:numFmt w:val="bullet"/>
      <w:lvlText w:val=""/>
      <w:lvlJc w:val="left"/>
    </w:lvl>
    <w:lvl w:ilvl="7" w:tplc="BBBEFE5C">
      <w:start w:val="1"/>
      <w:numFmt w:val="bullet"/>
      <w:lvlText w:val=""/>
      <w:lvlJc w:val="left"/>
    </w:lvl>
    <w:lvl w:ilvl="8" w:tplc="C7DE254A">
      <w:start w:val="1"/>
      <w:numFmt w:val="bullet"/>
      <w:lvlText w:val=""/>
      <w:lvlJc w:val="left"/>
    </w:lvl>
  </w:abstractNum>
  <w:abstractNum w:abstractNumId="9" w15:restartNumberingAfterBreak="0">
    <w:nsid w:val="00000050"/>
    <w:multiLevelType w:val="hybridMultilevel"/>
    <w:tmpl w:val="6B1D2C14"/>
    <w:lvl w:ilvl="0" w:tplc="09CAE058">
      <w:start w:val="1"/>
      <w:numFmt w:val="lowerRoman"/>
      <w:lvlText w:val="%1."/>
      <w:lvlJc w:val="left"/>
    </w:lvl>
    <w:lvl w:ilvl="1" w:tplc="14FE9BE8">
      <w:start w:val="1"/>
      <w:numFmt w:val="bullet"/>
      <w:lvlText w:val=""/>
      <w:lvlJc w:val="left"/>
    </w:lvl>
    <w:lvl w:ilvl="2" w:tplc="89C4CFC0">
      <w:start w:val="1"/>
      <w:numFmt w:val="bullet"/>
      <w:lvlText w:val=""/>
      <w:lvlJc w:val="left"/>
    </w:lvl>
    <w:lvl w:ilvl="3" w:tplc="887C7CB6">
      <w:start w:val="1"/>
      <w:numFmt w:val="bullet"/>
      <w:lvlText w:val=""/>
      <w:lvlJc w:val="left"/>
    </w:lvl>
    <w:lvl w:ilvl="4" w:tplc="ADB69266">
      <w:start w:val="1"/>
      <w:numFmt w:val="bullet"/>
      <w:lvlText w:val=""/>
      <w:lvlJc w:val="left"/>
    </w:lvl>
    <w:lvl w:ilvl="5" w:tplc="C74A1A14">
      <w:start w:val="1"/>
      <w:numFmt w:val="bullet"/>
      <w:lvlText w:val=""/>
      <w:lvlJc w:val="left"/>
    </w:lvl>
    <w:lvl w:ilvl="6" w:tplc="B8484822">
      <w:start w:val="1"/>
      <w:numFmt w:val="bullet"/>
      <w:lvlText w:val=""/>
      <w:lvlJc w:val="left"/>
    </w:lvl>
    <w:lvl w:ilvl="7" w:tplc="984E5F84">
      <w:start w:val="1"/>
      <w:numFmt w:val="bullet"/>
      <w:lvlText w:val=""/>
      <w:lvlJc w:val="left"/>
    </w:lvl>
    <w:lvl w:ilvl="8" w:tplc="E3B68154">
      <w:start w:val="1"/>
      <w:numFmt w:val="bullet"/>
      <w:lvlText w:val=""/>
      <w:lvlJc w:val="left"/>
    </w:lvl>
  </w:abstractNum>
  <w:abstractNum w:abstractNumId="10" w15:restartNumberingAfterBreak="0">
    <w:nsid w:val="00000054"/>
    <w:multiLevelType w:val="hybridMultilevel"/>
    <w:tmpl w:val="32794FF6"/>
    <w:lvl w:ilvl="0" w:tplc="33EC6896">
      <w:start w:val="1"/>
      <w:numFmt w:val="bullet"/>
      <w:lvlText w:val=""/>
      <w:lvlJc w:val="left"/>
    </w:lvl>
    <w:lvl w:ilvl="1" w:tplc="9D565C92">
      <w:start w:val="1"/>
      <w:numFmt w:val="bullet"/>
      <w:lvlText w:val=""/>
      <w:lvlJc w:val="left"/>
    </w:lvl>
    <w:lvl w:ilvl="2" w:tplc="DEF6329E">
      <w:start w:val="1"/>
      <w:numFmt w:val="bullet"/>
      <w:lvlText w:val=""/>
      <w:lvlJc w:val="left"/>
    </w:lvl>
    <w:lvl w:ilvl="3" w:tplc="21CC0078">
      <w:start w:val="1"/>
      <w:numFmt w:val="bullet"/>
      <w:lvlText w:val=""/>
      <w:lvlJc w:val="left"/>
    </w:lvl>
    <w:lvl w:ilvl="4" w:tplc="63180EDC">
      <w:start w:val="1"/>
      <w:numFmt w:val="bullet"/>
      <w:lvlText w:val=""/>
      <w:lvlJc w:val="left"/>
    </w:lvl>
    <w:lvl w:ilvl="5" w:tplc="7DAA5F38">
      <w:start w:val="1"/>
      <w:numFmt w:val="bullet"/>
      <w:lvlText w:val=""/>
      <w:lvlJc w:val="left"/>
    </w:lvl>
    <w:lvl w:ilvl="6" w:tplc="4E489594">
      <w:start w:val="1"/>
      <w:numFmt w:val="bullet"/>
      <w:lvlText w:val=""/>
      <w:lvlJc w:val="left"/>
    </w:lvl>
    <w:lvl w:ilvl="7" w:tplc="BDC265E0">
      <w:start w:val="1"/>
      <w:numFmt w:val="bullet"/>
      <w:lvlText w:val=""/>
      <w:lvlJc w:val="left"/>
    </w:lvl>
    <w:lvl w:ilvl="8" w:tplc="B5C01862">
      <w:start w:val="1"/>
      <w:numFmt w:val="bullet"/>
      <w:lvlText w:val=""/>
      <w:lvlJc w:val="left"/>
    </w:lvl>
  </w:abstractNum>
  <w:abstractNum w:abstractNumId="11" w15:restartNumberingAfterBreak="0">
    <w:nsid w:val="00000055"/>
    <w:multiLevelType w:val="hybridMultilevel"/>
    <w:tmpl w:val="5454945E"/>
    <w:lvl w:ilvl="0" w:tplc="7A16FD04">
      <w:start w:val="1"/>
      <w:numFmt w:val="bullet"/>
      <w:lvlText w:val=""/>
      <w:lvlJc w:val="left"/>
    </w:lvl>
    <w:lvl w:ilvl="1" w:tplc="4CCA4890">
      <w:start w:val="1"/>
      <w:numFmt w:val="bullet"/>
      <w:lvlText w:val=""/>
      <w:lvlJc w:val="left"/>
    </w:lvl>
    <w:lvl w:ilvl="2" w:tplc="29F4CB42">
      <w:start w:val="1"/>
      <w:numFmt w:val="bullet"/>
      <w:lvlText w:val=""/>
      <w:lvlJc w:val="left"/>
    </w:lvl>
    <w:lvl w:ilvl="3" w:tplc="33768BC4">
      <w:start w:val="1"/>
      <w:numFmt w:val="bullet"/>
      <w:lvlText w:val=""/>
      <w:lvlJc w:val="left"/>
    </w:lvl>
    <w:lvl w:ilvl="4" w:tplc="5FB081D6">
      <w:start w:val="1"/>
      <w:numFmt w:val="bullet"/>
      <w:lvlText w:val=""/>
      <w:lvlJc w:val="left"/>
    </w:lvl>
    <w:lvl w:ilvl="5" w:tplc="71AC73B4">
      <w:start w:val="1"/>
      <w:numFmt w:val="bullet"/>
      <w:lvlText w:val=""/>
      <w:lvlJc w:val="left"/>
    </w:lvl>
    <w:lvl w:ilvl="6" w:tplc="62DE4CCA">
      <w:start w:val="1"/>
      <w:numFmt w:val="bullet"/>
      <w:lvlText w:val=""/>
      <w:lvlJc w:val="left"/>
    </w:lvl>
    <w:lvl w:ilvl="7" w:tplc="4EBACFD6">
      <w:start w:val="1"/>
      <w:numFmt w:val="bullet"/>
      <w:lvlText w:val=""/>
      <w:lvlJc w:val="left"/>
    </w:lvl>
    <w:lvl w:ilvl="8" w:tplc="C562D2C2">
      <w:start w:val="1"/>
      <w:numFmt w:val="bullet"/>
      <w:lvlText w:val=""/>
      <w:lvlJc w:val="left"/>
    </w:lvl>
  </w:abstractNum>
  <w:abstractNum w:abstractNumId="12" w15:restartNumberingAfterBreak="0">
    <w:nsid w:val="00000056"/>
    <w:multiLevelType w:val="hybridMultilevel"/>
    <w:tmpl w:val="4DEFDFA0"/>
    <w:lvl w:ilvl="0" w:tplc="8494C2D8">
      <w:start w:val="1"/>
      <w:numFmt w:val="bullet"/>
      <w:lvlText w:val=""/>
      <w:lvlJc w:val="left"/>
    </w:lvl>
    <w:lvl w:ilvl="1" w:tplc="5B52F51A">
      <w:start w:val="1"/>
      <w:numFmt w:val="bullet"/>
      <w:lvlText w:val=""/>
      <w:lvlJc w:val="left"/>
    </w:lvl>
    <w:lvl w:ilvl="2" w:tplc="7D405BFE">
      <w:start w:val="1"/>
      <w:numFmt w:val="bullet"/>
      <w:lvlText w:val=""/>
      <w:lvlJc w:val="left"/>
    </w:lvl>
    <w:lvl w:ilvl="3" w:tplc="B6E05E3A">
      <w:start w:val="1"/>
      <w:numFmt w:val="bullet"/>
      <w:lvlText w:val=""/>
      <w:lvlJc w:val="left"/>
    </w:lvl>
    <w:lvl w:ilvl="4" w:tplc="618EDF94">
      <w:start w:val="1"/>
      <w:numFmt w:val="bullet"/>
      <w:lvlText w:val=""/>
      <w:lvlJc w:val="left"/>
    </w:lvl>
    <w:lvl w:ilvl="5" w:tplc="E7F06990">
      <w:start w:val="1"/>
      <w:numFmt w:val="bullet"/>
      <w:lvlText w:val=""/>
      <w:lvlJc w:val="left"/>
    </w:lvl>
    <w:lvl w:ilvl="6" w:tplc="284C5F68">
      <w:start w:val="1"/>
      <w:numFmt w:val="bullet"/>
      <w:lvlText w:val=""/>
      <w:lvlJc w:val="left"/>
    </w:lvl>
    <w:lvl w:ilvl="7" w:tplc="88A6DE8C">
      <w:start w:val="1"/>
      <w:numFmt w:val="bullet"/>
      <w:lvlText w:val=""/>
      <w:lvlJc w:val="left"/>
    </w:lvl>
    <w:lvl w:ilvl="8" w:tplc="58AACC0C">
      <w:start w:val="1"/>
      <w:numFmt w:val="bullet"/>
      <w:lvlText w:val=""/>
      <w:lvlJc w:val="left"/>
    </w:lvl>
  </w:abstractNum>
  <w:abstractNum w:abstractNumId="13" w15:restartNumberingAfterBreak="0">
    <w:nsid w:val="0000005C"/>
    <w:multiLevelType w:val="hybridMultilevel"/>
    <w:tmpl w:val="2E8A6394"/>
    <w:lvl w:ilvl="0" w:tplc="3AB6BD08">
      <w:start w:val="1"/>
      <w:numFmt w:val="lowerRoman"/>
      <w:lvlText w:val="(%1)"/>
      <w:lvlJc w:val="left"/>
    </w:lvl>
    <w:lvl w:ilvl="1" w:tplc="60CA98FA">
      <w:start w:val="1"/>
      <w:numFmt w:val="bullet"/>
      <w:lvlText w:val=""/>
      <w:lvlJc w:val="left"/>
    </w:lvl>
    <w:lvl w:ilvl="2" w:tplc="5B46EA22">
      <w:start w:val="1"/>
      <w:numFmt w:val="bullet"/>
      <w:lvlText w:val=""/>
      <w:lvlJc w:val="left"/>
    </w:lvl>
    <w:lvl w:ilvl="3" w:tplc="CCA44F14">
      <w:start w:val="1"/>
      <w:numFmt w:val="bullet"/>
      <w:lvlText w:val=""/>
      <w:lvlJc w:val="left"/>
    </w:lvl>
    <w:lvl w:ilvl="4" w:tplc="142403A4">
      <w:start w:val="1"/>
      <w:numFmt w:val="bullet"/>
      <w:lvlText w:val=""/>
      <w:lvlJc w:val="left"/>
    </w:lvl>
    <w:lvl w:ilvl="5" w:tplc="26F03998">
      <w:start w:val="1"/>
      <w:numFmt w:val="bullet"/>
      <w:lvlText w:val=""/>
      <w:lvlJc w:val="left"/>
    </w:lvl>
    <w:lvl w:ilvl="6" w:tplc="FBFCC0C4">
      <w:start w:val="1"/>
      <w:numFmt w:val="bullet"/>
      <w:lvlText w:val=""/>
      <w:lvlJc w:val="left"/>
    </w:lvl>
    <w:lvl w:ilvl="7" w:tplc="913896E8">
      <w:start w:val="1"/>
      <w:numFmt w:val="bullet"/>
      <w:lvlText w:val=""/>
      <w:lvlJc w:val="left"/>
    </w:lvl>
    <w:lvl w:ilvl="8" w:tplc="AB905B92">
      <w:start w:val="1"/>
      <w:numFmt w:val="bullet"/>
      <w:lvlText w:val=""/>
      <w:lvlJc w:val="left"/>
    </w:lvl>
  </w:abstractNum>
  <w:abstractNum w:abstractNumId="14" w15:restartNumberingAfterBreak="0">
    <w:nsid w:val="0000005D"/>
    <w:multiLevelType w:val="hybridMultilevel"/>
    <w:tmpl w:val="24E60400"/>
    <w:lvl w:ilvl="0" w:tplc="CA4A1316">
      <w:start w:val="1"/>
      <w:numFmt w:val="bullet"/>
      <w:lvlText w:val="-"/>
      <w:lvlJc w:val="left"/>
    </w:lvl>
    <w:lvl w:ilvl="1" w:tplc="88F6CF50">
      <w:start w:val="1"/>
      <w:numFmt w:val="bullet"/>
      <w:lvlText w:val=""/>
      <w:lvlJc w:val="left"/>
    </w:lvl>
    <w:lvl w:ilvl="2" w:tplc="AA94648C">
      <w:start w:val="1"/>
      <w:numFmt w:val="bullet"/>
      <w:lvlText w:val=""/>
      <w:lvlJc w:val="left"/>
    </w:lvl>
    <w:lvl w:ilvl="3" w:tplc="CAE8BC92">
      <w:start w:val="1"/>
      <w:numFmt w:val="bullet"/>
      <w:lvlText w:val=""/>
      <w:lvlJc w:val="left"/>
    </w:lvl>
    <w:lvl w:ilvl="4" w:tplc="DEE0BA30">
      <w:start w:val="1"/>
      <w:numFmt w:val="bullet"/>
      <w:lvlText w:val=""/>
      <w:lvlJc w:val="left"/>
    </w:lvl>
    <w:lvl w:ilvl="5" w:tplc="5F0E2AE2">
      <w:start w:val="1"/>
      <w:numFmt w:val="bullet"/>
      <w:lvlText w:val=""/>
      <w:lvlJc w:val="left"/>
    </w:lvl>
    <w:lvl w:ilvl="6" w:tplc="7F34514E">
      <w:start w:val="1"/>
      <w:numFmt w:val="bullet"/>
      <w:lvlText w:val=""/>
      <w:lvlJc w:val="left"/>
    </w:lvl>
    <w:lvl w:ilvl="7" w:tplc="9258D3C8">
      <w:start w:val="1"/>
      <w:numFmt w:val="bullet"/>
      <w:lvlText w:val=""/>
      <w:lvlJc w:val="left"/>
    </w:lvl>
    <w:lvl w:ilvl="8" w:tplc="54C2F322">
      <w:start w:val="1"/>
      <w:numFmt w:val="bullet"/>
      <w:lvlText w:val=""/>
      <w:lvlJc w:val="left"/>
    </w:lvl>
  </w:abstractNum>
  <w:abstractNum w:abstractNumId="15" w15:restartNumberingAfterBreak="0">
    <w:nsid w:val="0000005F"/>
    <w:multiLevelType w:val="hybridMultilevel"/>
    <w:tmpl w:val="0BAAC1B4"/>
    <w:lvl w:ilvl="0" w:tplc="EE8AC10C">
      <w:numFmt w:val="lowerRoman"/>
      <w:lvlText w:val="(%1)"/>
      <w:lvlJc w:val="left"/>
    </w:lvl>
    <w:lvl w:ilvl="1" w:tplc="83304352">
      <w:start w:val="1"/>
      <w:numFmt w:val="bullet"/>
      <w:lvlText w:val="-"/>
      <w:lvlJc w:val="left"/>
    </w:lvl>
    <w:lvl w:ilvl="2" w:tplc="35A8EC7C">
      <w:start w:val="1"/>
      <w:numFmt w:val="bullet"/>
      <w:lvlText w:val=""/>
      <w:lvlJc w:val="left"/>
    </w:lvl>
    <w:lvl w:ilvl="3" w:tplc="19D44950">
      <w:start w:val="1"/>
      <w:numFmt w:val="bullet"/>
      <w:lvlText w:val=""/>
      <w:lvlJc w:val="left"/>
    </w:lvl>
    <w:lvl w:ilvl="4" w:tplc="F2CC3AEC">
      <w:start w:val="1"/>
      <w:numFmt w:val="bullet"/>
      <w:lvlText w:val=""/>
      <w:lvlJc w:val="left"/>
    </w:lvl>
    <w:lvl w:ilvl="5" w:tplc="F7BA5CF8">
      <w:start w:val="1"/>
      <w:numFmt w:val="bullet"/>
      <w:lvlText w:val=""/>
      <w:lvlJc w:val="left"/>
    </w:lvl>
    <w:lvl w:ilvl="6" w:tplc="31C22B00">
      <w:start w:val="1"/>
      <w:numFmt w:val="bullet"/>
      <w:lvlText w:val=""/>
      <w:lvlJc w:val="left"/>
    </w:lvl>
    <w:lvl w:ilvl="7" w:tplc="0A2CB26C">
      <w:start w:val="1"/>
      <w:numFmt w:val="bullet"/>
      <w:lvlText w:val=""/>
      <w:lvlJc w:val="left"/>
    </w:lvl>
    <w:lvl w:ilvl="8" w:tplc="908CD98E">
      <w:start w:val="1"/>
      <w:numFmt w:val="bullet"/>
      <w:lvlText w:val=""/>
      <w:lvlJc w:val="left"/>
    </w:lvl>
  </w:abstractNum>
  <w:abstractNum w:abstractNumId="16" w15:restartNumberingAfterBreak="0">
    <w:nsid w:val="00000060"/>
    <w:multiLevelType w:val="hybridMultilevel"/>
    <w:tmpl w:val="36B2ACBC"/>
    <w:lvl w:ilvl="0" w:tplc="F47E3220">
      <w:start w:val="1"/>
      <w:numFmt w:val="bullet"/>
      <w:lvlText w:val="-"/>
      <w:lvlJc w:val="left"/>
    </w:lvl>
    <w:lvl w:ilvl="1" w:tplc="40D45F6E">
      <w:start w:val="1"/>
      <w:numFmt w:val="bullet"/>
      <w:lvlText w:val=""/>
      <w:lvlJc w:val="left"/>
    </w:lvl>
    <w:lvl w:ilvl="2" w:tplc="526A1494">
      <w:start w:val="1"/>
      <w:numFmt w:val="bullet"/>
      <w:lvlText w:val=""/>
      <w:lvlJc w:val="left"/>
    </w:lvl>
    <w:lvl w:ilvl="3" w:tplc="B53E78EC">
      <w:start w:val="1"/>
      <w:numFmt w:val="bullet"/>
      <w:lvlText w:val=""/>
      <w:lvlJc w:val="left"/>
    </w:lvl>
    <w:lvl w:ilvl="4" w:tplc="9C364F42">
      <w:start w:val="1"/>
      <w:numFmt w:val="bullet"/>
      <w:lvlText w:val=""/>
      <w:lvlJc w:val="left"/>
    </w:lvl>
    <w:lvl w:ilvl="5" w:tplc="047697D0">
      <w:start w:val="1"/>
      <w:numFmt w:val="bullet"/>
      <w:lvlText w:val=""/>
      <w:lvlJc w:val="left"/>
    </w:lvl>
    <w:lvl w:ilvl="6" w:tplc="9274E768">
      <w:start w:val="1"/>
      <w:numFmt w:val="bullet"/>
      <w:lvlText w:val=""/>
      <w:lvlJc w:val="left"/>
    </w:lvl>
    <w:lvl w:ilvl="7" w:tplc="162E5102">
      <w:start w:val="1"/>
      <w:numFmt w:val="bullet"/>
      <w:lvlText w:val=""/>
      <w:lvlJc w:val="left"/>
    </w:lvl>
    <w:lvl w:ilvl="8" w:tplc="2BEE8D1A">
      <w:start w:val="1"/>
      <w:numFmt w:val="bullet"/>
      <w:lvlText w:val=""/>
      <w:lvlJc w:val="left"/>
    </w:lvl>
  </w:abstractNum>
  <w:abstractNum w:abstractNumId="17" w15:restartNumberingAfterBreak="0">
    <w:nsid w:val="00000062"/>
    <w:multiLevelType w:val="hybridMultilevel"/>
    <w:tmpl w:val="4AB26E78"/>
    <w:lvl w:ilvl="0" w:tplc="56C2A42A">
      <w:start w:val="1"/>
      <w:numFmt w:val="bullet"/>
      <w:lvlText w:val="Á"/>
      <w:lvlJc w:val="left"/>
    </w:lvl>
    <w:lvl w:ilvl="1" w:tplc="62A81C2E">
      <w:start w:val="1"/>
      <w:numFmt w:val="lowerLetter"/>
      <w:lvlText w:val="%2."/>
      <w:lvlJc w:val="left"/>
    </w:lvl>
    <w:lvl w:ilvl="2" w:tplc="8D22FE66">
      <w:start w:val="1"/>
      <w:numFmt w:val="bullet"/>
      <w:lvlText w:val=""/>
      <w:lvlJc w:val="left"/>
    </w:lvl>
    <w:lvl w:ilvl="3" w:tplc="121E8A04">
      <w:start w:val="1"/>
      <w:numFmt w:val="bullet"/>
      <w:lvlText w:val=""/>
      <w:lvlJc w:val="left"/>
    </w:lvl>
    <w:lvl w:ilvl="4" w:tplc="2318AB84">
      <w:start w:val="1"/>
      <w:numFmt w:val="bullet"/>
      <w:lvlText w:val=""/>
      <w:lvlJc w:val="left"/>
    </w:lvl>
    <w:lvl w:ilvl="5" w:tplc="5E880758">
      <w:start w:val="1"/>
      <w:numFmt w:val="bullet"/>
      <w:lvlText w:val=""/>
      <w:lvlJc w:val="left"/>
    </w:lvl>
    <w:lvl w:ilvl="6" w:tplc="2B62A4DE">
      <w:start w:val="1"/>
      <w:numFmt w:val="bullet"/>
      <w:lvlText w:val=""/>
      <w:lvlJc w:val="left"/>
    </w:lvl>
    <w:lvl w:ilvl="7" w:tplc="69AC663A">
      <w:start w:val="1"/>
      <w:numFmt w:val="bullet"/>
      <w:lvlText w:val=""/>
      <w:lvlJc w:val="left"/>
    </w:lvl>
    <w:lvl w:ilvl="8" w:tplc="33548328">
      <w:start w:val="1"/>
      <w:numFmt w:val="bullet"/>
      <w:lvlText w:val=""/>
      <w:lvlJc w:val="left"/>
    </w:lvl>
  </w:abstractNum>
  <w:abstractNum w:abstractNumId="18" w15:restartNumberingAfterBreak="0">
    <w:nsid w:val="00000068"/>
    <w:multiLevelType w:val="hybridMultilevel"/>
    <w:tmpl w:val="710757D0"/>
    <w:lvl w:ilvl="0" w:tplc="6A3036F6">
      <w:start w:val="1"/>
      <w:numFmt w:val="lowerLetter"/>
      <w:lvlText w:val="%1)"/>
      <w:lvlJc w:val="left"/>
    </w:lvl>
    <w:lvl w:ilvl="1" w:tplc="0B3654CE">
      <w:start w:val="1"/>
      <w:numFmt w:val="bullet"/>
      <w:lvlText w:val=""/>
      <w:lvlJc w:val="left"/>
    </w:lvl>
    <w:lvl w:ilvl="2" w:tplc="F2E6E8E4">
      <w:start w:val="1"/>
      <w:numFmt w:val="bullet"/>
      <w:lvlText w:val=""/>
      <w:lvlJc w:val="left"/>
    </w:lvl>
    <w:lvl w:ilvl="3" w:tplc="F1C00B58">
      <w:start w:val="1"/>
      <w:numFmt w:val="bullet"/>
      <w:lvlText w:val=""/>
      <w:lvlJc w:val="left"/>
    </w:lvl>
    <w:lvl w:ilvl="4" w:tplc="7284B59A">
      <w:start w:val="1"/>
      <w:numFmt w:val="bullet"/>
      <w:lvlText w:val=""/>
      <w:lvlJc w:val="left"/>
    </w:lvl>
    <w:lvl w:ilvl="5" w:tplc="526C7496">
      <w:start w:val="1"/>
      <w:numFmt w:val="bullet"/>
      <w:lvlText w:val=""/>
      <w:lvlJc w:val="left"/>
    </w:lvl>
    <w:lvl w:ilvl="6" w:tplc="0388BE92">
      <w:start w:val="1"/>
      <w:numFmt w:val="bullet"/>
      <w:lvlText w:val=""/>
      <w:lvlJc w:val="left"/>
    </w:lvl>
    <w:lvl w:ilvl="7" w:tplc="8E084FB4">
      <w:start w:val="1"/>
      <w:numFmt w:val="bullet"/>
      <w:lvlText w:val=""/>
      <w:lvlJc w:val="left"/>
    </w:lvl>
    <w:lvl w:ilvl="8" w:tplc="2F98629E">
      <w:start w:val="1"/>
      <w:numFmt w:val="bullet"/>
      <w:lvlText w:val=""/>
      <w:lvlJc w:val="left"/>
    </w:lvl>
  </w:abstractNum>
  <w:abstractNum w:abstractNumId="19" w15:restartNumberingAfterBreak="0">
    <w:nsid w:val="00000069"/>
    <w:multiLevelType w:val="hybridMultilevel"/>
    <w:tmpl w:val="5015CD1A"/>
    <w:lvl w:ilvl="0" w:tplc="4E3CAA22">
      <w:start w:val="1"/>
      <w:numFmt w:val="bullet"/>
      <w:lvlText w:val="-"/>
      <w:lvlJc w:val="left"/>
    </w:lvl>
    <w:lvl w:ilvl="1" w:tplc="885C9DE6">
      <w:start w:val="1"/>
      <w:numFmt w:val="bullet"/>
      <w:lvlText w:val=""/>
      <w:lvlJc w:val="left"/>
    </w:lvl>
    <w:lvl w:ilvl="2" w:tplc="EB780390">
      <w:start w:val="1"/>
      <w:numFmt w:val="bullet"/>
      <w:lvlText w:val=""/>
      <w:lvlJc w:val="left"/>
    </w:lvl>
    <w:lvl w:ilvl="3" w:tplc="286AC3A6">
      <w:start w:val="1"/>
      <w:numFmt w:val="bullet"/>
      <w:lvlText w:val=""/>
      <w:lvlJc w:val="left"/>
    </w:lvl>
    <w:lvl w:ilvl="4" w:tplc="4BB48AAE">
      <w:start w:val="1"/>
      <w:numFmt w:val="bullet"/>
      <w:lvlText w:val=""/>
      <w:lvlJc w:val="left"/>
    </w:lvl>
    <w:lvl w:ilvl="5" w:tplc="ABC4290C">
      <w:start w:val="1"/>
      <w:numFmt w:val="bullet"/>
      <w:lvlText w:val=""/>
      <w:lvlJc w:val="left"/>
    </w:lvl>
    <w:lvl w:ilvl="6" w:tplc="2C86945A">
      <w:start w:val="1"/>
      <w:numFmt w:val="bullet"/>
      <w:lvlText w:val=""/>
      <w:lvlJc w:val="left"/>
    </w:lvl>
    <w:lvl w:ilvl="7" w:tplc="D26880DC">
      <w:start w:val="1"/>
      <w:numFmt w:val="bullet"/>
      <w:lvlText w:val=""/>
      <w:lvlJc w:val="left"/>
    </w:lvl>
    <w:lvl w:ilvl="8" w:tplc="FF5ADA76">
      <w:start w:val="1"/>
      <w:numFmt w:val="bullet"/>
      <w:lvlText w:val=""/>
      <w:lvlJc w:val="left"/>
    </w:lvl>
  </w:abstractNum>
  <w:abstractNum w:abstractNumId="20" w15:restartNumberingAfterBreak="0">
    <w:nsid w:val="0000006E"/>
    <w:multiLevelType w:val="hybridMultilevel"/>
    <w:tmpl w:val="6A3B714C"/>
    <w:lvl w:ilvl="0" w:tplc="B2CA5D6A">
      <w:start w:val="1"/>
      <w:numFmt w:val="bullet"/>
      <w:lvlText w:val="-"/>
      <w:lvlJc w:val="left"/>
    </w:lvl>
    <w:lvl w:ilvl="1" w:tplc="3D9ACAB8">
      <w:start w:val="1"/>
      <w:numFmt w:val="bullet"/>
      <w:lvlText w:val=""/>
      <w:lvlJc w:val="left"/>
    </w:lvl>
    <w:lvl w:ilvl="2" w:tplc="AB1CEF9E">
      <w:start w:val="1"/>
      <w:numFmt w:val="bullet"/>
      <w:lvlText w:val=""/>
      <w:lvlJc w:val="left"/>
    </w:lvl>
    <w:lvl w:ilvl="3" w:tplc="37F2B2F4">
      <w:start w:val="1"/>
      <w:numFmt w:val="bullet"/>
      <w:lvlText w:val=""/>
      <w:lvlJc w:val="left"/>
    </w:lvl>
    <w:lvl w:ilvl="4" w:tplc="D6AAEAD6">
      <w:start w:val="1"/>
      <w:numFmt w:val="bullet"/>
      <w:lvlText w:val=""/>
      <w:lvlJc w:val="left"/>
    </w:lvl>
    <w:lvl w:ilvl="5" w:tplc="9D94A50C">
      <w:start w:val="1"/>
      <w:numFmt w:val="bullet"/>
      <w:lvlText w:val=""/>
      <w:lvlJc w:val="left"/>
    </w:lvl>
    <w:lvl w:ilvl="6" w:tplc="5D702F16">
      <w:start w:val="1"/>
      <w:numFmt w:val="bullet"/>
      <w:lvlText w:val=""/>
      <w:lvlJc w:val="left"/>
    </w:lvl>
    <w:lvl w:ilvl="7" w:tplc="BE5671CE">
      <w:start w:val="1"/>
      <w:numFmt w:val="bullet"/>
      <w:lvlText w:val=""/>
      <w:lvlJc w:val="left"/>
    </w:lvl>
    <w:lvl w:ilvl="8" w:tplc="89C6D89E">
      <w:start w:val="1"/>
      <w:numFmt w:val="bullet"/>
      <w:lvlText w:val=""/>
      <w:lvlJc w:val="left"/>
    </w:lvl>
  </w:abstractNum>
  <w:abstractNum w:abstractNumId="21" w15:restartNumberingAfterBreak="0">
    <w:nsid w:val="00000070"/>
    <w:multiLevelType w:val="hybridMultilevel"/>
    <w:tmpl w:val="1F461B50"/>
    <w:lvl w:ilvl="0" w:tplc="4BF68262">
      <w:start w:val="1"/>
      <w:numFmt w:val="bullet"/>
      <w:lvlText w:val="-"/>
      <w:lvlJc w:val="left"/>
    </w:lvl>
    <w:lvl w:ilvl="1" w:tplc="92CE61A0">
      <w:start w:val="1"/>
      <w:numFmt w:val="bullet"/>
      <w:lvlText w:val=""/>
      <w:lvlJc w:val="left"/>
    </w:lvl>
    <w:lvl w:ilvl="2" w:tplc="9566D8C6">
      <w:start w:val="1"/>
      <w:numFmt w:val="bullet"/>
      <w:lvlText w:val=""/>
      <w:lvlJc w:val="left"/>
    </w:lvl>
    <w:lvl w:ilvl="3" w:tplc="CEBA6478">
      <w:start w:val="1"/>
      <w:numFmt w:val="bullet"/>
      <w:lvlText w:val=""/>
      <w:lvlJc w:val="left"/>
    </w:lvl>
    <w:lvl w:ilvl="4" w:tplc="BBAC632E">
      <w:start w:val="1"/>
      <w:numFmt w:val="bullet"/>
      <w:lvlText w:val=""/>
      <w:lvlJc w:val="left"/>
    </w:lvl>
    <w:lvl w:ilvl="5" w:tplc="69B608B8">
      <w:start w:val="1"/>
      <w:numFmt w:val="bullet"/>
      <w:lvlText w:val=""/>
      <w:lvlJc w:val="left"/>
    </w:lvl>
    <w:lvl w:ilvl="6" w:tplc="FC981D00">
      <w:start w:val="1"/>
      <w:numFmt w:val="bullet"/>
      <w:lvlText w:val=""/>
      <w:lvlJc w:val="left"/>
    </w:lvl>
    <w:lvl w:ilvl="7" w:tplc="13B8FA5C">
      <w:start w:val="1"/>
      <w:numFmt w:val="bullet"/>
      <w:lvlText w:val=""/>
      <w:lvlJc w:val="left"/>
    </w:lvl>
    <w:lvl w:ilvl="8" w:tplc="65DAE284">
      <w:start w:val="1"/>
      <w:numFmt w:val="bullet"/>
      <w:lvlText w:val=""/>
      <w:lvlJc w:val="left"/>
    </w:lvl>
  </w:abstractNum>
  <w:abstractNum w:abstractNumId="22" w15:restartNumberingAfterBreak="0">
    <w:nsid w:val="00000072"/>
    <w:multiLevelType w:val="hybridMultilevel"/>
    <w:tmpl w:val="5D5BABB2"/>
    <w:lvl w:ilvl="0" w:tplc="E86034C0">
      <w:start w:val="1"/>
      <w:numFmt w:val="bullet"/>
      <w:lvlText w:val="-"/>
      <w:lvlJc w:val="left"/>
    </w:lvl>
    <w:lvl w:ilvl="1" w:tplc="F4308C9C">
      <w:start w:val="1"/>
      <w:numFmt w:val="bullet"/>
      <w:lvlText w:val=""/>
      <w:lvlJc w:val="left"/>
    </w:lvl>
    <w:lvl w:ilvl="2" w:tplc="E182C114">
      <w:start w:val="1"/>
      <w:numFmt w:val="bullet"/>
      <w:lvlText w:val=""/>
      <w:lvlJc w:val="left"/>
    </w:lvl>
    <w:lvl w:ilvl="3" w:tplc="C4F44132">
      <w:start w:val="1"/>
      <w:numFmt w:val="bullet"/>
      <w:lvlText w:val=""/>
      <w:lvlJc w:val="left"/>
    </w:lvl>
    <w:lvl w:ilvl="4" w:tplc="6C78C216">
      <w:start w:val="1"/>
      <w:numFmt w:val="bullet"/>
      <w:lvlText w:val=""/>
      <w:lvlJc w:val="left"/>
    </w:lvl>
    <w:lvl w:ilvl="5" w:tplc="4C8CF184">
      <w:start w:val="1"/>
      <w:numFmt w:val="bullet"/>
      <w:lvlText w:val=""/>
      <w:lvlJc w:val="left"/>
    </w:lvl>
    <w:lvl w:ilvl="6" w:tplc="FD6839DA">
      <w:start w:val="1"/>
      <w:numFmt w:val="bullet"/>
      <w:lvlText w:val=""/>
      <w:lvlJc w:val="left"/>
    </w:lvl>
    <w:lvl w:ilvl="7" w:tplc="E15AF4D8">
      <w:start w:val="1"/>
      <w:numFmt w:val="bullet"/>
      <w:lvlText w:val=""/>
      <w:lvlJc w:val="left"/>
    </w:lvl>
    <w:lvl w:ilvl="8" w:tplc="BD80711E">
      <w:start w:val="1"/>
      <w:numFmt w:val="bullet"/>
      <w:lvlText w:val=""/>
      <w:lvlJc w:val="left"/>
    </w:lvl>
  </w:abstractNum>
  <w:abstractNum w:abstractNumId="23" w15:restartNumberingAfterBreak="0">
    <w:nsid w:val="0255157B"/>
    <w:multiLevelType w:val="hybridMultilevel"/>
    <w:tmpl w:val="5DD2ABF4"/>
    <w:lvl w:ilvl="0" w:tplc="04090019">
      <w:start w:val="1"/>
      <w:numFmt w:val="lowerLetter"/>
      <w:lvlText w:val="%1."/>
      <w:lvlJc w:val="left"/>
      <w:pPr>
        <w:ind w:left="2440" w:hanging="360"/>
      </w:pPr>
    </w:lvl>
    <w:lvl w:ilvl="1" w:tplc="3B7E9ED6">
      <w:start w:val="1"/>
      <w:numFmt w:val="decimal"/>
      <w:lvlText w:val="(%2)"/>
      <w:lvlJc w:val="left"/>
      <w:pPr>
        <w:ind w:left="3160" w:hanging="360"/>
      </w:pPr>
      <w:rPr>
        <w:rFonts w:hint="default"/>
      </w:r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24" w15:restartNumberingAfterBreak="0">
    <w:nsid w:val="076D0161"/>
    <w:multiLevelType w:val="multilevel"/>
    <w:tmpl w:val="41D01D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CB246D8"/>
    <w:multiLevelType w:val="hybridMultilevel"/>
    <w:tmpl w:val="9F84F23E"/>
    <w:lvl w:ilvl="0" w:tplc="04160007">
      <w:start w:val="1"/>
      <w:numFmt w:val="bullet"/>
      <w:lvlText w:val=""/>
      <w:lvlJc w:val="left"/>
      <w:pPr>
        <w:ind w:left="840" w:hanging="360"/>
      </w:pPr>
      <w:rPr>
        <w:rFonts w:ascii="Wingdings" w:hAnsi="Wingdings" w:hint="default"/>
        <w:sz w:val="16"/>
      </w:rPr>
    </w:lvl>
    <w:lvl w:ilvl="1" w:tplc="04160007">
      <w:start w:val="1"/>
      <w:numFmt w:val="bullet"/>
      <w:lvlText w:val=""/>
      <w:lvlJc w:val="left"/>
      <w:pPr>
        <w:ind w:left="1560" w:hanging="360"/>
      </w:pPr>
      <w:rPr>
        <w:rFonts w:ascii="Wingdings" w:hAnsi="Wingdings" w:hint="default"/>
        <w:sz w:val="16"/>
      </w:rPr>
    </w:lvl>
    <w:lvl w:ilvl="2" w:tplc="69880452">
      <w:numFmt w:val="bullet"/>
      <w:lvlText w:val="•"/>
      <w:lvlJc w:val="left"/>
      <w:pPr>
        <w:ind w:left="2280" w:hanging="360"/>
      </w:pPr>
      <w:rPr>
        <w:rFonts w:ascii="inherit" w:eastAsia="Times New Roman" w:hAnsi="inherit" w:cs="Courier New"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0DAB7FC9"/>
    <w:multiLevelType w:val="multilevel"/>
    <w:tmpl w:val="CD8025BA"/>
    <w:lvl w:ilvl="0">
      <w:start w:val="1"/>
      <w:numFmt w:val="upperRoman"/>
      <w:lvlText w:val="%1."/>
      <w:lvlJc w:val="center"/>
      <w:pPr>
        <w:tabs>
          <w:tab w:val="num" w:pos="648"/>
        </w:tabs>
        <w:ind w:left="0" w:firstLine="288"/>
      </w:pPr>
      <w:rPr>
        <w:b/>
        <w:i w:val="0"/>
      </w:rPr>
    </w:lvl>
    <w:lvl w:ilvl="1">
      <w:start w:val="1"/>
      <w:numFmt w:val="decimal"/>
      <w:isLgl/>
      <w:lvlText w:val="%1.%2"/>
      <w:lvlJc w:val="left"/>
      <w:pPr>
        <w:tabs>
          <w:tab w:val="num" w:pos="720"/>
        </w:tabs>
        <w:ind w:left="720" w:hanging="720"/>
      </w:pPr>
    </w:lvl>
    <w:lvl w:ilvl="2">
      <w:start w:val="1"/>
      <w:numFmt w:val="lowerLetter"/>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7" w15:restartNumberingAfterBreak="0">
    <w:nsid w:val="0E3D5BE4"/>
    <w:multiLevelType w:val="hybridMultilevel"/>
    <w:tmpl w:val="2AAEBC12"/>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8" w15:restartNumberingAfterBreak="0">
    <w:nsid w:val="0F515A66"/>
    <w:multiLevelType w:val="hybridMultilevel"/>
    <w:tmpl w:val="94421742"/>
    <w:lvl w:ilvl="0" w:tplc="04090019">
      <w:start w:val="1"/>
      <w:numFmt w:val="lowerLetter"/>
      <w:lvlText w:val="%1."/>
      <w:lvlJc w:val="left"/>
      <w:pPr>
        <w:ind w:left="2440" w:hanging="360"/>
      </w:pPr>
    </w:lvl>
    <w:lvl w:ilvl="1" w:tplc="04090019">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29" w15:restartNumberingAfterBreak="0">
    <w:nsid w:val="12BF69C4"/>
    <w:multiLevelType w:val="hybridMultilevel"/>
    <w:tmpl w:val="609845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78C12A3"/>
    <w:multiLevelType w:val="hybridMultilevel"/>
    <w:tmpl w:val="CABC34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BF77D0B"/>
    <w:multiLevelType w:val="multilevel"/>
    <w:tmpl w:val="5A12C04A"/>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32" w15:restartNumberingAfterBreak="0">
    <w:nsid w:val="1F0532DE"/>
    <w:multiLevelType w:val="hybridMultilevel"/>
    <w:tmpl w:val="4E022322"/>
    <w:lvl w:ilvl="0" w:tplc="FB62AC80">
      <w:start w:val="3"/>
      <w:numFmt w:val="lowerRoman"/>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64E42F6"/>
    <w:multiLevelType w:val="multilevel"/>
    <w:tmpl w:val="415CBA50"/>
    <w:lvl w:ilvl="0">
      <w:start w:val="2"/>
      <w:numFmt w:val="decimal"/>
      <w:lvlText w:val="%1"/>
      <w:lvlJc w:val="left"/>
      <w:pPr>
        <w:ind w:left="660" w:hanging="660"/>
      </w:pPr>
      <w:rPr>
        <w:rFonts w:hint="default"/>
      </w:rPr>
    </w:lvl>
    <w:lvl w:ilvl="1">
      <w:start w:val="3"/>
      <w:numFmt w:val="decimal"/>
      <w:lvlText w:val="%1.%2"/>
      <w:lvlJc w:val="left"/>
      <w:pPr>
        <w:ind w:left="1230" w:hanging="660"/>
      </w:pPr>
      <w:rPr>
        <w:rFonts w:hint="default"/>
      </w:rPr>
    </w:lvl>
    <w:lvl w:ilvl="2">
      <w:start w:val="2"/>
      <w:numFmt w:val="decimal"/>
      <w:lvlText w:val="%1.%2.%3"/>
      <w:lvlJc w:val="left"/>
      <w:pPr>
        <w:ind w:left="1860" w:hanging="720"/>
      </w:pPr>
      <w:rPr>
        <w:rFonts w:hint="default"/>
      </w:rPr>
    </w:lvl>
    <w:lvl w:ilvl="3">
      <w:start w:val="2"/>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4" w15:restartNumberingAfterBreak="0">
    <w:nsid w:val="27F93346"/>
    <w:multiLevelType w:val="hybridMultilevel"/>
    <w:tmpl w:val="4A308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BB151C3"/>
    <w:multiLevelType w:val="hybridMultilevel"/>
    <w:tmpl w:val="D5B4E8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FA634D9"/>
    <w:multiLevelType w:val="hybridMultilevel"/>
    <w:tmpl w:val="36E4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867740"/>
    <w:multiLevelType w:val="multilevel"/>
    <w:tmpl w:val="C35C22BC"/>
    <w:lvl w:ilvl="0">
      <w:start w:val="1"/>
      <w:numFmt w:val="upperRoman"/>
      <w:pStyle w:val="Chapter"/>
      <w:lvlText w:val="%1."/>
      <w:lvlJc w:val="right"/>
      <w:pPr>
        <w:ind w:left="2088" w:hanging="360"/>
      </w:pPr>
      <w:rPr>
        <w:b/>
        <w:i w:val="0"/>
      </w:rPr>
    </w:lvl>
    <w:lvl w:ilvl="1">
      <w:start w:val="1"/>
      <w:numFmt w:val="decimal"/>
      <w:pStyle w:val="Paragraph"/>
      <w:isLgl/>
      <w:lvlText w:val="%1.%2"/>
      <w:lvlJc w:val="left"/>
      <w:pPr>
        <w:tabs>
          <w:tab w:val="num" w:pos="2736"/>
        </w:tabs>
        <w:ind w:left="2736" w:hanging="1296"/>
      </w:pPr>
      <w:rPr>
        <w:rFonts w:cs="Times New Roman"/>
      </w:rPr>
    </w:lvl>
    <w:lvl w:ilvl="2">
      <w:start w:val="1"/>
      <w:numFmt w:val="lowerLetter"/>
      <w:pStyle w:val="subpar"/>
      <w:lvlText w:val="%3."/>
      <w:lvlJc w:val="left"/>
      <w:pPr>
        <w:tabs>
          <w:tab w:val="num" w:pos="2592"/>
        </w:tabs>
        <w:ind w:left="2592" w:hanging="432"/>
      </w:pPr>
      <w:rPr>
        <w:rFonts w:cs="Times New Roman"/>
      </w:rPr>
    </w:lvl>
    <w:lvl w:ilvl="3">
      <w:start w:val="1"/>
      <w:numFmt w:val="lowerRoman"/>
      <w:pStyle w:val="SubSubPar"/>
      <w:lvlText w:val="%4."/>
      <w:lvlJc w:val="right"/>
      <w:pPr>
        <w:tabs>
          <w:tab w:val="num" w:pos="3024"/>
        </w:tabs>
        <w:ind w:left="3024" w:hanging="288"/>
      </w:pPr>
      <w:rPr>
        <w:rFonts w:cs="Times New Roman"/>
      </w:rPr>
    </w:lvl>
    <w:lvl w:ilvl="4">
      <w:start w:val="1"/>
      <w:numFmt w:val="decimal"/>
      <w:lvlText w:val="%1.%2.%3.%4.%5"/>
      <w:lvlJc w:val="left"/>
      <w:pPr>
        <w:ind w:left="2448" w:hanging="1008"/>
      </w:pPr>
      <w:rPr>
        <w:rFonts w:cs="Times New Roman"/>
      </w:rPr>
    </w:lvl>
    <w:lvl w:ilvl="5">
      <w:start w:val="1"/>
      <w:numFmt w:val="decimal"/>
      <w:lvlText w:val="%1.%2.%3.%4.%5.%6"/>
      <w:lvlJc w:val="left"/>
      <w:pPr>
        <w:ind w:left="2592" w:hanging="1152"/>
      </w:pPr>
      <w:rPr>
        <w:rFonts w:cs="Times New Roman"/>
      </w:rPr>
    </w:lvl>
    <w:lvl w:ilvl="6">
      <w:start w:val="1"/>
      <w:numFmt w:val="decimal"/>
      <w:lvlText w:val="%1.%2.%3.%4.%5.%6.%7"/>
      <w:lvlJc w:val="left"/>
      <w:pPr>
        <w:ind w:left="2736" w:hanging="1296"/>
      </w:pPr>
      <w:rPr>
        <w:rFonts w:cs="Times New Roman"/>
      </w:rPr>
    </w:lvl>
    <w:lvl w:ilvl="7">
      <w:start w:val="1"/>
      <w:numFmt w:val="decimal"/>
      <w:lvlText w:val="%1.%2.%3.%4.%5.%6.%7.%8"/>
      <w:lvlJc w:val="left"/>
      <w:pPr>
        <w:ind w:left="2880" w:hanging="1440"/>
      </w:pPr>
      <w:rPr>
        <w:rFonts w:cs="Times New Roman"/>
      </w:rPr>
    </w:lvl>
    <w:lvl w:ilvl="8">
      <w:start w:val="1"/>
      <w:numFmt w:val="decimal"/>
      <w:lvlText w:val="%1.%2.%3.%4.%5.%6.%7.%8.%9"/>
      <w:lvlJc w:val="left"/>
      <w:pPr>
        <w:ind w:left="3024" w:hanging="1584"/>
      </w:pPr>
      <w:rPr>
        <w:rFonts w:cs="Times New Roman"/>
      </w:rPr>
    </w:lvl>
  </w:abstractNum>
  <w:abstractNum w:abstractNumId="38" w15:restartNumberingAfterBreak="0">
    <w:nsid w:val="38A840C2"/>
    <w:multiLevelType w:val="hybridMultilevel"/>
    <w:tmpl w:val="0412A888"/>
    <w:lvl w:ilvl="0" w:tplc="04090019">
      <w:start w:val="1"/>
      <w:numFmt w:val="lowerLetter"/>
      <w:lvlText w:val="%1."/>
      <w:lvlJc w:val="left"/>
      <w:pPr>
        <w:ind w:left="2440" w:hanging="360"/>
      </w:p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39" w15:restartNumberingAfterBreak="0">
    <w:nsid w:val="38F417C2"/>
    <w:multiLevelType w:val="hybridMultilevel"/>
    <w:tmpl w:val="6B1D2C14"/>
    <w:lvl w:ilvl="0" w:tplc="09CAE058">
      <w:start w:val="1"/>
      <w:numFmt w:val="lowerRoman"/>
      <w:lvlText w:val="%1."/>
      <w:lvlJc w:val="left"/>
    </w:lvl>
    <w:lvl w:ilvl="1" w:tplc="14FE9BE8">
      <w:start w:val="1"/>
      <w:numFmt w:val="bullet"/>
      <w:lvlText w:val=""/>
      <w:lvlJc w:val="left"/>
    </w:lvl>
    <w:lvl w:ilvl="2" w:tplc="89C4CFC0">
      <w:start w:val="1"/>
      <w:numFmt w:val="bullet"/>
      <w:lvlText w:val=""/>
      <w:lvlJc w:val="left"/>
    </w:lvl>
    <w:lvl w:ilvl="3" w:tplc="887C7CB6">
      <w:start w:val="1"/>
      <w:numFmt w:val="bullet"/>
      <w:lvlText w:val=""/>
      <w:lvlJc w:val="left"/>
    </w:lvl>
    <w:lvl w:ilvl="4" w:tplc="ADB69266">
      <w:start w:val="1"/>
      <w:numFmt w:val="bullet"/>
      <w:lvlText w:val=""/>
      <w:lvlJc w:val="left"/>
    </w:lvl>
    <w:lvl w:ilvl="5" w:tplc="C74A1A14">
      <w:start w:val="1"/>
      <w:numFmt w:val="bullet"/>
      <w:lvlText w:val=""/>
      <w:lvlJc w:val="left"/>
    </w:lvl>
    <w:lvl w:ilvl="6" w:tplc="B8484822">
      <w:start w:val="1"/>
      <w:numFmt w:val="bullet"/>
      <w:lvlText w:val=""/>
      <w:lvlJc w:val="left"/>
    </w:lvl>
    <w:lvl w:ilvl="7" w:tplc="984E5F84">
      <w:start w:val="1"/>
      <w:numFmt w:val="bullet"/>
      <w:lvlText w:val=""/>
      <w:lvlJc w:val="left"/>
    </w:lvl>
    <w:lvl w:ilvl="8" w:tplc="E3B68154">
      <w:start w:val="1"/>
      <w:numFmt w:val="bullet"/>
      <w:lvlText w:val=""/>
      <w:lvlJc w:val="left"/>
    </w:lvl>
  </w:abstractNum>
  <w:abstractNum w:abstractNumId="40" w15:restartNumberingAfterBreak="0">
    <w:nsid w:val="3F2F33EC"/>
    <w:multiLevelType w:val="multilevel"/>
    <w:tmpl w:val="A11AE90A"/>
    <w:lvl w:ilvl="0">
      <w:start w:val="1"/>
      <w:numFmt w:val="lowerLetter"/>
      <w:lvlText w:val="%1."/>
      <w:lvlJc w:val="left"/>
      <w:pPr>
        <w:ind w:left="720" w:hanging="360"/>
      </w:pPr>
      <w:rPr>
        <w:rFonts w:ascii="Times" w:eastAsia="Arial" w:hAnsi="Times"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403564B1"/>
    <w:multiLevelType w:val="hybridMultilevel"/>
    <w:tmpl w:val="3F32D66C"/>
    <w:lvl w:ilvl="0" w:tplc="0416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6B699D"/>
    <w:multiLevelType w:val="hybridMultilevel"/>
    <w:tmpl w:val="F600FB64"/>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43" w15:restartNumberingAfterBreak="0">
    <w:nsid w:val="50AB78A8"/>
    <w:multiLevelType w:val="hybridMultilevel"/>
    <w:tmpl w:val="4EE64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0E4F29"/>
    <w:multiLevelType w:val="hybridMultilevel"/>
    <w:tmpl w:val="AB042AE6"/>
    <w:lvl w:ilvl="0" w:tplc="0F6C2728">
      <w:start w:val="1"/>
      <w:numFmt w:val="lowerLetter"/>
      <w:lvlText w:val="%1."/>
      <w:lvlJc w:val="left"/>
      <w:pPr>
        <w:ind w:left="1065" w:hanging="705"/>
      </w:pPr>
      <w:rPr>
        <w:rFonts w:hint="default"/>
      </w:rPr>
    </w:lvl>
    <w:lvl w:ilvl="1" w:tplc="240A0003" w:tentative="1">
      <w:start w:val="1"/>
      <w:numFmt w:val="lowerLetter"/>
      <w:lvlText w:val="%2."/>
      <w:lvlJc w:val="left"/>
      <w:pPr>
        <w:ind w:left="1440" w:hanging="360"/>
      </w:pPr>
    </w:lvl>
    <w:lvl w:ilvl="2" w:tplc="240A0005" w:tentative="1">
      <w:start w:val="1"/>
      <w:numFmt w:val="lowerRoman"/>
      <w:lvlText w:val="%3."/>
      <w:lvlJc w:val="right"/>
      <w:pPr>
        <w:ind w:left="2160" w:hanging="180"/>
      </w:pPr>
    </w:lvl>
    <w:lvl w:ilvl="3" w:tplc="240A0001" w:tentative="1">
      <w:start w:val="1"/>
      <w:numFmt w:val="decimal"/>
      <w:lvlText w:val="%4."/>
      <w:lvlJc w:val="left"/>
      <w:pPr>
        <w:ind w:left="2880" w:hanging="360"/>
      </w:pPr>
    </w:lvl>
    <w:lvl w:ilvl="4" w:tplc="240A0003" w:tentative="1">
      <w:start w:val="1"/>
      <w:numFmt w:val="lowerLetter"/>
      <w:lvlText w:val="%5."/>
      <w:lvlJc w:val="left"/>
      <w:pPr>
        <w:ind w:left="3600" w:hanging="360"/>
      </w:pPr>
    </w:lvl>
    <w:lvl w:ilvl="5" w:tplc="240A0005" w:tentative="1">
      <w:start w:val="1"/>
      <w:numFmt w:val="lowerRoman"/>
      <w:lvlText w:val="%6."/>
      <w:lvlJc w:val="right"/>
      <w:pPr>
        <w:ind w:left="4320" w:hanging="180"/>
      </w:pPr>
    </w:lvl>
    <w:lvl w:ilvl="6" w:tplc="240A0001" w:tentative="1">
      <w:start w:val="1"/>
      <w:numFmt w:val="decimal"/>
      <w:lvlText w:val="%7."/>
      <w:lvlJc w:val="left"/>
      <w:pPr>
        <w:ind w:left="5040" w:hanging="360"/>
      </w:pPr>
    </w:lvl>
    <w:lvl w:ilvl="7" w:tplc="240A0003" w:tentative="1">
      <w:start w:val="1"/>
      <w:numFmt w:val="lowerLetter"/>
      <w:lvlText w:val="%8."/>
      <w:lvlJc w:val="left"/>
      <w:pPr>
        <w:ind w:left="5760" w:hanging="360"/>
      </w:pPr>
    </w:lvl>
    <w:lvl w:ilvl="8" w:tplc="240A0005" w:tentative="1">
      <w:start w:val="1"/>
      <w:numFmt w:val="lowerRoman"/>
      <w:lvlText w:val="%9."/>
      <w:lvlJc w:val="right"/>
      <w:pPr>
        <w:ind w:left="6480" w:hanging="180"/>
      </w:pPr>
    </w:lvl>
  </w:abstractNum>
  <w:abstractNum w:abstractNumId="45" w15:restartNumberingAfterBreak="0">
    <w:nsid w:val="573A0E18"/>
    <w:multiLevelType w:val="hybridMultilevel"/>
    <w:tmpl w:val="2C869B34"/>
    <w:lvl w:ilvl="0" w:tplc="0326081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8027B31"/>
    <w:multiLevelType w:val="multilevel"/>
    <w:tmpl w:val="D2C0CAE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DFD7E93"/>
    <w:multiLevelType w:val="hybridMultilevel"/>
    <w:tmpl w:val="AB4C2B5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8" w15:restartNumberingAfterBreak="0">
    <w:nsid w:val="5EDC68AC"/>
    <w:multiLevelType w:val="multilevel"/>
    <w:tmpl w:val="D24093D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FCC53DE"/>
    <w:multiLevelType w:val="hybridMultilevel"/>
    <w:tmpl w:val="497C8E84"/>
    <w:lvl w:ilvl="0" w:tplc="04090019">
      <w:start w:val="1"/>
      <w:numFmt w:val="lowerLetter"/>
      <w:lvlText w:val="%1."/>
      <w:lvlJc w:val="left"/>
      <w:pPr>
        <w:ind w:left="2440" w:hanging="360"/>
      </w:p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50" w15:restartNumberingAfterBreak="0">
    <w:nsid w:val="614F5A9C"/>
    <w:multiLevelType w:val="multilevel"/>
    <w:tmpl w:val="8FDA286E"/>
    <w:lvl w:ilvl="0">
      <w:start w:val="1"/>
      <w:numFmt w:val="decimal"/>
      <w:lvlText w:val="%1."/>
      <w:lvlJc w:val="left"/>
      <w:pPr>
        <w:ind w:left="720" w:hanging="360"/>
      </w:pPr>
      <w:rPr>
        <w:rFonts w:eastAsia="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1B6601F"/>
    <w:multiLevelType w:val="multilevel"/>
    <w:tmpl w:val="ACE4311E"/>
    <w:lvl w:ilvl="0">
      <w:start w:val="2"/>
      <w:numFmt w:val="decimal"/>
      <w:lvlText w:val="%1"/>
      <w:lvlJc w:val="left"/>
      <w:pPr>
        <w:ind w:left="480" w:hanging="480"/>
      </w:pPr>
      <w:rPr>
        <w:rFonts w:hint="default"/>
        <w:b/>
      </w:rPr>
    </w:lvl>
    <w:lvl w:ilvl="1">
      <w:start w:val="3"/>
      <w:numFmt w:val="decimal"/>
      <w:lvlText w:val="%1.%2"/>
      <w:lvlJc w:val="left"/>
      <w:pPr>
        <w:ind w:left="750" w:hanging="480"/>
      </w:pPr>
      <w:rPr>
        <w:rFonts w:hint="default"/>
        <w:b/>
      </w:rPr>
    </w:lvl>
    <w:lvl w:ilvl="2">
      <w:start w:val="6"/>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52" w15:restartNumberingAfterBreak="0">
    <w:nsid w:val="68456E51"/>
    <w:multiLevelType w:val="hybridMultilevel"/>
    <w:tmpl w:val="0B96ED82"/>
    <w:lvl w:ilvl="0" w:tplc="0409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53" w15:restartNumberingAfterBreak="0">
    <w:nsid w:val="69B10536"/>
    <w:multiLevelType w:val="multilevel"/>
    <w:tmpl w:val="7CC2B1F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15:restartNumberingAfterBreak="0">
    <w:nsid w:val="6D3138EE"/>
    <w:multiLevelType w:val="multilevel"/>
    <w:tmpl w:val="8B2EE2A2"/>
    <w:lvl w:ilvl="0">
      <w:start w:val="2"/>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EFC7626"/>
    <w:multiLevelType w:val="hybridMultilevel"/>
    <w:tmpl w:val="AAFACE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2167539"/>
    <w:multiLevelType w:val="hybridMultilevel"/>
    <w:tmpl w:val="19C05528"/>
    <w:lvl w:ilvl="0" w:tplc="B8449F38">
      <w:start w:val="1"/>
      <w:numFmt w:val="bullet"/>
      <w:lvlText w:val=""/>
      <w:lvlJc w:val="left"/>
      <w:pPr>
        <w:ind w:left="840" w:hanging="360"/>
      </w:p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7" w15:restartNumberingAfterBreak="0">
    <w:nsid w:val="78214B92"/>
    <w:multiLevelType w:val="hybridMultilevel"/>
    <w:tmpl w:val="4FCEF19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58" w15:restartNumberingAfterBreak="0">
    <w:nsid w:val="783010A6"/>
    <w:multiLevelType w:val="hybridMultilevel"/>
    <w:tmpl w:val="B928C202"/>
    <w:lvl w:ilvl="0" w:tplc="0416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160007">
      <w:start w:val="1"/>
      <w:numFmt w:val="bullet"/>
      <w:lvlText w:val=""/>
      <w:lvlJc w:val="left"/>
      <w:pPr>
        <w:ind w:left="2160" w:hanging="360"/>
      </w:pPr>
      <w:rPr>
        <w:rFonts w:ascii="Wingdings" w:hAnsi="Wingdings" w:hint="default"/>
        <w:sz w:val="1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3919FE"/>
    <w:multiLevelType w:val="hybridMultilevel"/>
    <w:tmpl w:val="D5B4E8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7DB551C7"/>
    <w:multiLevelType w:val="multilevel"/>
    <w:tmpl w:val="41A01210"/>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1" w15:restartNumberingAfterBreak="0">
    <w:nsid w:val="7F152B31"/>
    <w:multiLevelType w:val="multilevel"/>
    <w:tmpl w:val="41A01210"/>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2" w15:restartNumberingAfterBreak="0">
    <w:nsid w:val="7FC325B6"/>
    <w:multiLevelType w:val="hybridMultilevel"/>
    <w:tmpl w:val="F3D48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6"/>
  </w:num>
  <w:num w:numId="4">
    <w:abstractNumId w:val="2"/>
  </w:num>
  <w:num w:numId="5">
    <w:abstractNumId w:val="52"/>
  </w:num>
  <w:num w:numId="6">
    <w:abstractNumId w:val="34"/>
  </w:num>
  <w:num w:numId="7">
    <w:abstractNumId w:val="61"/>
  </w:num>
  <w:num w:numId="8">
    <w:abstractNumId w:val="42"/>
  </w:num>
  <w:num w:numId="9">
    <w:abstractNumId w:val="3"/>
  </w:num>
  <w:num w:numId="10">
    <w:abstractNumId w:val="4"/>
  </w:num>
  <w:num w:numId="11">
    <w:abstractNumId w:val="5"/>
  </w:num>
  <w:num w:numId="12">
    <w:abstractNumId w:val="6"/>
  </w:num>
  <w:num w:numId="13">
    <w:abstractNumId w:val="7"/>
  </w:num>
  <w:num w:numId="14">
    <w:abstractNumId w:val="8"/>
  </w:num>
  <w:num w:numId="15">
    <w:abstractNumId w:val="37"/>
  </w:num>
  <w:num w:numId="16">
    <w:abstractNumId w:val="30"/>
  </w:num>
  <w:num w:numId="17">
    <w:abstractNumId w:val="31"/>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44"/>
  </w:num>
  <w:num w:numId="28">
    <w:abstractNumId w:val="29"/>
  </w:num>
  <w:num w:numId="29">
    <w:abstractNumId w:val="43"/>
  </w:num>
  <w:num w:numId="30">
    <w:abstractNumId w:val="18"/>
  </w:num>
  <w:num w:numId="31">
    <w:abstractNumId w:val="19"/>
  </w:num>
  <w:num w:numId="32">
    <w:abstractNumId w:val="20"/>
  </w:num>
  <w:num w:numId="33">
    <w:abstractNumId w:val="21"/>
  </w:num>
  <w:num w:numId="34">
    <w:abstractNumId w:val="22"/>
  </w:num>
  <w:num w:numId="35">
    <w:abstractNumId w:val="24"/>
  </w:num>
  <w:num w:numId="36">
    <w:abstractNumId w:val="48"/>
  </w:num>
  <w:num w:numId="37">
    <w:abstractNumId w:val="54"/>
  </w:num>
  <w:num w:numId="38">
    <w:abstractNumId w:val="46"/>
  </w:num>
  <w:num w:numId="39">
    <w:abstractNumId w:val="33"/>
  </w:num>
  <w:num w:numId="40">
    <w:abstractNumId w:val="51"/>
  </w:num>
  <w:num w:numId="41">
    <w:abstractNumId w:val="40"/>
  </w:num>
  <w:num w:numId="42">
    <w:abstractNumId w:val="62"/>
  </w:num>
  <w:num w:numId="43">
    <w:abstractNumId w:val="50"/>
  </w:num>
  <w:num w:numId="44">
    <w:abstractNumId w:val="53"/>
  </w:num>
  <w:num w:numId="45">
    <w:abstractNumId w:val="60"/>
  </w:num>
  <w:num w:numId="46">
    <w:abstractNumId w:val="27"/>
  </w:num>
  <w:num w:numId="47">
    <w:abstractNumId w:val="45"/>
  </w:num>
  <w:num w:numId="48">
    <w:abstractNumId w:val="32"/>
  </w:num>
  <w:num w:numId="49">
    <w:abstractNumId w:val="35"/>
  </w:num>
  <w:num w:numId="50">
    <w:abstractNumId w:val="39"/>
  </w:num>
  <w:num w:numId="51">
    <w:abstractNumId w:val="56"/>
  </w:num>
  <w:num w:numId="52">
    <w:abstractNumId w:val="59"/>
  </w:num>
  <w:num w:numId="53">
    <w:abstractNumId w:val="47"/>
  </w:num>
  <w:num w:numId="54">
    <w:abstractNumId w:val="25"/>
  </w:num>
  <w:num w:numId="55">
    <w:abstractNumId w:val="41"/>
  </w:num>
  <w:num w:numId="56">
    <w:abstractNumId w:val="58"/>
  </w:num>
  <w:num w:numId="57">
    <w:abstractNumId w:val="57"/>
  </w:num>
  <w:num w:numId="58">
    <w:abstractNumId w:val="49"/>
  </w:num>
  <w:num w:numId="59">
    <w:abstractNumId w:val="23"/>
  </w:num>
  <w:num w:numId="60">
    <w:abstractNumId w:val="28"/>
  </w:num>
  <w:num w:numId="61">
    <w:abstractNumId w:val="38"/>
  </w:num>
  <w:num w:numId="62">
    <w:abstractNumId w:val="55"/>
  </w:num>
  <w:num w:numId="63">
    <w:abstractNumId w:val="26"/>
  </w:num>
  <w:num w:numId="64">
    <w:abstractNumId w:val="31"/>
  </w:num>
  <w:num w:numId="65">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A0"/>
    <w:rsid w:val="00003354"/>
    <w:rsid w:val="00005576"/>
    <w:rsid w:val="00010643"/>
    <w:rsid w:val="00014E52"/>
    <w:rsid w:val="000153C6"/>
    <w:rsid w:val="00017230"/>
    <w:rsid w:val="0002404B"/>
    <w:rsid w:val="000272AC"/>
    <w:rsid w:val="000279AC"/>
    <w:rsid w:val="00030989"/>
    <w:rsid w:val="000346A4"/>
    <w:rsid w:val="0004522A"/>
    <w:rsid w:val="00052502"/>
    <w:rsid w:val="000572F3"/>
    <w:rsid w:val="00057975"/>
    <w:rsid w:val="00063FD1"/>
    <w:rsid w:val="00066C9E"/>
    <w:rsid w:val="0006741A"/>
    <w:rsid w:val="00073B2A"/>
    <w:rsid w:val="000820FC"/>
    <w:rsid w:val="00097FDC"/>
    <w:rsid w:val="000A40FE"/>
    <w:rsid w:val="000A4317"/>
    <w:rsid w:val="000A6486"/>
    <w:rsid w:val="000A73AD"/>
    <w:rsid w:val="000A745B"/>
    <w:rsid w:val="000B1994"/>
    <w:rsid w:val="000D4CFB"/>
    <w:rsid w:val="000F00DD"/>
    <w:rsid w:val="000F411C"/>
    <w:rsid w:val="000F44FE"/>
    <w:rsid w:val="001115A8"/>
    <w:rsid w:val="00111738"/>
    <w:rsid w:val="001156FB"/>
    <w:rsid w:val="00120609"/>
    <w:rsid w:val="00122BFA"/>
    <w:rsid w:val="0013329A"/>
    <w:rsid w:val="00135FE5"/>
    <w:rsid w:val="001376DF"/>
    <w:rsid w:val="0016237B"/>
    <w:rsid w:val="00163FE5"/>
    <w:rsid w:val="001871D9"/>
    <w:rsid w:val="00191F3A"/>
    <w:rsid w:val="001950BE"/>
    <w:rsid w:val="001959BE"/>
    <w:rsid w:val="0019674D"/>
    <w:rsid w:val="001A52ED"/>
    <w:rsid w:val="001B0CEF"/>
    <w:rsid w:val="001D2058"/>
    <w:rsid w:val="001D6B7B"/>
    <w:rsid w:val="001E00E6"/>
    <w:rsid w:val="001F71AF"/>
    <w:rsid w:val="00200F01"/>
    <w:rsid w:val="002174EA"/>
    <w:rsid w:val="00236A8E"/>
    <w:rsid w:val="0023725B"/>
    <w:rsid w:val="00255308"/>
    <w:rsid w:val="0026283D"/>
    <w:rsid w:val="002635A2"/>
    <w:rsid w:val="00275758"/>
    <w:rsid w:val="0028408B"/>
    <w:rsid w:val="002A1AB6"/>
    <w:rsid w:val="002B5CF4"/>
    <w:rsid w:val="002C76FE"/>
    <w:rsid w:val="002D1355"/>
    <w:rsid w:val="002D3F04"/>
    <w:rsid w:val="002E05BA"/>
    <w:rsid w:val="002E5BE9"/>
    <w:rsid w:val="0030062D"/>
    <w:rsid w:val="0033071D"/>
    <w:rsid w:val="00355A0B"/>
    <w:rsid w:val="003609B5"/>
    <w:rsid w:val="00390C02"/>
    <w:rsid w:val="00390CAB"/>
    <w:rsid w:val="0039415C"/>
    <w:rsid w:val="0039453B"/>
    <w:rsid w:val="003A69F3"/>
    <w:rsid w:val="003B62BC"/>
    <w:rsid w:val="003B6B23"/>
    <w:rsid w:val="003C387E"/>
    <w:rsid w:val="003C42CD"/>
    <w:rsid w:val="003D47B0"/>
    <w:rsid w:val="003F4613"/>
    <w:rsid w:val="0040364B"/>
    <w:rsid w:val="00403D47"/>
    <w:rsid w:val="00404E7C"/>
    <w:rsid w:val="00411939"/>
    <w:rsid w:val="00422F4D"/>
    <w:rsid w:val="00425405"/>
    <w:rsid w:val="0043165D"/>
    <w:rsid w:val="004545BE"/>
    <w:rsid w:val="0046366D"/>
    <w:rsid w:val="004656C8"/>
    <w:rsid w:val="0048101E"/>
    <w:rsid w:val="00497DF4"/>
    <w:rsid w:val="004B75ED"/>
    <w:rsid w:val="004C2841"/>
    <w:rsid w:val="004C4DA1"/>
    <w:rsid w:val="004E666A"/>
    <w:rsid w:val="0050135A"/>
    <w:rsid w:val="00502511"/>
    <w:rsid w:val="0050514F"/>
    <w:rsid w:val="00512FE4"/>
    <w:rsid w:val="0053568A"/>
    <w:rsid w:val="00542CB6"/>
    <w:rsid w:val="00545D52"/>
    <w:rsid w:val="00550E13"/>
    <w:rsid w:val="00553B26"/>
    <w:rsid w:val="0055512B"/>
    <w:rsid w:val="0056297B"/>
    <w:rsid w:val="0057160E"/>
    <w:rsid w:val="00577C33"/>
    <w:rsid w:val="00587985"/>
    <w:rsid w:val="0059447A"/>
    <w:rsid w:val="0059574D"/>
    <w:rsid w:val="005B0BBD"/>
    <w:rsid w:val="005B22E4"/>
    <w:rsid w:val="005C4102"/>
    <w:rsid w:val="005C4B0A"/>
    <w:rsid w:val="005D5ED4"/>
    <w:rsid w:val="00601BED"/>
    <w:rsid w:val="00606DC8"/>
    <w:rsid w:val="00616241"/>
    <w:rsid w:val="00624B61"/>
    <w:rsid w:val="00624E7A"/>
    <w:rsid w:val="006368BB"/>
    <w:rsid w:val="00642B52"/>
    <w:rsid w:val="006447B6"/>
    <w:rsid w:val="00665E7C"/>
    <w:rsid w:val="006712CA"/>
    <w:rsid w:val="00672E98"/>
    <w:rsid w:val="00676295"/>
    <w:rsid w:val="00676453"/>
    <w:rsid w:val="00694E30"/>
    <w:rsid w:val="006B122E"/>
    <w:rsid w:val="006D189E"/>
    <w:rsid w:val="006E61E6"/>
    <w:rsid w:val="006F4A5B"/>
    <w:rsid w:val="006F6C85"/>
    <w:rsid w:val="007039A0"/>
    <w:rsid w:val="0070793F"/>
    <w:rsid w:val="00725E46"/>
    <w:rsid w:val="0072728D"/>
    <w:rsid w:val="00747C65"/>
    <w:rsid w:val="007515D4"/>
    <w:rsid w:val="00751F4D"/>
    <w:rsid w:val="007577F9"/>
    <w:rsid w:val="00760605"/>
    <w:rsid w:val="007A00E1"/>
    <w:rsid w:val="007A4D4E"/>
    <w:rsid w:val="007B7645"/>
    <w:rsid w:val="007D3A11"/>
    <w:rsid w:val="007E2B74"/>
    <w:rsid w:val="007F549B"/>
    <w:rsid w:val="00805673"/>
    <w:rsid w:val="0080712C"/>
    <w:rsid w:val="008162E7"/>
    <w:rsid w:val="008255A6"/>
    <w:rsid w:val="00830723"/>
    <w:rsid w:val="0083174A"/>
    <w:rsid w:val="0083459F"/>
    <w:rsid w:val="008509C0"/>
    <w:rsid w:val="00877503"/>
    <w:rsid w:val="008837EF"/>
    <w:rsid w:val="00884AD3"/>
    <w:rsid w:val="00891CDA"/>
    <w:rsid w:val="00893D0D"/>
    <w:rsid w:val="008978AA"/>
    <w:rsid w:val="008A76CA"/>
    <w:rsid w:val="008B2BE4"/>
    <w:rsid w:val="008C2FAA"/>
    <w:rsid w:val="008D6A90"/>
    <w:rsid w:val="008E356F"/>
    <w:rsid w:val="008E6760"/>
    <w:rsid w:val="008F13BF"/>
    <w:rsid w:val="008F329F"/>
    <w:rsid w:val="009047C0"/>
    <w:rsid w:val="00904CF7"/>
    <w:rsid w:val="00916533"/>
    <w:rsid w:val="00922848"/>
    <w:rsid w:val="0093220A"/>
    <w:rsid w:val="00941397"/>
    <w:rsid w:val="009453EC"/>
    <w:rsid w:val="00954054"/>
    <w:rsid w:val="009874D8"/>
    <w:rsid w:val="009A0EC1"/>
    <w:rsid w:val="009A1BB2"/>
    <w:rsid w:val="009B31CA"/>
    <w:rsid w:val="009B4DB1"/>
    <w:rsid w:val="009C20DE"/>
    <w:rsid w:val="009C2C7A"/>
    <w:rsid w:val="009C4EB0"/>
    <w:rsid w:val="009D1D90"/>
    <w:rsid w:val="009D25D7"/>
    <w:rsid w:val="009D3874"/>
    <w:rsid w:val="009D7224"/>
    <w:rsid w:val="009F131A"/>
    <w:rsid w:val="009F20AC"/>
    <w:rsid w:val="00A01CD6"/>
    <w:rsid w:val="00A05631"/>
    <w:rsid w:val="00A10CB6"/>
    <w:rsid w:val="00A2321B"/>
    <w:rsid w:val="00A32C5B"/>
    <w:rsid w:val="00A35E42"/>
    <w:rsid w:val="00A37591"/>
    <w:rsid w:val="00A42427"/>
    <w:rsid w:val="00A46C4F"/>
    <w:rsid w:val="00A5383B"/>
    <w:rsid w:val="00A55017"/>
    <w:rsid w:val="00A63BD5"/>
    <w:rsid w:val="00A8694B"/>
    <w:rsid w:val="00A95627"/>
    <w:rsid w:val="00A972DE"/>
    <w:rsid w:val="00AA17DE"/>
    <w:rsid w:val="00AA2ED8"/>
    <w:rsid w:val="00AA7FAD"/>
    <w:rsid w:val="00AB04DA"/>
    <w:rsid w:val="00AC342A"/>
    <w:rsid w:val="00AD1481"/>
    <w:rsid w:val="00AD6E5A"/>
    <w:rsid w:val="00AD6F58"/>
    <w:rsid w:val="00AF56F0"/>
    <w:rsid w:val="00B02E6A"/>
    <w:rsid w:val="00B06FB4"/>
    <w:rsid w:val="00B137B8"/>
    <w:rsid w:val="00B15BBC"/>
    <w:rsid w:val="00B27FC1"/>
    <w:rsid w:val="00B33431"/>
    <w:rsid w:val="00B405DC"/>
    <w:rsid w:val="00B431F0"/>
    <w:rsid w:val="00B509DE"/>
    <w:rsid w:val="00B532C6"/>
    <w:rsid w:val="00B72825"/>
    <w:rsid w:val="00B80AE3"/>
    <w:rsid w:val="00B843A7"/>
    <w:rsid w:val="00B850E1"/>
    <w:rsid w:val="00B857A2"/>
    <w:rsid w:val="00B9511E"/>
    <w:rsid w:val="00B95B81"/>
    <w:rsid w:val="00B95F25"/>
    <w:rsid w:val="00B96A65"/>
    <w:rsid w:val="00B97199"/>
    <w:rsid w:val="00BA12EC"/>
    <w:rsid w:val="00BA3E33"/>
    <w:rsid w:val="00BC0F4B"/>
    <w:rsid w:val="00BD0C17"/>
    <w:rsid w:val="00BD0DCC"/>
    <w:rsid w:val="00BD4E01"/>
    <w:rsid w:val="00BE2816"/>
    <w:rsid w:val="00C070B7"/>
    <w:rsid w:val="00C16197"/>
    <w:rsid w:val="00C16E57"/>
    <w:rsid w:val="00C24B1A"/>
    <w:rsid w:val="00C26534"/>
    <w:rsid w:val="00C266AA"/>
    <w:rsid w:val="00C375EE"/>
    <w:rsid w:val="00C44E3C"/>
    <w:rsid w:val="00C53FD6"/>
    <w:rsid w:val="00C653EA"/>
    <w:rsid w:val="00C76E71"/>
    <w:rsid w:val="00C8718B"/>
    <w:rsid w:val="00C87D4E"/>
    <w:rsid w:val="00C91F3F"/>
    <w:rsid w:val="00CA53D9"/>
    <w:rsid w:val="00CA554F"/>
    <w:rsid w:val="00CA6108"/>
    <w:rsid w:val="00CD6D66"/>
    <w:rsid w:val="00D0325E"/>
    <w:rsid w:val="00D0609B"/>
    <w:rsid w:val="00D20537"/>
    <w:rsid w:val="00D3545F"/>
    <w:rsid w:val="00D423DE"/>
    <w:rsid w:val="00D45299"/>
    <w:rsid w:val="00D50EB8"/>
    <w:rsid w:val="00D51E58"/>
    <w:rsid w:val="00D53ACE"/>
    <w:rsid w:val="00D5491B"/>
    <w:rsid w:val="00D66540"/>
    <w:rsid w:val="00D823E2"/>
    <w:rsid w:val="00D95978"/>
    <w:rsid w:val="00D96F17"/>
    <w:rsid w:val="00DA37EF"/>
    <w:rsid w:val="00DA7E25"/>
    <w:rsid w:val="00DB3E01"/>
    <w:rsid w:val="00DC6BE9"/>
    <w:rsid w:val="00DD1646"/>
    <w:rsid w:val="00DD3CF8"/>
    <w:rsid w:val="00DD7C97"/>
    <w:rsid w:val="00DE2E1C"/>
    <w:rsid w:val="00DE457C"/>
    <w:rsid w:val="00DE4D16"/>
    <w:rsid w:val="00E10D0B"/>
    <w:rsid w:val="00E11A8C"/>
    <w:rsid w:val="00E167F6"/>
    <w:rsid w:val="00E25E12"/>
    <w:rsid w:val="00E27518"/>
    <w:rsid w:val="00E320DF"/>
    <w:rsid w:val="00E4254F"/>
    <w:rsid w:val="00E64AF5"/>
    <w:rsid w:val="00E66C7F"/>
    <w:rsid w:val="00E70345"/>
    <w:rsid w:val="00E75A06"/>
    <w:rsid w:val="00E81737"/>
    <w:rsid w:val="00E84246"/>
    <w:rsid w:val="00E91F57"/>
    <w:rsid w:val="00EB07E7"/>
    <w:rsid w:val="00EB7A44"/>
    <w:rsid w:val="00EC0106"/>
    <w:rsid w:val="00EC6D17"/>
    <w:rsid w:val="00ED1249"/>
    <w:rsid w:val="00ED6969"/>
    <w:rsid w:val="00ED7110"/>
    <w:rsid w:val="00EE35B0"/>
    <w:rsid w:val="00EF4716"/>
    <w:rsid w:val="00EF79A0"/>
    <w:rsid w:val="00EF7FCC"/>
    <w:rsid w:val="00F0463D"/>
    <w:rsid w:val="00F10653"/>
    <w:rsid w:val="00F17234"/>
    <w:rsid w:val="00F22310"/>
    <w:rsid w:val="00F417EB"/>
    <w:rsid w:val="00F4253B"/>
    <w:rsid w:val="00F43429"/>
    <w:rsid w:val="00F43852"/>
    <w:rsid w:val="00F43E7C"/>
    <w:rsid w:val="00F4715A"/>
    <w:rsid w:val="00F55ED5"/>
    <w:rsid w:val="00F57DF9"/>
    <w:rsid w:val="00F70B19"/>
    <w:rsid w:val="00F72645"/>
    <w:rsid w:val="00F777AA"/>
    <w:rsid w:val="00F8169C"/>
    <w:rsid w:val="00F81D7D"/>
    <w:rsid w:val="00F874AA"/>
    <w:rsid w:val="00FC5757"/>
    <w:rsid w:val="00FC7530"/>
    <w:rsid w:val="00FD083E"/>
    <w:rsid w:val="00FD4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53A1255"/>
  <w14:defaultImageDpi w14:val="300"/>
  <w15:docId w15:val="{3C21C500-27B9-46E2-82DB-CD73CD65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paragraph" w:styleId="Heading1">
    <w:name w:val="heading 1"/>
    <w:basedOn w:val="Normal"/>
    <w:next w:val="Normal"/>
    <w:link w:val="Heading1Char"/>
    <w:uiPriority w:val="9"/>
    <w:qFormat/>
    <w:rsid w:val="000A745B"/>
    <w:pPr>
      <w:keepNext/>
      <w:keepLines/>
      <w:spacing w:before="480"/>
      <w:jc w:val="both"/>
      <w:outlineLvl w:val="0"/>
    </w:pPr>
    <w:rPr>
      <w:rFonts w:asciiTheme="majorHAnsi" w:eastAsiaTheme="majorEastAsia" w:hAnsiTheme="majorHAnsi" w:cstheme="majorBidi"/>
      <w:b/>
      <w:bCs/>
      <w:color w:val="365F91" w:themeColor="accent1" w:themeShade="BF"/>
      <w:sz w:val="28"/>
      <w:szCs w:val="28"/>
      <w:lang w:eastAsia="es-CO"/>
    </w:rPr>
  </w:style>
  <w:style w:type="paragraph" w:styleId="Heading2">
    <w:name w:val="heading 2"/>
    <w:basedOn w:val="Normal"/>
    <w:next w:val="Normal"/>
    <w:link w:val="Heading2Char"/>
    <w:unhideWhenUsed/>
    <w:qFormat/>
    <w:rsid w:val="000A745B"/>
    <w:pPr>
      <w:keepNext/>
      <w:keepLines/>
      <w:spacing w:before="200"/>
      <w:jc w:val="both"/>
      <w:outlineLvl w:val="1"/>
    </w:pPr>
    <w:rPr>
      <w:rFonts w:asciiTheme="majorHAnsi" w:eastAsiaTheme="majorEastAsia" w:hAnsiTheme="majorHAnsi" w:cstheme="majorBidi"/>
      <w:b/>
      <w:bCs/>
      <w:color w:val="4F81BD" w:themeColor="accent1"/>
      <w:sz w:val="26"/>
      <w:szCs w:val="26"/>
      <w:lang w:eastAsia="es-CO"/>
    </w:rPr>
  </w:style>
  <w:style w:type="paragraph" w:styleId="Heading3">
    <w:name w:val="heading 3"/>
    <w:basedOn w:val="Normal"/>
    <w:next w:val="Normal"/>
    <w:link w:val="Heading3Char"/>
    <w:unhideWhenUsed/>
    <w:qFormat/>
    <w:rsid w:val="000A745B"/>
    <w:pPr>
      <w:keepNext/>
      <w:keepLines/>
      <w:spacing w:before="200"/>
      <w:jc w:val="both"/>
      <w:outlineLvl w:val="2"/>
    </w:pPr>
    <w:rPr>
      <w:rFonts w:asciiTheme="majorHAnsi" w:eastAsiaTheme="majorEastAsia" w:hAnsiTheme="majorHAnsi" w:cstheme="majorBidi"/>
      <w:b/>
      <w:bCs/>
      <w:color w:val="4F81BD" w:themeColor="accent1"/>
      <w:sz w:val="22"/>
      <w:szCs w:val="16"/>
      <w:lang w:eastAsia="es-CO"/>
    </w:rPr>
  </w:style>
  <w:style w:type="paragraph" w:styleId="Heading5">
    <w:name w:val="heading 5"/>
    <w:basedOn w:val="Normal"/>
    <w:next w:val="Normal"/>
    <w:link w:val="Heading5Char"/>
    <w:qFormat/>
    <w:rsid w:val="00A46C4F"/>
    <w:pPr>
      <w:numPr>
        <w:ilvl w:val="4"/>
        <w:numId w:val="17"/>
      </w:numPr>
      <w:spacing w:before="240" w:after="60"/>
      <w:outlineLvl w:val="4"/>
    </w:pPr>
    <w:rPr>
      <w:rFonts w:ascii="Times New Roman" w:eastAsia="Times New Roman" w:hAnsi="Times New Roman" w:cs="Times New Roman"/>
      <w:sz w:val="22"/>
      <w:szCs w:val="20"/>
      <w:lang w:val="en-US"/>
    </w:rPr>
  </w:style>
  <w:style w:type="paragraph" w:styleId="Heading6">
    <w:name w:val="heading 6"/>
    <w:basedOn w:val="Normal"/>
    <w:next w:val="Normal"/>
    <w:link w:val="Heading6Char"/>
    <w:qFormat/>
    <w:rsid w:val="00A46C4F"/>
    <w:pPr>
      <w:numPr>
        <w:ilvl w:val="5"/>
        <w:numId w:val="17"/>
      </w:numPr>
      <w:spacing w:before="240" w:after="60"/>
      <w:outlineLvl w:val="5"/>
    </w:pPr>
    <w:rPr>
      <w:rFonts w:ascii="Times New Roman" w:eastAsia="Times New Roman" w:hAnsi="Times New Roman" w:cs="Times New Roman"/>
      <w:i/>
      <w:sz w:val="22"/>
      <w:szCs w:val="20"/>
      <w:lang w:val="en-US"/>
    </w:rPr>
  </w:style>
  <w:style w:type="paragraph" w:styleId="Heading7">
    <w:name w:val="heading 7"/>
    <w:basedOn w:val="Normal"/>
    <w:next w:val="Normal"/>
    <w:link w:val="Heading7Char"/>
    <w:qFormat/>
    <w:rsid w:val="00A46C4F"/>
    <w:pPr>
      <w:numPr>
        <w:ilvl w:val="6"/>
        <w:numId w:val="17"/>
      </w:numPr>
      <w:spacing w:before="240" w:after="60"/>
      <w:outlineLvl w:val="6"/>
    </w:pPr>
    <w:rPr>
      <w:rFonts w:ascii="Arial" w:eastAsia="Times New Roman" w:hAnsi="Arial" w:cs="Times New Roman"/>
      <w:szCs w:val="20"/>
      <w:lang w:val="en-US"/>
    </w:rPr>
  </w:style>
  <w:style w:type="paragraph" w:styleId="Heading8">
    <w:name w:val="heading 8"/>
    <w:basedOn w:val="Normal"/>
    <w:next w:val="Normal"/>
    <w:link w:val="Heading8Char"/>
    <w:qFormat/>
    <w:rsid w:val="00A46C4F"/>
    <w:pPr>
      <w:numPr>
        <w:ilvl w:val="7"/>
        <w:numId w:val="17"/>
      </w:numPr>
      <w:spacing w:before="240" w:after="60"/>
      <w:outlineLvl w:val="7"/>
    </w:pPr>
    <w:rPr>
      <w:rFonts w:ascii="Arial" w:eastAsia="Times New Roman" w:hAnsi="Arial" w:cs="Times New Roman"/>
      <w:i/>
      <w:szCs w:val="20"/>
      <w:lang w:val="en-US"/>
    </w:rPr>
  </w:style>
  <w:style w:type="paragraph" w:styleId="Heading9">
    <w:name w:val="heading 9"/>
    <w:basedOn w:val="Normal"/>
    <w:next w:val="Normal"/>
    <w:link w:val="Heading9Char"/>
    <w:qFormat/>
    <w:rsid w:val="00A46C4F"/>
    <w:pPr>
      <w:numPr>
        <w:ilvl w:val="8"/>
        <w:numId w:val="17"/>
      </w:numPr>
      <w:spacing w:before="240" w:after="60"/>
      <w:outlineLvl w:val="8"/>
    </w:pPr>
    <w:rPr>
      <w:rFonts w:ascii="Arial" w:eastAsia="Times New Roman" w:hAnsi="Arial" w:cs="Times New Roman"/>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3,Párrafo de lista1,Bullets,Lista vistosa - Énfasis 11,fuente,Segundo,Parágrafo da Lista 1"/>
    <w:basedOn w:val="Normal"/>
    <w:link w:val="ListParagraphChar"/>
    <w:uiPriority w:val="34"/>
    <w:qFormat/>
    <w:rsid w:val="00017230"/>
    <w:pPr>
      <w:ind w:left="720"/>
      <w:contextualSpacing/>
    </w:pPr>
  </w:style>
  <w:style w:type="character" w:customStyle="1" w:styleId="Heading1Char">
    <w:name w:val="Heading 1 Char"/>
    <w:basedOn w:val="DefaultParagraphFont"/>
    <w:link w:val="Heading1"/>
    <w:uiPriority w:val="9"/>
    <w:rsid w:val="000A745B"/>
    <w:rPr>
      <w:rFonts w:asciiTheme="majorHAnsi" w:eastAsiaTheme="majorEastAsia" w:hAnsiTheme="majorHAnsi" w:cstheme="majorBidi"/>
      <w:b/>
      <w:bCs/>
      <w:color w:val="365F91" w:themeColor="accent1" w:themeShade="BF"/>
      <w:sz w:val="28"/>
      <w:szCs w:val="28"/>
      <w:lang w:val="fr-FR" w:eastAsia="es-CO"/>
    </w:rPr>
  </w:style>
  <w:style w:type="character" w:customStyle="1" w:styleId="Heading2Char">
    <w:name w:val="Heading 2 Char"/>
    <w:basedOn w:val="DefaultParagraphFont"/>
    <w:link w:val="Heading2"/>
    <w:rsid w:val="000A745B"/>
    <w:rPr>
      <w:rFonts w:asciiTheme="majorHAnsi" w:eastAsiaTheme="majorEastAsia" w:hAnsiTheme="majorHAnsi" w:cstheme="majorBidi"/>
      <w:b/>
      <w:bCs/>
      <w:color w:val="4F81BD" w:themeColor="accent1"/>
      <w:sz w:val="26"/>
      <w:szCs w:val="26"/>
      <w:lang w:val="fr-FR" w:eastAsia="es-CO"/>
    </w:rPr>
  </w:style>
  <w:style w:type="character" w:customStyle="1" w:styleId="Heading3Char">
    <w:name w:val="Heading 3 Char"/>
    <w:basedOn w:val="DefaultParagraphFont"/>
    <w:link w:val="Heading3"/>
    <w:rsid w:val="000A745B"/>
    <w:rPr>
      <w:rFonts w:asciiTheme="majorHAnsi" w:eastAsiaTheme="majorEastAsia" w:hAnsiTheme="majorHAnsi" w:cstheme="majorBidi"/>
      <w:b/>
      <w:bCs/>
      <w:color w:val="4F81BD" w:themeColor="accent1"/>
      <w:sz w:val="22"/>
      <w:szCs w:val="16"/>
      <w:lang w:val="fr-FR" w:eastAsia="es-CO"/>
    </w:rPr>
  </w:style>
  <w:style w:type="paragraph" w:styleId="BodyText">
    <w:name w:val="Body Text"/>
    <w:basedOn w:val="Normal"/>
    <w:link w:val="BodyTextChar"/>
    <w:semiHidden/>
    <w:rsid w:val="000A745B"/>
    <w:pPr>
      <w:jc w:val="both"/>
    </w:pPr>
    <w:rPr>
      <w:rFonts w:ascii="Arial" w:eastAsia="Times New Roman" w:hAnsi="Arial" w:cs="Times New Roman"/>
      <w:sz w:val="22"/>
      <w:szCs w:val="20"/>
      <w:lang w:val="es-MX" w:eastAsia="es-CO"/>
    </w:rPr>
  </w:style>
  <w:style w:type="character" w:customStyle="1" w:styleId="BodyTextChar">
    <w:name w:val="Body Text Char"/>
    <w:basedOn w:val="DefaultParagraphFont"/>
    <w:link w:val="BodyText"/>
    <w:semiHidden/>
    <w:rsid w:val="000A745B"/>
    <w:rPr>
      <w:rFonts w:ascii="Arial" w:eastAsia="Times New Roman" w:hAnsi="Arial" w:cs="Times New Roman"/>
      <w:sz w:val="22"/>
      <w:szCs w:val="20"/>
      <w:lang w:val="es-MX" w:eastAsia="es-CO"/>
    </w:rPr>
  </w:style>
  <w:style w:type="paragraph" w:customStyle="1" w:styleId="Chapter">
    <w:name w:val="Chapter"/>
    <w:basedOn w:val="Normal"/>
    <w:next w:val="Normal"/>
    <w:rsid w:val="000A745B"/>
    <w:pPr>
      <w:keepNext/>
      <w:numPr>
        <w:numId w:val="15"/>
      </w:numPr>
      <w:tabs>
        <w:tab w:val="left" w:pos="1440"/>
      </w:tabs>
      <w:spacing w:before="240" w:after="240"/>
      <w:jc w:val="center"/>
    </w:pPr>
    <w:rPr>
      <w:rFonts w:ascii="Times New Roman" w:eastAsia="Times New Roman" w:hAnsi="Times New Roman" w:cs="Times New Roman"/>
      <w:b/>
      <w:smallCaps/>
      <w:szCs w:val="20"/>
      <w:lang w:val="es-ES"/>
    </w:rPr>
  </w:style>
  <w:style w:type="paragraph" w:customStyle="1" w:styleId="Paragraph">
    <w:name w:val="Paragraph"/>
    <w:aliases w:val="paragraph,p,PARAGRAPH,PG,pa,at"/>
    <w:basedOn w:val="BodyTextIndent"/>
    <w:link w:val="ParagraphChar"/>
    <w:qFormat/>
    <w:rsid w:val="000A745B"/>
    <w:pPr>
      <w:numPr>
        <w:ilvl w:val="1"/>
        <w:numId w:val="15"/>
      </w:numPr>
      <w:spacing w:before="120"/>
      <w:jc w:val="both"/>
      <w:outlineLvl w:val="1"/>
    </w:pPr>
    <w:rPr>
      <w:rFonts w:ascii="Times New Roman" w:eastAsia="Times New Roman" w:hAnsi="Times New Roman" w:cs="Times New Roman"/>
      <w:szCs w:val="20"/>
      <w:lang w:val="es-ES"/>
    </w:rPr>
  </w:style>
  <w:style w:type="character" w:customStyle="1" w:styleId="ParagraphChar">
    <w:name w:val="Paragraph Char"/>
    <w:aliases w:val="paragraph Char,p Char,PARAGRAPH Char,PG Char,pa Char,at Char"/>
    <w:link w:val="Paragraph"/>
    <w:locked/>
    <w:rsid w:val="000A745B"/>
    <w:rPr>
      <w:rFonts w:ascii="Times New Roman" w:eastAsia="Times New Roman" w:hAnsi="Times New Roman" w:cs="Times New Roman"/>
      <w:szCs w:val="20"/>
      <w:lang w:val="es-ES"/>
    </w:rPr>
  </w:style>
  <w:style w:type="paragraph" w:customStyle="1" w:styleId="subpar">
    <w:name w:val="subpar"/>
    <w:basedOn w:val="BodyTextIndent3"/>
    <w:rsid w:val="000A745B"/>
    <w:pPr>
      <w:numPr>
        <w:ilvl w:val="2"/>
        <w:numId w:val="15"/>
      </w:numPr>
      <w:tabs>
        <w:tab w:val="clear" w:pos="2592"/>
      </w:tabs>
      <w:spacing w:before="120"/>
      <w:ind w:left="2160" w:hanging="180"/>
      <w:jc w:val="both"/>
      <w:outlineLvl w:val="2"/>
    </w:pPr>
    <w:rPr>
      <w:rFonts w:ascii="Times New Roman" w:eastAsia="Times New Roman" w:hAnsi="Times New Roman" w:cs="Times New Roman"/>
      <w:sz w:val="24"/>
      <w:szCs w:val="20"/>
    </w:rPr>
  </w:style>
  <w:style w:type="paragraph" w:customStyle="1" w:styleId="SubSubPar">
    <w:name w:val="SubSubPar"/>
    <w:basedOn w:val="subpar"/>
    <w:rsid w:val="000A745B"/>
    <w:pPr>
      <w:numPr>
        <w:ilvl w:val="3"/>
      </w:numPr>
      <w:tabs>
        <w:tab w:val="clear" w:pos="3024"/>
        <w:tab w:val="num" w:pos="2592"/>
      </w:tabs>
      <w:ind w:left="2592" w:hanging="432"/>
    </w:pPr>
  </w:style>
  <w:style w:type="paragraph" w:styleId="BodyTextIndent">
    <w:name w:val="Body Text Indent"/>
    <w:basedOn w:val="Normal"/>
    <w:link w:val="BodyTextIndentChar"/>
    <w:uiPriority w:val="99"/>
    <w:semiHidden/>
    <w:unhideWhenUsed/>
    <w:rsid w:val="000A745B"/>
    <w:pPr>
      <w:spacing w:after="120"/>
      <w:ind w:left="360"/>
    </w:pPr>
  </w:style>
  <w:style w:type="character" w:customStyle="1" w:styleId="BodyTextIndentChar">
    <w:name w:val="Body Text Indent Char"/>
    <w:basedOn w:val="DefaultParagraphFont"/>
    <w:link w:val="BodyTextIndent"/>
    <w:uiPriority w:val="99"/>
    <w:semiHidden/>
    <w:rsid w:val="000A745B"/>
    <w:rPr>
      <w:lang w:val="fr-FR"/>
    </w:rPr>
  </w:style>
  <w:style w:type="paragraph" w:styleId="BodyTextIndent3">
    <w:name w:val="Body Text Indent 3"/>
    <w:basedOn w:val="Normal"/>
    <w:link w:val="BodyTextIndent3Char"/>
    <w:uiPriority w:val="99"/>
    <w:semiHidden/>
    <w:unhideWhenUsed/>
    <w:rsid w:val="000A745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A745B"/>
    <w:rPr>
      <w:sz w:val="16"/>
      <w:szCs w:val="16"/>
      <w:lang w:val="fr-FR"/>
    </w:rPr>
  </w:style>
  <w:style w:type="paragraph" w:styleId="BalloonText">
    <w:name w:val="Balloon Text"/>
    <w:basedOn w:val="Normal"/>
    <w:link w:val="BalloonTextChar"/>
    <w:uiPriority w:val="99"/>
    <w:semiHidden/>
    <w:unhideWhenUsed/>
    <w:rsid w:val="000A74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745B"/>
    <w:rPr>
      <w:rFonts w:ascii="Lucida Grande" w:hAnsi="Lucida Grande" w:cs="Lucida Grande"/>
      <w:sz w:val="18"/>
      <w:szCs w:val="18"/>
      <w:lang w:val="fr-FR"/>
    </w:rPr>
  </w:style>
  <w:style w:type="character" w:customStyle="1" w:styleId="Heading5Char">
    <w:name w:val="Heading 5 Char"/>
    <w:basedOn w:val="DefaultParagraphFont"/>
    <w:link w:val="Heading5"/>
    <w:rsid w:val="00A46C4F"/>
    <w:rPr>
      <w:rFonts w:ascii="Times New Roman" w:eastAsia="Times New Roman" w:hAnsi="Times New Roman" w:cs="Times New Roman"/>
      <w:sz w:val="22"/>
      <w:szCs w:val="20"/>
    </w:rPr>
  </w:style>
  <w:style w:type="character" w:customStyle="1" w:styleId="Heading6Char">
    <w:name w:val="Heading 6 Char"/>
    <w:basedOn w:val="DefaultParagraphFont"/>
    <w:link w:val="Heading6"/>
    <w:rsid w:val="00A46C4F"/>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A46C4F"/>
    <w:rPr>
      <w:rFonts w:ascii="Arial" w:eastAsia="Times New Roman" w:hAnsi="Arial" w:cs="Times New Roman"/>
      <w:szCs w:val="20"/>
    </w:rPr>
  </w:style>
  <w:style w:type="character" w:customStyle="1" w:styleId="Heading8Char">
    <w:name w:val="Heading 8 Char"/>
    <w:basedOn w:val="DefaultParagraphFont"/>
    <w:link w:val="Heading8"/>
    <w:rsid w:val="00A46C4F"/>
    <w:rPr>
      <w:rFonts w:ascii="Arial" w:eastAsia="Times New Roman" w:hAnsi="Arial" w:cs="Times New Roman"/>
      <w:i/>
      <w:szCs w:val="20"/>
    </w:rPr>
  </w:style>
  <w:style w:type="character" w:customStyle="1" w:styleId="Heading9Char">
    <w:name w:val="Heading 9 Char"/>
    <w:basedOn w:val="DefaultParagraphFont"/>
    <w:link w:val="Heading9"/>
    <w:rsid w:val="00A46C4F"/>
    <w:rPr>
      <w:rFonts w:ascii="Arial" w:eastAsia="Times New Roman" w:hAnsi="Arial" w:cs="Times New Roman"/>
      <w:b/>
      <w:i/>
      <w:sz w:val="18"/>
      <w:szCs w:val="20"/>
    </w:rPr>
  </w:style>
  <w:style w:type="paragraph" w:customStyle="1" w:styleId="FirstHeading">
    <w:name w:val="FirstHeading"/>
    <w:basedOn w:val="Normal"/>
    <w:next w:val="Normal"/>
    <w:link w:val="FirstHeadingChar"/>
    <w:rsid w:val="00A46C4F"/>
    <w:pPr>
      <w:keepNext/>
      <w:numPr>
        <w:numId w:val="17"/>
      </w:numPr>
      <w:tabs>
        <w:tab w:val="left" w:pos="0"/>
        <w:tab w:val="left" w:pos="86"/>
      </w:tabs>
      <w:spacing w:before="120" w:after="120"/>
    </w:pPr>
    <w:rPr>
      <w:rFonts w:ascii="Times New Roman" w:eastAsia="Times New Roman" w:hAnsi="Times New Roman" w:cs="Times New Roman"/>
      <w:b/>
      <w:szCs w:val="20"/>
      <w:lang w:val="es-ES_tradnl"/>
    </w:rPr>
  </w:style>
  <w:style w:type="paragraph" w:customStyle="1" w:styleId="SecHeading">
    <w:name w:val="SecHeading"/>
    <w:basedOn w:val="Normal"/>
    <w:next w:val="Paragraph"/>
    <w:rsid w:val="00A46C4F"/>
    <w:pPr>
      <w:keepNext/>
      <w:numPr>
        <w:ilvl w:val="1"/>
        <w:numId w:val="17"/>
      </w:numPr>
      <w:tabs>
        <w:tab w:val="clear" w:pos="5400"/>
        <w:tab w:val="num" w:pos="1296"/>
      </w:tabs>
      <w:spacing w:before="120" w:after="120"/>
      <w:ind w:left="1296"/>
    </w:pPr>
    <w:rPr>
      <w:rFonts w:ascii="Times New Roman" w:eastAsia="Times New Roman" w:hAnsi="Times New Roman" w:cs="Times New Roman"/>
      <w:b/>
      <w:szCs w:val="20"/>
      <w:lang w:val="es-ES_tradnl"/>
    </w:rPr>
  </w:style>
  <w:style w:type="paragraph" w:customStyle="1" w:styleId="SubHeading1">
    <w:name w:val="SubHeading1"/>
    <w:basedOn w:val="SecHeading"/>
    <w:rsid w:val="00A46C4F"/>
    <w:pPr>
      <w:numPr>
        <w:ilvl w:val="2"/>
      </w:numPr>
      <w:tabs>
        <w:tab w:val="clear" w:pos="5976"/>
        <w:tab w:val="num" w:pos="1872"/>
      </w:tabs>
      <w:ind w:left="1872"/>
    </w:pPr>
  </w:style>
  <w:style w:type="paragraph" w:customStyle="1" w:styleId="Subheading2">
    <w:name w:val="Subheading2"/>
    <w:basedOn w:val="SecHeading"/>
    <w:rsid w:val="00A46C4F"/>
    <w:pPr>
      <w:numPr>
        <w:ilvl w:val="3"/>
      </w:numPr>
      <w:tabs>
        <w:tab w:val="clear" w:pos="6480"/>
        <w:tab w:val="num" w:pos="2376"/>
      </w:tabs>
      <w:ind w:left="2376"/>
    </w:pPr>
  </w:style>
  <w:style w:type="character" w:customStyle="1" w:styleId="FirstHeadingChar">
    <w:name w:val="FirstHeading Char"/>
    <w:basedOn w:val="DefaultParagraphFont"/>
    <w:link w:val="FirstHeading"/>
    <w:rsid w:val="00A46C4F"/>
    <w:rPr>
      <w:rFonts w:ascii="Times New Roman" w:eastAsia="Times New Roman" w:hAnsi="Times New Roman" w:cs="Times New Roman"/>
      <w:b/>
      <w:szCs w:val="20"/>
      <w:lang w:val="es-ES_tradnl"/>
    </w:rPr>
  </w:style>
  <w:style w:type="paragraph" w:styleId="FootnoteText">
    <w:name w:val="footnote text"/>
    <w:aliases w:val="fn,texto de nota al pie,Nota a pie/Bibliog,footnote,foottextfra,F,Texto,nota,pie,Ref.,al,Texto nota pie IIRSA,ADB,single space,FOOTNOTES,Fußnotentext Char,Footnote text,ft,Footnote Text Char2 Char,Footnote Text Char1 Char Char,Fußnotentext"/>
    <w:basedOn w:val="Normal"/>
    <w:link w:val="FootnoteTextChar"/>
    <w:qFormat/>
    <w:rsid w:val="00A46C4F"/>
    <w:pPr>
      <w:keepNext/>
      <w:keepLines/>
      <w:spacing w:after="120"/>
      <w:ind w:left="288" w:hanging="288"/>
      <w:jc w:val="both"/>
    </w:pPr>
    <w:rPr>
      <w:rFonts w:ascii="Times New Roman" w:eastAsia="Times New Roman" w:hAnsi="Times New Roman" w:cs="Times New Roman"/>
      <w:spacing w:val="-3"/>
      <w:sz w:val="20"/>
      <w:szCs w:val="20"/>
      <w:lang w:val="en-US"/>
    </w:rPr>
  </w:style>
  <w:style w:type="character" w:customStyle="1" w:styleId="FootnoteTextChar">
    <w:name w:val="Footnote Text Char"/>
    <w:aliases w:val="fn Char,texto de nota al pie Char,Nota a pie/Bibliog Char,footnote Char,foottextfra Char,F Char,Texto Char,nota Char,pie Char,Ref. Char,al Char,Texto nota pie IIRSA Char,ADB Char,single space Char,FOOTNOTES Char,Fußnotentext Char Char"/>
    <w:basedOn w:val="DefaultParagraphFont"/>
    <w:link w:val="FootnoteText"/>
    <w:rsid w:val="00A46C4F"/>
    <w:rPr>
      <w:rFonts w:ascii="Times New Roman" w:eastAsia="Times New Roman" w:hAnsi="Times New Roman" w:cs="Times New Roman"/>
      <w:spacing w:val="-3"/>
      <w:sz w:val="20"/>
      <w:szCs w:val="20"/>
    </w:rPr>
  </w:style>
  <w:style w:type="character" w:styleId="FootnoteReference">
    <w:name w:val="footnote reference"/>
    <w:aliases w:val="ftref,16 Point,Superscript 6 Point,Ref,de nota al pie,referencia nota al pie,(Ref. de nota al pie),Fußnotenzeichen DISS,FC,Style 24,BVI fnr, BVI fnr,Знак сноски 1,Footnotes refss,Ref. de nota al pie.,Texto de nota al pie"/>
    <w:uiPriority w:val="99"/>
    <w:rsid w:val="00A46C4F"/>
    <w:rPr>
      <w:vertAlign w:val="superscript"/>
    </w:rPr>
  </w:style>
  <w:style w:type="character" w:styleId="CommentReference">
    <w:name w:val="annotation reference"/>
    <w:basedOn w:val="DefaultParagraphFont"/>
    <w:uiPriority w:val="99"/>
    <w:semiHidden/>
    <w:unhideWhenUsed/>
    <w:rsid w:val="00EF7FCC"/>
    <w:rPr>
      <w:sz w:val="18"/>
      <w:szCs w:val="18"/>
    </w:rPr>
  </w:style>
  <w:style w:type="paragraph" w:styleId="CommentText">
    <w:name w:val="annotation text"/>
    <w:basedOn w:val="Normal"/>
    <w:link w:val="CommentTextChar"/>
    <w:uiPriority w:val="99"/>
    <w:semiHidden/>
    <w:unhideWhenUsed/>
    <w:rsid w:val="00EF7FCC"/>
  </w:style>
  <w:style w:type="character" w:customStyle="1" w:styleId="CommentTextChar">
    <w:name w:val="Comment Text Char"/>
    <w:basedOn w:val="DefaultParagraphFont"/>
    <w:link w:val="CommentText"/>
    <w:uiPriority w:val="99"/>
    <w:rsid w:val="00EF7FCC"/>
    <w:rPr>
      <w:lang w:val="fr-FR"/>
    </w:rPr>
  </w:style>
  <w:style w:type="paragraph" w:styleId="CommentSubject">
    <w:name w:val="annotation subject"/>
    <w:basedOn w:val="CommentText"/>
    <w:next w:val="CommentText"/>
    <w:link w:val="CommentSubjectChar"/>
    <w:uiPriority w:val="99"/>
    <w:semiHidden/>
    <w:unhideWhenUsed/>
    <w:rsid w:val="00EF7FCC"/>
    <w:rPr>
      <w:b/>
      <w:bCs/>
      <w:sz w:val="20"/>
      <w:szCs w:val="20"/>
    </w:rPr>
  </w:style>
  <w:style w:type="character" w:customStyle="1" w:styleId="CommentSubjectChar">
    <w:name w:val="Comment Subject Char"/>
    <w:basedOn w:val="CommentTextChar"/>
    <w:link w:val="CommentSubject"/>
    <w:uiPriority w:val="99"/>
    <w:semiHidden/>
    <w:rsid w:val="00EF7FCC"/>
    <w:rPr>
      <w:b/>
      <w:bCs/>
      <w:sz w:val="20"/>
      <w:szCs w:val="20"/>
      <w:lang w:val="fr-FR"/>
    </w:rPr>
  </w:style>
  <w:style w:type="paragraph" w:customStyle="1" w:styleId="Clause">
    <w:name w:val="Clause"/>
    <w:basedOn w:val="Normal"/>
    <w:uiPriority w:val="99"/>
    <w:rsid w:val="00A972DE"/>
    <w:pPr>
      <w:tabs>
        <w:tab w:val="left" w:pos="1980"/>
      </w:tabs>
      <w:spacing w:after="240" w:line="360" w:lineRule="auto"/>
      <w:jc w:val="both"/>
    </w:pPr>
    <w:rPr>
      <w:rFonts w:ascii="Times New Roman" w:eastAsia="Times New Roman" w:hAnsi="Times New Roman" w:cs="Times New Roman"/>
      <w:szCs w:val="20"/>
      <w:lang w:val="es-ES"/>
    </w:rPr>
  </w:style>
  <w:style w:type="character" w:styleId="Hyperlink">
    <w:name w:val="Hyperlink"/>
    <w:uiPriority w:val="99"/>
    <w:rsid w:val="00EC0106"/>
    <w:rPr>
      <w:rFonts w:cs="Times New Roman"/>
      <w:color w:val="0000FF"/>
      <w:u w:val="single"/>
    </w:rPr>
  </w:style>
  <w:style w:type="paragraph" w:styleId="TOCHeading">
    <w:name w:val="TOC Heading"/>
    <w:basedOn w:val="Heading1"/>
    <w:next w:val="Normal"/>
    <w:uiPriority w:val="39"/>
    <w:unhideWhenUsed/>
    <w:qFormat/>
    <w:rsid w:val="0043165D"/>
    <w:pPr>
      <w:spacing w:line="276" w:lineRule="auto"/>
      <w:jc w:val="left"/>
      <w:outlineLvl w:val="9"/>
    </w:pPr>
    <w:rPr>
      <w:lang w:val="en-US" w:eastAsia="en-US"/>
    </w:rPr>
  </w:style>
  <w:style w:type="paragraph" w:styleId="TOC1">
    <w:name w:val="toc 1"/>
    <w:basedOn w:val="Normal"/>
    <w:next w:val="Normal"/>
    <w:autoRedefine/>
    <w:uiPriority w:val="39"/>
    <w:unhideWhenUsed/>
    <w:rsid w:val="0043165D"/>
    <w:pPr>
      <w:spacing w:before="120"/>
    </w:pPr>
    <w:rPr>
      <w:rFonts w:asciiTheme="minorHAnsi" w:hAnsiTheme="minorHAnsi"/>
      <w:b/>
    </w:rPr>
  </w:style>
  <w:style w:type="paragraph" w:styleId="TOC2">
    <w:name w:val="toc 2"/>
    <w:basedOn w:val="Normal"/>
    <w:next w:val="Normal"/>
    <w:autoRedefine/>
    <w:uiPriority w:val="39"/>
    <w:unhideWhenUsed/>
    <w:rsid w:val="0043165D"/>
    <w:pPr>
      <w:ind w:left="240"/>
    </w:pPr>
    <w:rPr>
      <w:rFonts w:asciiTheme="minorHAnsi" w:hAnsiTheme="minorHAnsi"/>
      <w:b/>
      <w:sz w:val="22"/>
      <w:szCs w:val="22"/>
    </w:rPr>
  </w:style>
  <w:style w:type="paragraph" w:styleId="TOC3">
    <w:name w:val="toc 3"/>
    <w:basedOn w:val="Normal"/>
    <w:next w:val="Normal"/>
    <w:autoRedefine/>
    <w:uiPriority w:val="39"/>
    <w:unhideWhenUsed/>
    <w:rsid w:val="0043165D"/>
    <w:pPr>
      <w:ind w:left="480"/>
    </w:pPr>
    <w:rPr>
      <w:rFonts w:asciiTheme="minorHAnsi" w:hAnsiTheme="minorHAnsi"/>
      <w:sz w:val="22"/>
      <w:szCs w:val="22"/>
    </w:rPr>
  </w:style>
  <w:style w:type="paragraph" w:styleId="TOC4">
    <w:name w:val="toc 4"/>
    <w:basedOn w:val="Normal"/>
    <w:next w:val="Normal"/>
    <w:autoRedefine/>
    <w:uiPriority w:val="39"/>
    <w:semiHidden/>
    <w:unhideWhenUsed/>
    <w:rsid w:val="0043165D"/>
    <w:pPr>
      <w:ind w:left="720"/>
    </w:pPr>
    <w:rPr>
      <w:rFonts w:asciiTheme="minorHAnsi" w:hAnsiTheme="minorHAnsi"/>
      <w:sz w:val="20"/>
      <w:szCs w:val="20"/>
    </w:rPr>
  </w:style>
  <w:style w:type="paragraph" w:styleId="TOC5">
    <w:name w:val="toc 5"/>
    <w:basedOn w:val="Normal"/>
    <w:next w:val="Normal"/>
    <w:autoRedefine/>
    <w:uiPriority w:val="39"/>
    <w:semiHidden/>
    <w:unhideWhenUsed/>
    <w:rsid w:val="0043165D"/>
    <w:pPr>
      <w:ind w:left="960"/>
    </w:pPr>
    <w:rPr>
      <w:rFonts w:asciiTheme="minorHAnsi" w:hAnsiTheme="minorHAnsi"/>
      <w:sz w:val="20"/>
      <w:szCs w:val="20"/>
    </w:rPr>
  </w:style>
  <w:style w:type="paragraph" w:styleId="TOC6">
    <w:name w:val="toc 6"/>
    <w:basedOn w:val="Normal"/>
    <w:next w:val="Normal"/>
    <w:autoRedefine/>
    <w:uiPriority w:val="39"/>
    <w:semiHidden/>
    <w:unhideWhenUsed/>
    <w:rsid w:val="0043165D"/>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43165D"/>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43165D"/>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43165D"/>
    <w:pPr>
      <w:ind w:left="1920"/>
    </w:pPr>
    <w:rPr>
      <w:rFonts w:asciiTheme="minorHAnsi" w:hAnsiTheme="minorHAnsi"/>
      <w:sz w:val="20"/>
      <w:szCs w:val="20"/>
    </w:rPr>
  </w:style>
  <w:style w:type="paragraph" w:styleId="Footer">
    <w:name w:val="footer"/>
    <w:basedOn w:val="Normal"/>
    <w:link w:val="FooterChar"/>
    <w:uiPriority w:val="99"/>
    <w:unhideWhenUsed/>
    <w:rsid w:val="00D0325E"/>
    <w:pPr>
      <w:tabs>
        <w:tab w:val="center" w:pos="4320"/>
        <w:tab w:val="right" w:pos="8640"/>
      </w:tabs>
    </w:pPr>
  </w:style>
  <w:style w:type="character" w:customStyle="1" w:styleId="FooterChar">
    <w:name w:val="Footer Char"/>
    <w:basedOn w:val="DefaultParagraphFont"/>
    <w:link w:val="Footer"/>
    <w:uiPriority w:val="99"/>
    <w:rsid w:val="00D0325E"/>
    <w:rPr>
      <w:lang w:val="fr-FR"/>
    </w:rPr>
  </w:style>
  <w:style w:type="character" w:styleId="PageNumber">
    <w:name w:val="page number"/>
    <w:basedOn w:val="DefaultParagraphFont"/>
    <w:uiPriority w:val="99"/>
    <w:semiHidden/>
    <w:unhideWhenUsed/>
    <w:rsid w:val="00D0325E"/>
  </w:style>
  <w:style w:type="paragraph" w:styleId="Revision">
    <w:name w:val="Revision"/>
    <w:hidden/>
    <w:uiPriority w:val="99"/>
    <w:semiHidden/>
    <w:rsid w:val="0070793F"/>
    <w:rPr>
      <w:lang w:val="fr-FR"/>
    </w:rPr>
  </w:style>
  <w:style w:type="paragraph" w:styleId="HTMLPreformatted">
    <w:name w:val="HTML Preformatted"/>
    <w:basedOn w:val="Normal"/>
    <w:link w:val="HTMLPreformattedChar"/>
    <w:uiPriority w:val="99"/>
    <w:unhideWhenUsed/>
    <w:rsid w:val="00ED6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D6969"/>
    <w:rPr>
      <w:rFonts w:ascii="Courier New" w:eastAsia="Times New Roman" w:hAnsi="Courier New" w:cs="Courier New"/>
      <w:sz w:val="20"/>
      <w:szCs w:val="20"/>
    </w:rPr>
  </w:style>
  <w:style w:type="character" w:customStyle="1" w:styleId="ListParagraphChar">
    <w:name w:val="List Paragraph Char"/>
    <w:aliases w:val="titulo 3 Char,Párrafo de lista1 Char,Bullets Char,Lista vistosa - Énfasis 11 Char,fuente Char,Segundo Char,Parágrafo da Lista 1 Char"/>
    <w:link w:val="ListParagraph"/>
    <w:uiPriority w:val="34"/>
    <w:locked/>
    <w:rsid w:val="00A2321B"/>
    <w:rPr>
      <w:lang w:val="fr-FR"/>
    </w:rPr>
  </w:style>
  <w:style w:type="paragraph" w:customStyle="1" w:styleId="Default">
    <w:name w:val="Default"/>
    <w:rsid w:val="000F44FE"/>
    <w:pPr>
      <w:autoSpaceDE w:val="0"/>
      <w:autoSpaceDN w:val="0"/>
      <w:adjustRightInd w:val="0"/>
    </w:pPr>
    <w:rPr>
      <w:rFonts w:ascii="Arial" w:eastAsiaTheme="minorHAnsi" w:hAnsi="Arial" w:cs="Arial"/>
      <w:color w:val="000000"/>
      <w:lang w:val="pt-BR"/>
    </w:rPr>
  </w:style>
  <w:style w:type="character" w:customStyle="1" w:styleId="Comentrio4">
    <w:name w:val="Comentário 4"/>
    <w:uiPriority w:val="1"/>
    <w:qFormat/>
    <w:rsid w:val="000F00DD"/>
    <w:rPr>
      <w:rFonts w:ascii="Times New Roman Bold" w:hAnsi="Times New Roman Bold"/>
      <w:b/>
      <w:bCs/>
      <w:i w:val="0"/>
      <w:dstrike w:val="0"/>
      <w:color w:val="FF0000"/>
      <w:sz w:val="2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46719">
      <w:bodyDiv w:val="1"/>
      <w:marLeft w:val="0"/>
      <w:marRight w:val="0"/>
      <w:marTop w:val="0"/>
      <w:marBottom w:val="0"/>
      <w:divBdr>
        <w:top w:val="none" w:sz="0" w:space="0" w:color="auto"/>
        <w:left w:val="none" w:sz="0" w:space="0" w:color="auto"/>
        <w:bottom w:val="none" w:sz="0" w:space="0" w:color="auto"/>
        <w:right w:val="none" w:sz="0" w:space="0" w:color="auto"/>
      </w:divBdr>
    </w:div>
    <w:div w:id="530218397">
      <w:bodyDiv w:val="1"/>
      <w:marLeft w:val="0"/>
      <w:marRight w:val="0"/>
      <w:marTop w:val="0"/>
      <w:marBottom w:val="0"/>
      <w:divBdr>
        <w:top w:val="none" w:sz="0" w:space="0" w:color="auto"/>
        <w:left w:val="none" w:sz="0" w:space="0" w:color="auto"/>
        <w:bottom w:val="none" w:sz="0" w:space="0" w:color="auto"/>
        <w:right w:val="none" w:sz="0" w:space="0" w:color="auto"/>
      </w:divBdr>
    </w:div>
    <w:div w:id="829371911">
      <w:bodyDiv w:val="1"/>
      <w:marLeft w:val="0"/>
      <w:marRight w:val="0"/>
      <w:marTop w:val="0"/>
      <w:marBottom w:val="0"/>
      <w:divBdr>
        <w:top w:val="none" w:sz="0" w:space="0" w:color="auto"/>
        <w:left w:val="none" w:sz="0" w:space="0" w:color="auto"/>
        <w:bottom w:val="none" w:sz="0" w:space="0" w:color="auto"/>
        <w:right w:val="none" w:sz="0" w:space="0" w:color="auto"/>
      </w:divBdr>
    </w:div>
    <w:div w:id="853228743">
      <w:bodyDiv w:val="1"/>
      <w:marLeft w:val="0"/>
      <w:marRight w:val="0"/>
      <w:marTop w:val="0"/>
      <w:marBottom w:val="0"/>
      <w:divBdr>
        <w:top w:val="none" w:sz="0" w:space="0" w:color="auto"/>
        <w:left w:val="none" w:sz="0" w:space="0" w:color="auto"/>
        <w:bottom w:val="none" w:sz="0" w:space="0" w:color="auto"/>
        <w:right w:val="none" w:sz="0" w:space="0" w:color="auto"/>
      </w:divBdr>
    </w:div>
    <w:div w:id="1481729191">
      <w:bodyDiv w:val="1"/>
      <w:marLeft w:val="0"/>
      <w:marRight w:val="0"/>
      <w:marTop w:val="0"/>
      <w:marBottom w:val="0"/>
      <w:divBdr>
        <w:top w:val="none" w:sz="0" w:space="0" w:color="auto"/>
        <w:left w:val="none" w:sz="0" w:space="0" w:color="auto"/>
        <w:bottom w:val="none" w:sz="0" w:space="0" w:color="auto"/>
        <w:right w:val="none" w:sz="0" w:space="0" w:color="auto"/>
      </w:divBdr>
    </w:div>
    <w:div w:id="1551453735">
      <w:bodyDiv w:val="1"/>
      <w:marLeft w:val="0"/>
      <w:marRight w:val="0"/>
      <w:marTop w:val="0"/>
      <w:marBottom w:val="0"/>
      <w:divBdr>
        <w:top w:val="none" w:sz="0" w:space="0" w:color="auto"/>
        <w:left w:val="none" w:sz="0" w:space="0" w:color="auto"/>
        <w:bottom w:val="none" w:sz="0" w:space="0" w:color="auto"/>
        <w:right w:val="none" w:sz="0" w:space="0" w:color="auto"/>
      </w:divBdr>
    </w:div>
    <w:div w:id="1739669010">
      <w:bodyDiv w:val="1"/>
      <w:marLeft w:val="0"/>
      <w:marRight w:val="0"/>
      <w:marTop w:val="0"/>
      <w:marBottom w:val="0"/>
      <w:divBdr>
        <w:top w:val="none" w:sz="0" w:space="0" w:color="auto"/>
        <w:left w:val="none" w:sz="0" w:space="0" w:color="auto"/>
        <w:bottom w:val="none" w:sz="0" w:space="0" w:color="auto"/>
        <w:right w:val="none" w:sz="0" w:space="0" w:color="auto"/>
      </w:divBdr>
    </w:div>
    <w:div w:id="1789427042">
      <w:bodyDiv w:val="1"/>
      <w:marLeft w:val="0"/>
      <w:marRight w:val="0"/>
      <w:marTop w:val="0"/>
      <w:marBottom w:val="0"/>
      <w:divBdr>
        <w:top w:val="none" w:sz="0" w:space="0" w:color="auto"/>
        <w:left w:val="none" w:sz="0" w:space="0" w:color="auto"/>
        <w:bottom w:val="none" w:sz="0" w:space="0" w:color="auto"/>
        <w:right w:val="none" w:sz="0" w:space="0" w:color="auto"/>
      </w:divBdr>
    </w:div>
    <w:div w:id="1880388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9A2B5-4F75-46BE-9932-47FCB11E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14676</Words>
  <Characters>80722</Characters>
  <Application>Microsoft Office Word</Application>
  <DocSecurity>0</DocSecurity>
  <Lines>672</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Gentilé Senat</dc:creator>
  <cp:keywords/>
  <dc:description/>
  <cp:lastModifiedBy>Cartin Barrios, Irene</cp:lastModifiedBy>
  <cp:revision>2</cp:revision>
  <cp:lastPrinted>2017-08-28T17:30:00Z</cp:lastPrinted>
  <dcterms:created xsi:type="dcterms:W3CDTF">2017-10-12T15:10:00Z</dcterms:created>
  <dcterms:modified xsi:type="dcterms:W3CDTF">2017-10-12T15:10:00Z</dcterms:modified>
</cp:coreProperties>
</file>