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D4D6" w14:textId="77777777" w:rsidR="00E0726B" w:rsidRPr="00B853B0" w:rsidRDefault="004D1343" w:rsidP="004D1343">
      <w:pPr>
        <w:ind w:left="6480"/>
        <w:jc w:val="center"/>
        <w:rPr>
          <w:rFonts w:cstheme="minorHAnsi"/>
          <w:i/>
        </w:rPr>
      </w:pPr>
      <w:bookmarkStart w:id="0" w:name="_GoBack"/>
      <w:bookmarkEnd w:id="0"/>
      <w:r>
        <w:rPr>
          <w:rFonts w:cstheme="minorHAnsi"/>
          <w:i/>
        </w:rPr>
        <w:t xml:space="preserve">    </w:t>
      </w:r>
      <w:r w:rsidR="00E0726B" w:rsidRPr="00B853B0">
        <w:rPr>
          <w:rFonts w:cstheme="minorHAnsi"/>
          <w:i/>
        </w:rPr>
        <w:t>ANNEX</w:t>
      </w:r>
    </w:p>
    <w:p w14:paraId="21FCD8E1" w14:textId="77777777" w:rsidR="00E0726B" w:rsidRPr="00B853B0" w:rsidRDefault="00E0726B" w:rsidP="004D1343">
      <w:pPr>
        <w:ind w:left="720" w:firstLine="720"/>
        <w:jc w:val="right"/>
        <w:rPr>
          <w:rFonts w:cstheme="minorHAnsi"/>
          <w:i/>
        </w:rPr>
      </w:pPr>
      <w:r w:rsidRPr="00B853B0">
        <w:rPr>
          <w:rFonts w:cstheme="minorHAnsi"/>
          <w:i/>
        </w:rPr>
        <w:t xml:space="preserve">      </w:t>
      </w:r>
      <w:r w:rsidR="004D1343">
        <w:rPr>
          <w:rFonts w:cstheme="minorHAnsi"/>
          <w:i/>
        </w:rPr>
        <w:t xml:space="preserve"> </w:t>
      </w:r>
      <w:r w:rsidR="004D1343">
        <w:rPr>
          <w:rFonts w:cstheme="minorHAnsi"/>
          <w:i/>
        </w:rPr>
        <w:tab/>
      </w:r>
      <w:r w:rsidR="004D1343">
        <w:rPr>
          <w:rFonts w:cstheme="minorHAnsi"/>
          <w:i/>
        </w:rPr>
        <w:tab/>
      </w:r>
      <w:r w:rsidR="004D1343">
        <w:rPr>
          <w:rFonts w:cstheme="minorHAnsi"/>
          <w:i/>
        </w:rPr>
        <w:tab/>
      </w:r>
      <w:r w:rsidR="004D1343">
        <w:rPr>
          <w:rFonts w:cstheme="minorHAnsi"/>
          <w:i/>
        </w:rPr>
        <w:tab/>
      </w:r>
      <w:r w:rsidR="004D1343">
        <w:rPr>
          <w:rFonts w:cstheme="minorHAnsi"/>
          <w:i/>
        </w:rPr>
        <w:tab/>
        <w:t xml:space="preserve">                                </w:t>
      </w:r>
      <w:r w:rsidRPr="00B853B0">
        <w:rPr>
          <w:rFonts w:cstheme="minorHAnsi"/>
          <w:i/>
        </w:rPr>
        <w:t xml:space="preserve">  EZ-Share#</w:t>
      </w:r>
      <w:r w:rsidR="005972FF" w:rsidRPr="00B853B0">
        <w:rPr>
          <w:rFonts w:cstheme="minorHAnsi"/>
          <w:i/>
        </w:rPr>
        <w:tab/>
      </w:r>
      <w:r w:rsidR="005972FF" w:rsidRPr="00B853B0">
        <w:rPr>
          <w:rFonts w:cstheme="minorHAnsi"/>
          <w:i/>
        </w:rPr>
        <w:tab/>
      </w:r>
    </w:p>
    <w:p w14:paraId="7C18FFFC" w14:textId="77777777" w:rsidR="00E0726B" w:rsidRDefault="00E0726B" w:rsidP="00E0726B">
      <w:pPr>
        <w:ind w:firstLine="720"/>
        <w:jc w:val="right"/>
        <w:rPr>
          <w:rFonts w:cstheme="minorHAnsi"/>
          <w:i/>
          <w:color w:val="0070C0"/>
        </w:rPr>
      </w:pPr>
    </w:p>
    <w:p w14:paraId="662154FD" w14:textId="77777777" w:rsidR="005972FF" w:rsidRDefault="005972FF" w:rsidP="008644F0">
      <w:pPr>
        <w:jc w:val="both"/>
        <w:rPr>
          <w:rFonts w:asciiTheme="minorHAnsi" w:hAnsiTheme="minorHAnsi"/>
          <w:b/>
          <w:sz w:val="22"/>
          <w:szCs w:val="22"/>
          <w:u w:val="single"/>
        </w:rPr>
      </w:pPr>
    </w:p>
    <w:p w14:paraId="27C66439" w14:textId="77777777" w:rsidR="00A27784" w:rsidRPr="006D0505" w:rsidRDefault="00A27784" w:rsidP="00A27784">
      <w:pPr>
        <w:pStyle w:val="Heading1"/>
        <w:jc w:val="center"/>
        <w:rPr>
          <w:b/>
          <w:sz w:val="22"/>
          <w:szCs w:val="22"/>
          <w:u w:val="single"/>
        </w:rPr>
      </w:pPr>
      <w:r w:rsidRPr="006D0505">
        <w:rPr>
          <w:b/>
          <w:sz w:val="22"/>
          <w:szCs w:val="22"/>
          <w:u w:val="single"/>
        </w:rPr>
        <w:t>TERMS OF REFERENCE</w:t>
      </w:r>
    </w:p>
    <w:p w14:paraId="00FFB148" w14:textId="77777777" w:rsidR="006A2CD4" w:rsidRPr="006D0505" w:rsidRDefault="006A2CD4" w:rsidP="00A27784">
      <w:pPr>
        <w:jc w:val="both"/>
        <w:rPr>
          <w:rFonts w:ascii="Times New Roman" w:hAnsi="Times New Roman"/>
          <w:i/>
          <w:sz w:val="18"/>
        </w:rPr>
      </w:pPr>
    </w:p>
    <w:p w14:paraId="6C40D113" w14:textId="77777777" w:rsidR="008644F0" w:rsidRPr="00AB4C30" w:rsidRDefault="000A4647" w:rsidP="006D0505">
      <w:pPr>
        <w:suppressAutoHyphens/>
        <w:jc w:val="center"/>
        <w:rPr>
          <w:rFonts w:ascii="Times New Roman" w:hAnsi="Times New Roman"/>
          <w:spacing w:val="-2"/>
          <w:sz w:val="24"/>
        </w:rPr>
      </w:pPr>
      <w:r>
        <w:rPr>
          <w:rFonts w:ascii="Times New Roman" w:hAnsi="Times New Roman"/>
          <w:spacing w:val="-2"/>
          <w:sz w:val="24"/>
        </w:rPr>
        <w:t>REGIONAL</w:t>
      </w:r>
    </w:p>
    <w:p w14:paraId="0DA1AF68" w14:textId="5B864011" w:rsidR="006D0505" w:rsidRPr="00AB4C30" w:rsidRDefault="000A4647" w:rsidP="006D0505">
      <w:pPr>
        <w:pStyle w:val="BodyText"/>
        <w:jc w:val="center"/>
        <w:rPr>
          <w:rFonts w:ascii="Times New Roman" w:hAnsi="Times New Roman"/>
          <w:sz w:val="24"/>
          <w:szCs w:val="24"/>
        </w:rPr>
      </w:pPr>
      <w:r>
        <w:rPr>
          <w:rFonts w:ascii="Times New Roman" w:hAnsi="Times New Roman"/>
          <w:sz w:val="24"/>
          <w:szCs w:val="24"/>
        </w:rPr>
        <w:t>RG-T3</w:t>
      </w:r>
      <w:r w:rsidR="00A867F1">
        <w:rPr>
          <w:rFonts w:ascii="Times New Roman" w:hAnsi="Times New Roman"/>
          <w:sz w:val="24"/>
          <w:szCs w:val="24"/>
        </w:rPr>
        <w:t>126</w:t>
      </w:r>
    </w:p>
    <w:p w14:paraId="0ED2DE35" w14:textId="724C759D" w:rsidR="00A27784" w:rsidRDefault="000A4647" w:rsidP="006D0505">
      <w:pPr>
        <w:pStyle w:val="BodyText"/>
        <w:jc w:val="center"/>
        <w:rPr>
          <w:rFonts w:ascii="Times New Roman" w:hAnsi="Times New Roman"/>
          <w:b/>
          <w:szCs w:val="22"/>
        </w:rPr>
      </w:pPr>
      <w:r>
        <w:rPr>
          <w:rFonts w:ascii="Times New Roman" w:hAnsi="Times New Roman"/>
          <w:b/>
          <w:sz w:val="22"/>
          <w:szCs w:val="22"/>
        </w:rPr>
        <w:t>Project Development Support</w:t>
      </w:r>
      <w:r w:rsidR="008644F0" w:rsidRPr="006D0505">
        <w:rPr>
          <w:rFonts w:ascii="Times New Roman" w:hAnsi="Times New Roman"/>
          <w:b/>
          <w:szCs w:val="22"/>
        </w:rPr>
        <w:tab/>
      </w:r>
      <w:r w:rsidR="007D1ACD">
        <w:rPr>
          <w:rFonts w:ascii="Times New Roman" w:hAnsi="Times New Roman"/>
          <w:b/>
          <w:szCs w:val="22"/>
        </w:rPr>
        <w:t xml:space="preserve">- Pillar 1 </w:t>
      </w:r>
      <w:r w:rsidR="006C7C3B">
        <w:rPr>
          <w:rFonts w:ascii="Times New Roman" w:hAnsi="Times New Roman"/>
          <w:b/>
          <w:szCs w:val="22"/>
        </w:rPr>
        <w:t>of the Compete Caribbean Partnership Facility</w:t>
      </w:r>
    </w:p>
    <w:p w14:paraId="4AA35E49" w14:textId="77777777" w:rsidR="000A4647" w:rsidRPr="006D0505" w:rsidRDefault="000A4647" w:rsidP="006D0505">
      <w:pPr>
        <w:pStyle w:val="BodyText"/>
        <w:jc w:val="center"/>
        <w:rPr>
          <w:rFonts w:ascii="Times New Roman" w:hAnsi="Times New Roman"/>
          <w:b/>
          <w:sz w:val="22"/>
          <w:szCs w:val="24"/>
        </w:rPr>
      </w:pPr>
    </w:p>
    <w:p w14:paraId="7864F7D9"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Background and Justification</w:t>
      </w:r>
    </w:p>
    <w:p w14:paraId="54853E29" w14:textId="77777777" w:rsidR="00A27784" w:rsidRPr="006D0505" w:rsidRDefault="00A27784" w:rsidP="00A27784">
      <w:pPr>
        <w:spacing w:line="276" w:lineRule="auto"/>
        <w:ind w:left="792"/>
        <w:contextualSpacing/>
        <w:jc w:val="both"/>
        <w:rPr>
          <w:rFonts w:ascii="Times New Roman" w:eastAsiaTheme="minorHAnsi" w:hAnsi="Times New Roman"/>
          <w:szCs w:val="22"/>
        </w:rPr>
      </w:pPr>
    </w:p>
    <w:p w14:paraId="16AE8E54" w14:textId="77777777" w:rsidR="003758D1" w:rsidRPr="006D0505" w:rsidRDefault="003758D1" w:rsidP="003758D1">
      <w:pPr>
        <w:pStyle w:val="ListParagraph"/>
        <w:numPr>
          <w:ilvl w:val="1"/>
          <w:numId w:val="1"/>
        </w:numPr>
        <w:jc w:val="both"/>
        <w:rPr>
          <w:rFonts w:eastAsiaTheme="minorHAnsi"/>
          <w:szCs w:val="22"/>
        </w:rPr>
      </w:pPr>
      <w:r w:rsidRPr="006D0505">
        <w:rPr>
          <w:rFonts w:eastAsiaTheme="minorHAnsi"/>
          <w:szCs w:val="22"/>
        </w:rPr>
        <w:t>Established in 1959, the Inter-American Development Bank (“IDB” or “Bank”) is the main source of financing for economic, social and institutional development in Latin America and the Caribbean. It provides loans, grants, guarantees, policy advice and technical assistance to the public and private sectors of its borrowing countries.</w:t>
      </w:r>
    </w:p>
    <w:p w14:paraId="4196E16A" w14:textId="77777777" w:rsidR="003758D1" w:rsidRPr="006D0505" w:rsidRDefault="003758D1" w:rsidP="003758D1">
      <w:pPr>
        <w:pStyle w:val="ListParagraph"/>
        <w:ind w:left="792"/>
        <w:jc w:val="both"/>
        <w:rPr>
          <w:rFonts w:eastAsiaTheme="minorHAnsi"/>
          <w:szCs w:val="22"/>
        </w:rPr>
      </w:pPr>
    </w:p>
    <w:p w14:paraId="5452827D" w14:textId="77777777" w:rsidR="00A27784" w:rsidRPr="006D0505" w:rsidRDefault="003758D1" w:rsidP="003758D1">
      <w:pPr>
        <w:widowControl w:val="0"/>
        <w:numPr>
          <w:ilvl w:val="1"/>
          <w:numId w:val="1"/>
        </w:numPr>
        <w:spacing w:after="200" w:line="276" w:lineRule="auto"/>
        <w:contextualSpacing/>
        <w:jc w:val="both"/>
        <w:rPr>
          <w:rFonts w:ascii="Times New Roman" w:eastAsiaTheme="minorHAnsi" w:hAnsi="Times New Roman"/>
          <w:szCs w:val="22"/>
        </w:rPr>
      </w:pPr>
      <w:r w:rsidRPr="006D0505">
        <w:rPr>
          <w:rFonts w:ascii="Times New Roman" w:eastAsiaTheme="minorHAnsi" w:hAnsi="Times New Roman"/>
          <w:szCs w:val="22"/>
        </w:rPr>
        <w:t>On March 20, 2016, the IDB Board approved the creation of the Compete Caribbean Partnership Facility (CCPF) as a multi-donor Trust Fund jointed funded by the United Kingdom’s Department for International Development (DFID) and the Caribbean Development Bank (CDB).</w:t>
      </w:r>
      <w:r w:rsidRPr="006D0505">
        <w:rPr>
          <w:rFonts w:ascii="Times New Roman" w:hAnsi="Times New Roman"/>
          <w:sz w:val="18"/>
        </w:rPr>
        <w:t xml:space="preserve"> </w:t>
      </w:r>
      <w:r w:rsidRPr="006D0505">
        <w:rPr>
          <w:rFonts w:ascii="Times New Roman" w:eastAsiaTheme="minorHAnsi" w:hAnsi="Times New Roman"/>
          <w:szCs w:val="22"/>
        </w:rPr>
        <w:t>The ultimate goal of the Compete Caribbean Partnership Facility is to support the Caribbean region in increasing productivity and Caribbean firms’ contribution to economic growth. The specific objectives are to (i) support firms to grow, innovate and enter new sectors and markets; and (ii) to promote an environment that enables innovation and growth. The Facility will support productivity and economic growth in the Caribbean by focusing on two thematic pillars: (i) productivity and innovation in firms; and (ii) enhancing the business and innovation climate. The Facility is being executed by Inter-American Development Bank and henceforth all procedures related to operations and implementation thereof must comply with IDB policies.</w:t>
      </w:r>
    </w:p>
    <w:p w14:paraId="7C64CD39" w14:textId="77777777" w:rsidR="00F362D4" w:rsidRPr="006D0505" w:rsidRDefault="00F362D4" w:rsidP="00F362D4">
      <w:pPr>
        <w:pStyle w:val="ListParagraph"/>
        <w:rPr>
          <w:rFonts w:eastAsiaTheme="minorHAnsi"/>
          <w:szCs w:val="22"/>
        </w:rPr>
      </w:pPr>
    </w:p>
    <w:p w14:paraId="4221FF6A" w14:textId="77777777" w:rsidR="000A4647" w:rsidRDefault="000A4647" w:rsidP="000A4647">
      <w:pPr>
        <w:pStyle w:val="ListParagraph"/>
        <w:numPr>
          <w:ilvl w:val="1"/>
          <w:numId w:val="1"/>
        </w:numPr>
        <w:spacing w:line="276" w:lineRule="auto"/>
        <w:contextualSpacing w:val="0"/>
        <w:jc w:val="both"/>
      </w:pPr>
      <w:r w:rsidRPr="00B83463">
        <w:t xml:space="preserve">Phase 1 of Compete Caribbean (2010-17) supported the creation of 12,000 jobs (80% for women and youth); increased revenue generated by participating  firms and clusters (USD$153m or a 41% increase); increased exports by participating firms and clusters (USD$37m or a 23% increase); introduction of environmental technologies or adoption of change innovations through nine private sector project; and improvements in the business environment in several Caribbean countries </w:t>
      </w:r>
      <w:r w:rsidRPr="000A4647">
        <w:t>(e.g.: Jamaica’s ranking for Access to finance improved to 12 from 189).</w:t>
      </w:r>
    </w:p>
    <w:p w14:paraId="2D505B27" w14:textId="77777777" w:rsidR="000A4647" w:rsidRDefault="000A4647" w:rsidP="000A4647">
      <w:pPr>
        <w:pStyle w:val="ListParagraph"/>
      </w:pPr>
    </w:p>
    <w:p w14:paraId="7EC5B23E" w14:textId="77777777" w:rsidR="000A4647" w:rsidRPr="00B83463" w:rsidRDefault="000A4647" w:rsidP="00D04DCD">
      <w:pPr>
        <w:pStyle w:val="ListParagraph"/>
        <w:spacing w:line="276" w:lineRule="auto"/>
        <w:ind w:left="792"/>
        <w:contextualSpacing w:val="0"/>
        <w:jc w:val="both"/>
      </w:pPr>
    </w:p>
    <w:p w14:paraId="0153F4E1" w14:textId="77777777" w:rsidR="00D04DCD" w:rsidRPr="00B83463" w:rsidRDefault="00D04DCD" w:rsidP="00D04DCD">
      <w:pPr>
        <w:pStyle w:val="ListParagraph"/>
        <w:numPr>
          <w:ilvl w:val="1"/>
          <w:numId w:val="1"/>
        </w:numPr>
        <w:spacing w:line="276" w:lineRule="auto"/>
        <w:contextualSpacing w:val="0"/>
        <w:jc w:val="both"/>
      </w:pPr>
      <w:r>
        <w:t xml:space="preserve">The </w:t>
      </w:r>
      <w:r w:rsidRPr="00B83463">
        <w:t>CCPF</w:t>
      </w:r>
      <w:r w:rsidR="00EE648A">
        <w:t xml:space="preserve"> </w:t>
      </w:r>
      <w:r w:rsidRPr="00B83463">
        <w:t>which will be implemented over the period (2017-2020), is the second phase of Compete Caribbean and builds on the success of the first phase. CCPF comprises two program pillars: Productivity and Innovation in Firms (Pillar I); and Enhancing the Business and Innovation Climate (Pillar 2). It is intended that CCPF should (a)</w:t>
      </w:r>
      <w:r w:rsidRPr="00B83463">
        <w:rPr>
          <w:color w:val="424242"/>
        </w:rPr>
        <w:t xml:space="preserve"> focus on the specific needs of the more vulnerable countries </w:t>
      </w:r>
      <w:r w:rsidRPr="00B83463">
        <w:t>(Belize, Dominica, Grenada, Guyana, Jamaica, Saint Lucia, Saint Vincent and the Grenadines</w:t>
      </w:r>
      <w:r w:rsidRPr="00B83463">
        <w:rPr>
          <w:color w:val="424242"/>
        </w:rPr>
        <w:t xml:space="preserve">); (b) support gender and diversity initiatives; (c) promote climate change activities; (d) foster the strengthening of institutions; and (e) promote scalability.  During Phase 1, a much higher proportion of proposals submitted by the more vulnerable countries were declined by the screening process, in part, due to the quality of the proposals. </w:t>
      </w:r>
    </w:p>
    <w:p w14:paraId="0CE61510" w14:textId="77777777" w:rsidR="006D3214" w:rsidRPr="000A4647" w:rsidRDefault="006D3214" w:rsidP="000A4647">
      <w:pPr>
        <w:widowControl w:val="0"/>
        <w:spacing w:after="200" w:line="276" w:lineRule="auto"/>
        <w:ind w:left="792"/>
        <w:contextualSpacing/>
        <w:jc w:val="both"/>
        <w:rPr>
          <w:rFonts w:eastAsiaTheme="minorHAnsi"/>
          <w:szCs w:val="22"/>
        </w:rPr>
      </w:pPr>
    </w:p>
    <w:p w14:paraId="71C2B890" w14:textId="48DC6443" w:rsidR="00E04377" w:rsidRPr="006D0505" w:rsidRDefault="000737E8" w:rsidP="000737E8">
      <w:pPr>
        <w:widowControl w:val="0"/>
        <w:numPr>
          <w:ilvl w:val="1"/>
          <w:numId w:val="1"/>
        </w:numPr>
        <w:spacing w:after="200" w:line="276" w:lineRule="auto"/>
        <w:contextualSpacing/>
        <w:jc w:val="both"/>
        <w:rPr>
          <w:rFonts w:ascii="Times New Roman" w:eastAsiaTheme="minorHAnsi" w:hAnsi="Times New Roman"/>
          <w:szCs w:val="22"/>
        </w:rPr>
      </w:pPr>
      <w:r>
        <w:rPr>
          <w:rFonts w:ascii="Times New Roman" w:eastAsiaTheme="minorHAnsi" w:hAnsi="Times New Roman"/>
          <w:szCs w:val="22"/>
        </w:rPr>
        <w:t>In</w:t>
      </w:r>
      <w:r w:rsidR="00E04377" w:rsidRPr="006D0505">
        <w:rPr>
          <w:rFonts w:ascii="Times New Roman" w:eastAsiaTheme="minorHAnsi" w:hAnsi="Times New Roman"/>
          <w:szCs w:val="22"/>
        </w:rPr>
        <w:t xml:space="preserve"> </w:t>
      </w:r>
      <w:r w:rsidRPr="000737E8">
        <w:rPr>
          <w:rFonts w:ascii="Times New Roman" w:eastAsiaTheme="minorHAnsi" w:hAnsi="Times New Roman"/>
          <w:szCs w:val="22"/>
        </w:rPr>
        <w:t xml:space="preserve">July 2017, CCPF began issuing Calls for Proposals under Pillar I and Pillar II. To date, two Calls for Proposals have been issued under Pillar I. The first, seeks to identify BSOs that are committed to supporting cluster initiatives. The second seeks to identify cluster initiatives that can help Caribbean firms to grow, </w:t>
      </w:r>
      <w:r w:rsidRPr="000737E8">
        <w:rPr>
          <w:rFonts w:ascii="Times New Roman" w:eastAsiaTheme="minorHAnsi" w:hAnsi="Times New Roman"/>
          <w:szCs w:val="22"/>
        </w:rPr>
        <w:lastRenderedPageBreak/>
        <w:t>generate employment and export to new markets.  The Pillar I</w:t>
      </w:r>
      <w:r w:rsidR="007D1877">
        <w:rPr>
          <w:rFonts w:ascii="Times New Roman" w:eastAsiaTheme="minorHAnsi" w:hAnsi="Times New Roman"/>
          <w:szCs w:val="22"/>
        </w:rPr>
        <w:t>I</w:t>
      </w:r>
      <w:r w:rsidRPr="000737E8">
        <w:rPr>
          <w:rFonts w:ascii="Times New Roman" w:eastAsiaTheme="minorHAnsi" w:hAnsi="Times New Roman"/>
          <w:szCs w:val="22"/>
        </w:rPr>
        <w:t xml:space="preserve"> Call for Proposal seeks to identify, from each eligible country, at least three priority business climate reform projects, that represent public sector, private sector and civil society consensus.  In addition to the Calls for Proposals, CCPF and local partners hosted a seri</w:t>
      </w:r>
      <w:r w:rsidR="00960A4D">
        <w:rPr>
          <w:rFonts w:ascii="Times New Roman" w:eastAsiaTheme="minorHAnsi" w:hAnsi="Times New Roman"/>
          <w:szCs w:val="22"/>
        </w:rPr>
        <w:t>e</w:t>
      </w:r>
      <w:r w:rsidRPr="000737E8">
        <w:rPr>
          <w:rFonts w:ascii="Times New Roman" w:eastAsiaTheme="minorHAnsi" w:hAnsi="Times New Roman"/>
          <w:szCs w:val="22"/>
        </w:rPr>
        <w:t xml:space="preserve">s of on-the-ground dialogues, among public sector, private sector and non-state actors over the period July 26th to August 18th, 2017. Under the theme Stimulating Private Sector Development and Economic Growth, these dialogues promoted the development of a local agenda of business climate reforms with broad public and private sector appeal; generated potential projects for funding; and strengthened the CCPF project pipeline. On August 23, 2017, CCPF also supported a Regional Policy Dialogue that was focused on increasing private sector access to Technical Extension Services (TES), and spurring innovation, productivity and competitiveness. Working closely with other key stakeholders, CCPF will use the recommendations arising from the dialogue to develop project proposals for pilot TES projects.  </w:t>
      </w:r>
    </w:p>
    <w:p w14:paraId="562F6908" w14:textId="77777777" w:rsidR="00E04377" w:rsidRPr="006D0505" w:rsidRDefault="00E04377" w:rsidP="00E04377">
      <w:pPr>
        <w:widowControl w:val="0"/>
        <w:spacing w:after="200" w:line="276" w:lineRule="auto"/>
        <w:ind w:left="792"/>
        <w:contextualSpacing/>
        <w:jc w:val="both"/>
        <w:rPr>
          <w:rFonts w:ascii="Times New Roman" w:eastAsiaTheme="minorHAnsi" w:hAnsi="Times New Roman"/>
          <w:szCs w:val="22"/>
        </w:rPr>
      </w:pPr>
    </w:p>
    <w:p w14:paraId="73DD2BC0" w14:textId="77777777" w:rsidR="000737E8" w:rsidRPr="000737E8" w:rsidRDefault="000737E8" w:rsidP="000737E8">
      <w:pPr>
        <w:pStyle w:val="ListParagraph"/>
        <w:numPr>
          <w:ilvl w:val="1"/>
          <w:numId w:val="1"/>
        </w:numPr>
        <w:spacing w:line="276" w:lineRule="auto"/>
        <w:jc w:val="both"/>
        <w:rPr>
          <w:rFonts w:eastAsiaTheme="minorHAnsi"/>
          <w:szCs w:val="22"/>
        </w:rPr>
      </w:pPr>
      <w:r>
        <w:rPr>
          <w:rFonts w:eastAsiaTheme="minorHAnsi"/>
          <w:szCs w:val="22"/>
        </w:rPr>
        <w:t>CCPF</w:t>
      </w:r>
      <w:r w:rsidRPr="000737E8">
        <w:rPr>
          <w:rFonts w:eastAsiaTheme="minorHAnsi"/>
          <w:szCs w:val="22"/>
        </w:rPr>
        <w:t>, under Pillar I, will be required to support the eligible countries with preparation of approximately six cluster-related Project Concept Notes (PCNs) and Cluster Capacity Enhancement Plans; and three TES pilot project proposals. Under Pillar II, CCPF expects to receive project concepts for approximately 39 priority business climate reform projects, which must be elaborated into complete project proposals for funding consideration. All CCPF project proposals must be very results-focused; developed based on consultation with, and inputs from, key stakeholders; reflect a sound understanding of local and regional business environment; and integrate gender and diversity, climate change, and regional integration considerations. Institutional strengthening projects must be based on sound capacity development principles; and all projects must include an explicit sustainability strategy.</w:t>
      </w:r>
    </w:p>
    <w:p w14:paraId="06E44869" w14:textId="77777777" w:rsidR="00A27784" w:rsidRPr="006D0505" w:rsidRDefault="00A27784" w:rsidP="00116497">
      <w:pPr>
        <w:spacing w:line="276" w:lineRule="auto"/>
        <w:contextualSpacing/>
        <w:rPr>
          <w:rFonts w:ascii="Times New Roman" w:eastAsiaTheme="minorHAnsi" w:hAnsi="Times New Roman"/>
          <w:b/>
          <w:szCs w:val="22"/>
          <w:u w:val="single"/>
        </w:rPr>
      </w:pPr>
    </w:p>
    <w:p w14:paraId="7EBA87BB"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Objectives</w:t>
      </w:r>
    </w:p>
    <w:p w14:paraId="54F61BDA" w14:textId="77777777" w:rsidR="00A27784" w:rsidRPr="006D0505" w:rsidRDefault="00A27784" w:rsidP="00A27784">
      <w:pPr>
        <w:spacing w:line="276" w:lineRule="auto"/>
        <w:ind w:left="360"/>
        <w:contextualSpacing/>
        <w:rPr>
          <w:rFonts w:ascii="Times New Roman" w:eastAsiaTheme="minorHAnsi" w:hAnsi="Times New Roman"/>
          <w:b/>
          <w:szCs w:val="22"/>
          <w:u w:val="single"/>
        </w:rPr>
      </w:pPr>
      <w:r w:rsidRPr="006D0505">
        <w:rPr>
          <w:rFonts w:ascii="Times New Roman" w:eastAsiaTheme="minorHAnsi" w:hAnsi="Times New Roman"/>
          <w:b/>
          <w:szCs w:val="22"/>
          <w:u w:val="single"/>
        </w:rPr>
        <w:t xml:space="preserve"> </w:t>
      </w:r>
    </w:p>
    <w:p w14:paraId="00974B0C" w14:textId="02F33F2D" w:rsidR="00F42D31" w:rsidRPr="000737E8" w:rsidRDefault="000737E8" w:rsidP="00834822">
      <w:pPr>
        <w:widowControl w:val="0"/>
        <w:numPr>
          <w:ilvl w:val="1"/>
          <w:numId w:val="1"/>
        </w:numPr>
        <w:spacing w:after="200" w:line="276" w:lineRule="auto"/>
        <w:contextualSpacing/>
        <w:jc w:val="both"/>
        <w:rPr>
          <w:rFonts w:ascii="Times New Roman" w:eastAsiaTheme="minorHAnsi" w:hAnsi="Times New Roman"/>
          <w:szCs w:val="22"/>
        </w:rPr>
      </w:pPr>
      <w:r>
        <w:rPr>
          <w:rFonts w:ascii="Times New Roman" w:eastAsiaTheme="minorHAnsi" w:hAnsi="Times New Roman"/>
          <w:szCs w:val="22"/>
        </w:rPr>
        <w:t xml:space="preserve">The </w:t>
      </w:r>
      <w:r w:rsidRPr="000737E8">
        <w:rPr>
          <w:rFonts w:ascii="Times New Roman" w:eastAsiaTheme="minorHAnsi" w:hAnsi="Times New Roman"/>
          <w:szCs w:val="22"/>
        </w:rPr>
        <w:t>objectives of this consultancy are to (</w:t>
      </w:r>
      <w:r w:rsidR="00834822" w:rsidRPr="000737E8">
        <w:rPr>
          <w:rFonts w:ascii="Times New Roman" w:eastAsiaTheme="minorHAnsi" w:hAnsi="Times New Roman"/>
          <w:szCs w:val="22"/>
        </w:rPr>
        <w:t xml:space="preserve">a) </w:t>
      </w:r>
      <w:r w:rsidR="00834822" w:rsidRPr="00834822">
        <w:rPr>
          <w:rFonts w:ascii="Times New Roman" w:eastAsiaTheme="minorHAnsi" w:hAnsi="Times New Roman"/>
          <w:szCs w:val="22"/>
        </w:rPr>
        <w:t xml:space="preserve">provide project development and design expertise to beneficiary countries (b) to improve the capacity of eligible countries with timely preparation of Pillar I </w:t>
      </w:r>
      <w:r w:rsidR="00834822">
        <w:rPr>
          <w:rFonts w:ascii="Times New Roman" w:eastAsiaTheme="minorHAnsi" w:hAnsi="Times New Roman"/>
          <w:szCs w:val="22"/>
        </w:rPr>
        <w:t xml:space="preserve">Cluster Project Concept </w:t>
      </w:r>
      <w:r w:rsidR="00D50461">
        <w:rPr>
          <w:rFonts w:ascii="Times New Roman" w:eastAsiaTheme="minorHAnsi" w:hAnsi="Times New Roman"/>
          <w:szCs w:val="22"/>
        </w:rPr>
        <w:t xml:space="preserve">Notes </w:t>
      </w:r>
      <w:r w:rsidR="00D50461" w:rsidRPr="00834822">
        <w:rPr>
          <w:rFonts w:ascii="Times New Roman" w:eastAsiaTheme="minorHAnsi" w:hAnsi="Times New Roman"/>
          <w:szCs w:val="22"/>
        </w:rPr>
        <w:t>that</w:t>
      </w:r>
      <w:r w:rsidR="00834822" w:rsidRPr="00834822">
        <w:rPr>
          <w:rFonts w:ascii="Times New Roman" w:eastAsiaTheme="minorHAnsi" w:hAnsi="Times New Roman"/>
          <w:szCs w:val="22"/>
        </w:rPr>
        <w:t xml:space="preserve"> satisfy CCPF's eligibility criteria</w:t>
      </w:r>
      <w:r w:rsidR="00834822">
        <w:rPr>
          <w:rFonts w:ascii="Times New Roman" w:eastAsiaTheme="minorHAnsi" w:hAnsi="Times New Roman"/>
          <w:szCs w:val="22"/>
        </w:rPr>
        <w:t>.</w:t>
      </w:r>
    </w:p>
    <w:p w14:paraId="4726BE76" w14:textId="77777777" w:rsidR="00A27784" w:rsidRPr="006D0505" w:rsidRDefault="00A27784" w:rsidP="00A27784">
      <w:pPr>
        <w:spacing w:line="276" w:lineRule="auto"/>
        <w:ind w:left="360"/>
        <w:contextualSpacing/>
        <w:rPr>
          <w:rFonts w:ascii="Times New Roman" w:eastAsiaTheme="minorHAnsi" w:hAnsi="Times New Roman"/>
          <w:b/>
          <w:szCs w:val="22"/>
          <w:u w:val="single"/>
        </w:rPr>
      </w:pPr>
    </w:p>
    <w:p w14:paraId="34658A10"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Scope of Services</w:t>
      </w:r>
    </w:p>
    <w:p w14:paraId="366E5AE9" w14:textId="77777777" w:rsidR="00A27784" w:rsidRPr="00D3484A" w:rsidRDefault="00A27784" w:rsidP="00834A06">
      <w:pPr>
        <w:ind w:left="792"/>
        <w:contextualSpacing/>
        <w:jc w:val="both"/>
        <w:rPr>
          <w:rFonts w:ascii="Times New Roman" w:eastAsiaTheme="minorHAnsi" w:hAnsi="Times New Roman"/>
          <w:b/>
          <w:i/>
          <w:szCs w:val="22"/>
        </w:rPr>
      </w:pPr>
    </w:p>
    <w:p w14:paraId="42A260FB" w14:textId="2641EF2B" w:rsidR="00E02EB6" w:rsidRPr="00834822" w:rsidRDefault="00A27784" w:rsidP="009E7A5D">
      <w:pPr>
        <w:numPr>
          <w:ilvl w:val="1"/>
          <w:numId w:val="1"/>
        </w:numPr>
        <w:jc w:val="both"/>
        <w:rPr>
          <w:rFonts w:ascii="Times New Roman" w:eastAsiaTheme="minorHAnsi" w:hAnsi="Times New Roman"/>
          <w:szCs w:val="22"/>
        </w:rPr>
      </w:pPr>
      <w:r w:rsidRPr="00D3484A">
        <w:rPr>
          <w:rFonts w:ascii="Times New Roman" w:eastAsiaTheme="minorHAnsi" w:hAnsi="Times New Roman"/>
          <w:szCs w:val="22"/>
        </w:rPr>
        <w:t xml:space="preserve"> </w:t>
      </w:r>
      <w:r w:rsidR="009E7A5D" w:rsidRPr="00834822">
        <w:rPr>
          <w:rFonts w:ascii="Times New Roman" w:eastAsiaTheme="minorHAnsi" w:hAnsi="Times New Roman"/>
          <w:szCs w:val="22"/>
        </w:rPr>
        <w:t>The</w:t>
      </w:r>
      <w:r w:rsidR="00D3484A" w:rsidRPr="00834822">
        <w:rPr>
          <w:rFonts w:ascii="Times New Roman" w:eastAsiaTheme="minorHAnsi" w:hAnsi="Times New Roman"/>
          <w:szCs w:val="22"/>
        </w:rPr>
        <w:t xml:space="preserve"> </w:t>
      </w:r>
      <w:r w:rsidR="009E7A5D" w:rsidRPr="00834822">
        <w:rPr>
          <w:rFonts w:ascii="Times New Roman" w:eastAsiaTheme="minorHAnsi" w:hAnsi="Times New Roman"/>
          <w:szCs w:val="22"/>
        </w:rPr>
        <w:t xml:space="preserve">scope of services includes the use of a participatory approach and relevant project development tools, to assist </w:t>
      </w:r>
      <w:r w:rsidR="000A15F6" w:rsidRPr="00834822">
        <w:rPr>
          <w:rFonts w:ascii="Times New Roman" w:eastAsiaTheme="minorHAnsi" w:hAnsi="Times New Roman"/>
          <w:szCs w:val="22"/>
        </w:rPr>
        <w:t xml:space="preserve">applicants </w:t>
      </w:r>
      <w:r w:rsidR="009E7A5D" w:rsidRPr="00834822">
        <w:rPr>
          <w:rFonts w:ascii="Times New Roman" w:eastAsiaTheme="minorHAnsi" w:hAnsi="Times New Roman"/>
          <w:szCs w:val="22"/>
        </w:rPr>
        <w:t xml:space="preserve">with the preparation of </w:t>
      </w:r>
      <w:r w:rsidR="000A15F6" w:rsidRPr="00834822">
        <w:rPr>
          <w:rFonts w:ascii="Times New Roman" w:eastAsiaTheme="minorHAnsi" w:hAnsi="Times New Roman"/>
          <w:szCs w:val="22"/>
        </w:rPr>
        <w:t xml:space="preserve">detailed </w:t>
      </w:r>
      <w:r w:rsidR="000A656C" w:rsidRPr="00834822">
        <w:rPr>
          <w:rFonts w:ascii="Times New Roman" w:eastAsiaTheme="minorHAnsi" w:hAnsi="Times New Roman"/>
          <w:szCs w:val="22"/>
        </w:rPr>
        <w:t xml:space="preserve">project </w:t>
      </w:r>
      <w:r w:rsidR="009E7A5D" w:rsidRPr="00834822">
        <w:rPr>
          <w:rFonts w:ascii="Times New Roman" w:eastAsiaTheme="minorHAnsi" w:hAnsi="Times New Roman"/>
          <w:szCs w:val="22"/>
        </w:rPr>
        <w:t xml:space="preserve">proposals </w:t>
      </w:r>
      <w:r w:rsidR="000A15F6" w:rsidRPr="00834822">
        <w:rPr>
          <w:rFonts w:ascii="Times New Roman" w:eastAsiaTheme="minorHAnsi" w:hAnsi="Times New Roman"/>
          <w:szCs w:val="22"/>
        </w:rPr>
        <w:t xml:space="preserve">based on Concept Notes submitted by the applicant and screened by CCPF. </w:t>
      </w:r>
      <w:r w:rsidR="009E7A5D" w:rsidRPr="00834822">
        <w:rPr>
          <w:rFonts w:ascii="Times New Roman" w:eastAsiaTheme="minorHAnsi" w:hAnsi="Times New Roman"/>
          <w:szCs w:val="22"/>
        </w:rPr>
        <w:t>Projects developed must meet CCPF’s Eligibility Criteria including being results-focused and integrating gender, climate change and social inclusion considerations.</w:t>
      </w:r>
      <w:r w:rsidR="000A15F6" w:rsidRPr="00834822">
        <w:rPr>
          <w:rFonts w:ascii="Times New Roman" w:eastAsiaTheme="minorHAnsi" w:hAnsi="Times New Roman"/>
          <w:szCs w:val="22"/>
        </w:rPr>
        <w:t xml:space="preserve"> More specifically, the Consultant will assist {</w:t>
      </w:r>
      <w:r w:rsidR="00834822" w:rsidRPr="00834822">
        <w:rPr>
          <w:rFonts w:ascii="Times New Roman" w:eastAsiaTheme="minorHAnsi" w:hAnsi="Times New Roman"/>
          <w:i/>
          <w:szCs w:val="22"/>
        </w:rPr>
        <w:t>Counterpart</w:t>
      </w:r>
      <w:r w:rsidR="000A15F6" w:rsidRPr="00834822">
        <w:rPr>
          <w:rFonts w:ascii="Times New Roman" w:eastAsiaTheme="minorHAnsi" w:hAnsi="Times New Roman"/>
          <w:i/>
          <w:szCs w:val="22"/>
        </w:rPr>
        <w:t xml:space="preserve"> Agency</w:t>
      </w:r>
      <w:r w:rsidR="000A15F6" w:rsidRPr="00834822">
        <w:rPr>
          <w:rFonts w:ascii="Times New Roman" w:eastAsiaTheme="minorHAnsi" w:hAnsi="Times New Roman"/>
          <w:szCs w:val="22"/>
        </w:rPr>
        <w:t xml:space="preserve">} with the preparation of a detailed proposal based on the Concept Note titled </w:t>
      </w:r>
      <w:r w:rsidR="00414DE7" w:rsidRPr="00834822">
        <w:rPr>
          <w:rFonts w:ascii="Times New Roman" w:eastAsiaTheme="minorHAnsi" w:hAnsi="Times New Roman"/>
          <w:szCs w:val="22"/>
        </w:rPr>
        <w:t>“{Project</w:t>
      </w:r>
      <w:r w:rsidR="000A15F6" w:rsidRPr="00834822">
        <w:rPr>
          <w:rFonts w:ascii="Times New Roman" w:eastAsiaTheme="minorHAnsi" w:hAnsi="Times New Roman"/>
          <w:i/>
          <w:szCs w:val="22"/>
        </w:rPr>
        <w:t xml:space="preserve"> Title as stated on Concept Note</w:t>
      </w:r>
      <w:r w:rsidR="000A15F6" w:rsidRPr="00834822">
        <w:rPr>
          <w:rFonts w:ascii="Times New Roman" w:eastAsiaTheme="minorHAnsi" w:hAnsi="Times New Roman"/>
          <w:szCs w:val="22"/>
        </w:rPr>
        <w:t>}.</w:t>
      </w:r>
    </w:p>
    <w:p w14:paraId="6A6F49D5" w14:textId="77777777" w:rsidR="00D3484A" w:rsidRPr="00AB4C30" w:rsidRDefault="00D3484A" w:rsidP="007D1ACD">
      <w:pPr>
        <w:widowControl w:val="0"/>
        <w:spacing w:after="200" w:line="276" w:lineRule="auto"/>
        <w:contextualSpacing/>
        <w:jc w:val="both"/>
        <w:rPr>
          <w:rFonts w:ascii="Times New Roman" w:eastAsiaTheme="minorHAnsi" w:hAnsi="Times New Roman"/>
          <w:szCs w:val="22"/>
        </w:rPr>
      </w:pPr>
    </w:p>
    <w:p w14:paraId="4A70699D" w14:textId="77777777" w:rsidR="00A27784" w:rsidRPr="006D0505" w:rsidRDefault="00A27784" w:rsidP="00A27784">
      <w:pPr>
        <w:spacing w:line="276" w:lineRule="auto"/>
        <w:ind w:left="1224"/>
        <w:contextualSpacing/>
        <w:jc w:val="both"/>
        <w:rPr>
          <w:rFonts w:ascii="Times New Roman" w:eastAsiaTheme="minorHAnsi" w:hAnsi="Times New Roman"/>
          <w:szCs w:val="22"/>
        </w:rPr>
      </w:pPr>
    </w:p>
    <w:p w14:paraId="559081D4"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Key Activities</w:t>
      </w:r>
    </w:p>
    <w:p w14:paraId="23D17B08" w14:textId="77777777" w:rsidR="00A27784" w:rsidRPr="006D0505" w:rsidRDefault="00A27784" w:rsidP="00A27784">
      <w:pPr>
        <w:spacing w:line="276" w:lineRule="auto"/>
        <w:ind w:left="360"/>
        <w:contextualSpacing/>
        <w:rPr>
          <w:rFonts w:ascii="Times New Roman" w:eastAsiaTheme="minorHAnsi" w:hAnsi="Times New Roman"/>
          <w:b/>
          <w:szCs w:val="22"/>
          <w:u w:val="single"/>
        </w:rPr>
      </w:pPr>
    </w:p>
    <w:p w14:paraId="3669B3A7" w14:textId="77777777" w:rsidR="00784C78" w:rsidRPr="006D0505" w:rsidRDefault="007D1ACD" w:rsidP="006C046A">
      <w:pPr>
        <w:spacing w:line="276" w:lineRule="auto"/>
        <w:ind w:left="720"/>
        <w:contextualSpacing/>
        <w:rPr>
          <w:rFonts w:ascii="Times New Roman" w:eastAsiaTheme="minorHAnsi" w:hAnsi="Times New Roman"/>
          <w:szCs w:val="22"/>
        </w:rPr>
      </w:pPr>
      <w:r w:rsidRPr="007D1ACD">
        <w:rPr>
          <w:rFonts w:ascii="Times New Roman" w:eastAsiaTheme="minorHAnsi" w:hAnsi="Times New Roman"/>
          <w:szCs w:val="22"/>
        </w:rPr>
        <w:t>The contractual will carry out the following key activities that will facilitate the achievement of the objective</w:t>
      </w:r>
      <w:r w:rsidR="00784C78" w:rsidRPr="006D0505">
        <w:rPr>
          <w:rFonts w:ascii="Times New Roman" w:eastAsiaTheme="minorHAnsi" w:hAnsi="Times New Roman"/>
          <w:szCs w:val="22"/>
        </w:rPr>
        <w:t>:</w:t>
      </w:r>
    </w:p>
    <w:p w14:paraId="101DEE07" w14:textId="77777777" w:rsidR="00784C78" w:rsidRPr="006D0505" w:rsidRDefault="00784C78" w:rsidP="00A27784">
      <w:pPr>
        <w:spacing w:line="276" w:lineRule="auto"/>
        <w:ind w:left="360"/>
        <w:contextualSpacing/>
        <w:rPr>
          <w:rFonts w:ascii="Times New Roman" w:eastAsiaTheme="minorHAnsi" w:hAnsi="Times New Roman"/>
          <w:b/>
          <w:szCs w:val="22"/>
          <w:u w:val="single"/>
        </w:rPr>
      </w:pPr>
    </w:p>
    <w:p w14:paraId="67414CA5" w14:textId="49FDD2BC" w:rsidR="00E02EB6" w:rsidRDefault="007D1ACD" w:rsidP="007D1ACD">
      <w:pPr>
        <w:widowControl w:val="0"/>
        <w:numPr>
          <w:ilvl w:val="1"/>
          <w:numId w:val="1"/>
        </w:numPr>
        <w:spacing w:after="200" w:line="276" w:lineRule="auto"/>
        <w:contextualSpacing/>
        <w:jc w:val="both"/>
        <w:rPr>
          <w:rFonts w:ascii="Times New Roman" w:eastAsiaTheme="minorHAnsi" w:hAnsi="Times New Roman"/>
          <w:szCs w:val="22"/>
        </w:rPr>
      </w:pPr>
      <w:r>
        <w:rPr>
          <w:rFonts w:ascii="Times New Roman" w:eastAsiaTheme="minorHAnsi" w:hAnsi="Times New Roman"/>
          <w:szCs w:val="22"/>
        </w:rPr>
        <w:t xml:space="preserve">Review </w:t>
      </w:r>
      <w:r w:rsidRPr="007D1ACD">
        <w:rPr>
          <w:rFonts w:ascii="Times New Roman" w:eastAsiaTheme="minorHAnsi" w:hAnsi="Times New Roman"/>
          <w:szCs w:val="22"/>
        </w:rPr>
        <w:t>CCPF program documents to develop an understanding of the scope and objectives of the Facility; specific results to be achieved; and operating regulations and procedures.</w:t>
      </w:r>
    </w:p>
    <w:p w14:paraId="298A620C" w14:textId="661CF51E" w:rsidR="00114562" w:rsidRDefault="00114562" w:rsidP="007D1ACD">
      <w:pPr>
        <w:widowControl w:val="0"/>
        <w:numPr>
          <w:ilvl w:val="1"/>
          <w:numId w:val="1"/>
        </w:numPr>
        <w:spacing w:after="200" w:line="276" w:lineRule="auto"/>
        <w:contextualSpacing/>
        <w:jc w:val="both"/>
        <w:rPr>
          <w:rFonts w:ascii="Times New Roman" w:eastAsiaTheme="minorHAnsi" w:hAnsi="Times New Roman"/>
          <w:szCs w:val="22"/>
        </w:rPr>
      </w:pPr>
      <w:r>
        <w:rPr>
          <w:rFonts w:ascii="Times New Roman" w:eastAsiaTheme="minorHAnsi" w:hAnsi="Times New Roman"/>
          <w:szCs w:val="22"/>
        </w:rPr>
        <w:t>Review the proposal submitted by the country.</w:t>
      </w:r>
    </w:p>
    <w:p w14:paraId="4F26486E" w14:textId="77777777" w:rsidR="000A15F6" w:rsidRDefault="000A15F6" w:rsidP="007D1ACD">
      <w:pPr>
        <w:widowControl w:val="0"/>
        <w:numPr>
          <w:ilvl w:val="1"/>
          <w:numId w:val="1"/>
        </w:numPr>
        <w:spacing w:after="200" w:line="276" w:lineRule="auto"/>
        <w:contextualSpacing/>
        <w:jc w:val="both"/>
        <w:rPr>
          <w:rFonts w:ascii="Times New Roman" w:eastAsiaTheme="minorHAnsi" w:hAnsi="Times New Roman"/>
          <w:szCs w:val="22"/>
        </w:rPr>
      </w:pPr>
      <w:r>
        <w:rPr>
          <w:rFonts w:ascii="Times New Roman" w:eastAsiaTheme="minorHAnsi" w:hAnsi="Times New Roman"/>
          <w:szCs w:val="22"/>
        </w:rPr>
        <w:t xml:space="preserve">Review other relevant background documents such as national development plans, </w:t>
      </w:r>
      <w:r w:rsidR="00361667">
        <w:rPr>
          <w:rFonts w:ascii="Times New Roman" w:eastAsiaTheme="minorHAnsi" w:hAnsi="Times New Roman"/>
          <w:szCs w:val="22"/>
        </w:rPr>
        <w:t xml:space="preserve">studies/reports, </w:t>
      </w:r>
      <w:r>
        <w:rPr>
          <w:rFonts w:ascii="Times New Roman" w:eastAsiaTheme="minorHAnsi" w:hAnsi="Times New Roman"/>
          <w:szCs w:val="22"/>
        </w:rPr>
        <w:t xml:space="preserve">Country Strategies, gender assessments, </w:t>
      </w:r>
      <w:r w:rsidR="00361667">
        <w:rPr>
          <w:rFonts w:ascii="Times New Roman" w:eastAsiaTheme="minorHAnsi" w:hAnsi="Times New Roman"/>
          <w:szCs w:val="22"/>
        </w:rPr>
        <w:t xml:space="preserve">and/or </w:t>
      </w:r>
      <w:r>
        <w:rPr>
          <w:rFonts w:ascii="Times New Roman" w:eastAsiaTheme="minorHAnsi" w:hAnsi="Times New Roman"/>
          <w:szCs w:val="22"/>
        </w:rPr>
        <w:t>evaluation report</w:t>
      </w:r>
      <w:r w:rsidR="00361667">
        <w:rPr>
          <w:rFonts w:ascii="Times New Roman" w:eastAsiaTheme="minorHAnsi" w:hAnsi="Times New Roman"/>
          <w:szCs w:val="22"/>
        </w:rPr>
        <w:t>s</w:t>
      </w:r>
      <w:r>
        <w:rPr>
          <w:rFonts w:ascii="Times New Roman" w:eastAsiaTheme="minorHAnsi" w:hAnsi="Times New Roman"/>
          <w:szCs w:val="22"/>
        </w:rPr>
        <w:t xml:space="preserve"> to identify synergies</w:t>
      </w:r>
      <w:r w:rsidR="00361667">
        <w:rPr>
          <w:rFonts w:ascii="Times New Roman" w:eastAsiaTheme="minorHAnsi" w:hAnsi="Times New Roman"/>
          <w:szCs w:val="22"/>
        </w:rPr>
        <w:t xml:space="preserve"> and</w:t>
      </w:r>
      <w:r>
        <w:rPr>
          <w:rFonts w:ascii="Times New Roman" w:eastAsiaTheme="minorHAnsi" w:hAnsi="Times New Roman"/>
          <w:szCs w:val="22"/>
        </w:rPr>
        <w:t xml:space="preserve"> avoid duplication</w:t>
      </w:r>
      <w:r w:rsidR="00361667">
        <w:rPr>
          <w:rFonts w:ascii="Times New Roman" w:eastAsiaTheme="minorHAnsi" w:hAnsi="Times New Roman"/>
          <w:szCs w:val="22"/>
        </w:rPr>
        <w:t>;</w:t>
      </w:r>
      <w:r>
        <w:rPr>
          <w:rFonts w:ascii="Times New Roman" w:eastAsiaTheme="minorHAnsi" w:hAnsi="Times New Roman"/>
          <w:szCs w:val="22"/>
        </w:rPr>
        <w:t xml:space="preserve"> </w:t>
      </w:r>
      <w:r w:rsidR="00361667">
        <w:rPr>
          <w:rFonts w:ascii="Times New Roman" w:eastAsiaTheme="minorHAnsi" w:hAnsi="Times New Roman"/>
          <w:szCs w:val="22"/>
        </w:rPr>
        <w:t xml:space="preserve">and </w:t>
      </w:r>
      <w:r>
        <w:rPr>
          <w:rFonts w:ascii="Times New Roman" w:eastAsiaTheme="minorHAnsi" w:hAnsi="Times New Roman"/>
          <w:szCs w:val="22"/>
        </w:rPr>
        <w:lastRenderedPageBreak/>
        <w:t xml:space="preserve">identify </w:t>
      </w:r>
      <w:r w:rsidR="00361667">
        <w:rPr>
          <w:rFonts w:ascii="Times New Roman" w:eastAsiaTheme="minorHAnsi" w:hAnsi="Times New Roman"/>
          <w:szCs w:val="22"/>
        </w:rPr>
        <w:t>lessons learned and risks from the implementation of similar projects.</w:t>
      </w:r>
    </w:p>
    <w:p w14:paraId="0AB592C9" w14:textId="52B4AEA9" w:rsidR="007D1ACD" w:rsidRDefault="007D1ACD" w:rsidP="007D1ACD">
      <w:pPr>
        <w:widowControl w:val="0"/>
        <w:numPr>
          <w:ilvl w:val="1"/>
          <w:numId w:val="1"/>
        </w:numPr>
        <w:spacing w:after="200" w:line="276" w:lineRule="auto"/>
        <w:contextualSpacing/>
        <w:jc w:val="both"/>
        <w:rPr>
          <w:rFonts w:ascii="Times New Roman" w:eastAsiaTheme="minorHAnsi" w:hAnsi="Times New Roman"/>
          <w:szCs w:val="22"/>
        </w:rPr>
      </w:pPr>
      <w:r>
        <w:rPr>
          <w:rFonts w:ascii="Times New Roman" w:eastAsiaTheme="minorHAnsi" w:hAnsi="Times New Roman"/>
          <w:szCs w:val="22"/>
        </w:rPr>
        <w:t xml:space="preserve">Analyse </w:t>
      </w:r>
      <w:r w:rsidRPr="007D1ACD">
        <w:rPr>
          <w:rFonts w:ascii="Times New Roman" w:eastAsiaTheme="minorHAnsi" w:hAnsi="Times New Roman"/>
          <w:szCs w:val="22"/>
        </w:rPr>
        <w:t xml:space="preserve">the request for funding submitted by the </w:t>
      </w:r>
      <w:r w:rsidR="00361667">
        <w:rPr>
          <w:rFonts w:ascii="Times New Roman" w:eastAsiaTheme="minorHAnsi" w:hAnsi="Times New Roman"/>
          <w:szCs w:val="22"/>
        </w:rPr>
        <w:t xml:space="preserve">applicant </w:t>
      </w:r>
      <w:r w:rsidRPr="007D1ACD">
        <w:rPr>
          <w:rFonts w:ascii="Times New Roman" w:eastAsiaTheme="minorHAnsi" w:hAnsi="Times New Roman"/>
          <w:szCs w:val="22"/>
        </w:rPr>
        <w:t>to identify the data gaps which need to be filled</w:t>
      </w:r>
      <w:r w:rsidR="00114562">
        <w:rPr>
          <w:rFonts w:ascii="Times New Roman" w:eastAsiaTheme="minorHAnsi" w:hAnsi="Times New Roman"/>
          <w:szCs w:val="22"/>
        </w:rPr>
        <w:t xml:space="preserve">, as well as the opportunities to incorporate innovation and best practices, </w:t>
      </w:r>
      <w:r w:rsidRPr="007D1ACD">
        <w:rPr>
          <w:rFonts w:ascii="Times New Roman" w:eastAsiaTheme="minorHAnsi" w:hAnsi="Times New Roman"/>
          <w:szCs w:val="22"/>
        </w:rPr>
        <w:t xml:space="preserve">to develop a </w:t>
      </w:r>
      <w:r w:rsidR="00361667">
        <w:rPr>
          <w:rFonts w:ascii="Times New Roman" w:eastAsiaTheme="minorHAnsi" w:hAnsi="Times New Roman"/>
          <w:szCs w:val="22"/>
        </w:rPr>
        <w:t>detailed project proposal</w:t>
      </w:r>
      <w:r w:rsidRPr="007D1ACD">
        <w:rPr>
          <w:rFonts w:ascii="Times New Roman" w:eastAsiaTheme="minorHAnsi" w:hAnsi="Times New Roman"/>
          <w:szCs w:val="22"/>
        </w:rPr>
        <w:t xml:space="preserve"> that meets CCPF’s eligibility criteria</w:t>
      </w:r>
      <w:r w:rsidR="00114562">
        <w:rPr>
          <w:rFonts w:ascii="Times New Roman" w:eastAsiaTheme="minorHAnsi" w:hAnsi="Times New Roman"/>
          <w:szCs w:val="22"/>
        </w:rPr>
        <w:t>, provides the highest impact to the country in terms of the objectives pursued,</w:t>
      </w:r>
      <w:r w:rsidRPr="007D1ACD">
        <w:rPr>
          <w:rFonts w:ascii="Times New Roman" w:eastAsiaTheme="minorHAnsi" w:hAnsi="Times New Roman"/>
          <w:szCs w:val="22"/>
        </w:rPr>
        <w:t xml:space="preserve"> and </w:t>
      </w:r>
      <w:r w:rsidR="00361667">
        <w:rPr>
          <w:rFonts w:ascii="Times New Roman" w:eastAsiaTheme="minorHAnsi" w:hAnsi="Times New Roman"/>
          <w:szCs w:val="22"/>
        </w:rPr>
        <w:t xml:space="preserve">is according to CCPF’s </w:t>
      </w:r>
      <w:r w:rsidRPr="007D1ACD">
        <w:rPr>
          <w:rFonts w:ascii="Times New Roman" w:eastAsiaTheme="minorHAnsi" w:hAnsi="Times New Roman"/>
          <w:szCs w:val="22"/>
        </w:rPr>
        <w:t>project propo</w:t>
      </w:r>
      <w:r w:rsidR="00361667">
        <w:rPr>
          <w:rFonts w:ascii="Times New Roman" w:eastAsiaTheme="minorHAnsi" w:hAnsi="Times New Roman"/>
          <w:szCs w:val="22"/>
        </w:rPr>
        <w:t>sal format</w:t>
      </w:r>
      <w:r w:rsidRPr="007D1ACD">
        <w:rPr>
          <w:rFonts w:ascii="Times New Roman" w:eastAsiaTheme="minorHAnsi" w:hAnsi="Times New Roman"/>
          <w:szCs w:val="22"/>
        </w:rPr>
        <w:t>.</w:t>
      </w:r>
    </w:p>
    <w:p w14:paraId="72CCCEEE" w14:textId="64B160A1" w:rsidR="007D1ACD" w:rsidRDefault="007D1ACD" w:rsidP="007D1ACD">
      <w:pPr>
        <w:widowControl w:val="0"/>
        <w:numPr>
          <w:ilvl w:val="1"/>
          <w:numId w:val="1"/>
        </w:numPr>
        <w:spacing w:after="200" w:line="276" w:lineRule="auto"/>
        <w:contextualSpacing/>
        <w:jc w:val="both"/>
        <w:rPr>
          <w:rFonts w:ascii="Times New Roman" w:eastAsiaTheme="minorHAnsi" w:hAnsi="Times New Roman"/>
          <w:szCs w:val="22"/>
        </w:rPr>
      </w:pPr>
      <w:r>
        <w:rPr>
          <w:rFonts w:ascii="Times New Roman" w:eastAsiaTheme="minorHAnsi" w:hAnsi="Times New Roman"/>
          <w:szCs w:val="22"/>
        </w:rPr>
        <w:t xml:space="preserve">Prepare </w:t>
      </w:r>
      <w:r w:rsidRPr="007D1ACD">
        <w:rPr>
          <w:rFonts w:ascii="Times New Roman" w:eastAsiaTheme="minorHAnsi" w:hAnsi="Times New Roman"/>
          <w:szCs w:val="22"/>
        </w:rPr>
        <w:t>a Work Plan for closing the identified data gaps, designing the project</w:t>
      </w:r>
      <w:r w:rsidR="00114562">
        <w:rPr>
          <w:rFonts w:ascii="Times New Roman" w:eastAsiaTheme="minorHAnsi" w:hAnsi="Times New Roman"/>
          <w:szCs w:val="22"/>
        </w:rPr>
        <w:t xml:space="preserve"> for impact</w:t>
      </w:r>
      <w:r w:rsidRPr="007D1ACD">
        <w:rPr>
          <w:rFonts w:ascii="Times New Roman" w:eastAsiaTheme="minorHAnsi" w:hAnsi="Times New Roman"/>
          <w:szCs w:val="22"/>
        </w:rPr>
        <w:t xml:space="preserve"> and producing the </w:t>
      </w:r>
      <w:r w:rsidR="000A656C">
        <w:rPr>
          <w:rFonts w:ascii="Times New Roman" w:eastAsiaTheme="minorHAnsi" w:hAnsi="Times New Roman"/>
          <w:szCs w:val="22"/>
        </w:rPr>
        <w:t xml:space="preserve">detailed </w:t>
      </w:r>
      <w:r w:rsidRPr="007D1ACD">
        <w:rPr>
          <w:rFonts w:ascii="Times New Roman" w:eastAsiaTheme="minorHAnsi" w:hAnsi="Times New Roman"/>
          <w:szCs w:val="22"/>
        </w:rPr>
        <w:t>project proposal.  The Work Plan must clearly identify the stakeholders to be consulted</w:t>
      </w:r>
      <w:r w:rsidR="008136B6">
        <w:rPr>
          <w:rFonts w:ascii="Times New Roman" w:eastAsiaTheme="minorHAnsi" w:hAnsi="Times New Roman"/>
          <w:szCs w:val="22"/>
        </w:rPr>
        <w:t>, travel requirements,</w:t>
      </w:r>
      <w:r w:rsidRPr="007D1ACD">
        <w:rPr>
          <w:rFonts w:ascii="Times New Roman" w:eastAsiaTheme="minorHAnsi" w:hAnsi="Times New Roman"/>
          <w:szCs w:val="22"/>
        </w:rPr>
        <w:t xml:space="preserve"> and timelines for compl</w:t>
      </w:r>
      <w:r>
        <w:rPr>
          <w:rFonts w:ascii="Times New Roman" w:eastAsiaTheme="minorHAnsi" w:hAnsi="Times New Roman"/>
          <w:szCs w:val="22"/>
        </w:rPr>
        <w:t>eting the planned deliverables.</w:t>
      </w:r>
    </w:p>
    <w:p w14:paraId="362B7D38" w14:textId="6BA20131" w:rsidR="006C046A" w:rsidRPr="007D1ACD" w:rsidRDefault="006C046A" w:rsidP="006C046A">
      <w:pPr>
        <w:widowControl w:val="0"/>
        <w:numPr>
          <w:ilvl w:val="1"/>
          <w:numId w:val="1"/>
        </w:numPr>
        <w:spacing w:after="200" w:line="276" w:lineRule="auto"/>
        <w:contextualSpacing/>
        <w:jc w:val="both"/>
        <w:rPr>
          <w:rFonts w:ascii="Times New Roman" w:eastAsiaTheme="minorHAnsi" w:hAnsi="Times New Roman"/>
          <w:szCs w:val="22"/>
        </w:rPr>
      </w:pPr>
      <w:r w:rsidRPr="006C046A">
        <w:rPr>
          <w:rFonts w:ascii="Times New Roman" w:eastAsiaTheme="minorHAnsi" w:hAnsi="Times New Roman"/>
          <w:szCs w:val="22"/>
        </w:rPr>
        <w:t>Liaise with stakeholders, and using a participatory process, develop a draft Theory of Change (TOC)</w:t>
      </w:r>
      <w:r w:rsidR="00361667">
        <w:rPr>
          <w:rFonts w:ascii="Times New Roman" w:eastAsiaTheme="minorHAnsi" w:hAnsi="Times New Roman"/>
          <w:szCs w:val="22"/>
        </w:rPr>
        <w:t xml:space="preserve">, </w:t>
      </w:r>
      <w:r w:rsidRPr="006C046A">
        <w:rPr>
          <w:rFonts w:ascii="Times New Roman" w:eastAsiaTheme="minorHAnsi" w:hAnsi="Times New Roman"/>
          <w:szCs w:val="22"/>
        </w:rPr>
        <w:t>Results Framework (RF)</w:t>
      </w:r>
      <w:r w:rsidR="00361667">
        <w:rPr>
          <w:rFonts w:ascii="Times New Roman" w:eastAsiaTheme="minorHAnsi" w:hAnsi="Times New Roman"/>
          <w:szCs w:val="22"/>
        </w:rPr>
        <w:t xml:space="preserve">, and </w:t>
      </w:r>
      <w:r w:rsidR="000A656C">
        <w:rPr>
          <w:rFonts w:ascii="Times New Roman" w:eastAsiaTheme="minorHAnsi" w:hAnsi="Times New Roman"/>
          <w:szCs w:val="22"/>
        </w:rPr>
        <w:t>concise</w:t>
      </w:r>
      <w:r w:rsidR="00361667">
        <w:rPr>
          <w:rFonts w:ascii="Times New Roman" w:eastAsiaTheme="minorHAnsi" w:hAnsi="Times New Roman"/>
          <w:szCs w:val="22"/>
        </w:rPr>
        <w:t xml:space="preserve"> description </w:t>
      </w:r>
      <w:r w:rsidR="00AB4FEC">
        <w:rPr>
          <w:rFonts w:ascii="Times New Roman" w:eastAsiaTheme="minorHAnsi" w:hAnsi="Times New Roman"/>
          <w:szCs w:val="22"/>
        </w:rPr>
        <w:t xml:space="preserve">of </w:t>
      </w:r>
      <w:r w:rsidR="00AB4FEC" w:rsidRPr="006C046A">
        <w:rPr>
          <w:rFonts w:ascii="Times New Roman" w:eastAsiaTheme="minorHAnsi" w:hAnsi="Times New Roman"/>
          <w:szCs w:val="22"/>
        </w:rPr>
        <w:t>the</w:t>
      </w:r>
      <w:r w:rsidRPr="006C046A">
        <w:rPr>
          <w:rFonts w:ascii="Times New Roman" w:eastAsiaTheme="minorHAnsi" w:hAnsi="Times New Roman"/>
          <w:szCs w:val="22"/>
        </w:rPr>
        <w:t xml:space="preserve"> project.</w:t>
      </w:r>
    </w:p>
    <w:p w14:paraId="3D6F9174" w14:textId="789D597D" w:rsidR="007D1ACD" w:rsidRDefault="00361667" w:rsidP="00834822">
      <w:pPr>
        <w:widowControl w:val="0"/>
        <w:numPr>
          <w:ilvl w:val="1"/>
          <w:numId w:val="1"/>
        </w:numPr>
        <w:spacing w:after="200" w:line="276" w:lineRule="auto"/>
        <w:contextualSpacing/>
        <w:jc w:val="both"/>
        <w:rPr>
          <w:rFonts w:ascii="Times New Roman" w:eastAsiaTheme="minorHAnsi" w:hAnsi="Times New Roman"/>
          <w:szCs w:val="22"/>
        </w:rPr>
      </w:pPr>
      <w:bookmarkStart w:id="1" w:name="_Hlk492906727"/>
      <w:r w:rsidRPr="0010322D">
        <w:rPr>
          <w:rFonts w:ascii="Times New Roman" w:eastAsiaTheme="minorHAnsi" w:hAnsi="Times New Roman"/>
          <w:szCs w:val="22"/>
        </w:rPr>
        <w:t xml:space="preserve">Prepare the first draft of the </w:t>
      </w:r>
      <w:r w:rsidR="000A656C">
        <w:rPr>
          <w:rFonts w:ascii="Times New Roman" w:eastAsiaTheme="minorHAnsi" w:hAnsi="Times New Roman"/>
          <w:szCs w:val="22"/>
        </w:rPr>
        <w:t xml:space="preserve">detailed </w:t>
      </w:r>
      <w:r w:rsidRPr="0010322D">
        <w:rPr>
          <w:rFonts w:ascii="Times New Roman" w:eastAsiaTheme="minorHAnsi" w:hAnsi="Times New Roman"/>
          <w:szCs w:val="22"/>
        </w:rPr>
        <w:t>project proposal</w:t>
      </w:r>
      <w:r w:rsidR="00AB4FEC">
        <w:rPr>
          <w:rFonts w:ascii="Times New Roman" w:eastAsiaTheme="minorHAnsi" w:hAnsi="Times New Roman"/>
          <w:szCs w:val="22"/>
        </w:rPr>
        <w:t>,</w:t>
      </w:r>
      <w:r w:rsidRPr="0010322D">
        <w:rPr>
          <w:rFonts w:ascii="Times New Roman" w:eastAsiaTheme="minorHAnsi" w:hAnsi="Times New Roman"/>
          <w:szCs w:val="22"/>
        </w:rPr>
        <w:t xml:space="preserve"> complete</w:t>
      </w:r>
      <w:r>
        <w:rPr>
          <w:rFonts w:ascii="Times New Roman" w:eastAsiaTheme="minorHAnsi" w:hAnsi="Times New Roman"/>
          <w:szCs w:val="22"/>
        </w:rPr>
        <w:t xml:space="preserve"> with all relevant attachments</w:t>
      </w:r>
      <w:r w:rsidR="00834822">
        <w:rPr>
          <w:rFonts w:ascii="Times New Roman" w:eastAsiaTheme="minorHAnsi" w:hAnsi="Times New Roman"/>
          <w:szCs w:val="22"/>
        </w:rPr>
        <w:t xml:space="preserve"> </w:t>
      </w:r>
      <w:r w:rsidR="00414DE7">
        <w:rPr>
          <w:rFonts w:ascii="Times New Roman" w:eastAsiaTheme="minorHAnsi" w:hAnsi="Times New Roman"/>
          <w:szCs w:val="22"/>
        </w:rPr>
        <w:t>(including</w:t>
      </w:r>
      <w:r w:rsidR="00834822">
        <w:rPr>
          <w:rFonts w:ascii="Times New Roman" w:eastAsiaTheme="minorHAnsi" w:hAnsi="Times New Roman"/>
          <w:szCs w:val="22"/>
        </w:rPr>
        <w:t xml:space="preserve"> but not limited to</w:t>
      </w:r>
      <w:r w:rsidR="00114562">
        <w:rPr>
          <w:rFonts w:ascii="Times New Roman" w:eastAsiaTheme="minorHAnsi" w:hAnsi="Times New Roman"/>
          <w:szCs w:val="22"/>
        </w:rPr>
        <w:t xml:space="preserve"> components, activities,</w:t>
      </w:r>
      <w:r w:rsidR="00834822">
        <w:rPr>
          <w:rFonts w:ascii="Times New Roman" w:eastAsiaTheme="minorHAnsi" w:hAnsi="Times New Roman"/>
          <w:szCs w:val="22"/>
        </w:rPr>
        <w:t xml:space="preserve"> </w:t>
      </w:r>
      <w:r w:rsidR="00834822" w:rsidRPr="00834822">
        <w:rPr>
          <w:rFonts w:ascii="Times New Roman" w:eastAsiaTheme="minorHAnsi" w:hAnsi="Times New Roman"/>
          <w:szCs w:val="22"/>
        </w:rPr>
        <w:t>budget, risk matrix, procurement plan, terms of references, etc.</w:t>
      </w:r>
      <w:r w:rsidR="00834822">
        <w:rPr>
          <w:rFonts w:ascii="Times New Roman" w:eastAsiaTheme="minorHAnsi" w:hAnsi="Times New Roman"/>
          <w:szCs w:val="22"/>
        </w:rPr>
        <w:t xml:space="preserve">) </w:t>
      </w:r>
      <w:r w:rsidR="000A656C">
        <w:rPr>
          <w:rFonts w:ascii="Times New Roman" w:eastAsiaTheme="minorHAnsi" w:hAnsi="Times New Roman"/>
          <w:szCs w:val="22"/>
        </w:rPr>
        <w:t xml:space="preserve"> and </w:t>
      </w:r>
      <w:r>
        <w:rPr>
          <w:rFonts w:ascii="Times New Roman" w:eastAsiaTheme="minorHAnsi" w:hAnsi="Times New Roman"/>
          <w:szCs w:val="22"/>
        </w:rPr>
        <w:t>incorporat</w:t>
      </w:r>
      <w:r w:rsidR="000A656C">
        <w:rPr>
          <w:rFonts w:ascii="Times New Roman" w:eastAsiaTheme="minorHAnsi" w:hAnsi="Times New Roman"/>
          <w:szCs w:val="22"/>
        </w:rPr>
        <w:t>ing</w:t>
      </w:r>
      <w:r w:rsidR="00AB4FEC">
        <w:rPr>
          <w:rFonts w:ascii="Times New Roman" w:eastAsiaTheme="minorHAnsi" w:hAnsi="Times New Roman"/>
          <w:szCs w:val="22"/>
        </w:rPr>
        <w:t xml:space="preserve"> </w:t>
      </w:r>
      <w:r>
        <w:rPr>
          <w:rFonts w:ascii="Times New Roman" w:eastAsiaTheme="minorHAnsi" w:hAnsi="Times New Roman"/>
          <w:szCs w:val="22"/>
        </w:rPr>
        <w:t xml:space="preserve">the </w:t>
      </w:r>
      <w:r w:rsidRPr="0010322D">
        <w:rPr>
          <w:rFonts w:ascii="Times New Roman" w:eastAsiaTheme="minorHAnsi" w:hAnsi="Times New Roman"/>
          <w:szCs w:val="22"/>
        </w:rPr>
        <w:t>comments</w:t>
      </w:r>
      <w:r w:rsidR="0010322D" w:rsidRPr="0010322D">
        <w:rPr>
          <w:rFonts w:ascii="Times New Roman" w:eastAsiaTheme="minorHAnsi" w:hAnsi="Times New Roman"/>
          <w:szCs w:val="22"/>
        </w:rPr>
        <w:t xml:space="preserve"> of the </w:t>
      </w:r>
      <w:r>
        <w:rPr>
          <w:rFonts w:ascii="Times New Roman" w:eastAsiaTheme="minorHAnsi" w:hAnsi="Times New Roman"/>
          <w:szCs w:val="22"/>
        </w:rPr>
        <w:t>applicant</w:t>
      </w:r>
      <w:r w:rsidR="0010322D" w:rsidRPr="0010322D">
        <w:rPr>
          <w:rFonts w:ascii="Times New Roman" w:eastAsiaTheme="minorHAnsi" w:hAnsi="Times New Roman"/>
          <w:szCs w:val="22"/>
        </w:rPr>
        <w:t xml:space="preserve"> and CCPF</w:t>
      </w:r>
      <w:bookmarkEnd w:id="1"/>
      <w:r>
        <w:rPr>
          <w:rFonts w:ascii="Times New Roman" w:eastAsiaTheme="minorHAnsi" w:hAnsi="Times New Roman"/>
          <w:szCs w:val="22"/>
        </w:rPr>
        <w:t xml:space="preserve"> on the draft TOC, RF and project description</w:t>
      </w:r>
      <w:r w:rsidR="0010322D" w:rsidRPr="0010322D">
        <w:rPr>
          <w:rFonts w:ascii="Times New Roman" w:eastAsiaTheme="minorHAnsi" w:hAnsi="Times New Roman"/>
          <w:szCs w:val="22"/>
        </w:rPr>
        <w:t>.</w:t>
      </w:r>
    </w:p>
    <w:p w14:paraId="7C2BED3F" w14:textId="06D0A976" w:rsidR="0010322D" w:rsidRDefault="0010322D" w:rsidP="0010322D">
      <w:pPr>
        <w:widowControl w:val="0"/>
        <w:numPr>
          <w:ilvl w:val="1"/>
          <w:numId w:val="1"/>
        </w:numPr>
        <w:spacing w:after="200" w:line="276" w:lineRule="auto"/>
        <w:contextualSpacing/>
        <w:jc w:val="both"/>
        <w:rPr>
          <w:rFonts w:ascii="Times New Roman" w:eastAsiaTheme="minorHAnsi" w:hAnsi="Times New Roman"/>
          <w:szCs w:val="22"/>
        </w:rPr>
      </w:pPr>
      <w:r>
        <w:rPr>
          <w:rFonts w:ascii="Times New Roman" w:eastAsiaTheme="minorHAnsi" w:hAnsi="Times New Roman"/>
          <w:szCs w:val="22"/>
        </w:rPr>
        <w:t>Revise</w:t>
      </w:r>
      <w:r w:rsidRPr="0010322D">
        <w:rPr>
          <w:rFonts w:ascii="Times New Roman" w:eastAsiaTheme="minorHAnsi" w:hAnsi="Times New Roman"/>
          <w:szCs w:val="22"/>
        </w:rPr>
        <w:t xml:space="preserve"> the draft pro</w:t>
      </w:r>
      <w:r>
        <w:rPr>
          <w:rFonts w:ascii="Times New Roman" w:eastAsiaTheme="minorHAnsi" w:hAnsi="Times New Roman"/>
          <w:szCs w:val="22"/>
        </w:rPr>
        <w:t xml:space="preserve">ject proposal based on </w:t>
      </w:r>
      <w:r w:rsidRPr="0010322D">
        <w:rPr>
          <w:rFonts w:ascii="Times New Roman" w:eastAsiaTheme="minorHAnsi" w:hAnsi="Times New Roman"/>
          <w:szCs w:val="22"/>
        </w:rPr>
        <w:t xml:space="preserve">comments of the </w:t>
      </w:r>
      <w:r w:rsidR="00361667">
        <w:rPr>
          <w:rFonts w:ascii="Times New Roman" w:eastAsiaTheme="minorHAnsi" w:hAnsi="Times New Roman"/>
          <w:szCs w:val="22"/>
        </w:rPr>
        <w:t>applicant</w:t>
      </w:r>
      <w:r w:rsidRPr="0010322D">
        <w:rPr>
          <w:rFonts w:ascii="Times New Roman" w:eastAsiaTheme="minorHAnsi" w:hAnsi="Times New Roman"/>
          <w:szCs w:val="22"/>
        </w:rPr>
        <w:t xml:space="preserve"> and CCPF.</w:t>
      </w:r>
    </w:p>
    <w:p w14:paraId="3C398F7C" w14:textId="77777777" w:rsidR="00D7779F" w:rsidRPr="00D7779F" w:rsidRDefault="00D7779F" w:rsidP="00D7779F">
      <w:pPr>
        <w:widowControl w:val="0"/>
        <w:spacing w:after="200" w:line="276" w:lineRule="auto"/>
        <w:ind w:firstLine="360"/>
        <w:jc w:val="both"/>
        <w:rPr>
          <w:rFonts w:ascii="Times New Roman" w:eastAsiaTheme="minorHAnsi" w:hAnsi="Times New Roman"/>
          <w:b/>
          <w:szCs w:val="22"/>
        </w:rPr>
      </w:pPr>
    </w:p>
    <w:p w14:paraId="07425CCB"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Expected Outcome and Deliverables</w:t>
      </w:r>
    </w:p>
    <w:p w14:paraId="17EE9BEF" w14:textId="77777777" w:rsidR="00033E1D" w:rsidRPr="006D0505" w:rsidRDefault="00033E1D" w:rsidP="00033E1D">
      <w:pPr>
        <w:widowControl w:val="0"/>
        <w:spacing w:after="200" w:line="276" w:lineRule="auto"/>
        <w:ind w:left="360"/>
        <w:contextualSpacing/>
        <w:rPr>
          <w:rFonts w:ascii="Times New Roman" w:eastAsiaTheme="minorHAnsi" w:hAnsi="Times New Roman"/>
          <w:b/>
          <w:szCs w:val="22"/>
          <w:u w:val="single"/>
        </w:rPr>
      </w:pPr>
    </w:p>
    <w:p w14:paraId="37E0DE8A" w14:textId="77777777" w:rsidR="00033E1D" w:rsidRPr="006D0505" w:rsidRDefault="00AB4C30" w:rsidP="00A27784">
      <w:pPr>
        <w:spacing w:line="276" w:lineRule="auto"/>
        <w:ind w:left="360"/>
        <w:contextualSpacing/>
        <w:rPr>
          <w:rFonts w:ascii="Times New Roman" w:eastAsiaTheme="minorHAnsi" w:hAnsi="Times New Roman"/>
          <w:szCs w:val="22"/>
        </w:rPr>
      </w:pPr>
      <w:r>
        <w:rPr>
          <w:rFonts w:ascii="Times New Roman" w:eastAsiaTheme="minorHAnsi" w:hAnsi="Times New Roman"/>
          <w:szCs w:val="22"/>
        </w:rPr>
        <w:t>The expected out</w:t>
      </w:r>
      <w:r w:rsidR="00033E1D" w:rsidRPr="006D0505">
        <w:rPr>
          <w:rFonts w:ascii="Times New Roman" w:eastAsiaTheme="minorHAnsi" w:hAnsi="Times New Roman"/>
          <w:szCs w:val="22"/>
        </w:rPr>
        <w:t>comes and products under this assignment are the following:</w:t>
      </w:r>
    </w:p>
    <w:p w14:paraId="48C62F3F" w14:textId="77777777" w:rsidR="00033E1D" w:rsidRPr="006D0505" w:rsidRDefault="00033E1D" w:rsidP="00A27784">
      <w:pPr>
        <w:spacing w:line="276" w:lineRule="auto"/>
        <w:ind w:left="360"/>
        <w:contextualSpacing/>
        <w:rPr>
          <w:rFonts w:ascii="Times New Roman" w:eastAsiaTheme="minorHAnsi" w:hAnsi="Times New Roman"/>
          <w:b/>
          <w:szCs w:val="22"/>
          <w:u w:val="single"/>
        </w:rPr>
      </w:pPr>
    </w:p>
    <w:p w14:paraId="760F58ED" w14:textId="77777777" w:rsidR="00961B38" w:rsidRPr="00961B38" w:rsidRDefault="00346313" w:rsidP="00961B38">
      <w:pPr>
        <w:widowControl w:val="0"/>
        <w:numPr>
          <w:ilvl w:val="1"/>
          <w:numId w:val="1"/>
        </w:numPr>
        <w:spacing w:after="200"/>
        <w:contextualSpacing/>
        <w:jc w:val="both"/>
        <w:rPr>
          <w:rFonts w:ascii="Times New Roman" w:eastAsiaTheme="minorHAnsi" w:hAnsi="Times New Roman"/>
          <w:szCs w:val="22"/>
        </w:rPr>
      </w:pPr>
      <w:r>
        <w:rPr>
          <w:rFonts w:ascii="Times New Roman" w:eastAsiaTheme="minorHAnsi" w:hAnsi="Times New Roman"/>
          <w:szCs w:val="22"/>
        </w:rPr>
        <w:t xml:space="preserve"> </w:t>
      </w:r>
      <w:r w:rsidRPr="00346313">
        <w:rPr>
          <w:rFonts w:ascii="Times New Roman" w:eastAsiaTheme="minorHAnsi" w:hAnsi="Times New Roman"/>
          <w:szCs w:val="22"/>
        </w:rPr>
        <w:t>Work Plan withi</w:t>
      </w:r>
      <w:r w:rsidR="00961B38">
        <w:rPr>
          <w:rFonts w:ascii="Times New Roman" w:eastAsiaTheme="minorHAnsi" w:hAnsi="Times New Roman"/>
          <w:szCs w:val="22"/>
        </w:rPr>
        <w:t>n 9 days of contract signature.</w:t>
      </w:r>
    </w:p>
    <w:p w14:paraId="45D38285" w14:textId="77777777" w:rsidR="00961B38" w:rsidRPr="00B83463" w:rsidRDefault="00961B38" w:rsidP="00961B38">
      <w:pPr>
        <w:pStyle w:val="ListParagraph"/>
        <w:numPr>
          <w:ilvl w:val="1"/>
          <w:numId w:val="1"/>
        </w:numPr>
        <w:jc w:val="both"/>
      </w:pPr>
      <w:r w:rsidRPr="00B83463">
        <w:t>Draft TOC</w:t>
      </w:r>
      <w:r w:rsidR="000A656C">
        <w:t xml:space="preserve">, </w:t>
      </w:r>
      <w:r w:rsidR="000A656C" w:rsidRPr="00B83463">
        <w:t xml:space="preserve">RF </w:t>
      </w:r>
      <w:r w:rsidR="000A656C">
        <w:t>and concise project description</w:t>
      </w:r>
      <w:r w:rsidRPr="00B83463">
        <w:t>.</w:t>
      </w:r>
    </w:p>
    <w:p w14:paraId="5E42FD0F" w14:textId="77777777" w:rsidR="00961B38" w:rsidRPr="00B83463" w:rsidRDefault="00961B38" w:rsidP="00961B38">
      <w:pPr>
        <w:pStyle w:val="ListParagraph"/>
      </w:pPr>
    </w:p>
    <w:p w14:paraId="4AF312FF" w14:textId="592A5580" w:rsidR="00961B38" w:rsidRPr="00B83463" w:rsidRDefault="00961B38" w:rsidP="00961B38">
      <w:pPr>
        <w:pStyle w:val="ListParagraph"/>
        <w:numPr>
          <w:ilvl w:val="1"/>
          <w:numId w:val="1"/>
        </w:numPr>
        <w:jc w:val="both"/>
      </w:pPr>
      <w:r w:rsidRPr="00B83463">
        <w:t>First draft of detailed project proposal</w:t>
      </w:r>
      <w:r w:rsidR="000A656C">
        <w:t xml:space="preserve"> </w:t>
      </w:r>
      <w:r w:rsidR="00E5654B">
        <w:t xml:space="preserve">with relevant attachments </w:t>
      </w:r>
      <w:r w:rsidR="000A656C" w:rsidRPr="00B83463">
        <w:t>that incorporates comments provided by CCPF</w:t>
      </w:r>
      <w:r w:rsidR="000A656C">
        <w:t xml:space="preserve"> </w:t>
      </w:r>
      <w:r w:rsidR="00114562">
        <w:t xml:space="preserve">and the counterpart </w:t>
      </w:r>
      <w:r w:rsidR="000A656C">
        <w:t>on the draft TOC, RF and concise project description</w:t>
      </w:r>
      <w:r w:rsidRPr="00B83463">
        <w:t>.</w:t>
      </w:r>
    </w:p>
    <w:p w14:paraId="6A2CA5B6" w14:textId="77777777" w:rsidR="00961B38" w:rsidRPr="00B83463" w:rsidRDefault="00961B38" w:rsidP="00961B38">
      <w:pPr>
        <w:pStyle w:val="ListParagraph"/>
      </w:pPr>
    </w:p>
    <w:p w14:paraId="4DDE3898" w14:textId="40C46906" w:rsidR="00961B38" w:rsidRPr="00B83463" w:rsidRDefault="00961B38" w:rsidP="00961B38">
      <w:pPr>
        <w:pStyle w:val="ListParagraph"/>
        <w:numPr>
          <w:ilvl w:val="1"/>
          <w:numId w:val="1"/>
        </w:numPr>
        <w:jc w:val="both"/>
      </w:pPr>
      <w:r w:rsidRPr="00B83463">
        <w:t xml:space="preserve">Revised draft of detailed project proposal </w:t>
      </w:r>
      <w:bookmarkStart w:id="2" w:name="_Hlk492910183"/>
      <w:r w:rsidR="00BA4BEF">
        <w:t xml:space="preserve">with all relevant annexes </w:t>
      </w:r>
      <w:r w:rsidRPr="00B83463">
        <w:t>that incorporates comments provided by CCPF</w:t>
      </w:r>
      <w:r w:rsidR="00114562">
        <w:t xml:space="preserve"> and the counterpart</w:t>
      </w:r>
      <w:r w:rsidRPr="00B83463">
        <w:t>.</w:t>
      </w:r>
      <w:bookmarkEnd w:id="2"/>
    </w:p>
    <w:p w14:paraId="612DF443" w14:textId="77777777" w:rsidR="00961B38" w:rsidRDefault="00961B38" w:rsidP="00116497">
      <w:pPr>
        <w:widowControl w:val="0"/>
        <w:spacing w:after="200"/>
        <w:contextualSpacing/>
        <w:jc w:val="both"/>
        <w:rPr>
          <w:rFonts w:ascii="Times New Roman" w:eastAsiaTheme="minorHAnsi" w:hAnsi="Times New Roman"/>
          <w:szCs w:val="22"/>
        </w:rPr>
      </w:pPr>
    </w:p>
    <w:p w14:paraId="3B008E66" w14:textId="77777777" w:rsidR="003914E1" w:rsidRPr="006D0505" w:rsidRDefault="003914E1" w:rsidP="00A27784">
      <w:pPr>
        <w:shd w:val="clear" w:color="auto" w:fill="FFFFFF"/>
        <w:rPr>
          <w:rFonts w:ascii="Times New Roman" w:hAnsi="Times New Roman"/>
          <w:color w:val="008800"/>
          <w:szCs w:val="22"/>
          <w:lang w:val="en-GB"/>
        </w:rPr>
      </w:pPr>
    </w:p>
    <w:p w14:paraId="1F63B3A7" w14:textId="77777777" w:rsidR="00A27784" w:rsidRPr="006D0505" w:rsidRDefault="00A27784" w:rsidP="00A27784">
      <w:pPr>
        <w:widowControl w:val="0"/>
        <w:numPr>
          <w:ilvl w:val="0"/>
          <w:numId w:val="1"/>
        </w:numPr>
        <w:spacing w:after="200" w:line="276" w:lineRule="auto"/>
        <w:contextualSpacing/>
        <w:rPr>
          <w:rFonts w:ascii="Times New Roman" w:eastAsiaTheme="minorHAnsi" w:hAnsi="Times New Roman"/>
          <w:b/>
          <w:szCs w:val="22"/>
          <w:u w:val="single"/>
        </w:rPr>
      </w:pPr>
      <w:r w:rsidRPr="006D0505">
        <w:rPr>
          <w:rFonts w:ascii="Times New Roman" w:eastAsiaTheme="minorHAnsi" w:hAnsi="Times New Roman"/>
          <w:b/>
          <w:szCs w:val="22"/>
        </w:rPr>
        <w:t xml:space="preserve"> </w:t>
      </w:r>
      <w:r w:rsidRPr="006D0505">
        <w:rPr>
          <w:rFonts w:ascii="Times New Roman" w:eastAsiaTheme="minorHAnsi" w:hAnsi="Times New Roman"/>
          <w:b/>
          <w:szCs w:val="22"/>
          <w:u w:val="single"/>
        </w:rPr>
        <w:t>Supervision</w:t>
      </w:r>
      <w:r w:rsidR="00706759" w:rsidRPr="006D0505">
        <w:rPr>
          <w:rFonts w:ascii="Times New Roman" w:eastAsiaTheme="minorHAnsi" w:hAnsi="Times New Roman"/>
          <w:b/>
          <w:szCs w:val="22"/>
          <w:u w:val="single"/>
        </w:rPr>
        <w:t xml:space="preserve"> and Reporting</w:t>
      </w:r>
    </w:p>
    <w:p w14:paraId="4EEFC3EA" w14:textId="77777777" w:rsidR="006E62D9" w:rsidRPr="006D0505" w:rsidRDefault="006E62D9" w:rsidP="006E62D9">
      <w:pPr>
        <w:widowControl w:val="0"/>
        <w:spacing w:after="200" w:line="276" w:lineRule="auto"/>
        <w:ind w:left="360"/>
        <w:contextualSpacing/>
        <w:rPr>
          <w:rFonts w:ascii="Times New Roman" w:eastAsiaTheme="minorHAnsi" w:hAnsi="Times New Roman"/>
          <w:b/>
          <w:szCs w:val="22"/>
          <w:u w:val="single"/>
        </w:rPr>
      </w:pPr>
    </w:p>
    <w:p w14:paraId="5F3BD554" w14:textId="77777777" w:rsidR="00961B38" w:rsidRPr="00961B38" w:rsidRDefault="001579EA" w:rsidP="00961B38">
      <w:pPr>
        <w:pStyle w:val="ListParagraph"/>
        <w:numPr>
          <w:ilvl w:val="1"/>
          <w:numId w:val="1"/>
        </w:numPr>
        <w:rPr>
          <w:rFonts w:eastAsiaTheme="minorHAnsi"/>
          <w:szCs w:val="22"/>
        </w:rPr>
      </w:pPr>
      <w:r w:rsidRPr="00961B38">
        <w:rPr>
          <w:rFonts w:eastAsiaTheme="minorHAnsi"/>
          <w:szCs w:val="22"/>
        </w:rPr>
        <w:t>The technical</w:t>
      </w:r>
      <w:r w:rsidR="00961B38" w:rsidRPr="00961B38">
        <w:rPr>
          <w:rFonts w:eastAsiaTheme="minorHAnsi"/>
          <w:szCs w:val="22"/>
        </w:rPr>
        <w:t xml:space="preserve"> and administrative responsibilities of this consultanc</w:t>
      </w:r>
      <w:r w:rsidR="00961B38">
        <w:rPr>
          <w:rFonts w:eastAsiaTheme="minorHAnsi"/>
          <w:szCs w:val="22"/>
        </w:rPr>
        <w:t xml:space="preserve">y will be coordinated by Sylvia Dohnert, Private Sector Development Lead Specialist </w:t>
      </w:r>
      <w:r w:rsidR="006C046A">
        <w:rPr>
          <w:rFonts w:eastAsiaTheme="minorHAnsi"/>
          <w:szCs w:val="22"/>
        </w:rPr>
        <w:t>(IFD</w:t>
      </w:r>
      <w:r w:rsidR="00961B38">
        <w:rPr>
          <w:rFonts w:eastAsiaTheme="minorHAnsi"/>
          <w:szCs w:val="22"/>
        </w:rPr>
        <w:t>/CTI), Inter-American Development Bank.</w:t>
      </w:r>
    </w:p>
    <w:p w14:paraId="1573D1E2" w14:textId="77777777" w:rsidR="003914E1" w:rsidRPr="006D0505" w:rsidRDefault="003914E1" w:rsidP="00A27784">
      <w:pPr>
        <w:ind w:right="-10"/>
        <w:jc w:val="both"/>
        <w:rPr>
          <w:rFonts w:ascii="Times New Roman" w:hAnsi="Times New Roman"/>
          <w:b/>
          <w:szCs w:val="22"/>
        </w:rPr>
      </w:pPr>
    </w:p>
    <w:p w14:paraId="174780D4" w14:textId="77777777" w:rsidR="00A27784" w:rsidRPr="006D0505" w:rsidRDefault="00A27784" w:rsidP="00A27784">
      <w:pPr>
        <w:pStyle w:val="ListParagraph"/>
        <w:numPr>
          <w:ilvl w:val="0"/>
          <w:numId w:val="1"/>
        </w:numPr>
        <w:ind w:right="-10"/>
        <w:jc w:val="both"/>
        <w:rPr>
          <w:b/>
          <w:szCs w:val="22"/>
          <w:u w:val="single"/>
        </w:rPr>
      </w:pPr>
      <w:r w:rsidRPr="006D0505">
        <w:rPr>
          <w:b/>
          <w:szCs w:val="22"/>
          <w:u w:val="single"/>
        </w:rPr>
        <w:t>Schedule of Payments</w:t>
      </w:r>
      <w:r w:rsidR="00033E1D" w:rsidRPr="006D0505">
        <w:rPr>
          <w:b/>
          <w:szCs w:val="22"/>
          <w:u w:val="single"/>
        </w:rPr>
        <w:t xml:space="preserve"> &amp; Qualifications</w:t>
      </w:r>
    </w:p>
    <w:p w14:paraId="2D26018F" w14:textId="77777777" w:rsidR="006E62D9" w:rsidRPr="006D0505" w:rsidRDefault="006E62D9" w:rsidP="006E62D9">
      <w:pPr>
        <w:pStyle w:val="ListParagraph"/>
        <w:ind w:left="360" w:right="-10"/>
        <w:jc w:val="both"/>
        <w:rPr>
          <w:b/>
          <w:szCs w:val="22"/>
        </w:rPr>
      </w:pPr>
    </w:p>
    <w:p w14:paraId="26169BCC" w14:textId="77777777" w:rsidR="00615112" w:rsidRPr="006D0505" w:rsidRDefault="00615112" w:rsidP="006E62D9">
      <w:pPr>
        <w:pStyle w:val="BodyTextIndent3"/>
        <w:numPr>
          <w:ilvl w:val="1"/>
          <w:numId w:val="1"/>
        </w:numPr>
        <w:tabs>
          <w:tab w:val="left" w:pos="1080"/>
        </w:tabs>
        <w:suppressAutoHyphens/>
        <w:textAlignment w:val="baseline"/>
        <w:rPr>
          <w:rFonts w:ascii="Times New Roman" w:eastAsiaTheme="minorHAnsi" w:hAnsi="Times New Roman" w:cs="Times New Roman"/>
          <w:color w:val="auto"/>
          <w:sz w:val="20"/>
          <w:szCs w:val="22"/>
          <w:lang w:val="en-US" w:eastAsia="en-US"/>
        </w:rPr>
      </w:pPr>
      <w:r w:rsidRPr="006D0505">
        <w:rPr>
          <w:rFonts w:ascii="Times New Roman" w:eastAsiaTheme="minorHAnsi" w:hAnsi="Times New Roman" w:cs="Times New Roman"/>
          <w:color w:val="auto"/>
          <w:sz w:val="20"/>
          <w:szCs w:val="22"/>
          <w:lang w:val="en-US" w:eastAsia="en-US"/>
        </w:rPr>
        <w:t xml:space="preserve">Payment terms will be based on project milestones or deliverables.  The Bank does not expect to make advance payments under consulting contracts unless a significant amount of travel is required.  </w:t>
      </w:r>
    </w:p>
    <w:p w14:paraId="4C63BA93" w14:textId="77777777" w:rsidR="006E62D9" w:rsidRPr="006D0505" w:rsidRDefault="006E62D9" w:rsidP="006E62D9">
      <w:pPr>
        <w:widowControl w:val="0"/>
        <w:shd w:val="clear" w:color="auto" w:fill="FFFFFF"/>
        <w:tabs>
          <w:tab w:val="left" w:pos="990"/>
        </w:tabs>
        <w:spacing w:after="200" w:line="276" w:lineRule="auto"/>
        <w:ind w:left="792" w:right="-10"/>
        <w:contextualSpacing/>
        <w:jc w:val="both"/>
        <w:rPr>
          <w:rFonts w:ascii="Times New Roman" w:hAnsi="Times New Roman"/>
          <w:b/>
          <w:szCs w:val="22"/>
        </w:rPr>
      </w:pPr>
    </w:p>
    <w:tbl>
      <w:tblPr>
        <w:tblStyle w:val="TableGrid"/>
        <w:tblW w:w="0" w:type="auto"/>
        <w:tblInd w:w="720" w:type="dxa"/>
        <w:tblLook w:val="04A0" w:firstRow="1" w:lastRow="0" w:firstColumn="1" w:lastColumn="0" w:noHBand="0" w:noVBand="1"/>
      </w:tblPr>
      <w:tblGrid>
        <w:gridCol w:w="6408"/>
        <w:gridCol w:w="1350"/>
      </w:tblGrid>
      <w:tr w:rsidR="008644F0" w:rsidRPr="006D0505" w14:paraId="0414AB38" w14:textId="77777777" w:rsidTr="006D0505">
        <w:trPr>
          <w:trHeight w:val="218"/>
        </w:trPr>
        <w:tc>
          <w:tcPr>
            <w:tcW w:w="7758" w:type="dxa"/>
            <w:gridSpan w:val="2"/>
          </w:tcPr>
          <w:p w14:paraId="28F96E99" w14:textId="77777777" w:rsidR="008644F0" w:rsidRPr="006D0505" w:rsidRDefault="008644F0" w:rsidP="008644F0">
            <w:pPr>
              <w:pStyle w:val="ListParagraph"/>
              <w:ind w:left="0" w:right="-10"/>
              <w:jc w:val="center"/>
              <w:rPr>
                <w:b/>
                <w:sz w:val="18"/>
                <w:lang w:val="en-US"/>
              </w:rPr>
            </w:pPr>
            <w:r w:rsidRPr="006D0505">
              <w:rPr>
                <w:b/>
                <w:sz w:val="18"/>
                <w:lang w:val="en-US"/>
              </w:rPr>
              <w:t>Payment Schedule</w:t>
            </w:r>
          </w:p>
        </w:tc>
      </w:tr>
      <w:tr w:rsidR="00A27784" w:rsidRPr="006D0505" w14:paraId="2D252D70" w14:textId="77777777" w:rsidTr="006D0505">
        <w:trPr>
          <w:trHeight w:val="149"/>
        </w:trPr>
        <w:tc>
          <w:tcPr>
            <w:tcW w:w="6408" w:type="dxa"/>
          </w:tcPr>
          <w:p w14:paraId="27F92956" w14:textId="77777777" w:rsidR="00A27784" w:rsidRPr="006D0505" w:rsidRDefault="008644F0" w:rsidP="008644F0">
            <w:pPr>
              <w:pStyle w:val="ListParagraph"/>
              <w:ind w:right="-10"/>
              <w:jc w:val="center"/>
              <w:rPr>
                <w:b/>
                <w:sz w:val="18"/>
                <w:lang w:val="en-US"/>
              </w:rPr>
            </w:pPr>
            <w:r w:rsidRPr="006D0505">
              <w:rPr>
                <w:b/>
                <w:i/>
                <w:sz w:val="18"/>
                <w:lang w:val="en-US"/>
              </w:rPr>
              <w:t>Deliverable</w:t>
            </w:r>
          </w:p>
        </w:tc>
        <w:tc>
          <w:tcPr>
            <w:tcW w:w="1350" w:type="dxa"/>
          </w:tcPr>
          <w:p w14:paraId="1CB37F3E" w14:textId="77777777" w:rsidR="008644F0" w:rsidRPr="006D0505" w:rsidRDefault="008644F0" w:rsidP="008644F0">
            <w:pPr>
              <w:pStyle w:val="ListParagraph"/>
              <w:ind w:left="0" w:right="-10"/>
              <w:jc w:val="center"/>
              <w:rPr>
                <w:b/>
                <w:sz w:val="18"/>
                <w:lang w:val="en-US"/>
              </w:rPr>
            </w:pPr>
            <w:r w:rsidRPr="006D0505">
              <w:rPr>
                <w:b/>
                <w:sz w:val="18"/>
                <w:lang w:val="en-US"/>
              </w:rPr>
              <w:t>%</w:t>
            </w:r>
          </w:p>
        </w:tc>
      </w:tr>
      <w:tr w:rsidR="003914E1" w:rsidRPr="006D0505" w14:paraId="102AE243" w14:textId="77777777" w:rsidTr="003914E1">
        <w:trPr>
          <w:trHeight w:val="308"/>
        </w:trPr>
        <w:tc>
          <w:tcPr>
            <w:tcW w:w="6408" w:type="dxa"/>
            <w:vAlign w:val="center"/>
          </w:tcPr>
          <w:p w14:paraId="064CF935" w14:textId="77777777" w:rsidR="003914E1" w:rsidRPr="003914E1" w:rsidRDefault="003914E1" w:rsidP="00AB4C30">
            <w:pPr>
              <w:pStyle w:val="ListParagraph"/>
              <w:numPr>
                <w:ilvl w:val="0"/>
                <w:numId w:val="2"/>
              </w:numPr>
              <w:ind w:right="-10"/>
              <w:rPr>
                <w:sz w:val="18"/>
                <w:lang w:val="en-US"/>
              </w:rPr>
            </w:pPr>
            <w:r w:rsidRPr="003914E1">
              <w:rPr>
                <w:sz w:val="18"/>
                <w:lang w:val="en-GB"/>
              </w:rPr>
              <w:t>Submission</w:t>
            </w:r>
            <w:r w:rsidRPr="003914E1">
              <w:rPr>
                <w:sz w:val="18"/>
                <w:lang w:val="en-US"/>
              </w:rPr>
              <w:t xml:space="preserve"> and approval of work plan</w:t>
            </w:r>
            <w:r w:rsidR="006C046A">
              <w:rPr>
                <w:sz w:val="18"/>
                <w:lang w:val="en-US"/>
              </w:rPr>
              <w:t xml:space="preserve"> 1 week after contract signing</w:t>
            </w:r>
          </w:p>
        </w:tc>
        <w:tc>
          <w:tcPr>
            <w:tcW w:w="1350" w:type="dxa"/>
            <w:vAlign w:val="center"/>
          </w:tcPr>
          <w:p w14:paraId="52011FB9" w14:textId="77777777" w:rsidR="003914E1" w:rsidRPr="003914E1" w:rsidRDefault="003914E1" w:rsidP="003914E1">
            <w:pPr>
              <w:pStyle w:val="ListParagraph"/>
              <w:ind w:left="0" w:right="-10"/>
              <w:jc w:val="center"/>
              <w:rPr>
                <w:sz w:val="18"/>
                <w:lang w:val="en-US"/>
              </w:rPr>
            </w:pPr>
            <w:r>
              <w:rPr>
                <w:sz w:val="18"/>
                <w:lang w:val="en-US"/>
              </w:rPr>
              <w:t>10%</w:t>
            </w:r>
          </w:p>
        </w:tc>
      </w:tr>
      <w:tr w:rsidR="003914E1" w:rsidRPr="006D0505" w14:paraId="33B7DAE3" w14:textId="77777777" w:rsidTr="003914E1">
        <w:trPr>
          <w:trHeight w:val="308"/>
        </w:trPr>
        <w:tc>
          <w:tcPr>
            <w:tcW w:w="6408" w:type="dxa"/>
            <w:vAlign w:val="center"/>
          </w:tcPr>
          <w:p w14:paraId="5836E6F3" w14:textId="77777777" w:rsidR="003914E1" w:rsidRPr="003914E1" w:rsidRDefault="006C046A" w:rsidP="00AB4C30">
            <w:pPr>
              <w:pStyle w:val="ListParagraph"/>
              <w:numPr>
                <w:ilvl w:val="0"/>
                <w:numId w:val="2"/>
              </w:numPr>
              <w:ind w:right="-10"/>
              <w:rPr>
                <w:sz w:val="18"/>
                <w:lang w:val="en-US"/>
              </w:rPr>
            </w:pPr>
            <w:r>
              <w:rPr>
                <w:sz w:val="18"/>
                <w:lang w:val="en-US"/>
              </w:rPr>
              <w:t xml:space="preserve">Draft </w:t>
            </w:r>
            <w:r w:rsidR="00AB4FEC">
              <w:rPr>
                <w:sz w:val="18"/>
                <w:lang w:val="en-US"/>
              </w:rPr>
              <w:t xml:space="preserve">TOC, RF and </w:t>
            </w:r>
            <w:r w:rsidR="005C6D4E">
              <w:rPr>
                <w:sz w:val="18"/>
                <w:lang w:val="en-US"/>
              </w:rPr>
              <w:t>concise</w:t>
            </w:r>
            <w:r w:rsidR="00AB4FEC">
              <w:rPr>
                <w:sz w:val="18"/>
                <w:lang w:val="en-US"/>
              </w:rPr>
              <w:t xml:space="preserve"> project description 2</w:t>
            </w:r>
            <w:r>
              <w:rPr>
                <w:sz w:val="18"/>
                <w:lang w:val="en-US"/>
              </w:rPr>
              <w:t xml:space="preserve"> week</w:t>
            </w:r>
            <w:r w:rsidR="00AB4FEC">
              <w:rPr>
                <w:sz w:val="18"/>
                <w:lang w:val="en-US"/>
              </w:rPr>
              <w:t>s</w:t>
            </w:r>
            <w:r>
              <w:rPr>
                <w:sz w:val="18"/>
                <w:lang w:val="en-US"/>
              </w:rPr>
              <w:t xml:space="preserve"> after approval of work plan</w:t>
            </w:r>
          </w:p>
        </w:tc>
        <w:tc>
          <w:tcPr>
            <w:tcW w:w="1350" w:type="dxa"/>
            <w:vAlign w:val="center"/>
          </w:tcPr>
          <w:p w14:paraId="4D46E479" w14:textId="77777777" w:rsidR="003914E1" w:rsidRPr="003914E1" w:rsidRDefault="00AB4FEC" w:rsidP="003914E1">
            <w:pPr>
              <w:pStyle w:val="ListParagraph"/>
              <w:ind w:left="0" w:right="-10"/>
              <w:jc w:val="center"/>
              <w:rPr>
                <w:sz w:val="18"/>
                <w:lang w:val="en-US"/>
              </w:rPr>
            </w:pPr>
            <w:r>
              <w:rPr>
                <w:sz w:val="18"/>
                <w:lang w:val="en-US"/>
              </w:rPr>
              <w:t>20%</w:t>
            </w:r>
          </w:p>
        </w:tc>
      </w:tr>
      <w:tr w:rsidR="008644F0" w:rsidRPr="006D0505" w14:paraId="305E0898" w14:textId="77777777" w:rsidTr="003914E1">
        <w:trPr>
          <w:trHeight w:val="298"/>
        </w:trPr>
        <w:tc>
          <w:tcPr>
            <w:tcW w:w="6408" w:type="dxa"/>
            <w:vAlign w:val="center"/>
          </w:tcPr>
          <w:p w14:paraId="2F5503A4" w14:textId="77777777" w:rsidR="008644F0" w:rsidRPr="00AB4C30" w:rsidRDefault="006C046A" w:rsidP="003914E1">
            <w:pPr>
              <w:pStyle w:val="ListParagraph"/>
              <w:numPr>
                <w:ilvl w:val="0"/>
                <w:numId w:val="2"/>
              </w:numPr>
              <w:ind w:right="-10"/>
              <w:rPr>
                <w:sz w:val="18"/>
                <w:lang w:val="en-US"/>
              </w:rPr>
            </w:pPr>
            <w:r>
              <w:rPr>
                <w:sz w:val="18"/>
                <w:lang w:val="en-US"/>
              </w:rPr>
              <w:t xml:space="preserve">First draft of detailed project proposal with all relevant annexes 2 weeks </w:t>
            </w:r>
            <w:r w:rsidR="005C6D4E">
              <w:rPr>
                <w:sz w:val="18"/>
                <w:lang w:val="en-US"/>
              </w:rPr>
              <w:t xml:space="preserve">after </w:t>
            </w:r>
            <w:r w:rsidR="00AB4FEC">
              <w:rPr>
                <w:sz w:val="18"/>
                <w:lang w:val="en-US"/>
              </w:rPr>
              <w:t xml:space="preserve">receipt of comments on the draft TOC, RF and </w:t>
            </w:r>
            <w:r w:rsidR="005C6D4E">
              <w:rPr>
                <w:sz w:val="18"/>
                <w:lang w:val="en-US"/>
              </w:rPr>
              <w:t xml:space="preserve">concise </w:t>
            </w:r>
            <w:r w:rsidR="00AB4FEC">
              <w:rPr>
                <w:sz w:val="18"/>
                <w:lang w:val="en-US"/>
              </w:rPr>
              <w:t>project description</w:t>
            </w:r>
          </w:p>
        </w:tc>
        <w:tc>
          <w:tcPr>
            <w:tcW w:w="1350" w:type="dxa"/>
            <w:vAlign w:val="center"/>
          </w:tcPr>
          <w:p w14:paraId="6B7987DD" w14:textId="77777777" w:rsidR="008644F0" w:rsidRPr="00AB4C30" w:rsidRDefault="006C046A" w:rsidP="003914E1">
            <w:pPr>
              <w:pStyle w:val="ListParagraph"/>
              <w:ind w:left="0" w:right="-10"/>
              <w:jc w:val="center"/>
              <w:rPr>
                <w:sz w:val="18"/>
                <w:lang w:val="en-US"/>
              </w:rPr>
            </w:pPr>
            <w:r>
              <w:rPr>
                <w:sz w:val="18"/>
                <w:lang w:val="en-US"/>
              </w:rPr>
              <w:t>4</w:t>
            </w:r>
            <w:r w:rsidR="003914E1">
              <w:rPr>
                <w:sz w:val="18"/>
                <w:lang w:val="en-US"/>
              </w:rPr>
              <w:t>0</w:t>
            </w:r>
            <w:r w:rsidR="008644F0" w:rsidRPr="00AB4C30">
              <w:rPr>
                <w:sz w:val="18"/>
                <w:lang w:val="en-US"/>
              </w:rPr>
              <w:t>%</w:t>
            </w:r>
          </w:p>
        </w:tc>
      </w:tr>
      <w:tr w:rsidR="00AB4C30" w:rsidRPr="006D0505" w14:paraId="3E972A07" w14:textId="77777777" w:rsidTr="003914E1">
        <w:trPr>
          <w:trHeight w:val="298"/>
        </w:trPr>
        <w:tc>
          <w:tcPr>
            <w:tcW w:w="6408" w:type="dxa"/>
            <w:vAlign w:val="center"/>
          </w:tcPr>
          <w:p w14:paraId="227C8ADC" w14:textId="77777777" w:rsidR="00AB4C30" w:rsidRPr="003914E1" w:rsidRDefault="006C046A" w:rsidP="006C046A">
            <w:pPr>
              <w:pStyle w:val="ListParagraph"/>
              <w:numPr>
                <w:ilvl w:val="0"/>
                <w:numId w:val="2"/>
              </w:numPr>
              <w:ind w:right="-10"/>
              <w:rPr>
                <w:sz w:val="18"/>
                <w:lang w:val="en-US"/>
              </w:rPr>
            </w:pPr>
            <w:r w:rsidRPr="006C046A">
              <w:rPr>
                <w:sz w:val="18"/>
                <w:lang w:val="en-US"/>
              </w:rPr>
              <w:lastRenderedPageBreak/>
              <w:t>Revised draft of detailed project proposal with all relevant</w:t>
            </w:r>
            <w:r>
              <w:rPr>
                <w:sz w:val="18"/>
                <w:lang w:val="en-US"/>
              </w:rPr>
              <w:t xml:space="preserve"> annexes 1 week </w:t>
            </w:r>
            <w:r w:rsidR="005C6D4E">
              <w:rPr>
                <w:sz w:val="18"/>
                <w:lang w:val="en-US"/>
              </w:rPr>
              <w:t xml:space="preserve">after </w:t>
            </w:r>
            <w:r>
              <w:rPr>
                <w:sz w:val="18"/>
                <w:lang w:val="en-US"/>
              </w:rPr>
              <w:t>receipt of comments on first draft</w:t>
            </w:r>
          </w:p>
        </w:tc>
        <w:tc>
          <w:tcPr>
            <w:tcW w:w="1350" w:type="dxa"/>
            <w:vAlign w:val="center"/>
          </w:tcPr>
          <w:p w14:paraId="1EE7D305" w14:textId="77777777" w:rsidR="00AB4C30" w:rsidRPr="00AB4C30" w:rsidRDefault="006C046A" w:rsidP="003914E1">
            <w:pPr>
              <w:pStyle w:val="ListParagraph"/>
              <w:ind w:left="0" w:right="-10"/>
              <w:jc w:val="center"/>
              <w:rPr>
                <w:sz w:val="18"/>
              </w:rPr>
            </w:pPr>
            <w:r>
              <w:rPr>
                <w:sz w:val="18"/>
              </w:rPr>
              <w:t>3</w:t>
            </w:r>
            <w:r w:rsidR="00AB4C30" w:rsidRPr="00AB4C30">
              <w:rPr>
                <w:sz w:val="18"/>
              </w:rPr>
              <w:t>0%</w:t>
            </w:r>
          </w:p>
        </w:tc>
      </w:tr>
      <w:tr w:rsidR="00A27784" w:rsidRPr="006D0505" w14:paraId="001621A6" w14:textId="77777777" w:rsidTr="003914E1">
        <w:trPr>
          <w:trHeight w:val="158"/>
        </w:trPr>
        <w:tc>
          <w:tcPr>
            <w:tcW w:w="6408" w:type="dxa"/>
          </w:tcPr>
          <w:p w14:paraId="483425C2" w14:textId="77777777" w:rsidR="00A27784" w:rsidRPr="006D0505" w:rsidRDefault="00A27784" w:rsidP="00361667">
            <w:pPr>
              <w:pStyle w:val="ListParagraph"/>
              <w:ind w:left="0" w:right="-10"/>
              <w:jc w:val="right"/>
              <w:rPr>
                <w:b/>
                <w:sz w:val="18"/>
              </w:rPr>
            </w:pPr>
            <w:r w:rsidRPr="006D0505">
              <w:rPr>
                <w:b/>
                <w:sz w:val="18"/>
              </w:rPr>
              <w:t>TOTAL</w:t>
            </w:r>
          </w:p>
        </w:tc>
        <w:tc>
          <w:tcPr>
            <w:tcW w:w="1350" w:type="dxa"/>
            <w:vAlign w:val="center"/>
          </w:tcPr>
          <w:p w14:paraId="13996DCE" w14:textId="77777777" w:rsidR="00A27784" w:rsidRPr="006D0505" w:rsidRDefault="008644F0" w:rsidP="003914E1">
            <w:pPr>
              <w:pStyle w:val="ListParagraph"/>
              <w:ind w:left="0" w:right="-10"/>
              <w:jc w:val="center"/>
              <w:rPr>
                <w:b/>
                <w:sz w:val="18"/>
              </w:rPr>
            </w:pPr>
            <w:r w:rsidRPr="006D0505">
              <w:rPr>
                <w:sz w:val="18"/>
              </w:rPr>
              <w:t>100%</w:t>
            </w:r>
          </w:p>
        </w:tc>
      </w:tr>
    </w:tbl>
    <w:p w14:paraId="6C159E6A" w14:textId="77777777" w:rsidR="00A27784" w:rsidRPr="006D0505" w:rsidRDefault="00A27784">
      <w:pPr>
        <w:rPr>
          <w:rFonts w:ascii="Times New Roman" w:hAnsi="Times New Roman"/>
          <w:sz w:val="18"/>
        </w:rPr>
      </w:pPr>
    </w:p>
    <w:p w14:paraId="146B42CC" w14:textId="77777777" w:rsidR="00033E1D" w:rsidRPr="006D0505" w:rsidRDefault="00033E1D" w:rsidP="00033E1D">
      <w:pPr>
        <w:rPr>
          <w:rFonts w:ascii="Times New Roman" w:hAnsi="Times New Roman"/>
          <w:b/>
        </w:rPr>
      </w:pPr>
    </w:p>
    <w:p w14:paraId="71EE37CA" w14:textId="77777777" w:rsidR="00033E1D" w:rsidRPr="001F3494" w:rsidRDefault="00033E1D" w:rsidP="00834A06">
      <w:pPr>
        <w:ind w:firstLine="720"/>
        <w:rPr>
          <w:rFonts w:ascii="Times New Roman" w:hAnsi="Times New Roman"/>
          <w:b/>
          <w:u w:val="single"/>
        </w:rPr>
      </w:pPr>
      <w:r w:rsidRPr="001F3494">
        <w:rPr>
          <w:rFonts w:ascii="Times New Roman" w:hAnsi="Times New Roman"/>
          <w:b/>
          <w:u w:val="single"/>
        </w:rPr>
        <w:t>Qualifications</w:t>
      </w:r>
    </w:p>
    <w:p w14:paraId="5ADF3C9D" w14:textId="77777777" w:rsidR="001F3494" w:rsidRDefault="001F3494" w:rsidP="00834A06">
      <w:pPr>
        <w:ind w:firstLine="720"/>
        <w:rPr>
          <w:rFonts w:ascii="Times New Roman" w:hAnsi="Times New Roman"/>
          <w:u w:val="single"/>
        </w:rPr>
      </w:pPr>
    </w:p>
    <w:p w14:paraId="4125332B" w14:textId="77777777" w:rsidR="00961B38" w:rsidRPr="00961B38" w:rsidRDefault="00961B38" w:rsidP="00961B38">
      <w:pPr>
        <w:jc w:val="both"/>
        <w:rPr>
          <w:rFonts w:ascii="Times New Roman" w:eastAsia="MS Mincho" w:hAnsi="Times New Roman"/>
          <w:sz w:val="22"/>
          <w:szCs w:val="22"/>
        </w:rPr>
      </w:pPr>
    </w:p>
    <w:p w14:paraId="4B28D42F" w14:textId="77777777" w:rsidR="00961B38" w:rsidRPr="00961B38" w:rsidRDefault="00961B38" w:rsidP="00961B38">
      <w:pPr>
        <w:ind w:firstLine="720"/>
        <w:jc w:val="both"/>
        <w:rPr>
          <w:rFonts w:ascii="Times New Roman" w:eastAsia="MS Mincho" w:hAnsi="Times New Roman"/>
          <w:sz w:val="22"/>
          <w:szCs w:val="22"/>
          <w:u w:val="single"/>
        </w:rPr>
      </w:pPr>
      <w:r w:rsidRPr="00961B38">
        <w:rPr>
          <w:rFonts w:ascii="Times New Roman" w:eastAsia="MS Mincho" w:hAnsi="Times New Roman"/>
          <w:sz w:val="22"/>
          <w:szCs w:val="22"/>
          <w:u w:val="single"/>
        </w:rPr>
        <w:t xml:space="preserve">Academic Degree / Level &amp; Years of Professional Work Experience:  </w:t>
      </w:r>
    </w:p>
    <w:p w14:paraId="7860E790" w14:textId="77777777" w:rsidR="00961B38" w:rsidRPr="00961B38" w:rsidRDefault="00961B38" w:rsidP="00961B38">
      <w:pPr>
        <w:ind w:firstLine="720"/>
        <w:jc w:val="both"/>
        <w:rPr>
          <w:rFonts w:ascii="Times New Roman" w:eastAsia="MS Mincho" w:hAnsi="Times New Roman"/>
          <w:sz w:val="22"/>
          <w:szCs w:val="22"/>
        </w:rPr>
      </w:pPr>
    </w:p>
    <w:p w14:paraId="38A06D02" w14:textId="77777777" w:rsidR="00961B38" w:rsidRPr="00961B38" w:rsidRDefault="00961B38" w:rsidP="00961B38">
      <w:pPr>
        <w:numPr>
          <w:ilvl w:val="0"/>
          <w:numId w:val="7"/>
        </w:numPr>
        <w:spacing w:after="200" w:line="276" w:lineRule="auto"/>
        <w:contextualSpacing/>
        <w:jc w:val="both"/>
        <w:rPr>
          <w:rFonts w:ascii="Times New Roman" w:eastAsia="MS Mincho" w:hAnsi="Times New Roman"/>
          <w:sz w:val="22"/>
          <w:szCs w:val="22"/>
        </w:rPr>
      </w:pPr>
      <w:r w:rsidRPr="00961B38">
        <w:rPr>
          <w:rFonts w:ascii="Times New Roman" w:eastAsia="MS Mincho" w:hAnsi="Times New Roman"/>
          <w:sz w:val="22"/>
          <w:szCs w:val="22"/>
        </w:rPr>
        <w:t>Minimum of an advanced university degree (Master's degree or equivalent) in Project Management, Public Policy, Economics, Business Administration or any other related field.</w:t>
      </w:r>
    </w:p>
    <w:p w14:paraId="7D82BC91" w14:textId="77777777" w:rsidR="00961B38" w:rsidRPr="00961B38" w:rsidRDefault="00961B38" w:rsidP="00961B38">
      <w:pPr>
        <w:jc w:val="both"/>
        <w:rPr>
          <w:rFonts w:ascii="Times New Roman" w:eastAsia="MS Mincho" w:hAnsi="Times New Roman"/>
          <w:sz w:val="22"/>
          <w:szCs w:val="22"/>
        </w:rPr>
      </w:pPr>
    </w:p>
    <w:p w14:paraId="1B88F486" w14:textId="716C8A0A" w:rsidR="00961B38" w:rsidRPr="00961B38" w:rsidRDefault="00961B38" w:rsidP="00961B38">
      <w:pPr>
        <w:numPr>
          <w:ilvl w:val="0"/>
          <w:numId w:val="6"/>
        </w:numPr>
        <w:spacing w:after="200" w:line="276" w:lineRule="auto"/>
        <w:ind w:left="1080"/>
        <w:contextualSpacing/>
        <w:jc w:val="both"/>
        <w:rPr>
          <w:rFonts w:ascii="Times New Roman" w:eastAsia="MS Mincho" w:hAnsi="Times New Roman"/>
          <w:sz w:val="22"/>
          <w:szCs w:val="22"/>
        </w:rPr>
      </w:pPr>
      <w:r w:rsidRPr="00961B38">
        <w:rPr>
          <w:rFonts w:ascii="Times New Roman" w:eastAsia="MS Mincho" w:hAnsi="Times New Roman"/>
          <w:sz w:val="22"/>
          <w:szCs w:val="22"/>
        </w:rPr>
        <w:t xml:space="preserve">A minimum of </w:t>
      </w:r>
      <w:r w:rsidR="00432470">
        <w:rPr>
          <w:rFonts w:ascii="Times New Roman" w:eastAsia="MS Mincho" w:hAnsi="Times New Roman"/>
          <w:sz w:val="22"/>
          <w:szCs w:val="22"/>
        </w:rPr>
        <w:t>5 years</w:t>
      </w:r>
      <w:r w:rsidRPr="00961B38">
        <w:rPr>
          <w:rFonts w:ascii="Times New Roman" w:eastAsia="MS Mincho" w:hAnsi="Times New Roman"/>
          <w:sz w:val="22"/>
          <w:szCs w:val="22"/>
        </w:rPr>
        <w:t xml:space="preserve"> of experience in private sector development with a focus </w:t>
      </w:r>
      <w:r w:rsidR="006C046A" w:rsidRPr="00961B38">
        <w:rPr>
          <w:rFonts w:ascii="Times New Roman" w:eastAsia="MS Mincho" w:hAnsi="Times New Roman"/>
          <w:sz w:val="22"/>
          <w:szCs w:val="22"/>
        </w:rPr>
        <w:t>on business</w:t>
      </w:r>
      <w:r w:rsidRPr="00961B38">
        <w:rPr>
          <w:rFonts w:ascii="Times New Roman" w:eastAsia="MS Mincho" w:hAnsi="Times New Roman"/>
          <w:sz w:val="22"/>
          <w:szCs w:val="22"/>
        </w:rPr>
        <w:t xml:space="preserve"> and innovation climate reform within a developing country context.</w:t>
      </w:r>
    </w:p>
    <w:p w14:paraId="7019773E" w14:textId="77777777" w:rsidR="00961B38" w:rsidRPr="00961B38" w:rsidRDefault="00961B38" w:rsidP="00961B38">
      <w:pPr>
        <w:jc w:val="both"/>
        <w:rPr>
          <w:rFonts w:ascii="Times New Roman" w:eastAsia="MS Mincho" w:hAnsi="Times New Roman"/>
          <w:sz w:val="22"/>
          <w:szCs w:val="22"/>
        </w:rPr>
      </w:pPr>
    </w:p>
    <w:p w14:paraId="1C007911" w14:textId="77777777" w:rsidR="00961B38" w:rsidRDefault="00961B38" w:rsidP="00961B38">
      <w:pPr>
        <w:numPr>
          <w:ilvl w:val="0"/>
          <w:numId w:val="6"/>
        </w:numPr>
        <w:spacing w:after="200" w:line="276" w:lineRule="auto"/>
        <w:ind w:left="1080"/>
        <w:contextualSpacing/>
        <w:jc w:val="both"/>
        <w:rPr>
          <w:rFonts w:ascii="Times New Roman" w:eastAsia="MS Mincho" w:hAnsi="Times New Roman"/>
          <w:sz w:val="22"/>
          <w:szCs w:val="22"/>
        </w:rPr>
      </w:pPr>
      <w:r w:rsidRPr="00961B38">
        <w:rPr>
          <w:rFonts w:ascii="Times New Roman" w:eastAsia="MS Mincho" w:hAnsi="Times New Roman"/>
          <w:sz w:val="22"/>
          <w:szCs w:val="22"/>
        </w:rPr>
        <w:t xml:space="preserve">At least five years of private sector development experience within the Caribbean. </w:t>
      </w:r>
    </w:p>
    <w:p w14:paraId="5931383F" w14:textId="77777777" w:rsidR="00E5654B" w:rsidRDefault="00E5654B" w:rsidP="00432470">
      <w:pPr>
        <w:pStyle w:val="ListParagraph"/>
        <w:rPr>
          <w:rFonts w:eastAsia="MS Mincho"/>
          <w:sz w:val="22"/>
          <w:szCs w:val="22"/>
        </w:rPr>
      </w:pPr>
    </w:p>
    <w:p w14:paraId="5047B622" w14:textId="77777777" w:rsidR="00E5654B" w:rsidRPr="00961B38" w:rsidRDefault="00E5654B" w:rsidP="00961B38">
      <w:pPr>
        <w:numPr>
          <w:ilvl w:val="0"/>
          <w:numId w:val="6"/>
        </w:numPr>
        <w:spacing w:after="200" w:line="276" w:lineRule="auto"/>
        <w:ind w:left="1080"/>
        <w:contextualSpacing/>
        <w:jc w:val="both"/>
        <w:rPr>
          <w:rFonts w:ascii="Times New Roman" w:eastAsia="MS Mincho" w:hAnsi="Times New Roman"/>
          <w:sz w:val="22"/>
          <w:szCs w:val="22"/>
        </w:rPr>
      </w:pPr>
      <w:r>
        <w:rPr>
          <w:color w:val="262626"/>
        </w:rPr>
        <w:t>At least 3 years experience in project monitoring and evaluation, including RFM and TOC development. Project Monitoring and Evaluation Certification would be a plus.</w:t>
      </w:r>
    </w:p>
    <w:p w14:paraId="6A2309BF" w14:textId="77777777" w:rsidR="00961B38" w:rsidRPr="00961B38" w:rsidRDefault="00961B38" w:rsidP="00961B38">
      <w:pPr>
        <w:ind w:firstLine="720"/>
        <w:jc w:val="both"/>
        <w:rPr>
          <w:rFonts w:ascii="Times New Roman" w:eastAsia="MS Mincho" w:hAnsi="Times New Roman"/>
          <w:sz w:val="22"/>
          <w:szCs w:val="22"/>
        </w:rPr>
      </w:pPr>
    </w:p>
    <w:p w14:paraId="5D39C498" w14:textId="77777777" w:rsidR="00961B38" w:rsidRPr="00961B38" w:rsidRDefault="00961B38" w:rsidP="00961B38">
      <w:pPr>
        <w:jc w:val="both"/>
        <w:rPr>
          <w:rFonts w:ascii="Times New Roman" w:eastAsia="MS Mincho" w:hAnsi="Times New Roman"/>
          <w:sz w:val="22"/>
          <w:szCs w:val="22"/>
        </w:rPr>
      </w:pPr>
    </w:p>
    <w:p w14:paraId="0C37DDC1" w14:textId="77777777" w:rsidR="00961B38" w:rsidRPr="00961B38" w:rsidRDefault="00961B38" w:rsidP="00961B38">
      <w:pPr>
        <w:ind w:firstLine="720"/>
        <w:jc w:val="both"/>
        <w:rPr>
          <w:rFonts w:ascii="Times New Roman" w:eastAsia="MS Mincho" w:hAnsi="Times New Roman"/>
          <w:sz w:val="22"/>
          <w:szCs w:val="22"/>
          <w:u w:val="single"/>
        </w:rPr>
      </w:pPr>
      <w:r w:rsidRPr="00961B38">
        <w:rPr>
          <w:rFonts w:ascii="Times New Roman" w:eastAsia="MS Mincho" w:hAnsi="Times New Roman"/>
          <w:sz w:val="22"/>
          <w:szCs w:val="22"/>
          <w:u w:val="single"/>
        </w:rPr>
        <w:t>Core Competencies</w:t>
      </w:r>
    </w:p>
    <w:p w14:paraId="5642E31E" w14:textId="77777777" w:rsidR="00961B38" w:rsidRPr="00961B38" w:rsidRDefault="00961B38" w:rsidP="00961B38">
      <w:pPr>
        <w:jc w:val="both"/>
        <w:rPr>
          <w:rFonts w:ascii="Times New Roman" w:eastAsia="MS Mincho" w:hAnsi="Times New Roman"/>
          <w:sz w:val="22"/>
          <w:szCs w:val="22"/>
        </w:rPr>
      </w:pPr>
    </w:p>
    <w:p w14:paraId="5F0FE3F7" w14:textId="77777777" w:rsidR="00961B38" w:rsidRPr="00961B38" w:rsidRDefault="00961B38" w:rsidP="00961B38">
      <w:pPr>
        <w:numPr>
          <w:ilvl w:val="0"/>
          <w:numId w:val="8"/>
        </w:numPr>
        <w:spacing w:after="200" w:line="276" w:lineRule="auto"/>
        <w:contextualSpacing/>
        <w:jc w:val="both"/>
        <w:rPr>
          <w:rFonts w:ascii="Times New Roman" w:eastAsia="MS Mincho" w:hAnsi="Times New Roman"/>
          <w:sz w:val="22"/>
          <w:szCs w:val="22"/>
        </w:rPr>
      </w:pPr>
      <w:r w:rsidRPr="00961B38">
        <w:rPr>
          <w:rFonts w:ascii="Times New Roman" w:eastAsia="MS Mincho" w:hAnsi="Times New Roman"/>
          <w:sz w:val="22"/>
          <w:szCs w:val="22"/>
        </w:rPr>
        <w:t>Project analysis and use of key project development tools: stakeholder analysis, TOC/logic models, RF, social and gender impact assessment, risk analysis, sustainability planning, climate change impact assessment, etc.</w:t>
      </w:r>
    </w:p>
    <w:p w14:paraId="7FA97469" w14:textId="77777777" w:rsidR="00961B38" w:rsidRPr="00961B38" w:rsidRDefault="00961B38" w:rsidP="00961B38">
      <w:pPr>
        <w:ind w:left="1080"/>
        <w:contextualSpacing/>
        <w:jc w:val="both"/>
        <w:rPr>
          <w:rFonts w:ascii="Times New Roman" w:eastAsia="MS Mincho" w:hAnsi="Times New Roman"/>
          <w:sz w:val="22"/>
          <w:szCs w:val="22"/>
        </w:rPr>
      </w:pPr>
    </w:p>
    <w:p w14:paraId="22E3DFC0" w14:textId="77777777" w:rsidR="00961B38" w:rsidRPr="00961B38" w:rsidRDefault="00961B38" w:rsidP="00961B38">
      <w:pPr>
        <w:numPr>
          <w:ilvl w:val="0"/>
          <w:numId w:val="8"/>
        </w:numPr>
        <w:spacing w:after="200" w:line="276" w:lineRule="auto"/>
        <w:contextualSpacing/>
        <w:jc w:val="both"/>
        <w:rPr>
          <w:rFonts w:ascii="Times New Roman" w:eastAsia="MS Mincho" w:hAnsi="Times New Roman"/>
          <w:sz w:val="22"/>
          <w:szCs w:val="22"/>
        </w:rPr>
      </w:pPr>
      <w:r w:rsidRPr="00961B38">
        <w:rPr>
          <w:rFonts w:ascii="Times New Roman" w:eastAsia="MS Mincho" w:hAnsi="Times New Roman"/>
          <w:sz w:val="22"/>
          <w:szCs w:val="22"/>
        </w:rPr>
        <w:t>Highly developed communication and proposal writing skills.</w:t>
      </w:r>
    </w:p>
    <w:p w14:paraId="1B0B891E" w14:textId="77777777" w:rsidR="00961B38" w:rsidRPr="00961B38" w:rsidRDefault="00961B38" w:rsidP="00961B38">
      <w:pPr>
        <w:ind w:left="720"/>
        <w:contextualSpacing/>
        <w:rPr>
          <w:rFonts w:ascii="Times New Roman" w:eastAsia="MS Mincho" w:hAnsi="Times New Roman"/>
          <w:sz w:val="22"/>
          <w:szCs w:val="22"/>
        </w:rPr>
      </w:pPr>
    </w:p>
    <w:p w14:paraId="2497F880" w14:textId="77777777" w:rsidR="00961B38" w:rsidRPr="00961B38" w:rsidRDefault="00961B38" w:rsidP="00961B38">
      <w:pPr>
        <w:numPr>
          <w:ilvl w:val="0"/>
          <w:numId w:val="8"/>
        </w:numPr>
        <w:spacing w:after="200" w:line="276" w:lineRule="auto"/>
        <w:contextualSpacing/>
        <w:jc w:val="both"/>
        <w:rPr>
          <w:rFonts w:ascii="Times New Roman" w:eastAsia="MS Mincho" w:hAnsi="Times New Roman"/>
          <w:sz w:val="22"/>
          <w:szCs w:val="22"/>
        </w:rPr>
      </w:pPr>
      <w:r w:rsidRPr="00961B38">
        <w:rPr>
          <w:rFonts w:ascii="Times New Roman" w:eastAsia="MS Mincho" w:hAnsi="Times New Roman"/>
          <w:sz w:val="22"/>
          <w:szCs w:val="22"/>
        </w:rPr>
        <w:t>A working understanding of guidelines and procedures typically used by development banks (e.g. harmonized procurement guidelines).</w:t>
      </w:r>
    </w:p>
    <w:p w14:paraId="75250D9B" w14:textId="77777777" w:rsidR="00961B38" w:rsidRPr="00961B38" w:rsidRDefault="00961B38" w:rsidP="00961B38">
      <w:pPr>
        <w:ind w:left="1080"/>
        <w:contextualSpacing/>
        <w:jc w:val="both"/>
        <w:rPr>
          <w:rFonts w:ascii="Times New Roman" w:eastAsia="MS Mincho" w:hAnsi="Times New Roman"/>
          <w:sz w:val="22"/>
          <w:szCs w:val="22"/>
        </w:rPr>
      </w:pPr>
    </w:p>
    <w:p w14:paraId="2987DB9C" w14:textId="77777777" w:rsidR="00961B38" w:rsidRPr="00961B38" w:rsidRDefault="00961B38" w:rsidP="00961B38">
      <w:pPr>
        <w:numPr>
          <w:ilvl w:val="0"/>
          <w:numId w:val="8"/>
        </w:numPr>
        <w:spacing w:after="200" w:line="276" w:lineRule="auto"/>
        <w:contextualSpacing/>
        <w:jc w:val="both"/>
        <w:rPr>
          <w:rFonts w:ascii="Times New Roman" w:eastAsia="MS Mincho" w:hAnsi="Times New Roman"/>
          <w:sz w:val="22"/>
          <w:szCs w:val="22"/>
        </w:rPr>
      </w:pPr>
      <w:r w:rsidRPr="00961B38">
        <w:rPr>
          <w:rFonts w:ascii="Times New Roman" w:eastAsia="MS Mincho" w:hAnsi="Times New Roman"/>
          <w:sz w:val="22"/>
          <w:szCs w:val="22"/>
        </w:rPr>
        <w:t>Fluency in oral and written English.</w:t>
      </w:r>
    </w:p>
    <w:p w14:paraId="5C00C384" w14:textId="77777777" w:rsidR="00961B38" w:rsidRPr="00961B38" w:rsidRDefault="00961B38" w:rsidP="00961B38">
      <w:pPr>
        <w:ind w:left="1080"/>
        <w:contextualSpacing/>
        <w:jc w:val="both"/>
        <w:rPr>
          <w:rFonts w:ascii="Times New Roman" w:eastAsia="MS Mincho" w:hAnsi="Times New Roman"/>
          <w:sz w:val="22"/>
          <w:szCs w:val="22"/>
        </w:rPr>
      </w:pPr>
    </w:p>
    <w:p w14:paraId="2459829C" w14:textId="77777777" w:rsidR="00961B38" w:rsidRPr="00961B38" w:rsidRDefault="00961B38" w:rsidP="00961B38">
      <w:pPr>
        <w:jc w:val="both"/>
        <w:rPr>
          <w:rFonts w:ascii="Times New Roman" w:eastAsia="MS Mincho" w:hAnsi="Times New Roman"/>
          <w:sz w:val="22"/>
          <w:szCs w:val="22"/>
        </w:rPr>
      </w:pPr>
    </w:p>
    <w:p w14:paraId="18F4647B" w14:textId="77777777" w:rsidR="00961B38" w:rsidRPr="00961B38" w:rsidRDefault="00961B38" w:rsidP="00961B38">
      <w:pPr>
        <w:ind w:firstLine="720"/>
        <w:jc w:val="both"/>
        <w:rPr>
          <w:rFonts w:ascii="Times New Roman" w:eastAsia="MS Mincho" w:hAnsi="Times New Roman"/>
          <w:b/>
          <w:sz w:val="22"/>
          <w:szCs w:val="22"/>
        </w:rPr>
      </w:pPr>
      <w:r w:rsidRPr="00961B38">
        <w:rPr>
          <w:rFonts w:ascii="Times New Roman" w:eastAsia="MS Mincho" w:hAnsi="Times New Roman"/>
          <w:b/>
          <w:sz w:val="22"/>
          <w:szCs w:val="22"/>
        </w:rPr>
        <w:t>Characteristics of the Consultancy</w:t>
      </w:r>
    </w:p>
    <w:p w14:paraId="72BF72EF" w14:textId="77777777" w:rsidR="00961B38" w:rsidRPr="00961B38" w:rsidRDefault="00961B38" w:rsidP="00961B38">
      <w:pPr>
        <w:jc w:val="both"/>
        <w:rPr>
          <w:rFonts w:ascii="Times New Roman" w:eastAsia="MS Mincho" w:hAnsi="Times New Roman"/>
          <w:sz w:val="22"/>
          <w:szCs w:val="22"/>
        </w:rPr>
      </w:pPr>
    </w:p>
    <w:p w14:paraId="35A93A21" w14:textId="77777777" w:rsidR="00961B38" w:rsidRPr="00961B38" w:rsidRDefault="00961B38" w:rsidP="00961B38">
      <w:pPr>
        <w:ind w:left="720"/>
        <w:jc w:val="both"/>
        <w:rPr>
          <w:rFonts w:ascii="Times New Roman" w:eastAsia="MS Mincho" w:hAnsi="Times New Roman"/>
          <w:color w:val="000000"/>
          <w:sz w:val="22"/>
          <w:szCs w:val="22"/>
        </w:rPr>
      </w:pPr>
      <w:r w:rsidRPr="00961B38">
        <w:rPr>
          <w:rFonts w:ascii="Times New Roman" w:eastAsia="MS Mincho" w:hAnsi="Times New Roman"/>
          <w:color w:val="000000"/>
          <w:sz w:val="22"/>
          <w:szCs w:val="22"/>
        </w:rPr>
        <w:t>Consultancy category and modality: International</w:t>
      </w:r>
      <w:r w:rsidR="00C90B3B">
        <w:rPr>
          <w:rFonts w:ascii="Times New Roman" w:eastAsia="MS Mincho" w:hAnsi="Times New Roman"/>
          <w:color w:val="000000"/>
          <w:sz w:val="22"/>
          <w:szCs w:val="22"/>
        </w:rPr>
        <w:t>,</w:t>
      </w:r>
      <w:r w:rsidRPr="00961B38">
        <w:rPr>
          <w:rFonts w:ascii="Times New Roman" w:eastAsia="MS Mincho" w:hAnsi="Times New Roman"/>
          <w:color w:val="000000"/>
          <w:sz w:val="22"/>
          <w:szCs w:val="22"/>
        </w:rPr>
        <w:t xml:space="preserve"> Products and External Services Contractual, Lump Sum</w:t>
      </w:r>
    </w:p>
    <w:p w14:paraId="3827CED8" w14:textId="77777777" w:rsidR="00961B38" w:rsidRPr="00961B38" w:rsidRDefault="00961B38" w:rsidP="00961B38">
      <w:pPr>
        <w:jc w:val="both"/>
        <w:rPr>
          <w:rFonts w:ascii="Times New Roman" w:eastAsia="MS Mincho" w:hAnsi="Times New Roman"/>
          <w:sz w:val="22"/>
          <w:szCs w:val="22"/>
        </w:rPr>
      </w:pPr>
    </w:p>
    <w:p w14:paraId="6A36F98D" w14:textId="77777777" w:rsidR="00961B38" w:rsidRPr="00961B38" w:rsidRDefault="00961B38" w:rsidP="00961B38">
      <w:pPr>
        <w:ind w:firstLine="720"/>
        <w:jc w:val="both"/>
        <w:rPr>
          <w:rFonts w:ascii="Times New Roman" w:eastAsia="MS Mincho" w:hAnsi="Times New Roman"/>
          <w:sz w:val="22"/>
          <w:szCs w:val="22"/>
        </w:rPr>
      </w:pPr>
      <w:r w:rsidRPr="00961B38">
        <w:rPr>
          <w:rFonts w:ascii="Times New Roman" w:eastAsia="MS Mincho" w:hAnsi="Times New Roman"/>
          <w:sz w:val="22"/>
          <w:szCs w:val="22"/>
        </w:rPr>
        <w:t>Contract duration:  Two</w:t>
      </w:r>
      <w:r w:rsidR="00C90B3B">
        <w:rPr>
          <w:rFonts w:ascii="Times New Roman" w:eastAsia="MS Mincho" w:hAnsi="Times New Roman"/>
          <w:sz w:val="22"/>
          <w:szCs w:val="22"/>
        </w:rPr>
        <w:t xml:space="preserve"> (2) months from the start date, including 20 non-consecutive working days</w:t>
      </w:r>
    </w:p>
    <w:p w14:paraId="5A108231" w14:textId="77777777" w:rsidR="00961B38" w:rsidRPr="00961B38" w:rsidRDefault="00961B38" w:rsidP="00961B38">
      <w:pPr>
        <w:tabs>
          <w:tab w:val="left" w:pos="7800"/>
        </w:tabs>
        <w:jc w:val="both"/>
        <w:rPr>
          <w:rFonts w:ascii="Times New Roman" w:eastAsia="MS Mincho" w:hAnsi="Times New Roman"/>
          <w:sz w:val="22"/>
          <w:szCs w:val="22"/>
        </w:rPr>
      </w:pPr>
      <w:r w:rsidRPr="00961B38">
        <w:rPr>
          <w:rFonts w:ascii="Times New Roman" w:eastAsia="MS Mincho" w:hAnsi="Times New Roman"/>
          <w:sz w:val="22"/>
          <w:szCs w:val="22"/>
        </w:rPr>
        <w:tab/>
      </w:r>
    </w:p>
    <w:p w14:paraId="465F8830" w14:textId="77777777" w:rsidR="00961B38" w:rsidRPr="00961B38" w:rsidRDefault="00961B38" w:rsidP="00961B38">
      <w:pPr>
        <w:ind w:left="720"/>
        <w:jc w:val="both"/>
        <w:rPr>
          <w:rFonts w:ascii="Times New Roman" w:eastAsia="MS Mincho" w:hAnsi="Times New Roman"/>
          <w:sz w:val="22"/>
          <w:szCs w:val="22"/>
        </w:rPr>
      </w:pPr>
      <w:r w:rsidRPr="00961B38">
        <w:rPr>
          <w:rFonts w:ascii="Times New Roman" w:eastAsia="MS Mincho" w:hAnsi="Times New Roman"/>
          <w:sz w:val="22"/>
          <w:szCs w:val="22"/>
        </w:rPr>
        <w:t>Place(s) of work: External consultancy which will be developed at the place of residence of the contractual. For international contractual, one mission to the location of the potential beneficiaries with a maximum of 5 days on the ground.</w:t>
      </w:r>
    </w:p>
    <w:p w14:paraId="59F872FA" w14:textId="77777777" w:rsidR="006D0505" w:rsidRPr="006D0505" w:rsidRDefault="006D0505" w:rsidP="00834A06">
      <w:pPr>
        <w:pStyle w:val="ListParagraph"/>
        <w:ind w:left="1080"/>
      </w:pPr>
    </w:p>
    <w:p w14:paraId="2B5FBCFC" w14:textId="77777777" w:rsidR="006D0505" w:rsidRPr="006D0505" w:rsidRDefault="006D0505" w:rsidP="00033E1D">
      <w:pPr>
        <w:rPr>
          <w:rFonts w:ascii="Times New Roman" w:hAnsi="Times New Roman"/>
        </w:rPr>
      </w:pPr>
    </w:p>
    <w:p w14:paraId="12E1D30F" w14:textId="77777777" w:rsidR="00033E1D" w:rsidRPr="006D0505" w:rsidRDefault="00033E1D">
      <w:pPr>
        <w:rPr>
          <w:rFonts w:ascii="Times New Roman" w:hAnsi="Times New Roman"/>
          <w:sz w:val="18"/>
        </w:rPr>
      </w:pPr>
      <w:r w:rsidRPr="006D0505">
        <w:rPr>
          <w:rFonts w:ascii="Times New Roman" w:hAnsi="Times New Roman"/>
          <w:sz w:val="18"/>
        </w:rPr>
        <w:tab/>
      </w:r>
    </w:p>
    <w:p w14:paraId="7C6AB32C" w14:textId="77777777" w:rsidR="00F42D31" w:rsidRPr="006D0505" w:rsidRDefault="00F42D31" w:rsidP="00F42D31">
      <w:pPr>
        <w:pStyle w:val="ListParagraph"/>
        <w:numPr>
          <w:ilvl w:val="0"/>
          <w:numId w:val="1"/>
        </w:numPr>
        <w:jc w:val="both"/>
        <w:rPr>
          <w:bCs/>
          <w:szCs w:val="22"/>
        </w:rPr>
      </w:pPr>
      <w:r w:rsidRPr="006D0505">
        <w:rPr>
          <w:b/>
          <w:bCs/>
          <w:szCs w:val="22"/>
        </w:rPr>
        <w:lastRenderedPageBreak/>
        <w:t>Payment and Conditions of Employment:</w:t>
      </w:r>
      <w:r w:rsidRPr="006D0505">
        <w:rPr>
          <w:bCs/>
          <w:color w:val="000000"/>
          <w:szCs w:val="22"/>
        </w:rPr>
        <w:t xml:space="preserve"> Remuneration will be determined in accordance with Bank regulations and criteria</w:t>
      </w:r>
      <w:r w:rsidRPr="006D0505">
        <w:rPr>
          <w:bCs/>
          <w:szCs w:val="22"/>
        </w:rPr>
        <w:t xml:space="preserve">. </w:t>
      </w:r>
    </w:p>
    <w:p w14:paraId="24689F30" w14:textId="77777777" w:rsidR="00F42D31" w:rsidRPr="006D0505" w:rsidRDefault="00F42D31" w:rsidP="00F42D31">
      <w:pPr>
        <w:jc w:val="both"/>
        <w:rPr>
          <w:rFonts w:ascii="Times New Roman" w:hAnsi="Times New Roman"/>
          <w:bCs/>
          <w:szCs w:val="22"/>
        </w:rPr>
      </w:pPr>
    </w:p>
    <w:p w14:paraId="5CAFC62F" w14:textId="77777777" w:rsidR="00F42D31" w:rsidRPr="006D0505" w:rsidRDefault="00F42D31" w:rsidP="00F42D31">
      <w:pPr>
        <w:pStyle w:val="ListParagraph"/>
        <w:numPr>
          <w:ilvl w:val="0"/>
          <w:numId w:val="1"/>
        </w:numPr>
        <w:jc w:val="both"/>
        <w:rPr>
          <w:bCs/>
          <w:szCs w:val="22"/>
        </w:rPr>
      </w:pPr>
      <w:r w:rsidRPr="006D0505">
        <w:rPr>
          <w:b/>
          <w:bCs/>
          <w:szCs w:val="22"/>
        </w:rPr>
        <w:t>Consanguinity:</w:t>
      </w:r>
      <w:r w:rsidRPr="006D0505">
        <w:rPr>
          <w:bCs/>
          <w:szCs w:val="22"/>
        </w:rPr>
        <w:t xml:space="preserve"> Individuals with relatives working for the IDB within, and including the fourth degree of consanguinity and the second degree of affinity are not eligible for employment as staff or contractual. Candidates must be citizens of a member country of the Inter-American Development Bank.</w:t>
      </w:r>
    </w:p>
    <w:p w14:paraId="5E52D96E" w14:textId="77777777" w:rsidR="00F42D31" w:rsidRPr="006D0505" w:rsidRDefault="00F42D31" w:rsidP="00F42D31">
      <w:pPr>
        <w:pStyle w:val="ListParagraph"/>
        <w:ind w:left="360"/>
        <w:jc w:val="both"/>
        <w:rPr>
          <w:bCs/>
          <w:szCs w:val="22"/>
        </w:rPr>
      </w:pPr>
    </w:p>
    <w:p w14:paraId="2B6C416E" w14:textId="77777777" w:rsidR="00F42D31" w:rsidRPr="006D0505" w:rsidRDefault="00F42D31" w:rsidP="00F42D31">
      <w:pPr>
        <w:pStyle w:val="ListParagraph"/>
        <w:numPr>
          <w:ilvl w:val="0"/>
          <w:numId w:val="1"/>
        </w:numPr>
        <w:jc w:val="both"/>
        <w:rPr>
          <w:bCs/>
          <w:szCs w:val="22"/>
        </w:rPr>
      </w:pPr>
      <w:r w:rsidRPr="006D0505">
        <w:rPr>
          <w:b/>
          <w:bCs/>
          <w:szCs w:val="22"/>
        </w:rPr>
        <w:t>Diversity:</w:t>
      </w:r>
      <w:r w:rsidRPr="006D0505">
        <w:rPr>
          <w:bCs/>
          <w:szCs w:val="22"/>
        </w:rPr>
        <w:t xml:space="preserve"> The IDB is committed to diversity and inclusion and to providing equal opportunities in employment. We embrace diversity on the basis of gender, age, education, national origin, ethnic origin, race, disability, sexual orientation, religion, and HIV/AIDs status. We encourage women, Afro descendants and persons of indigenous origins to apply.</w:t>
      </w:r>
    </w:p>
    <w:p w14:paraId="7316E516" w14:textId="77777777" w:rsidR="00F42D31" w:rsidRPr="00B62269" w:rsidRDefault="00F42D31" w:rsidP="00F42D31">
      <w:pPr>
        <w:jc w:val="both"/>
        <w:rPr>
          <w:bCs/>
          <w:sz w:val="22"/>
          <w:szCs w:val="22"/>
        </w:rPr>
      </w:pPr>
    </w:p>
    <w:sectPr w:rsidR="00F42D31" w:rsidRPr="00B62269" w:rsidSect="004324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9557A" w14:textId="77777777" w:rsidR="001B09FD" w:rsidRDefault="001B09FD" w:rsidP="00A27784">
      <w:r>
        <w:separator/>
      </w:r>
    </w:p>
  </w:endnote>
  <w:endnote w:type="continuationSeparator" w:id="0">
    <w:p w14:paraId="24A26BD5" w14:textId="77777777" w:rsidR="001B09FD" w:rsidRDefault="001B09FD" w:rsidP="00A2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71D1" w14:textId="77777777" w:rsidR="001B09FD" w:rsidRDefault="001B09FD" w:rsidP="00A27784">
      <w:r>
        <w:separator/>
      </w:r>
    </w:p>
  </w:footnote>
  <w:footnote w:type="continuationSeparator" w:id="0">
    <w:p w14:paraId="0B8C214E" w14:textId="77777777" w:rsidR="001B09FD" w:rsidRDefault="001B09FD" w:rsidP="00A27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8CA"/>
    <w:multiLevelType w:val="hybridMultilevel"/>
    <w:tmpl w:val="607E5F0C"/>
    <w:lvl w:ilvl="0" w:tplc="68388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569D2"/>
    <w:multiLevelType w:val="hybridMultilevel"/>
    <w:tmpl w:val="B19A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A4D97"/>
    <w:multiLevelType w:val="hybridMultilevel"/>
    <w:tmpl w:val="5E5C49BE"/>
    <w:lvl w:ilvl="0" w:tplc="ABB24ED2">
      <w:start w:val="1"/>
      <w:numFmt w:val="decimal"/>
      <w:lvlText w:val="%1."/>
      <w:lvlJc w:val="left"/>
      <w:pPr>
        <w:ind w:left="720" w:hanging="360"/>
      </w:pPr>
      <w:rPr>
        <w:rFonts w:ascii="Times New Roman" w:hAnsi="Times New Roman" w:hint="default"/>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78139F5"/>
    <w:multiLevelType w:val="hybridMultilevel"/>
    <w:tmpl w:val="5156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230259"/>
    <w:multiLevelType w:val="hybridMultilevel"/>
    <w:tmpl w:val="92F09ED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3AE80FBE"/>
    <w:multiLevelType w:val="hybridMultilevel"/>
    <w:tmpl w:val="5874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574F6"/>
    <w:multiLevelType w:val="hybridMultilevel"/>
    <w:tmpl w:val="A492E55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A127F"/>
    <w:multiLevelType w:val="hybridMultilevel"/>
    <w:tmpl w:val="2F926A34"/>
    <w:lvl w:ilvl="0" w:tplc="20745E1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E05A2B"/>
    <w:multiLevelType w:val="multilevel"/>
    <w:tmpl w:val="F0EC0DB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B884268"/>
    <w:multiLevelType w:val="hybridMultilevel"/>
    <w:tmpl w:val="7F5EC306"/>
    <w:lvl w:ilvl="0" w:tplc="04090001">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B8601F"/>
    <w:multiLevelType w:val="hybridMultilevel"/>
    <w:tmpl w:val="B7CA4F3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CF97E70"/>
    <w:multiLevelType w:val="hybridMultilevel"/>
    <w:tmpl w:val="B7C6B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5F78"/>
    <w:multiLevelType w:val="multilevel"/>
    <w:tmpl w:val="83B64F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363B93"/>
    <w:multiLevelType w:val="hybridMultilevel"/>
    <w:tmpl w:val="576EB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8C65FA"/>
    <w:multiLevelType w:val="hybridMultilevel"/>
    <w:tmpl w:val="06960D4C"/>
    <w:lvl w:ilvl="0" w:tplc="98BE4462">
      <w:start w:val="4"/>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A472B"/>
    <w:multiLevelType w:val="multilevel"/>
    <w:tmpl w:val="3DBA8A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774971D7"/>
    <w:multiLevelType w:val="hybridMultilevel"/>
    <w:tmpl w:val="2B8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A3F0C"/>
    <w:multiLevelType w:val="hybridMultilevel"/>
    <w:tmpl w:val="EB30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1131B"/>
    <w:multiLevelType w:val="hybridMultilevel"/>
    <w:tmpl w:val="3F924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5"/>
  </w:num>
  <w:num w:numId="4">
    <w:abstractNumId w:val="11"/>
  </w:num>
  <w:num w:numId="5">
    <w:abstractNumId w:val="10"/>
  </w:num>
  <w:num w:numId="6">
    <w:abstractNumId w:val="1"/>
  </w:num>
  <w:num w:numId="7">
    <w:abstractNumId w:val="19"/>
  </w:num>
  <w:num w:numId="8">
    <w:abstractNumId w:val="14"/>
  </w:num>
  <w:num w:numId="9">
    <w:abstractNumId w:val="6"/>
  </w:num>
  <w:num w:numId="10">
    <w:abstractNumId w:val="4"/>
  </w:num>
  <w:num w:numId="11">
    <w:abstractNumId w:val="5"/>
  </w:num>
  <w:num w:numId="12">
    <w:abstractNumId w:val="12"/>
  </w:num>
  <w:num w:numId="13">
    <w:abstractNumId w:val="0"/>
  </w:num>
  <w:num w:numId="14">
    <w:abstractNumId w:val="3"/>
  </w:num>
  <w:num w:numId="15">
    <w:abstractNumId w:val="18"/>
  </w:num>
  <w:num w:numId="16">
    <w:abstractNumId w:val="16"/>
  </w:num>
  <w:num w:numId="17">
    <w:abstractNumId w:val="9"/>
  </w:num>
  <w:num w:numId="18">
    <w:abstractNumId w:val="7"/>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84"/>
    <w:rsid w:val="00006171"/>
    <w:rsid w:val="00031CBB"/>
    <w:rsid w:val="00033E1D"/>
    <w:rsid w:val="000634C4"/>
    <w:rsid w:val="000737E8"/>
    <w:rsid w:val="000A15F6"/>
    <w:rsid w:val="000A4647"/>
    <w:rsid w:val="000A5E6F"/>
    <w:rsid w:val="000A656C"/>
    <w:rsid w:val="0010322D"/>
    <w:rsid w:val="00114562"/>
    <w:rsid w:val="00116497"/>
    <w:rsid w:val="001579EA"/>
    <w:rsid w:val="001B09FD"/>
    <w:rsid w:val="001C502E"/>
    <w:rsid w:val="001F3494"/>
    <w:rsid w:val="00214909"/>
    <w:rsid w:val="00271E3C"/>
    <w:rsid w:val="00284F9E"/>
    <w:rsid w:val="002F0BE0"/>
    <w:rsid w:val="003046E1"/>
    <w:rsid w:val="003277B0"/>
    <w:rsid w:val="00346313"/>
    <w:rsid w:val="00361667"/>
    <w:rsid w:val="003758D1"/>
    <w:rsid w:val="003914E1"/>
    <w:rsid w:val="0040509D"/>
    <w:rsid w:val="00414DE7"/>
    <w:rsid w:val="00432470"/>
    <w:rsid w:val="004D1343"/>
    <w:rsid w:val="00501646"/>
    <w:rsid w:val="00501D52"/>
    <w:rsid w:val="00524953"/>
    <w:rsid w:val="00564AB4"/>
    <w:rsid w:val="005972FF"/>
    <w:rsid w:val="005C6D4E"/>
    <w:rsid w:val="00615101"/>
    <w:rsid w:val="00615112"/>
    <w:rsid w:val="006339D8"/>
    <w:rsid w:val="00655694"/>
    <w:rsid w:val="0066187B"/>
    <w:rsid w:val="006A2CD4"/>
    <w:rsid w:val="006C046A"/>
    <w:rsid w:val="006C7C3B"/>
    <w:rsid w:val="006D0229"/>
    <w:rsid w:val="006D0505"/>
    <w:rsid w:val="006D3214"/>
    <w:rsid w:val="006D702F"/>
    <w:rsid w:val="006E5EEB"/>
    <w:rsid w:val="006E62D9"/>
    <w:rsid w:val="006F335C"/>
    <w:rsid w:val="00706759"/>
    <w:rsid w:val="00733768"/>
    <w:rsid w:val="00784C78"/>
    <w:rsid w:val="007D1877"/>
    <w:rsid w:val="007D1ACD"/>
    <w:rsid w:val="007E0C40"/>
    <w:rsid w:val="007F414E"/>
    <w:rsid w:val="008136B6"/>
    <w:rsid w:val="00821847"/>
    <w:rsid w:val="00834822"/>
    <w:rsid w:val="00834A06"/>
    <w:rsid w:val="008644F0"/>
    <w:rsid w:val="0088605F"/>
    <w:rsid w:val="008A1676"/>
    <w:rsid w:val="008B0BDA"/>
    <w:rsid w:val="0090366A"/>
    <w:rsid w:val="00912C80"/>
    <w:rsid w:val="00960A4D"/>
    <w:rsid w:val="00961B38"/>
    <w:rsid w:val="009A44CB"/>
    <w:rsid w:val="009C6BCB"/>
    <w:rsid w:val="009E7A5D"/>
    <w:rsid w:val="00A13183"/>
    <w:rsid w:val="00A27784"/>
    <w:rsid w:val="00A45531"/>
    <w:rsid w:val="00A457A3"/>
    <w:rsid w:val="00A867F1"/>
    <w:rsid w:val="00A96788"/>
    <w:rsid w:val="00AA59E8"/>
    <w:rsid w:val="00AB4C30"/>
    <w:rsid w:val="00AB4FEC"/>
    <w:rsid w:val="00AF1EE3"/>
    <w:rsid w:val="00B0128C"/>
    <w:rsid w:val="00B47990"/>
    <w:rsid w:val="00B82865"/>
    <w:rsid w:val="00B853B0"/>
    <w:rsid w:val="00B93BF4"/>
    <w:rsid w:val="00BA0564"/>
    <w:rsid w:val="00BA4BEF"/>
    <w:rsid w:val="00BA6109"/>
    <w:rsid w:val="00BE1FDB"/>
    <w:rsid w:val="00C22481"/>
    <w:rsid w:val="00C41774"/>
    <w:rsid w:val="00C57754"/>
    <w:rsid w:val="00C849AE"/>
    <w:rsid w:val="00C85466"/>
    <w:rsid w:val="00C90B3B"/>
    <w:rsid w:val="00CA693C"/>
    <w:rsid w:val="00CB5339"/>
    <w:rsid w:val="00CE4652"/>
    <w:rsid w:val="00D04DCD"/>
    <w:rsid w:val="00D06011"/>
    <w:rsid w:val="00D3484A"/>
    <w:rsid w:val="00D433B0"/>
    <w:rsid w:val="00D50461"/>
    <w:rsid w:val="00D7560B"/>
    <w:rsid w:val="00D76321"/>
    <w:rsid w:val="00D7779F"/>
    <w:rsid w:val="00E02EB6"/>
    <w:rsid w:val="00E04377"/>
    <w:rsid w:val="00E0726B"/>
    <w:rsid w:val="00E20630"/>
    <w:rsid w:val="00E5654B"/>
    <w:rsid w:val="00E839AF"/>
    <w:rsid w:val="00E863FF"/>
    <w:rsid w:val="00EC37D7"/>
    <w:rsid w:val="00ED2269"/>
    <w:rsid w:val="00EE648A"/>
    <w:rsid w:val="00F362D4"/>
    <w:rsid w:val="00F42D31"/>
    <w:rsid w:val="00F846BB"/>
    <w:rsid w:val="00F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179C1"/>
  <w15:docId w15:val="{8F274C06-1D17-48E0-8319-5DBA3FC9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05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27784"/>
    <w:pPr>
      <w:keepNext/>
      <w:outlineLvl w:val="0"/>
    </w:pPr>
    <w:rPr>
      <w:rFonts w:ascii="Times New Roman" w:hAnsi="Times New Roman"/>
      <w:sz w:val="32"/>
    </w:rPr>
  </w:style>
  <w:style w:type="paragraph" w:styleId="Heading3">
    <w:name w:val="heading 3"/>
    <w:basedOn w:val="Normal"/>
    <w:next w:val="Normal"/>
    <w:link w:val="Heading3Char"/>
    <w:uiPriority w:val="9"/>
    <w:unhideWhenUsed/>
    <w:qFormat/>
    <w:rsid w:val="00AA59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784"/>
    <w:rPr>
      <w:rFonts w:ascii="Times New Roman" w:eastAsia="Times New Roman" w:hAnsi="Times New Roman" w:cs="Times New Roman"/>
      <w:sz w:val="32"/>
      <w:szCs w:val="20"/>
    </w:rPr>
  </w:style>
  <w:style w:type="table" w:styleId="TableGrid">
    <w:name w:val="Table Grid"/>
    <w:basedOn w:val="TableNormal"/>
    <w:uiPriority w:val="59"/>
    <w:rsid w:val="00A27784"/>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FCL - List Paragraph,List Paragraph (numbered (a)),Use Case List Paragraph,Bullets,References,ReferencesCxSpLast,lp1,List_Paragraph,Multilevel para_II,List Paragraph1,Normal 2,Numbered Paragraph,Main numbered paragraph,Source,Liste 1"/>
    <w:basedOn w:val="Normal"/>
    <w:link w:val="ListParagraphChar"/>
    <w:uiPriority w:val="34"/>
    <w:qFormat/>
    <w:rsid w:val="00A27784"/>
    <w:pPr>
      <w:ind w:left="720"/>
      <w:contextualSpacing/>
    </w:pPr>
    <w:rPr>
      <w:rFonts w:ascii="Times New Roman" w:hAnsi="Times New Roman"/>
    </w:rPr>
  </w:style>
  <w:style w:type="paragraph" w:styleId="Header">
    <w:name w:val="header"/>
    <w:basedOn w:val="Normal"/>
    <w:link w:val="HeaderChar"/>
    <w:uiPriority w:val="99"/>
    <w:unhideWhenUsed/>
    <w:rsid w:val="00A27784"/>
    <w:pPr>
      <w:tabs>
        <w:tab w:val="center" w:pos="4680"/>
        <w:tab w:val="right" w:pos="9360"/>
      </w:tabs>
    </w:pPr>
  </w:style>
  <w:style w:type="character" w:customStyle="1" w:styleId="HeaderChar">
    <w:name w:val="Header Char"/>
    <w:basedOn w:val="DefaultParagraphFont"/>
    <w:link w:val="Header"/>
    <w:uiPriority w:val="99"/>
    <w:rsid w:val="00A27784"/>
    <w:rPr>
      <w:rFonts w:ascii="Arial" w:eastAsia="Times New Roman" w:hAnsi="Arial" w:cs="Times New Roman"/>
      <w:sz w:val="20"/>
      <w:szCs w:val="20"/>
    </w:rPr>
  </w:style>
  <w:style w:type="paragraph" w:styleId="Footer">
    <w:name w:val="footer"/>
    <w:basedOn w:val="Normal"/>
    <w:link w:val="FooterChar"/>
    <w:uiPriority w:val="99"/>
    <w:unhideWhenUsed/>
    <w:rsid w:val="00A27784"/>
    <w:pPr>
      <w:tabs>
        <w:tab w:val="center" w:pos="4680"/>
        <w:tab w:val="right" w:pos="9360"/>
      </w:tabs>
    </w:pPr>
  </w:style>
  <w:style w:type="character" w:customStyle="1" w:styleId="FooterChar">
    <w:name w:val="Footer Char"/>
    <w:basedOn w:val="DefaultParagraphFont"/>
    <w:link w:val="Footer"/>
    <w:uiPriority w:val="99"/>
    <w:rsid w:val="00A27784"/>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A59E8"/>
    <w:rPr>
      <w:sz w:val="16"/>
      <w:szCs w:val="16"/>
    </w:rPr>
  </w:style>
  <w:style w:type="paragraph" w:styleId="CommentText">
    <w:name w:val="annotation text"/>
    <w:basedOn w:val="Normal"/>
    <w:link w:val="CommentTextChar"/>
    <w:uiPriority w:val="99"/>
    <w:semiHidden/>
    <w:unhideWhenUsed/>
    <w:rsid w:val="00AA59E8"/>
  </w:style>
  <w:style w:type="character" w:customStyle="1" w:styleId="CommentTextChar">
    <w:name w:val="Comment Text Char"/>
    <w:basedOn w:val="DefaultParagraphFont"/>
    <w:link w:val="CommentText"/>
    <w:uiPriority w:val="99"/>
    <w:semiHidden/>
    <w:rsid w:val="00AA59E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59E8"/>
    <w:rPr>
      <w:b/>
      <w:bCs/>
    </w:rPr>
  </w:style>
  <w:style w:type="character" w:customStyle="1" w:styleId="CommentSubjectChar">
    <w:name w:val="Comment Subject Char"/>
    <w:basedOn w:val="CommentTextChar"/>
    <w:link w:val="CommentSubject"/>
    <w:uiPriority w:val="99"/>
    <w:semiHidden/>
    <w:rsid w:val="00AA59E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A59E8"/>
    <w:rPr>
      <w:rFonts w:ascii="Tahoma" w:hAnsi="Tahoma" w:cs="Tahoma"/>
      <w:sz w:val="16"/>
      <w:szCs w:val="16"/>
    </w:rPr>
  </w:style>
  <w:style w:type="character" w:customStyle="1" w:styleId="BalloonTextChar">
    <w:name w:val="Balloon Text Char"/>
    <w:basedOn w:val="DefaultParagraphFont"/>
    <w:link w:val="BalloonText"/>
    <w:uiPriority w:val="99"/>
    <w:semiHidden/>
    <w:rsid w:val="00AA59E8"/>
    <w:rPr>
      <w:rFonts w:ascii="Tahoma" w:eastAsia="Times New Roman" w:hAnsi="Tahoma" w:cs="Tahoma"/>
      <w:sz w:val="16"/>
      <w:szCs w:val="16"/>
    </w:rPr>
  </w:style>
  <w:style w:type="character" w:customStyle="1" w:styleId="Heading3Char">
    <w:name w:val="Heading 3 Char"/>
    <w:basedOn w:val="DefaultParagraphFont"/>
    <w:link w:val="Heading3"/>
    <w:uiPriority w:val="9"/>
    <w:rsid w:val="00AA59E8"/>
    <w:rPr>
      <w:rFonts w:asciiTheme="majorHAnsi" w:eastAsiaTheme="majorEastAsia" w:hAnsiTheme="majorHAnsi" w:cstheme="majorBidi"/>
      <w:b/>
      <w:bCs/>
      <w:color w:val="4F81BD" w:themeColor="accent1"/>
      <w:sz w:val="20"/>
      <w:szCs w:val="20"/>
    </w:rPr>
  </w:style>
  <w:style w:type="paragraph" w:styleId="BodyTextIndent3">
    <w:name w:val="Body Text Indent 3"/>
    <w:basedOn w:val="Normal"/>
    <w:link w:val="BodyTextIndent3Char"/>
    <w:unhideWhenUsed/>
    <w:rsid w:val="008A1676"/>
    <w:pPr>
      <w:widowControl w:val="0"/>
      <w:autoSpaceDE w:val="0"/>
      <w:autoSpaceDN w:val="0"/>
      <w:adjustRightInd w:val="0"/>
      <w:spacing w:after="120"/>
      <w:ind w:left="360"/>
    </w:pPr>
    <w:rPr>
      <w:rFonts w:eastAsiaTheme="minorEastAsia" w:cs="Arial"/>
      <w:color w:val="000000"/>
      <w:sz w:val="16"/>
      <w:szCs w:val="16"/>
      <w:lang w:val="es-AR" w:eastAsia="es-AR"/>
    </w:rPr>
  </w:style>
  <w:style w:type="character" w:customStyle="1" w:styleId="BodyTextIndent3Char">
    <w:name w:val="Body Text Indent 3 Char"/>
    <w:basedOn w:val="DefaultParagraphFont"/>
    <w:link w:val="BodyTextIndent3"/>
    <w:rsid w:val="008A1676"/>
    <w:rPr>
      <w:rFonts w:ascii="Arial" w:eastAsiaTheme="minorEastAsia" w:hAnsi="Arial" w:cs="Arial"/>
      <w:color w:val="000000"/>
      <w:sz w:val="16"/>
      <w:szCs w:val="16"/>
      <w:lang w:val="es-AR" w:eastAsia="es-AR"/>
    </w:rPr>
  </w:style>
  <w:style w:type="paragraph" w:styleId="BodyText">
    <w:name w:val="Body Text"/>
    <w:basedOn w:val="Normal"/>
    <w:link w:val="BodyTextChar"/>
    <w:uiPriority w:val="99"/>
    <w:unhideWhenUsed/>
    <w:rsid w:val="008644F0"/>
    <w:pPr>
      <w:spacing w:after="120"/>
    </w:pPr>
  </w:style>
  <w:style w:type="character" w:customStyle="1" w:styleId="BodyTextChar">
    <w:name w:val="Body Text Char"/>
    <w:basedOn w:val="DefaultParagraphFont"/>
    <w:link w:val="BodyText"/>
    <w:uiPriority w:val="99"/>
    <w:rsid w:val="008644F0"/>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615112"/>
    <w:pPr>
      <w:spacing w:after="120"/>
      <w:ind w:left="360"/>
    </w:pPr>
  </w:style>
  <w:style w:type="character" w:customStyle="1" w:styleId="BodyTextIndentChar">
    <w:name w:val="Body Text Indent Char"/>
    <w:basedOn w:val="DefaultParagraphFont"/>
    <w:link w:val="BodyTextIndent"/>
    <w:uiPriority w:val="99"/>
    <w:semiHidden/>
    <w:rsid w:val="00615112"/>
    <w:rPr>
      <w:rFonts w:ascii="Arial" w:eastAsia="Times New Roman" w:hAnsi="Arial" w:cs="Times New Roman"/>
      <w:sz w:val="20"/>
      <w:szCs w:val="20"/>
    </w:rPr>
  </w:style>
  <w:style w:type="character" w:customStyle="1" w:styleId="ListParagraphChar">
    <w:name w:val="List Paragraph Char"/>
    <w:aliases w:val="IFCL - List Paragraph Char,List Paragraph (numbered (a)) Char,Use Case List Paragraph Char,Bullets Char,References Char,ReferencesCxSpLast Char,lp1 Char,List_Paragraph Char,Multilevel para_II Char,List Paragraph1 Char,Normal 2 Char"/>
    <w:link w:val="ListParagraph"/>
    <w:uiPriority w:val="34"/>
    <w:locked/>
    <w:rsid w:val="00706759"/>
    <w:rPr>
      <w:rFonts w:ascii="Times New Roman" w:eastAsia="Times New Roman" w:hAnsi="Times New Roman" w:cs="Times New Roman"/>
      <w:sz w:val="20"/>
      <w:szCs w:val="20"/>
    </w:rPr>
  </w:style>
  <w:style w:type="paragraph" w:styleId="NormalWeb">
    <w:name w:val="Normal (Web)"/>
    <w:basedOn w:val="Normal"/>
    <w:uiPriority w:val="99"/>
    <w:semiHidden/>
    <w:unhideWhenUsed/>
    <w:rsid w:val="005972FF"/>
    <w:pPr>
      <w:spacing w:before="100" w:beforeAutospacing="1" w:after="100" w:afterAutospacing="1"/>
    </w:pPr>
    <w:rPr>
      <w:rFonts w:ascii="Times New Roman" w:eastAsiaTheme="minorEastAsia" w:hAnsi="Times New Roman"/>
      <w:sz w:val="24"/>
      <w:szCs w:val="24"/>
    </w:rPr>
  </w:style>
  <w:style w:type="paragraph" w:styleId="FootnoteText">
    <w:name w:val="footnote text"/>
    <w:basedOn w:val="Normal"/>
    <w:link w:val="FootnoteTextChar"/>
    <w:uiPriority w:val="99"/>
    <w:semiHidden/>
    <w:unhideWhenUsed/>
    <w:rsid w:val="00D3484A"/>
  </w:style>
  <w:style w:type="character" w:customStyle="1" w:styleId="FootnoteTextChar">
    <w:name w:val="Footnote Text Char"/>
    <w:basedOn w:val="DefaultParagraphFont"/>
    <w:link w:val="FootnoteText"/>
    <w:uiPriority w:val="99"/>
    <w:semiHidden/>
    <w:rsid w:val="00D3484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3484A"/>
    <w:rPr>
      <w:vertAlign w:val="superscript"/>
    </w:rPr>
  </w:style>
  <w:style w:type="paragraph" w:customStyle="1" w:styleId="commentcontentpara">
    <w:name w:val="commentcontentpara"/>
    <w:basedOn w:val="Normal"/>
    <w:rsid w:val="0000617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2654">
      <w:bodyDiv w:val="1"/>
      <w:marLeft w:val="0"/>
      <w:marRight w:val="0"/>
      <w:marTop w:val="0"/>
      <w:marBottom w:val="0"/>
      <w:divBdr>
        <w:top w:val="none" w:sz="0" w:space="0" w:color="auto"/>
        <w:left w:val="none" w:sz="0" w:space="0" w:color="auto"/>
        <w:bottom w:val="none" w:sz="0" w:space="0" w:color="auto"/>
        <w:right w:val="none" w:sz="0" w:space="0" w:color="auto"/>
      </w:divBdr>
    </w:div>
    <w:div w:id="1885096702">
      <w:bodyDiv w:val="1"/>
      <w:marLeft w:val="0"/>
      <w:marRight w:val="0"/>
      <w:marTop w:val="0"/>
      <w:marBottom w:val="0"/>
      <w:divBdr>
        <w:top w:val="none" w:sz="0" w:space="0" w:color="auto"/>
        <w:left w:val="none" w:sz="0" w:space="0" w:color="auto"/>
        <w:bottom w:val="none" w:sz="0" w:space="0" w:color="auto"/>
        <w:right w:val="none" w:sz="0" w:space="0" w:color="auto"/>
      </w:divBdr>
      <w:divsChild>
        <w:div w:id="707025379">
          <w:marLeft w:val="0"/>
          <w:marRight w:val="0"/>
          <w:marTop w:val="0"/>
          <w:marBottom w:val="0"/>
          <w:divBdr>
            <w:top w:val="none" w:sz="0" w:space="0" w:color="auto"/>
            <w:left w:val="none" w:sz="0" w:space="0" w:color="auto"/>
            <w:bottom w:val="none" w:sz="0" w:space="0" w:color="auto"/>
            <w:right w:val="none" w:sz="0" w:space="0" w:color="auto"/>
          </w:divBdr>
          <w:divsChild>
            <w:div w:id="1918247322">
              <w:marLeft w:val="0"/>
              <w:marRight w:val="0"/>
              <w:marTop w:val="0"/>
              <w:marBottom w:val="0"/>
              <w:divBdr>
                <w:top w:val="none" w:sz="0" w:space="0" w:color="auto"/>
                <w:left w:val="none" w:sz="0" w:space="0" w:color="auto"/>
                <w:bottom w:val="none" w:sz="0" w:space="0" w:color="auto"/>
                <w:right w:val="none" w:sz="0" w:space="0" w:color="auto"/>
              </w:divBdr>
              <w:divsChild>
                <w:div w:id="1322545480">
                  <w:marLeft w:val="0"/>
                  <w:marRight w:val="0"/>
                  <w:marTop w:val="0"/>
                  <w:marBottom w:val="0"/>
                  <w:divBdr>
                    <w:top w:val="none" w:sz="0" w:space="0" w:color="auto"/>
                    <w:left w:val="none" w:sz="0" w:space="0" w:color="auto"/>
                    <w:bottom w:val="none" w:sz="0" w:space="0" w:color="auto"/>
                    <w:right w:val="none" w:sz="0" w:space="0" w:color="auto"/>
                  </w:divBdr>
                  <w:divsChild>
                    <w:div w:id="984965409">
                      <w:marLeft w:val="0"/>
                      <w:marRight w:val="0"/>
                      <w:marTop w:val="0"/>
                      <w:marBottom w:val="0"/>
                      <w:divBdr>
                        <w:top w:val="none" w:sz="0" w:space="0" w:color="auto"/>
                        <w:left w:val="none" w:sz="0" w:space="0" w:color="auto"/>
                        <w:bottom w:val="none" w:sz="0" w:space="0" w:color="auto"/>
                        <w:right w:val="none" w:sz="0" w:space="0" w:color="auto"/>
                      </w:divBdr>
                      <w:divsChild>
                        <w:div w:id="1120994863">
                          <w:marLeft w:val="0"/>
                          <w:marRight w:val="0"/>
                          <w:marTop w:val="0"/>
                          <w:marBottom w:val="0"/>
                          <w:divBdr>
                            <w:top w:val="none" w:sz="0" w:space="0" w:color="auto"/>
                            <w:left w:val="none" w:sz="0" w:space="0" w:color="auto"/>
                            <w:bottom w:val="none" w:sz="0" w:space="0" w:color="auto"/>
                            <w:right w:val="none" w:sz="0" w:space="0" w:color="auto"/>
                          </w:divBdr>
                          <w:divsChild>
                            <w:div w:id="872040231">
                              <w:marLeft w:val="0"/>
                              <w:marRight w:val="0"/>
                              <w:marTop w:val="150"/>
                              <w:marBottom w:val="0"/>
                              <w:divBdr>
                                <w:top w:val="none" w:sz="0" w:space="0" w:color="auto"/>
                                <w:left w:val="none" w:sz="0" w:space="0" w:color="auto"/>
                                <w:bottom w:val="none" w:sz="0" w:space="0" w:color="auto"/>
                                <w:right w:val="none" w:sz="0" w:space="0" w:color="auto"/>
                              </w:divBdr>
                              <w:divsChild>
                                <w:div w:id="12586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D562A46C6726545943844D863ADFC99" ma:contentTypeVersion="34" ma:contentTypeDescription="A content type to manage public (operations) IDB documents" ma:contentTypeScope="" ma:versionID="1c2f81723ca00b438d95ce03b0cd756a">
  <xsd:schema xmlns:xsd="http://www.w3.org/2001/XMLSchema" xmlns:xs="http://www.w3.org/2001/XMLSchema" xmlns:p="http://schemas.microsoft.com/office/2006/metadata/properties" xmlns:ns2="cdc7663a-08f0-4737-9e8c-148ce897a09c" targetNamespace="http://schemas.microsoft.com/office/2006/metadata/properties" ma:root="true" ma:fieldsID="3b6e6dd55fde0b7216af2ea2507ea7d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IFD/CTI</Division_x0020_or_x0020_Unit>
    <Fiscal_x0020_Year_x0020_IDB xmlns="cdc7663a-08f0-4737-9e8c-148ce897a09c">2017</Fiscal_x0020_Year_x0020_IDB>
    <Other_x0020_Author xmlns="cdc7663a-08f0-4737-9e8c-148ce897a09c" xsi:nil="true"/>
    <Migration_x0020_Info xmlns="cdc7663a-08f0-4737-9e8c-148ce897a09c" xsi:nil="true"/>
    <Document_x0020_Author xmlns="cdc7663a-08f0-4737-9e8c-148ce897a09c">Pereira, Stefano J.</Document_x0020_Author>
    <Document_x0020_Language_x0020_IDB xmlns="cdc7663a-08f0-4737-9e8c-148ce897a09c">English</Document_x0020_Language_x0020_IDB>
    <TaxCatchAll xmlns="cdc7663a-08f0-4737-9e8c-148ce897a09c">
      <Value>6</Value>
      <Value>44</Value>
      <Value>95</Value>
      <Value>107</Value>
      <Value>216</Value>
    </TaxCatchAll>
    <Identifier xmlns="cdc7663a-08f0-4737-9e8c-148ce897a09c" xsi:nil="true"/>
    <_dlc_DocId xmlns="cdc7663a-08f0-4737-9e8c-148ce897a09c">EZSHARE-1325288310-3</_dlc_DocId>
    <_dlc_DocIdUrl xmlns="cdc7663a-08f0-4737-9e8c-148ce897a09c">
      <Url>https://idbg.sharepoint.com/teams/EZ-RG-TCP/RG-T3126/_layouts/15/DocIdRedir.aspx?ID=EZSHARE-1325288310-3</Url>
      <Description>EZSHARE-1325288310-3</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ATN/CO-16418-RG;</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BUSINESS CLIMATE AND COMPETITIVENESS</TermName>
          <TermId xmlns="http://schemas.microsoft.com/office/infopath/2007/PartnerControls">d6b7efeb-3b05-435a-8a94-64ec38c400db</TermId>
        </TermInfo>
      </Terms>
    </b2ec7cfb18674cb8803df6b262e8b107>
    <Business_x0020_Area xmlns="cdc7663a-08f0-4737-9e8c-148ce897a09c">ESG</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RG-T3126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R0001293473</Record_x0020_Number>
    <Related_x0020_SisCor_x0020_Number xmlns="cdc7663a-08f0-4737-9e8c-148ce897a09c" xsi:nil="true"/>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442A-85E2-41CD-84F6-1947AD09C5C5}"/>
</file>

<file path=customXml/itemProps2.xml><?xml version="1.0" encoding="utf-8"?>
<ds:datastoreItem xmlns:ds="http://schemas.openxmlformats.org/officeDocument/2006/customXml" ds:itemID="{2D025D2D-4087-4AB9-9881-59E407D71553}">
  <ds:schemaRefs>
    <ds:schemaRef ds:uri="http://schemas.microsoft.com/sharepoint/events"/>
  </ds:schemaRefs>
</ds:datastoreItem>
</file>

<file path=customXml/itemProps3.xml><?xml version="1.0" encoding="utf-8"?>
<ds:datastoreItem xmlns:ds="http://schemas.openxmlformats.org/officeDocument/2006/customXml" ds:itemID="{3C5CA636-023D-4104-8E05-5260DBC45A6A}">
  <ds:schemaRefs>
    <ds:schemaRef ds:uri="http://schemas.microsoft.com/sharepoint/v3/contenttype/forms"/>
  </ds:schemaRefs>
</ds:datastoreItem>
</file>

<file path=customXml/itemProps4.xml><?xml version="1.0" encoding="utf-8"?>
<ds:datastoreItem xmlns:ds="http://schemas.openxmlformats.org/officeDocument/2006/customXml" ds:itemID="{F3A40EDF-73B0-4B38-AB49-E42AC08B0DD4}"/>
</file>

<file path=customXml/itemProps5.xml><?xml version="1.0" encoding="utf-8"?>
<ds:datastoreItem xmlns:ds="http://schemas.openxmlformats.org/officeDocument/2006/customXml" ds:itemID="{9C9BDB62-3F6F-45DF-B826-84CDF0DA7CDC}"/>
</file>

<file path=customXml/itemProps6.xml><?xml version="1.0" encoding="utf-8"?>
<ds:datastoreItem xmlns:ds="http://schemas.openxmlformats.org/officeDocument/2006/customXml" ds:itemID="{8084EE2F-B02A-4C67-97A9-A44EAF592659}">
  <ds:schemaRefs>
    <ds:schemaRef ds:uri="http://schemas.microsoft.com/office/2006/metadata/properties"/>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93BFF1DB-AD68-497F-A821-BFA4840C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Pereira, Stefano</cp:lastModifiedBy>
  <cp:revision>2</cp:revision>
  <dcterms:created xsi:type="dcterms:W3CDTF">2017-10-04T20:38:00Z</dcterms:created>
  <dcterms:modified xsi:type="dcterms:W3CDTF">2017-10-04T20:38:00Z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7c80eac3-8584-47ca-be1f-dd2e3771563e</vt:lpwstr>
  </property>
  <property fmtid="{D5CDD505-2E9C-101B-9397-08002B2CF9AE}" pid="9" name="SharedWithUsers">
    <vt:lpwstr>2384;#Nunes da Cunha, Natascha;#2480;#Salazar, Lina Piedad</vt:lpwstr>
  </property>
  <property fmtid="{D5CDD505-2E9C-101B-9397-08002B2CF9AE}" pid="10" name="Series Operations IDB">
    <vt:lpwstr/>
  </property>
  <property fmtid="{D5CDD505-2E9C-101B-9397-08002B2CF9AE}" pid="11" name="Sub-Sector">
    <vt:lpwstr>216;#BUSINESS CLIMATE AND COMPETITIVENESS|d6b7efeb-3b05-435a-8a94-64ec38c400db</vt:lpwstr>
  </property>
  <property fmtid="{D5CDD505-2E9C-101B-9397-08002B2CF9AE}" pid="12" name="Fund IDB">
    <vt:lpwstr>107;#TBD|d62f6e05-3e80-4abd-9bb4-5f10b4906ff6</vt:lpwstr>
  </property>
  <property fmtid="{D5CDD505-2E9C-101B-9397-08002B2CF9AE}" pid="13" name="Sector IDB">
    <vt:lpwstr>95;#PRIVATE FIRMS AND SME DEVELOPMENT|c1e6207a-501c-43c6-a42a-7c1a019b2e26</vt:lpwstr>
  </property>
  <property fmtid="{D5CDD505-2E9C-101B-9397-08002B2CF9AE}" pid="14" name="Function Operations IDB">
    <vt:lpwstr>6;#Goods and Services|5bfebf1b-9f1f-4411-b1dd-4c19b807b799</vt:lpwstr>
  </property>
  <property fmtid="{D5CDD505-2E9C-101B-9397-08002B2CF9AE}" pid="15" name="Disclosure Activity">
    <vt:lpwstr>Approved TC document</vt:lpwstr>
  </property>
  <property fmtid="{D5CDD505-2E9C-101B-9397-08002B2CF9AE}" pid="16" name="ContentTypeId">
    <vt:lpwstr>0x0101001A458A224826124E8B45B1D613300CFC005D562A46C6726545943844D863ADFC99</vt:lpwstr>
  </property>
</Properties>
</file>