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9D6E" w14:textId="77777777" w:rsidR="00183FB6" w:rsidRPr="00C20CAA" w:rsidRDefault="00183FB6" w:rsidP="00300CF1">
      <w:pPr>
        <w:jc w:val="center"/>
        <w:rPr>
          <w:rStyle w:val="BookTitle"/>
          <w:rFonts w:ascii="Arial" w:hAnsi="Arial" w:cs="Arial"/>
          <w:b w:val="0"/>
        </w:rPr>
      </w:pPr>
      <w:bookmarkStart w:id="0" w:name="_GoBack"/>
      <w:bookmarkEnd w:id="0"/>
      <w:r w:rsidRPr="00C20CAA">
        <w:rPr>
          <w:rStyle w:val="BookTitle"/>
          <w:rFonts w:ascii="Arial" w:hAnsi="Arial" w:cs="Arial"/>
          <w:b w:val="0"/>
        </w:rPr>
        <w:t>Document of the Inter-American Development Bank</w:t>
      </w:r>
    </w:p>
    <w:p w14:paraId="3DE561F3" w14:textId="77777777" w:rsidR="00183FB6" w:rsidRPr="00C20CAA" w:rsidRDefault="00183FB6" w:rsidP="00300CF1">
      <w:pPr>
        <w:tabs>
          <w:tab w:val="left" w:pos="1440"/>
          <w:tab w:val="left" w:pos="3060"/>
        </w:tabs>
        <w:jc w:val="center"/>
        <w:rPr>
          <w:rFonts w:ascii="Arial" w:hAnsi="Arial" w:cs="Arial"/>
          <w:smallCaps/>
        </w:rPr>
      </w:pPr>
    </w:p>
    <w:p w14:paraId="23EB6AB7" w14:textId="77777777" w:rsidR="00183FB6" w:rsidRPr="00C20CAA" w:rsidRDefault="00183FB6" w:rsidP="00300CF1">
      <w:pPr>
        <w:tabs>
          <w:tab w:val="left" w:pos="1440"/>
          <w:tab w:val="left" w:pos="3060"/>
        </w:tabs>
        <w:jc w:val="center"/>
        <w:rPr>
          <w:rFonts w:ascii="Arial" w:hAnsi="Arial" w:cs="Arial"/>
          <w:smallCaps/>
        </w:rPr>
      </w:pPr>
    </w:p>
    <w:p w14:paraId="1969B43E" w14:textId="77777777" w:rsidR="00183FB6" w:rsidRPr="00C20CAA" w:rsidRDefault="00183FB6" w:rsidP="00300CF1">
      <w:pPr>
        <w:tabs>
          <w:tab w:val="left" w:pos="1440"/>
          <w:tab w:val="left" w:pos="3060"/>
        </w:tabs>
        <w:jc w:val="center"/>
        <w:rPr>
          <w:rFonts w:ascii="Arial" w:hAnsi="Arial" w:cs="Arial"/>
          <w:smallCaps/>
        </w:rPr>
      </w:pPr>
    </w:p>
    <w:p w14:paraId="07346620" w14:textId="77777777" w:rsidR="00183FB6" w:rsidRPr="00C20CAA" w:rsidRDefault="00183FB6" w:rsidP="00300CF1">
      <w:pPr>
        <w:tabs>
          <w:tab w:val="left" w:pos="1440"/>
          <w:tab w:val="left" w:pos="3060"/>
        </w:tabs>
        <w:jc w:val="center"/>
        <w:rPr>
          <w:rFonts w:ascii="Arial" w:hAnsi="Arial" w:cs="Arial"/>
          <w:smallCaps/>
        </w:rPr>
      </w:pPr>
    </w:p>
    <w:p w14:paraId="003E8490" w14:textId="77777777" w:rsidR="00183FB6" w:rsidRPr="00C20CAA" w:rsidRDefault="00183FB6" w:rsidP="00300CF1">
      <w:pPr>
        <w:tabs>
          <w:tab w:val="left" w:pos="1440"/>
          <w:tab w:val="left" w:pos="3060"/>
        </w:tabs>
        <w:jc w:val="center"/>
        <w:rPr>
          <w:rFonts w:ascii="Arial" w:hAnsi="Arial" w:cs="Arial"/>
          <w:smallCaps/>
        </w:rPr>
      </w:pPr>
    </w:p>
    <w:p w14:paraId="79703EDB" w14:textId="77777777" w:rsidR="00183FB6" w:rsidRPr="00C20CAA" w:rsidRDefault="00E40574" w:rsidP="00300CF1">
      <w:pPr>
        <w:tabs>
          <w:tab w:val="left" w:pos="1440"/>
          <w:tab w:val="left" w:pos="3060"/>
        </w:tabs>
        <w:jc w:val="center"/>
        <w:rPr>
          <w:rFonts w:ascii="Arial" w:hAnsi="Arial" w:cs="Arial"/>
          <w:b/>
          <w:smallCaps/>
          <w:sz w:val="28"/>
          <w:szCs w:val="28"/>
        </w:rPr>
      </w:pPr>
      <w:r w:rsidRPr="00C20CAA">
        <w:rPr>
          <w:rFonts w:ascii="Arial" w:hAnsi="Arial" w:cs="Arial"/>
          <w:b/>
          <w:smallCaps/>
          <w:sz w:val="28"/>
          <w:szCs w:val="28"/>
        </w:rPr>
        <w:t>jamaica</w:t>
      </w:r>
    </w:p>
    <w:p w14:paraId="622860C1" w14:textId="77777777" w:rsidR="00E40574" w:rsidRPr="00C20CAA" w:rsidRDefault="00E40574" w:rsidP="00300CF1">
      <w:pPr>
        <w:tabs>
          <w:tab w:val="left" w:pos="1440"/>
          <w:tab w:val="left" w:pos="3060"/>
        </w:tabs>
        <w:jc w:val="center"/>
        <w:rPr>
          <w:rFonts w:ascii="Arial" w:hAnsi="Arial" w:cs="Arial"/>
          <w:b/>
          <w:smallCaps/>
        </w:rPr>
      </w:pPr>
      <w:r w:rsidRPr="00C20CAA">
        <w:rPr>
          <w:rFonts w:ascii="Arial" w:hAnsi="Arial" w:cs="Arial"/>
          <w:b/>
          <w:smallCaps/>
        </w:rPr>
        <w:t>Energy Management and Efficiency Program</w:t>
      </w:r>
    </w:p>
    <w:p w14:paraId="2CF5D5E7" w14:textId="5C2003F9" w:rsidR="009904C7" w:rsidRPr="00C20CAA" w:rsidRDefault="00497A01" w:rsidP="00E37044">
      <w:pPr>
        <w:tabs>
          <w:tab w:val="left" w:pos="1440"/>
          <w:tab w:val="left" w:pos="3060"/>
        </w:tabs>
        <w:jc w:val="center"/>
        <w:rPr>
          <w:rFonts w:ascii="Arial" w:hAnsi="Arial" w:cs="Arial"/>
          <w:b/>
          <w:smallCaps/>
        </w:rPr>
      </w:pPr>
      <w:r w:rsidRPr="00C20CAA" w:rsidDel="00497A01">
        <w:rPr>
          <w:rFonts w:ascii="Arial" w:hAnsi="Arial" w:cs="Arial"/>
          <w:b/>
          <w:smallCaps/>
        </w:rPr>
        <w:t xml:space="preserve"> </w:t>
      </w:r>
      <w:r w:rsidR="009904C7">
        <w:rPr>
          <w:rFonts w:ascii="Arial" w:hAnsi="Arial" w:cs="Arial"/>
          <w:b/>
          <w:smallCaps/>
        </w:rPr>
        <w:t>(JA-G1003)</w:t>
      </w:r>
    </w:p>
    <w:p w14:paraId="6E1BB7A3" w14:textId="77777777" w:rsidR="00E40574" w:rsidRPr="00C20CAA" w:rsidRDefault="00E40574" w:rsidP="00300CF1">
      <w:pPr>
        <w:tabs>
          <w:tab w:val="left" w:pos="1440"/>
          <w:tab w:val="left" w:pos="3060"/>
        </w:tabs>
        <w:jc w:val="center"/>
        <w:rPr>
          <w:rFonts w:ascii="Arial" w:hAnsi="Arial" w:cs="Arial"/>
          <w:b/>
          <w:smallCaps/>
        </w:rPr>
      </w:pPr>
      <w:r w:rsidRPr="00C20CAA">
        <w:rPr>
          <w:rFonts w:ascii="Arial" w:hAnsi="Arial" w:cs="Arial"/>
          <w:b/>
          <w:smallCaps/>
        </w:rPr>
        <w:t>Gender Assessment</w:t>
      </w:r>
    </w:p>
    <w:p w14:paraId="3860D550" w14:textId="77777777" w:rsidR="00183FB6" w:rsidRPr="00C20CAA" w:rsidRDefault="00183FB6" w:rsidP="00183FB6">
      <w:pPr>
        <w:tabs>
          <w:tab w:val="left" w:pos="1440"/>
          <w:tab w:val="left" w:pos="3060"/>
        </w:tabs>
        <w:jc w:val="center"/>
        <w:rPr>
          <w:rFonts w:ascii="Arial" w:hAnsi="Arial" w:cs="Arial"/>
        </w:rPr>
      </w:pPr>
    </w:p>
    <w:p w14:paraId="75E42385" w14:textId="77777777" w:rsidR="00183FB6" w:rsidRPr="00C20CAA" w:rsidRDefault="00183FB6" w:rsidP="00183FB6">
      <w:pPr>
        <w:tabs>
          <w:tab w:val="left" w:pos="1440"/>
          <w:tab w:val="left" w:pos="3060"/>
        </w:tabs>
        <w:jc w:val="center"/>
        <w:rPr>
          <w:rFonts w:ascii="Arial" w:hAnsi="Arial" w:cs="Arial"/>
        </w:rPr>
      </w:pPr>
    </w:p>
    <w:p w14:paraId="4C338DC4" w14:textId="77777777" w:rsidR="00183FB6" w:rsidRPr="00C20CAA" w:rsidRDefault="00183FB6" w:rsidP="00183FB6">
      <w:pPr>
        <w:tabs>
          <w:tab w:val="left" w:pos="1440"/>
          <w:tab w:val="left" w:pos="3060"/>
        </w:tabs>
        <w:jc w:val="center"/>
        <w:rPr>
          <w:rFonts w:ascii="Arial" w:hAnsi="Arial" w:cs="Arial"/>
        </w:rPr>
      </w:pPr>
    </w:p>
    <w:p w14:paraId="70D27A22" w14:textId="77777777" w:rsidR="00183FB6" w:rsidRPr="00C20CAA" w:rsidRDefault="00183FB6" w:rsidP="00183FB6">
      <w:pPr>
        <w:tabs>
          <w:tab w:val="left" w:pos="1440"/>
          <w:tab w:val="left" w:pos="3060"/>
        </w:tabs>
        <w:jc w:val="center"/>
        <w:rPr>
          <w:rFonts w:ascii="Arial" w:hAnsi="Arial" w:cs="Arial"/>
        </w:rPr>
      </w:pPr>
    </w:p>
    <w:p w14:paraId="55A453B3" w14:textId="77777777" w:rsidR="00183FB6" w:rsidRPr="00C20CAA" w:rsidRDefault="00183FB6" w:rsidP="00183FB6">
      <w:pPr>
        <w:tabs>
          <w:tab w:val="left" w:pos="1440"/>
          <w:tab w:val="left" w:pos="3060"/>
        </w:tabs>
        <w:jc w:val="center"/>
        <w:rPr>
          <w:rFonts w:ascii="Arial" w:hAnsi="Arial" w:cs="Arial"/>
        </w:rPr>
      </w:pPr>
    </w:p>
    <w:p w14:paraId="1C2BE2DB" w14:textId="77777777" w:rsidR="00183FB6" w:rsidRPr="00C20CAA" w:rsidRDefault="00183FB6" w:rsidP="00183FB6">
      <w:pPr>
        <w:tabs>
          <w:tab w:val="left" w:pos="1440"/>
          <w:tab w:val="left" w:pos="3060"/>
        </w:tabs>
        <w:jc w:val="center"/>
        <w:rPr>
          <w:rFonts w:ascii="Arial" w:hAnsi="Arial" w:cs="Arial"/>
        </w:rPr>
      </w:pPr>
    </w:p>
    <w:p w14:paraId="5AAAA374" w14:textId="77777777" w:rsidR="00183FB6" w:rsidRPr="00C20CAA" w:rsidRDefault="00183FB6" w:rsidP="00183FB6">
      <w:pPr>
        <w:tabs>
          <w:tab w:val="left" w:pos="1440"/>
          <w:tab w:val="left" w:pos="3060"/>
        </w:tabs>
        <w:jc w:val="center"/>
        <w:rPr>
          <w:rFonts w:ascii="Arial" w:hAnsi="Arial" w:cs="Arial"/>
        </w:rPr>
      </w:pPr>
    </w:p>
    <w:p w14:paraId="5F4D864F" w14:textId="77777777" w:rsidR="00183FB6" w:rsidRPr="00C20CAA" w:rsidRDefault="00183FB6" w:rsidP="00183FB6">
      <w:pPr>
        <w:tabs>
          <w:tab w:val="left" w:pos="1440"/>
          <w:tab w:val="left" w:pos="3060"/>
        </w:tabs>
        <w:jc w:val="center"/>
        <w:rPr>
          <w:rFonts w:ascii="Arial" w:hAnsi="Arial" w:cs="Arial"/>
        </w:rPr>
      </w:pPr>
    </w:p>
    <w:p w14:paraId="3C26777D" w14:textId="77777777" w:rsidR="00183FB6" w:rsidRPr="00C20CAA" w:rsidRDefault="00183FB6" w:rsidP="00183FB6">
      <w:pPr>
        <w:tabs>
          <w:tab w:val="left" w:pos="1440"/>
          <w:tab w:val="left" w:pos="3060"/>
        </w:tabs>
        <w:jc w:val="center"/>
        <w:rPr>
          <w:rFonts w:ascii="Arial" w:hAnsi="Arial" w:cs="Arial"/>
        </w:rPr>
      </w:pPr>
    </w:p>
    <w:p w14:paraId="2AC2DABE" w14:textId="77777777" w:rsidR="00183FB6" w:rsidRPr="00C20CAA" w:rsidRDefault="00183FB6" w:rsidP="00183FB6">
      <w:pPr>
        <w:tabs>
          <w:tab w:val="left" w:pos="1440"/>
          <w:tab w:val="left" w:pos="3060"/>
        </w:tabs>
        <w:jc w:val="center"/>
        <w:rPr>
          <w:rFonts w:ascii="Arial" w:hAnsi="Arial" w:cs="Arial"/>
        </w:rPr>
      </w:pPr>
    </w:p>
    <w:p w14:paraId="104E66D2" w14:textId="77777777" w:rsidR="00183FB6" w:rsidRPr="00C20CAA" w:rsidRDefault="00183FB6" w:rsidP="00183FB6">
      <w:pPr>
        <w:tabs>
          <w:tab w:val="left" w:pos="1440"/>
          <w:tab w:val="left" w:pos="3060"/>
        </w:tabs>
        <w:jc w:val="center"/>
        <w:rPr>
          <w:rFonts w:ascii="Arial" w:hAnsi="Arial" w:cs="Arial"/>
        </w:rPr>
      </w:pPr>
    </w:p>
    <w:p w14:paraId="2ACB37D1" w14:textId="77777777" w:rsidR="00183FB6" w:rsidRPr="00C20CAA" w:rsidRDefault="00183FB6" w:rsidP="00183FB6">
      <w:pPr>
        <w:tabs>
          <w:tab w:val="left" w:pos="1440"/>
          <w:tab w:val="left" w:pos="3060"/>
        </w:tabs>
        <w:jc w:val="center"/>
        <w:rPr>
          <w:rFonts w:ascii="Arial" w:hAnsi="Arial" w:cs="Arial"/>
        </w:rPr>
      </w:pPr>
    </w:p>
    <w:p w14:paraId="5129293D" w14:textId="77777777" w:rsidR="00183FB6" w:rsidRPr="00C20CAA" w:rsidRDefault="00E40574" w:rsidP="00183FB6">
      <w:pPr>
        <w:pStyle w:val="BodyText"/>
        <w:pBdr>
          <w:top w:val="single" w:sz="4" w:space="1" w:color="auto"/>
          <w:left w:val="single" w:sz="4" w:space="4" w:color="auto"/>
          <w:bottom w:val="single" w:sz="4" w:space="1" w:color="auto"/>
          <w:right w:val="single" w:sz="4" w:space="4" w:color="auto"/>
        </w:pBdr>
        <w:tabs>
          <w:tab w:val="left" w:pos="1440"/>
        </w:tabs>
        <w:jc w:val="both"/>
        <w:rPr>
          <w:rFonts w:cs="Arial"/>
          <w:sz w:val="20"/>
          <w:lang w:val="en-US"/>
        </w:rPr>
      </w:pPr>
      <w:r w:rsidRPr="00C20CAA">
        <w:rPr>
          <w:rFonts w:cs="Arial"/>
          <w:sz w:val="20"/>
          <w:lang w:val="en-US"/>
        </w:rPr>
        <w:t>Prepared by: Andrea Monje Silva (SCL/GDI)</w:t>
      </w:r>
    </w:p>
    <w:p w14:paraId="331FDA9C" w14:textId="77777777" w:rsidR="00183FB6" w:rsidRPr="00C20CAA" w:rsidRDefault="00183FB6" w:rsidP="00183FB6">
      <w:pPr>
        <w:tabs>
          <w:tab w:val="left" w:pos="1440"/>
          <w:tab w:val="left" w:pos="3060"/>
        </w:tabs>
        <w:outlineLvl w:val="0"/>
        <w:rPr>
          <w:rFonts w:ascii="Arial" w:hAnsi="Arial" w:cs="Arial"/>
        </w:rPr>
        <w:sectPr w:rsidR="00183FB6" w:rsidRPr="00C20CAA" w:rsidSect="00ED751C">
          <w:headerReference w:type="even" r:id="rId8"/>
          <w:headerReference w:type="default" r:id="rId9"/>
          <w:footerReference w:type="even" r:id="rId10"/>
          <w:pgSz w:w="12240" w:h="15840" w:code="1"/>
          <w:pgMar w:top="1440" w:right="1800" w:bottom="1440" w:left="1800" w:header="706" w:footer="706" w:gutter="0"/>
          <w:pgNumType w:fmt="lowerRoman" w:start="1"/>
          <w:cols w:space="720"/>
          <w:formProt w:val="0"/>
          <w:titlePg/>
        </w:sectPr>
      </w:pPr>
    </w:p>
    <w:p w14:paraId="68125727" w14:textId="77777777" w:rsidR="006161DC" w:rsidRPr="00C20CAA" w:rsidRDefault="006161DC" w:rsidP="006161DC">
      <w:pPr>
        <w:pStyle w:val="ListParagraph"/>
        <w:numPr>
          <w:ilvl w:val="0"/>
          <w:numId w:val="1"/>
        </w:numPr>
        <w:rPr>
          <w:rFonts w:ascii="Arial" w:hAnsi="Arial" w:cs="Arial"/>
          <w:b/>
        </w:rPr>
      </w:pPr>
      <w:r w:rsidRPr="00C20CAA">
        <w:rPr>
          <w:rFonts w:ascii="Arial" w:hAnsi="Arial" w:cs="Arial"/>
          <w:b/>
        </w:rPr>
        <w:lastRenderedPageBreak/>
        <w:t>Context and Gender Diagnostic</w:t>
      </w:r>
    </w:p>
    <w:p w14:paraId="22A6741F" w14:textId="77777777" w:rsidR="00DA383B" w:rsidRPr="00C20CAA" w:rsidRDefault="00882A91" w:rsidP="00882A91">
      <w:pPr>
        <w:jc w:val="both"/>
        <w:rPr>
          <w:rFonts w:ascii="Arial" w:hAnsi="Arial" w:cs="Arial"/>
        </w:rPr>
      </w:pPr>
      <w:r w:rsidRPr="00C20CAA">
        <w:rPr>
          <w:rFonts w:ascii="Arial" w:hAnsi="Arial" w:cs="Arial"/>
        </w:rPr>
        <w:t>Jamaica is the third largest island in the Caribbean region with an area of 11,000 square kilometers (km</w:t>
      </w:r>
      <w:r w:rsidRPr="00C20CAA">
        <w:rPr>
          <w:rFonts w:ascii="Arial" w:hAnsi="Arial" w:cs="Arial"/>
          <w:vertAlign w:val="superscript"/>
        </w:rPr>
        <w:t>2</w:t>
      </w:r>
      <w:r w:rsidRPr="00C20CAA">
        <w:rPr>
          <w:rFonts w:ascii="Arial" w:hAnsi="Arial" w:cs="Arial"/>
        </w:rPr>
        <w:t>) and a population of 2.72 million people, of which 50.6% are women</w:t>
      </w:r>
      <w:r w:rsidRPr="00C20CAA">
        <w:rPr>
          <w:rStyle w:val="FootnoteReference"/>
          <w:rFonts w:ascii="Arial" w:hAnsi="Arial" w:cs="Arial"/>
        </w:rPr>
        <w:footnoteReference w:id="1"/>
      </w:r>
      <w:r w:rsidRPr="00C20CAA">
        <w:rPr>
          <w:rFonts w:ascii="Arial" w:hAnsi="Arial" w:cs="Arial"/>
        </w:rPr>
        <w:t>. According to Global Gender Gap Report (GGGR) developed by the World Economic Forum (WEF) Jamaica was ranked as the 65</w:t>
      </w:r>
      <w:r w:rsidRPr="00C20CAA">
        <w:rPr>
          <w:rFonts w:ascii="Arial" w:hAnsi="Arial" w:cs="Arial"/>
          <w:vertAlign w:val="superscript"/>
        </w:rPr>
        <w:t>th</w:t>
      </w:r>
      <w:r w:rsidRPr="00C20CAA">
        <w:rPr>
          <w:rFonts w:ascii="Arial" w:hAnsi="Arial" w:cs="Arial"/>
        </w:rPr>
        <w:t xml:space="preserve"> country in the world (out of 145), the 13</w:t>
      </w:r>
      <w:r w:rsidRPr="00C20CAA">
        <w:rPr>
          <w:rFonts w:ascii="Arial" w:hAnsi="Arial" w:cs="Arial"/>
          <w:vertAlign w:val="superscript"/>
        </w:rPr>
        <w:t>th</w:t>
      </w:r>
      <w:r w:rsidRPr="00C20CAA">
        <w:rPr>
          <w:rFonts w:ascii="Arial" w:hAnsi="Arial" w:cs="Arial"/>
        </w:rPr>
        <w:t xml:space="preserve"> country in Latin America and the Caribbean (LAC) and fifth country in the Caribbean that has closed over 70% of gender gaps. </w:t>
      </w:r>
      <w:r w:rsidR="007943F8" w:rsidRPr="00C20CAA">
        <w:rPr>
          <w:rFonts w:ascii="Arial" w:hAnsi="Arial" w:cs="Arial"/>
        </w:rPr>
        <w:t xml:space="preserve">This report measures progress in fourth dimensions: health, education attainment, political participation and economic participation. </w:t>
      </w:r>
    </w:p>
    <w:p w14:paraId="66C193E3" w14:textId="77777777" w:rsidR="00BD43F6" w:rsidRPr="00C20CAA" w:rsidRDefault="007943F8" w:rsidP="00882A91">
      <w:pPr>
        <w:jc w:val="both"/>
        <w:rPr>
          <w:rFonts w:ascii="Arial" w:hAnsi="Arial" w:cs="Arial"/>
        </w:rPr>
      </w:pPr>
      <w:r w:rsidRPr="00C20CAA">
        <w:rPr>
          <w:rFonts w:ascii="Arial" w:hAnsi="Arial" w:cs="Arial"/>
        </w:rPr>
        <w:t>In Jamaica, p</w:t>
      </w:r>
      <w:r w:rsidR="00882A91" w:rsidRPr="00C20CAA">
        <w:rPr>
          <w:rFonts w:ascii="Arial" w:hAnsi="Arial" w:cs="Arial"/>
        </w:rPr>
        <w:t>rogre</w:t>
      </w:r>
      <w:r w:rsidR="001D4E9D" w:rsidRPr="00C20CAA">
        <w:rPr>
          <w:rFonts w:ascii="Arial" w:hAnsi="Arial" w:cs="Arial"/>
        </w:rPr>
        <w:t xml:space="preserve">ss in terms of gender equality </w:t>
      </w:r>
      <w:r w:rsidR="00882A91" w:rsidRPr="00C20CAA">
        <w:rPr>
          <w:rFonts w:ascii="Arial" w:hAnsi="Arial" w:cs="Arial"/>
        </w:rPr>
        <w:t xml:space="preserve">has been reached </w:t>
      </w:r>
      <w:r w:rsidRPr="00C20CAA">
        <w:rPr>
          <w:rFonts w:ascii="Arial" w:hAnsi="Arial" w:cs="Arial"/>
        </w:rPr>
        <w:t xml:space="preserve">primarily </w:t>
      </w:r>
      <w:r w:rsidR="00882A91" w:rsidRPr="00C20CAA">
        <w:rPr>
          <w:rFonts w:ascii="Arial" w:hAnsi="Arial" w:cs="Arial"/>
        </w:rPr>
        <w:t xml:space="preserve">thanks </w:t>
      </w:r>
      <w:r w:rsidR="00FF4B59" w:rsidRPr="00C20CAA">
        <w:rPr>
          <w:rFonts w:ascii="Arial" w:hAnsi="Arial" w:cs="Arial"/>
        </w:rPr>
        <w:t>to improvements in women’s education</w:t>
      </w:r>
      <w:r w:rsidR="001D4E9D" w:rsidRPr="00C20CAA">
        <w:rPr>
          <w:rFonts w:ascii="Arial" w:hAnsi="Arial" w:cs="Arial"/>
        </w:rPr>
        <w:t xml:space="preserve"> and health. </w:t>
      </w:r>
      <w:r w:rsidR="00647212" w:rsidRPr="00C20CAA">
        <w:rPr>
          <w:rFonts w:ascii="Arial" w:hAnsi="Arial" w:cs="Arial"/>
        </w:rPr>
        <w:t>Women’s life expectancy has increased from 75.2 years in 2000 to 78.1 years in 2015 (compared to 73.3 years for men), female mortality rate, under-5 has decreased from 19.1/1000 deaths to 13.7/1000 in the same time period</w:t>
      </w:r>
      <w:r w:rsidR="00404A9F" w:rsidRPr="00C20CAA">
        <w:rPr>
          <w:rFonts w:ascii="Arial" w:hAnsi="Arial" w:cs="Arial"/>
        </w:rPr>
        <w:t xml:space="preserve"> and prevalence of HIV for females between 15 and 24 years old has also decreased from 1.3% to 0.6% between 2000 and 2015</w:t>
      </w:r>
      <w:r w:rsidR="00404A9F" w:rsidRPr="00C20CAA">
        <w:rPr>
          <w:rStyle w:val="FootnoteReference"/>
          <w:rFonts w:ascii="Arial" w:hAnsi="Arial" w:cs="Arial"/>
        </w:rPr>
        <w:footnoteReference w:id="2"/>
      </w:r>
      <w:r w:rsidR="00404A9F" w:rsidRPr="00C20CAA">
        <w:rPr>
          <w:rFonts w:ascii="Arial" w:hAnsi="Arial" w:cs="Arial"/>
        </w:rPr>
        <w:t>. Additionally, female school enrollment in secondary and tertiary education is greater than those of men: 77.5% vs 69.7%, respectively, in 2015 for secondary education and 38.4% vs. 16.9%, respectively, in 2015 for tertiary education. Moreover, women’s enrollment in tertiary education has increased from 19.9% to 38.4% between 2000 and 2015</w:t>
      </w:r>
      <w:r w:rsidR="00404A9F" w:rsidRPr="00C20CAA">
        <w:rPr>
          <w:rStyle w:val="FootnoteReference"/>
          <w:rFonts w:ascii="Arial" w:hAnsi="Arial" w:cs="Arial"/>
        </w:rPr>
        <w:footnoteReference w:id="3"/>
      </w:r>
      <w:r w:rsidR="00404A9F" w:rsidRPr="00C20CAA">
        <w:rPr>
          <w:rFonts w:ascii="Arial" w:hAnsi="Arial" w:cs="Arial"/>
        </w:rPr>
        <w:t xml:space="preserve">. </w:t>
      </w:r>
      <w:r w:rsidR="00BD43F6" w:rsidRPr="00C20CAA">
        <w:rPr>
          <w:rFonts w:ascii="Arial" w:hAnsi="Arial" w:cs="Arial"/>
        </w:rPr>
        <w:t xml:space="preserve"> </w:t>
      </w:r>
      <w:r w:rsidR="00AE71AA" w:rsidRPr="00C20CAA">
        <w:rPr>
          <w:rFonts w:ascii="Arial" w:hAnsi="Arial" w:cs="Arial"/>
        </w:rPr>
        <w:t xml:space="preserve">In relation to </w:t>
      </w:r>
      <w:r w:rsidRPr="00C20CAA">
        <w:rPr>
          <w:rFonts w:ascii="Arial" w:hAnsi="Arial" w:cs="Arial"/>
        </w:rPr>
        <w:t xml:space="preserve">women’s political participation, </w:t>
      </w:r>
      <w:r w:rsidR="00692326" w:rsidRPr="00C20CAA">
        <w:rPr>
          <w:rFonts w:ascii="Arial" w:hAnsi="Arial" w:cs="Arial"/>
        </w:rPr>
        <w:t>progress has been slower but Jamaica is classified around the regional average: women represent 20% of</w:t>
      </w:r>
      <w:r w:rsidR="00E874C8" w:rsidRPr="00C20CAA">
        <w:rPr>
          <w:rFonts w:ascii="Arial" w:hAnsi="Arial" w:cs="Arial"/>
        </w:rPr>
        <w:t xml:space="preserve"> the total number of ministers, </w:t>
      </w:r>
      <w:r w:rsidR="00692326" w:rsidRPr="00C20CAA">
        <w:rPr>
          <w:rFonts w:ascii="Arial" w:hAnsi="Arial" w:cs="Arial"/>
        </w:rPr>
        <w:t xml:space="preserve">higher than Mexico </w:t>
      </w:r>
      <w:r w:rsidR="00E874C8" w:rsidRPr="00C20CAA">
        <w:rPr>
          <w:rFonts w:ascii="Arial" w:hAnsi="Arial" w:cs="Arial"/>
        </w:rPr>
        <w:t>(</w:t>
      </w:r>
      <w:r w:rsidR="008073EF" w:rsidRPr="00C20CAA">
        <w:rPr>
          <w:rFonts w:ascii="Arial" w:hAnsi="Arial" w:cs="Arial"/>
        </w:rPr>
        <w:t>17.6%), Brazil (15.4%) or Ur</w:t>
      </w:r>
      <w:r w:rsidR="00DA009A" w:rsidRPr="00C20CAA">
        <w:rPr>
          <w:rFonts w:ascii="Arial" w:hAnsi="Arial" w:cs="Arial"/>
        </w:rPr>
        <w:t>uguay (14.3%), among others in 2015; and they represent 28.6% o</w:t>
      </w:r>
      <w:r w:rsidR="00DA383B" w:rsidRPr="00C20CAA">
        <w:rPr>
          <w:rFonts w:ascii="Arial" w:hAnsi="Arial" w:cs="Arial"/>
        </w:rPr>
        <w:t>f the total number of senators, higher than the regional average of 25.5% in 2015</w:t>
      </w:r>
      <w:r w:rsidR="00DA383B" w:rsidRPr="00C20CAA">
        <w:rPr>
          <w:rStyle w:val="FootnoteReference"/>
          <w:rFonts w:ascii="Arial" w:hAnsi="Arial" w:cs="Arial"/>
        </w:rPr>
        <w:footnoteReference w:id="4"/>
      </w:r>
      <w:r w:rsidR="00DA383B" w:rsidRPr="00C20CAA">
        <w:rPr>
          <w:rFonts w:ascii="Arial" w:hAnsi="Arial" w:cs="Arial"/>
        </w:rPr>
        <w:t>.</w:t>
      </w:r>
      <w:r w:rsidR="00AE71AA" w:rsidRPr="00C20CAA">
        <w:rPr>
          <w:rFonts w:ascii="Arial" w:hAnsi="Arial" w:cs="Arial"/>
        </w:rPr>
        <w:t xml:space="preserve"> </w:t>
      </w:r>
    </w:p>
    <w:p w14:paraId="2B53685F" w14:textId="77777777" w:rsidR="00882A91" w:rsidRPr="00C20CAA" w:rsidRDefault="00DA383B" w:rsidP="00882A91">
      <w:pPr>
        <w:jc w:val="both"/>
        <w:rPr>
          <w:rFonts w:ascii="Arial" w:hAnsi="Arial" w:cs="Arial"/>
        </w:rPr>
      </w:pPr>
      <w:r w:rsidRPr="00C20CAA">
        <w:rPr>
          <w:rFonts w:ascii="Arial" w:hAnsi="Arial" w:cs="Arial"/>
        </w:rPr>
        <w:t>In terms of economic participation, Jamaica</w:t>
      </w:r>
      <w:r w:rsidR="00882A91" w:rsidRPr="00C20CAA">
        <w:rPr>
          <w:rFonts w:ascii="Arial" w:hAnsi="Arial" w:cs="Arial"/>
        </w:rPr>
        <w:t xml:space="preserve"> has </w:t>
      </w:r>
      <w:r w:rsidRPr="00C20CAA">
        <w:rPr>
          <w:rFonts w:ascii="Arial" w:hAnsi="Arial" w:cs="Arial"/>
        </w:rPr>
        <w:t>the fifth</w:t>
      </w:r>
      <w:r w:rsidR="00882A91" w:rsidRPr="00C20CAA">
        <w:rPr>
          <w:rFonts w:ascii="Arial" w:hAnsi="Arial" w:cs="Arial"/>
        </w:rPr>
        <w:t xml:space="preserve"> highest female labor force particip</w:t>
      </w:r>
      <w:r w:rsidRPr="00C20CAA">
        <w:rPr>
          <w:rFonts w:ascii="Arial" w:hAnsi="Arial" w:cs="Arial"/>
        </w:rPr>
        <w:t>ation rates of the Caribbean (56.2</w:t>
      </w:r>
      <w:r w:rsidR="00882A91" w:rsidRPr="00C20CAA">
        <w:rPr>
          <w:rFonts w:ascii="Arial" w:hAnsi="Arial" w:cs="Arial"/>
        </w:rPr>
        <w:t>%</w:t>
      </w:r>
      <w:r w:rsidR="00882A91" w:rsidRPr="00C20CAA">
        <w:rPr>
          <w:rStyle w:val="FootnoteReference"/>
          <w:rFonts w:ascii="Arial" w:hAnsi="Arial" w:cs="Arial"/>
        </w:rPr>
        <w:footnoteReference w:id="5"/>
      </w:r>
      <w:r w:rsidR="00DE5BE2" w:rsidRPr="00C20CAA">
        <w:rPr>
          <w:rFonts w:ascii="Arial" w:hAnsi="Arial" w:cs="Arial"/>
        </w:rPr>
        <w:t>, see graphic 1</w:t>
      </w:r>
      <w:r w:rsidR="00882A91" w:rsidRPr="00C20CAA">
        <w:rPr>
          <w:rFonts w:ascii="Arial" w:hAnsi="Arial" w:cs="Arial"/>
        </w:rPr>
        <w:t>).</w:t>
      </w:r>
      <w:r w:rsidR="00846886" w:rsidRPr="00C20CAA">
        <w:rPr>
          <w:rFonts w:ascii="Arial" w:hAnsi="Arial" w:cs="Arial"/>
        </w:rPr>
        <w:t xml:space="preserve"> </w:t>
      </w:r>
      <w:r w:rsidR="004840FC" w:rsidRPr="00C20CAA">
        <w:rPr>
          <w:rFonts w:ascii="Arial" w:hAnsi="Arial" w:cs="Arial"/>
        </w:rPr>
        <w:t>However, t</w:t>
      </w:r>
      <w:r w:rsidR="00BD43F6" w:rsidRPr="00C20CAA">
        <w:rPr>
          <w:rFonts w:ascii="Arial" w:hAnsi="Arial" w:cs="Arial"/>
        </w:rPr>
        <w:t>his rate hides other realities: 1) female labor participation is still 13.8 percentage points lower than male participation (72%); 2) women earn between 8% and 17% less than man</w:t>
      </w:r>
      <w:r w:rsidR="00BD43F6" w:rsidRPr="00C20CAA">
        <w:rPr>
          <w:rFonts w:ascii="Arial" w:hAnsi="Arial" w:cs="Arial"/>
          <w:vertAlign w:val="superscript"/>
        </w:rPr>
        <w:footnoteReference w:id="6"/>
      </w:r>
      <w:r w:rsidR="00BD43F6" w:rsidRPr="00C20CAA">
        <w:rPr>
          <w:rFonts w:ascii="Arial" w:hAnsi="Arial" w:cs="Arial"/>
        </w:rPr>
        <w:t>; and 3) occupational segregation is still prominent in the country, for example women represent over 64% of the employees of the hotel and restaurant sector, but only</w:t>
      </w:r>
      <w:r w:rsidR="00CB0324" w:rsidRPr="00C20CAA">
        <w:rPr>
          <w:rFonts w:ascii="Arial" w:hAnsi="Arial" w:cs="Arial"/>
        </w:rPr>
        <w:t xml:space="preserve"> 19.7% of the transport sector</w:t>
      </w:r>
      <w:r w:rsidR="00BD43F6" w:rsidRPr="00C20CAA">
        <w:rPr>
          <w:rFonts w:ascii="Arial" w:hAnsi="Arial" w:cs="Arial"/>
        </w:rPr>
        <w:t xml:space="preserve"> </w:t>
      </w:r>
      <w:r w:rsidR="00CB0324" w:rsidRPr="00C20CAA">
        <w:rPr>
          <w:rFonts w:ascii="Arial" w:hAnsi="Arial" w:cs="Arial"/>
        </w:rPr>
        <w:t xml:space="preserve">and </w:t>
      </w:r>
      <w:r w:rsidR="00BD43F6" w:rsidRPr="00C20CAA">
        <w:rPr>
          <w:rFonts w:ascii="Arial" w:hAnsi="Arial" w:cs="Arial"/>
        </w:rPr>
        <w:t>2</w:t>
      </w:r>
      <w:r w:rsidR="00612AB2" w:rsidRPr="00C20CAA">
        <w:rPr>
          <w:rFonts w:ascii="Arial" w:hAnsi="Arial" w:cs="Arial"/>
        </w:rPr>
        <w:t>0</w:t>
      </w:r>
      <w:r w:rsidR="00BD43F6" w:rsidRPr="00C20CAA">
        <w:rPr>
          <w:rFonts w:ascii="Arial" w:hAnsi="Arial" w:cs="Arial"/>
        </w:rPr>
        <w:t>% of the electricity, gas and water supply sector</w:t>
      </w:r>
      <w:r w:rsidR="00612AB2" w:rsidRPr="00C20CAA">
        <w:rPr>
          <w:rFonts w:ascii="Arial" w:hAnsi="Arial" w:cs="Arial"/>
        </w:rPr>
        <w:t xml:space="preserve"> (see graphic 2)</w:t>
      </w:r>
      <w:r w:rsidR="00BD43F6" w:rsidRPr="00C20CAA">
        <w:rPr>
          <w:rFonts w:ascii="Arial" w:hAnsi="Arial" w:cs="Arial"/>
          <w:vertAlign w:val="superscript"/>
        </w:rPr>
        <w:footnoteReference w:id="7"/>
      </w:r>
      <w:r w:rsidR="00BD43F6" w:rsidRPr="00C20CAA">
        <w:rPr>
          <w:rFonts w:ascii="Arial" w:hAnsi="Arial" w:cs="Arial"/>
        </w:rPr>
        <w:t>. Lower earnings can be explained, in part, by occupational segregation since women tend to work in sectors that are less competitive, have lower salaries, less benefits and offer little professional growth.</w:t>
      </w:r>
    </w:p>
    <w:p w14:paraId="39D7D67C" w14:textId="77777777" w:rsidR="006E17BB" w:rsidRPr="00C20CAA" w:rsidRDefault="006E17BB" w:rsidP="00882A91">
      <w:pPr>
        <w:jc w:val="both"/>
        <w:rPr>
          <w:rFonts w:ascii="Arial" w:hAnsi="Arial" w:cs="Arial"/>
        </w:rPr>
      </w:pPr>
    </w:p>
    <w:p w14:paraId="284C21F3" w14:textId="77777777" w:rsidR="00AE71AA" w:rsidRDefault="00AE71AA" w:rsidP="00882A91">
      <w:pPr>
        <w:jc w:val="both"/>
        <w:rPr>
          <w:rFonts w:ascii="Arial" w:hAnsi="Arial" w:cs="Arial"/>
        </w:rPr>
      </w:pPr>
    </w:p>
    <w:p w14:paraId="0BBF2506" w14:textId="77777777" w:rsidR="009904C7" w:rsidRPr="00C20CAA" w:rsidRDefault="009904C7" w:rsidP="00882A91">
      <w:pPr>
        <w:jc w:val="both"/>
        <w:rPr>
          <w:rFonts w:ascii="Arial" w:hAnsi="Arial" w:cs="Arial"/>
        </w:rPr>
      </w:pPr>
    </w:p>
    <w:p w14:paraId="3EFBFE11" w14:textId="77777777" w:rsidR="00882A91" w:rsidRPr="00C20CAA" w:rsidRDefault="00882A91" w:rsidP="00882A91">
      <w:pPr>
        <w:jc w:val="center"/>
        <w:rPr>
          <w:rFonts w:ascii="Arial" w:hAnsi="Arial" w:cs="Arial"/>
          <w:u w:val="single"/>
        </w:rPr>
      </w:pPr>
      <w:r w:rsidRPr="00C20CAA">
        <w:rPr>
          <w:rFonts w:ascii="Arial" w:hAnsi="Arial" w:cs="Arial"/>
          <w:u w:val="single"/>
        </w:rPr>
        <w:lastRenderedPageBreak/>
        <w:t>Graphic 1 – Labor Force Participation Rate in the Caribbean, 2013 (by sex)</w:t>
      </w:r>
    </w:p>
    <w:p w14:paraId="644EB66E" w14:textId="77777777" w:rsidR="00882A91" w:rsidRPr="00C20CAA" w:rsidRDefault="00882A91" w:rsidP="004C4A8A">
      <w:pPr>
        <w:pStyle w:val="ListParagraph"/>
        <w:ind w:left="1080"/>
        <w:rPr>
          <w:rFonts w:ascii="Arial" w:hAnsi="Arial" w:cs="Arial"/>
        </w:rPr>
      </w:pPr>
      <w:r w:rsidRPr="00C20CAA">
        <w:rPr>
          <w:rFonts w:ascii="Arial" w:hAnsi="Arial" w:cs="Arial"/>
          <w:noProof/>
        </w:rPr>
        <w:drawing>
          <wp:inline distT="0" distB="0" distL="0" distR="0" wp14:anchorId="7B268BFE" wp14:editId="10D5970C">
            <wp:extent cx="4785360" cy="31318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B97526" w14:textId="77777777" w:rsidR="00882A91" w:rsidRPr="00C20CAA" w:rsidRDefault="00882A91" w:rsidP="00882A91">
      <w:pPr>
        <w:spacing w:after="0" w:line="240" w:lineRule="auto"/>
        <w:rPr>
          <w:rFonts w:ascii="Arial" w:hAnsi="Arial" w:cs="Arial"/>
          <w:sz w:val="16"/>
          <w:szCs w:val="16"/>
        </w:rPr>
      </w:pPr>
      <w:r w:rsidRPr="00C20CAA">
        <w:rPr>
          <w:rFonts w:ascii="Arial" w:hAnsi="Arial" w:cs="Arial"/>
          <w:sz w:val="16"/>
          <w:szCs w:val="16"/>
        </w:rPr>
        <w:t>Note: Data available only for 8 countries for 2013</w:t>
      </w:r>
    </w:p>
    <w:p w14:paraId="77D00ED0" w14:textId="77777777" w:rsidR="00882A91" w:rsidRPr="00C20CAA" w:rsidRDefault="00882A91" w:rsidP="00882A91">
      <w:pPr>
        <w:spacing w:after="0" w:line="240" w:lineRule="auto"/>
        <w:rPr>
          <w:rFonts w:ascii="Arial" w:hAnsi="Arial" w:cs="Arial"/>
          <w:sz w:val="16"/>
          <w:szCs w:val="16"/>
        </w:rPr>
      </w:pPr>
      <w:r w:rsidRPr="00C20CAA">
        <w:rPr>
          <w:rFonts w:ascii="Arial" w:hAnsi="Arial" w:cs="Arial"/>
          <w:sz w:val="16"/>
          <w:szCs w:val="16"/>
        </w:rPr>
        <w:t>Source:  ILO (2013). ILOSTAT Database: Caribbean</w:t>
      </w:r>
    </w:p>
    <w:p w14:paraId="03D543DE" w14:textId="77777777" w:rsidR="00FC2445" w:rsidRPr="00C20CAA" w:rsidRDefault="00FC2445" w:rsidP="00882A91">
      <w:pPr>
        <w:spacing w:after="0" w:line="240" w:lineRule="auto"/>
        <w:rPr>
          <w:rFonts w:ascii="Arial" w:hAnsi="Arial" w:cs="Arial"/>
          <w:sz w:val="16"/>
          <w:szCs w:val="16"/>
        </w:rPr>
      </w:pPr>
    </w:p>
    <w:p w14:paraId="27994A55" w14:textId="77777777" w:rsidR="00FC2445" w:rsidRPr="00C20CAA" w:rsidRDefault="00FC2445" w:rsidP="00882A91">
      <w:pPr>
        <w:spacing w:after="0" w:line="240" w:lineRule="auto"/>
        <w:rPr>
          <w:rFonts w:ascii="Arial" w:hAnsi="Arial" w:cs="Arial"/>
          <w:sz w:val="16"/>
          <w:szCs w:val="16"/>
        </w:rPr>
      </w:pPr>
    </w:p>
    <w:p w14:paraId="3EC55893" w14:textId="77777777" w:rsidR="00882A91" w:rsidRPr="00C20CAA" w:rsidRDefault="00FC2445" w:rsidP="00FC2445">
      <w:pPr>
        <w:jc w:val="center"/>
        <w:rPr>
          <w:rFonts w:ascii="Arial" w:hAnsi="Arial" w:cs="Arial"/>
          <w:u w:val="single"/>
        </w:rPr>
      </w:pPr>
      <w:r w:rsidRPr="00C20CAA">
        <w:rPr>
          <w:rFonts w:ascii="Arial" w:hAnsi="Arial" w:cs="Arial"/>
          <w:u w:val="single"/>
        </w:rPr>
        <w:t xml:space="preserve">Graphic 1 – Percentage of Female and Male Labor Force by Sectors, Jamaica 2014 </w:t>
      </w:r>
    </w:p>
    <w:p w14:paraId="33E3D3FF" w14:textId="77777777" w:rsidR="00FC2445" w:rsidRPr="00C20CAA" w:rsidRDefault="00FC2445" w:rsidP="00FC2445">
      <w:pPr>
        <w:jc w:val="center"/>
        <w:rPr>
          <w:rFonts w:ascii="Arial" w:hAnsi="Arial" w:cs="Arial"/>
          <w:b/>
        </w:rPr>
      </w:pPr>
      <w:r w:rsidRPr="00C20CAA">
        <w:rPr>
          <w:rFonts w:ascii="Arial" w:hAnsi="Arial" w:cs="Arial"/>
          <w:noProof/>
        </w:rPr>
        <w:drawing>
          <wp:inline distT="0" distB="0" distL="0" distR="0" wp14:anchorId="6D105FEE" wp14:editId="283D0C9F">
            <wp:extent cx="4853940" cy="3108960"/>
            <wp:effectExtent l="0" t="0" r="2286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48BA3F" w14:textId="77777777" w:rsidR="00FC2445" w:rsidRPr="00C20CAA" w:rsidRDefault="00FC2445" w:rsidP="00FC2445">
      <w:pPr>
        <w:spacing w:after="0" w:line="240" w:lineRule="auto"/>
        <w:rPr>
          <w:rFonts w:ascii="Arial" w:hAnsi="Arial" w:cs="Arial"/>
          <w:sz w:val="16"/>
          <w:szCs w:val="16"/>
        </w:rPr>
      </w:pPr>
      <w:r w:rsidRPr="00C20CAA">
        <w:rPr>
          <w:rFonts w:ascii="Arial" w:hAnsi="Arial" w:cs="Arial"/>
          <w:sz w:val="16"/>
          <w:szCs w:val="16"/>
        </w:rPr>
        <w:t>Source: Statistical Institute of Jamaica (</w:t>
      </w:r>
      <w:hyperlink r:id="rId13" w:history="1">
        <w:r w:rsidRPr="00C20CAA">
          <w:rPr>
            <w:rStyle w:val="Hyperlink"/>
            <w:rFonts w:ascii="Arial" w:hAnsi="Arial" w:cs="Arial"/>
            <w:sz w:val="16"/>
            <w:szCs w:val="16"/>
          </w:rPr>
          <w:t>2014</w:t>
        </w:r>
      </w:hyperlink>
      <w:r w:rsidRPr="00C20CAA">
        <w:rPr>
          <w:rFonts w:ascii="Arial" w:hAnsi="Arial" w:cs="Arial"/>
          <w:sz w:val="16"/>
          <w:szCs w:val="16"/>
        </w:rPr>
        <w:t>). Labor Force by Industry: January 2014.</w:t>
      </w:r>
    </w:p>
    <w:p w14:paraId="6F1DF034" w14:textId="77777777" w:rsidR="00AD1993" w:rsidRPr="00C20CAA" w:rsidRDefault="00AD1993" w:rsidP="00FC2445">
      <w:pPr>
        <w:spacing w:after="0" w:line="240" w:lineRule="auto"/>
        <w:rPr>
          <w:rFonts w:ascii="Arial" w:hAnsi="Arial" w:cs="Arial"/>
          <w:sz w:val="16"/>
          <w:szCs w:val="16"/>
        </w:rPr>
      </w:pPr>
    </w:p>
    <w:p w14:paraId="6A94FB9D" w14:textId="77777777" w:rsidR="004C4A8A" w:rsidRPr="00C20CAA" w:rsidRDefault="004C4A8A" w:rsidP="00FC2445">
      <w:pPr>
        <w:spacing w:after="0" w:line="240" w:lineRule="auto"/>
        <w:rPr>
          <w:rFonts w:ascii="Arial" w:hAnsi="Arial" w:cs="Arial"/>
          <w:sz w:val="16"/>
          <w:szCs w:val="16"/>
        </w:rPr>
      </w:pPr>
    </w:p>
    <w:p w14:paraId="7085B8A2" w14:textId="77777777" w:rsidR="004C4A8A" w:rsidRPr="00C20CAA" w:rsidRDefault="004C4A8A" w:rsidP="00FC2445">
      <w:pPr>
        <w:spacing w:after="0" w:line="240" w:lineRule="auto"/>
        <w:rPr>
          <w:rFonts w:ascii="Arial" w:hAnsi="Arial" w:cs="Arial"/>
          <w:sz w:val="16"/>
          <w:szCs w:val="16"/>
        </w:rPr>
      </w:pPr>
    </w:p>
    <w:p w14:paraId="55090FB1" w14:textId="77777777" w:rsidR="00AD1993" w:rsidRPr="00C20CAA" w:rsidRDefault="00AD1993" w:rsidP="00FC2445">
      <w:pPr>
        <w:spacing w:after="0" w:line="240" w:lineRule="auto"/>
        <w:rPr>
          <w:rFonts w:ascii="Arial" w:hAnsi="Arial" w:cs="Arial"/>
          <w:b/>
          <w:i/>
        </w:rPr>
      </w:pPr>
      <w:r w:rsidRPr="00C20CAA">
        <w:rPr>
          <w:rFonts w:ascii="Arial" w:hAnsi="Arial" w:cs="Arial"/>
          <w:b/>
          <w:i/>
        </w:rPr>
        <w:lastRenderedPageBreak/>
        <w:t>Women’s Participation in the Intervened Agencies</w:t>
      </w:r>
    </w:p>
    <w:p w14:paraId="57ABE86B" w14:textId="4C9BC626" w:rsidR="00FC2445" w:rsidRPr="00C20CAA" w:rsidRDefault="004F6CA7" w:rsidP="004F6CA7">
      <w:pPr>
        <w:spacing w:after="0"/>
        <w:jc w:val="both"/>
        <w:rPr>
          <w:rFonts w:ascii="Arial" w:eastAsia="Arial" w:hAnsi="Arial" w:cs="Arial"/>
          <w:highlight w:val="yellow"/>
        </w:rPr>
      </w:pPr>
      <w:r w:rsidRPr="00C20CAA">
        <w:rPr>
          <w:rFonts w:ascii="Arial" w:eastAsia="Arial" w:hAnsi="Arial" w:cs="Arial"/>
        </w:rPr>
        <w:t xml:space="preserve">In order to have a better understanding of the female participation rate within the </w:t>
      </w:r>
      <w:r w:rsidR="00A9216B" w:rsidRPr="00C20CAA">
        <w:rPr>
          <w:rFonts w:ascii="Arial" w:eastAsia="Arial" w:hAnsi="Arial" w:cs="Arial"/>
        </w:rPr>
        <w:t xml:space="preserve">executing </w:t>
      </w:r>
      <w:r w:rsidRPr="00C20CAA">
        <w:rPr>
          <w:rFonts w:ascii="Arial" w:eastAsia="Arial" w:hAnsi="Arial" w:cs="Arial"/>
        </w:rPr>
        <w:t>agenc</w:t>
      </w:r>
      <w:r w:rsidR="00C12DDB" w:rsidRPr="00C20CAA">
        <w:rPr>
          <w:rFonts w:ascii="Arial" w:eastAsia="Arial" w:hAnsi="Arial" w:cs="Arial"/>
        </w:rPr>
        <w:t>y</w:t>
      </w:r>
      <w:r w:rsidRPr="00C20CAA">
        <w:rPr>
          <w:rFonts w:ascii="Arial" w:eastAsia="Arial" w:hAnsi="Arial" w:cs="Arial"/>
        </w:rPr>
        <w:t xml:space="preserve"> and </w:t>
      </w:r>
      <w:r w:rsidR="00C12DDB" w:rsidRPr="00C20CAA">
        <w:rPr>
          <w:rFonts w:ascii="Arial" w:eastAsia="Arial" w:hAnsi="Arial" w:cs="Arial"/>
        </w:rPr>
        <w:t xml:space="preserve">the </w:t>
      </w:r>
      <w:r w:rsidRPr="00C20CAA">
        <w:rPr>
          <w:rFonts w:ascii="Arial" w:eastAsia="Arial" w:hAnsi="Arial" w:cs="Arial"/>
        </w:rPr>
        <w:t xml:space="preserve">buildings that will benefit from program, the project team collected data on the female/male composition of </w:t>
      </w:r>
      <w:r w:rsidR="00497A01" w:rsidRPr="00C20CAA">
        <w:rPr>
          <w:rFonts w:ascii="Arial" w:eastAsia="Arial" w:hAnsi="Arial" w:cs="Arial"/>
        </w:rPr>
        <w:t>the maintenance</w:t>
      </w:r>
      <w:r w:rsidRPr="00C20CAA">
        <w:rPr>
          <w:rFonts w:ascii="Arial" w:eastAsia="Arial" w:hAnsi="Arial" w:cs="Arial"/>
        </w:rPr>
        <w:t xml:space="preserve"> staff</w:t>
      </w:r>
      <w:r w:rsidR="00497A01">
        <w:rPr>
          <w:rFonts w:ascii="Arial" w:eastAsia="Arial" w:hAnsi="Arial" w:cs="Arial"/>
        </w:rPr>
        <w:t xml:space="preserve"> and facility managers</w:t>
      </w:r>
      <w:r w:rsidRPr="00C20CAA">
        <w:rPr>
          <w:rFonts w:ascii="Arial" w:eastAsia="Arial" w:hAnsi="Arial" w:cs="Arial"/>
        </w:rPr>
        <w:t xml:space="preserve"> of </w:t>
      </w:r>
      <w:r w:rsidR="00C12DDB" w:rsidRPr="00C20CAA">
        <w:rPr>
          <w:rFonts w:ascii="Arial" w:eastAsia="Arial" w:hAnsi="Arial" w:cs="Arial"/>
        </w:rPr>
        <w:t>a representative sample of</w:t>
      </w:r>
      <w:r w:rsidRPr="00C20CAA">
        <w:rPr>
          <w:rFonts w:ascii="Arial" w:eastAsia="Arial" w:hAnsi="Arial" w:cs="Arial"/>
        </w:rPr>
        <w:t xml:space="preserve"> buildings (</w:t>
      </w:r>
      <w:r w:rsidR="009904C7" w:rsidRPr="009904C7">
        <w:rPr>
          <w:rFonts w:ascii="Arial" w:eastAsia="Arial" w:hAnsi="Arial" w:cs="Arial"/>
        </w:rPr>
        <w:t>Healt</w:t>
      </w:r>
      <w:r w:rsidR="009904C7">
        <w:rPr>
          <w:rFonts w:ascii="Arial" w:eastAsia="Arial" w:hAnsi="Arial" w:cs="Arial"/>
        </w:rPr>
        <w:t xml:space="preserve">h, Education and Public Agency </w:t>
      </w:r>
      <w:r w:rsidR="00497A01">
        <w:rPr>
          <w:rFonts w:ascii="Arial" w:eastAsia="Arial" w:hAnsi="Arial" w:cs="Arial"/>
        </w:rPr>
        <w:t>–</w:t>
      </w:r>
      <w:r w:rsidR="009904C7">
        <w:rPr>
          <w:rFonts w:ascii="Arial" w:eastAsia="Arial" w:hAnsi="Arial" w:cs="Arial"/>
        </w:rPr>
        <w:t xml:space="preserve"> </w:t>
      </w:r>
      <w:r w:rsidR="009904C7" w:rsidRPr="009904C7">
        <w:rPr>
          <w:rFonts w:ascii="Arial" w:eastAsia="Arial" w:hAnsi="Arial" w:cs="Arial"/>
        </w:rPr>
        <w:t>HEPA</w:t>
      </w:r>
      <w:r w:rsidR="00497A01">
        <w:rPr>
          <w:rFonts w:ascii="Arial" w:eastAsia="Arial" w:hAnsi="Arial" w:cs="Arial"/>
        </w:rPr>
        <w:t xml:space="preserve"> government facilities</w:t>
      </w:r>
      <w:r w:rsidRPr="00C20CAA">
        <w:rPr>
          <w:rFonts w:ascii="Arial" w:eastAsia="Arial" w:hAnsi="Arial" w:cs="Arial"/>
        </w:rPr>
        <w:t>), a</w:t>
      </w:r>
      <w:r w:rsidR="00456268" w:rsidRPr="00C20CAA">
        <w:rPr>
          <w:rFonts w:ascii="Arial" w:eastAsia="Arial" w:hAnsi="Arial" w:cs="Arial"/>
        </w:rPr>
        <w:t xml:space="preserve">s well as the executing </w:t>
      </w:r>
      <w:r w:rsidR="00A9216B" w:rsidRPr="00C20CAA">
        <w:rPr>
          <w:rFonts w:ascii="Arial" w:eastAsia="Arial" w:hAnsi="Arial" w:cs="Arial"/>
        </w:rPr>
        <w:t>agen</w:t>
      </w:r>
      <w:r w:rsidR="00C12DDB" w:rsidRPr="00C20CAA">
        <w:rPr>
          <w:rFonts w:ascii="Arial" w:eastAsia="Arial" w:hAnsi="Arial" w:cs="Arial"/>
        </w:rPr>
        <w:t xml:space="preserve">cy </w:t>
      </w:r>
      <w:r w:rsidRPr="00C20CAA">
        <w:rPr>
          <w:rFonts w:ascii="Arial" w:eastAsia="Arial" w:hAnsi="Arial" w:cs="Arial"/>
        </w:rPr>
        <w:t>(</w:t>
      </w:r>
      <w:r w:rsidR="00456268" w:rsidRPr="00C20CAA">
        <w:rPr>
          <w:rFonts w:ascii="Arial" w:eastAsia="Arial" w:hAnsi="Arial" w:cs="Arial"/>
        </w:rPr>
        <w:t>Petroleum Corporation of Jamaica</w:t>
      </w:r>
      <w:r w:rsidR="00497A01">
        <w:rPr>
          <w:rFonts w:ascii="Arial" w:eastAsia="Arial" w:hAnsi="Arial" w:cs="Arial"/>
        </w:rPr>
        <w:t>—</w:t>
      </w:r>
      <w:r w:rsidR="00456268" w:rsidRPr="00C20CAA">
        <w:rPr>
          <w:rFonts w:ascii="Arial" w:eastAsia="Arial" w:hAnsi="Arial" w:cs="Arial"/>
        </w:rPr>
        <w:t>PCJ</w:t>
      </w:r>
      <w:r w:rsidR="00C12DDB" w:rsidRPr="00C20CAA">
        <w:rPr>
          <w:rFonts w:ascii="Arial" w:eastAsia="Arial" w:hAnsi="Arial" w:cs="Arial"/>
        </w:rPr>
        <w:t>),</w:t>
      </w:r>
      <w:r w:rsidRPr="00C20CAA">
        <w:rPr>
          <w:rFonts w:ascii="Arial" w:eastAsia="Arial" w:hAnsi="Arial" w:cs="Arial"/>
        </w:rPr>
        <w:t xml:space="preserve"> the Policy team of Ministry of Scien</w:t>
      </w:r>
      <w:r w:rsidR="00456268" w:rsidRPr="00C20CAA">
        <w:rPr>
          <w:rFonts w:ascii="Arial" w:eastAsia="Arial" w:hAnsi="Arial" w:cs="Arial"/>
        </w:rPr>
        <w:t xml:space="preserve">ce, Energy and Technology </w:t>
      </w:r>
      <w:r w:rsidR="009904C7">
        <w:rPr>
          <w:rFonts w:ascii="Arial" w:eastAsia="Arial" w:hAnsi="Arial" w:cs="Arial"/>
        </w:rPr>
        <w:t>(</w:t>
      </w:r>
      <w:r w:rsidR="00456268" w:rsidRPr="00C20CAA">
        <w:rPr>
          <w:rFonts w:ascii="Arial" w:eastAsia="Arial" w:hAnsi="Arial" w:cs="Arial"/>
        </w:rPr>
        <w:t>MSET)</w:t>
      </w:r>
      <w:r w:rsidR="00F136C3">
        <w:rPr>
          <w:rFonts w:ascii="Arial" w:eastAsia="Arial" w:hAnsi="Arial" w:cs="Arial"/>
        </w:rPr>
        <w:t>.</w:t>
      </w:r>
      <w:r w:rsidRPr="00C20CAA">
        <w:rPr>
          <w:rFonts w:ascii="Arial" w:eastAsia="Arial" w:hAnsi="Arial" w:cs="Arial"/>
        </w:rPr>
        <w:t xml:space="preserve"> With the project</w:t>
      </w:r>
      <w:r w:rsidR="00E05D6A" w:rsidRPr="00C20CAA">
        <w:rPr>
          <w:rFonts w:ascii="Arial" w:eastAsia="Arial" w:hAnsi="Arial" w:cs="Arial"/>
        </w:rPr>
        <w:t>,</w:t>
      </w:r>
      <w:r w:rsidRPr="00C20CAA">
        <w:rPr>
          <w:rFonts w:ascii="Arial" w:eastAsia="Arial" w:hAnsi="Arial" w:cs="Arial"/>
        </w:rPr>
        <w:t xml:space="preserve"> </w:t>
      </w:r>
      <w:r w:rsidR="00C12DDB" w:rsidRPr="00C20CAA">
        <w:rPr>
          <w:rFonts w:ascii="Arial" w:eastAsia="Arial" w:hAnsi="Arial" w:cs="Arial"/>
        </w:rPr>
        <w:t>approximately</w:t>
      </w:r>
      <w:r w:rsidR="001216BC">
        <w:rPr>
          <w:rFonts w:ascii="Arial" w:eastAsia="Arial" w:hAnsi="Arial" w:cs="Arial"/>
        </w:rPr>
        <w:t xml:space="preserve"> </w:t>
      </w:r>
      <w:r w:rsidR="009904C7">
        <w:rPr>
          <w:rFonts w:ascii="Arial" w:eastAsia="Arial" w:hAnsi="Arial" w:cs="Arial"/>
        </w:rPr>
        <w:t>80</w:t>
      </w:r>
      <w:r w:rsidR="009904C7">
        <w:rPr>
          <w:rStyle w:val="FootnoteReference"/>
          <w:rFonts w:ascii="Arial" w:eastAsia="Arial" w:hAnsi="Arial" w:cs="Arial"/>
        </w:rPr>
        <w:footnoteReference w:id="8"/>
      </w:r>
      <w:r w:rsidRPr="00C20CAA">
        <w:rPr>
          <w:rFonts w:ascii="Arial" w:eastAsia="Arial" w:hAnsi="Arial" w:cs="Arial"/>
        </w:rPr>
        <w:t xml:space="preserve"> </w:t>
      </w:r>
      <w:r w:rsidR="009904C7">
        <w:rPr>
          <w:rFonts w:ascii="Arial" w:eastAsia="Arial" w:hAnsi="Arial" w:cs="Arial"/>
        </w:rPr>
        <w:t xml:space="preserve">HEPA </w:t>
      </w:r>
      <w:r w:rsidR="00497A01">
        <w:rPr>
          <w:rFonts w:ascii="Arial" w:eastAsia="Arial" w:hAnsi="Arial" w:cs="Arial"/>
        </w:rPr>
        <w:t xml:space="preserve">government </w:t>
      </w:r>
      <w:r w:rsidR="00E05D6A" w:rsidRPr="00C20CAA">
        <w:rPr>
          <w:rFonts w:ascii="Arial" w:eastAsia="Arial" w:hAnsi="Arial" w:cs="Arial"/>
        </w:rPr>
        <w:t>facilities</w:t>
      </w:r>
      <w:r w:rsidRPr="00C20CAA">
        <w:rPr>
          <w:rFonts w:ascii="Arial" w:eastAsia="Arial" w:hAnsi="Arial" w:cs="Arial"/>
        </w:rPr>
        <w:t xml:space="preserve"> will benefit from retrofitting</w:t>
      </w:r>
      <w:r w:rsidR="00E05D6A" w:rsidRPr="00C20CAA">
        <w:rPr>
          <w:rFonts w:ascii="Arial" w:eastAsia="Arial" w:hAnsi="Arial" w:cs="Arial"/>
        </w:rPr>
        <w:t>,</w:t>
      </w:r>
      <w:r w:rsidRPr="00C20CAA">
        <w:rPr>
          <w:rFonts w:ascii="Arial" w:eastAsia="Arial" w:hAnsi="Arial" w:cs="Arial"/>
        </w:rPr>
        <w:t xml:space="preserve"> and this intervention will be accompanied by training programs for</w:t>
      </w:r>
      <w:r w:rsidR="00497A01">
        <w:rPr>
          <w:rFonts w:ascii="Arial" w:eastAsia="Arial" w:hAnsi="Arial" w:cs="Arial"/>
        </w:rPr>
        <w:t xml:space="preserve"> </w:t>
      </w:r>
      <w:r w:rsidRPr="00C20CAA">
        <w:rPr>
          <w:rFonts w:ascii="Arial" w:eastAsia="Arial" w:hAnsi="Arial" w:cs="Arial"/>
        </w:rPr>
        <w:t>maintenance staff</w:t>
      </w:r>
      <w:r w:rsidR="001154ED" w:rsidRPr="00C20CAA">
        <w:rPr>
          <w:rFonts w:ascii="Arial" w:eastAsia="Arial" w:hAnsi="Arial" w:cs="Arial"/>
        </w:rPr>
        <w:t>, facility managers,</w:t>
      </w:r>
      <w:r w:rsidR="009F7A58" w:rsidRPr="00C20CAA">
        <w:rPr>
          <w:rFonts w:ascii="Arial" w:eastAsia="Arial" w:hAnsi="Arial" w:cs="Arial"/>
        </w:rPr>
        <w:t xml:space="preserve"> and technical staff. Further</w:t>
      </w:r>
      <w:r w:rsidR="00E37044">
        <w:rPr>
          <w:rFonts w:ascii="Arial" w:eastAsia="Arial" w:hAnsi="Arial" w:cs="Arial"/>
        </w:rPr>
        <w:t>more</w:t>
      </w:r>
      <w:r w:rsidR="009F7A58" w:rsidRPr="00C20CAA">
        <w:rPr>
          <w:rFonts w:ascii="Arial" w:eastAsia="Arial" w:hAnsi="Arial" w:cs="Arial"/>
        </w:rPr>
        <w:t>, energy awareness training will be conducted to provide critical knowledge on energy efficiency and conservation measures and their roles in minimizing energy use and maximizing energy efficiency measures. Th</w:t>
      </w:r>
      <w:r w:rsidR="00490BFE">
        <w:rPr>
          <w:rFonts w:ascii="Arial" w:eastAsia="Arial" w:hAnsi="Arial" w:cs="Arial"/>
        </w:rPr>
        <w:t>ese</w:t>
      </w:r>
      <w:r w:rsidR="009F7A58" w:rsidRPr="00C20CAA">
        <w:rPr>
          <w:rFonts w:ascii="Arial" w:eastAsia="Arial" w:hAnsi="Arial" w:cs="Arial"/>
        </w:rPr>
        <w:t xml:space="preserve"> training</w:t>
      </w:r>
      <w:r w:rsidR="00490BFE">
        <w:rPr>
          <w:rFonts w:ascii="Arial" w:eastAsia="Arial" w:hAnsi="Arial" w:cs="Arial"/>
        </w:rPr>
        <w:t>s</w:t>
      </w:r>
      <w:r w:rsidR="009F7A58" w:rsidRPr="00C20CAA">
        <w:rPr>
          <w:rFonts w:ascii="Arial" w:eastAsia="Arial" w:hAnsi="Arial" w:cs="Arial"/>
        </w:rPr>
        <w:t xml:space="preserve"> will be</w:t>
      </w:r>
      <w:r w:rsidR="00313ED5" w:rsidRPr="00C20CAA">
        <w:rPr>
          <w:rFonts w:ascii="Arial" w:eastAsia="Arial" w:hAnsi="Arial" w:cs="Arial"/>
        </w:rPr>
        <w:t xml:space="preserve"> extended to general employers including, but not limited to</w:t>
      </w:r>
      <w:r w:rsidR="00490BFE">
        <w:rPr>
          <w:rFonts w:ascii="Arial" w:eastAsia="Arial" w:hAnsi="Arial" w:cs="Arial"/>
        </w:rPr>
        <w:t>,</w:t>
      </w:r>
      <w:r w:rsidR="00313ED5" w:rsidRPr="00C20CAA">
        <w:rPr>
          <w:rFonts w:ascii="Arial" w:eastAsia="Arial" w:hAnsi="Arial" w:cs="Arial"/>
        </w:rPr>
        <w:t xml:space="preserve"> teachers and students in the case of schools, and doctors, nurses, and all administrative staff in the case of hospitals</w:t>
      </w:r>
      <w:r w:rsidRPr="00C20CAA">
        <w:rPr>
          <w:rFonts w:ascii="Arial" w:eastAsia="Arial" w:hAnsi="Arial" w:cs="Arial"/>
        </w:rPr>
        <w:t>. To have a general idea of the composition of these maintenance staff, the team collected data from a sample s</w:t>
      </w:r>
      <w:r w:rsidR="00631F22" w:rsidRPr="00C20CAA">
        <w:rPr>
          <w:rFonts w:ascii="Arial" w:eastAsia="Arial" w:hAnsi="Arial" w:cs="Arial"/>
        </w:rPr>
        <w:t>ize of six building which showed that</w:t>
      </w:r>
      <w:r w:rsidR="00FF650C" w:rsidRPr="00C20CAA">
        <w:rPr>
          <w:rFonts w:ascii="Arial" w:eastAsia="Arial" w:hAnsi="Arial" w:cs="Arial"/>
        </w:rPr>
        <w:t xml:space="preserve"> 22.5</w:t>
      </w:r>
      <w:r w:rsidRPr="00C20CAA">
        <w:rPr>
          <w:rFonts w:ascii="Arial" w:eastAsia="Arial" w:hAnsi="Arial" w:cs="Arial"/>
        </w:rPr>
        <w:t xml:space="preserve">% of the staff </w:t>
      </w:r>
      <w:r w:rsidR="00631F22" w:rsidRPr="00C20CAA">
        <w:rPr>
          <w:rFonts w:ascii="Arial" w:eastAsia="Arial" w:hAnsi="Arial" w:cs="Arial"/>
        </w:rPr>
        <w:t>was</w:t>
      </w:r>
      <w:r w:rsidRPr="00C20CAA">
        <w:rPr>
          <w:rFonts w:ascii="Arial" w:eastAsia="Arial" w:hAnsi="Arial" w:cs="Arial"/>
        </w:rPr>
        <w:t xml:space="preserve"> women. </w:t>
      </w:r>
      <w:r w:rsidR="00A9216B" w:rsidRPr="00C20CAA">
        <w:rPr>
          <w:rFonts w:ascii="Arial" w:eastAsia="Arial" w:hAnsi="Arial" w:cs="Arial"/>
        </w:rPr>
        <w:t>In relation to executing</w:t>
      </w:r>
      <w:r w:rsidRPr="00C20CAA">
        <w:rPr>
          <w:rFonts w:ascii="Arial" w:eastAsia="Arial" w:hAnsi="Arial" w:cs="Arial"/>
        </w:rPr>
        <w:t xml:space="preserve"> agencies, staff co</w:t>
      </w:r>
      <w:r w:rsidR="00631F22" w:rsidRPr="00C20CAA">
        <w:rPr>
          <w:rFonts w:ascii="Arial" w:eastAsia="Arial" w:hAnsi="Arial" w:cs="Arial"/>
        </w:rPr>
        <w:t>mposition data was collected on</w:t>
      </w:r>
      <w:r w:rsidRPr="00C20CAA">
        <w:rPr>
          <w:rFonts w:ascii="Arial" w:eastAsia="Arial" w:hAnsi="Arial" w:cs="Arial"/>
        </w:rPr>
        <w:t xml:space="preserve"> </w:t>
      </w:r>
      <w:r w:rsidR="00631F22" w:rsidRPr="00C20CAA">
        <w:rPr>
          <w:rFonts w:ascii="Arial" w:eastAsia="Arial" w:hAnsi="Arial" w:cs="Arial"/>
        </w:rPr>
        <w:t>PCJ and MSET</w:t>
      </w:r>
      <w:r w:rsidRPr="00C20CAA">
        <w:rPr>
          <w:rFonts w:ascii="Arial" w:eastAsia="Arial" w:hAnsi="Arial" w:cs="Arial"/>
        </w:rPr>
        <w:t xml:space="preserve"> </w:t>
      </w:r>
      <w:r w:rsidR="00631F22" w:rsidRPr="00C20CAA">
        <w:rPr>
          <w:rFonts w:ascii="Arial" w:eastAsia="Arial" w:hAnsi="Arial" w:cs="Arial"/>
        </w:rPr>
        <w:t>and women represent 15</w:t>
      </w:r>
      <w:r w:rsidRPr="00C20CAA">
        <w:rPr>
          <w:rFonts w:ascii="Arial" w:eastAsia="Arial" w:hAnsi="Arial" w:cs="Arial"/>
        </w:rPr>
        <w:t>%</w:t>
      </w:r>
      <w:r w:rsidR="00631F22" w:rsidRPr="00C20CAA">
        <w:rPr>
          <w:rFonts w:ascii="Arial" w:eastAsia="Arial" w:hAnsi="Arial" w:cs="Arial"/>
        </w:rPr>
        <w:t>, 30% and 53%, respectively</w:t>
      </w:r>
      <w:r w:rsidR="006140B2" w:rsidRPr="00C20CAA">
        <w:rPr>
          <w:rFonts w:ascii="Arial" w:eastAsia="Arial" w:hAnsi="Arial" w:cs="Arial"/>
        </w:rPr>
        <w:t xml:space="preserve"> (see detailed list on annex 1 of this document)</w:t>
      </w:r>
      <w:r w:rsidR="00631F22" w:rsidRPr="00C20CAA">
        <w:rPr>
          <w:rFonts w:ascii="Arial" w:eastAsia="Arial" w:hAnsi="Arial" w:cs="Arial"/>
        </w:rPr>
        <w:t xml:space="preserve">. </w:t>
      </w:r>
      <w:r w:rsidRPr="00C20CAA">
        <w:rPr>
          <w:rFonts w:ascii="Arial" w:eastAsia="Arial" w:hAnsi="Arial" w:cs="Arial"/>
        </w:rPr>
        <w:t xml:space="preserve"> </w:t>
      </w:r>
    </w:p>
    <w:p w14:paraId="79003905" w14:textId="77777777" w:rsidR="004F6CA7" w:rsidRPr="00C20CAA" w:rsidRDefault="004F6CA7" w:rsidP="00FC2445">
      <w:pPr>
        <w:jc w:val="center"/>
        <w:rPr>
          <w:rFonts w:ascii="Arial" w:hAnsi="Arial" w:cs="Arial"/>
          <w:b/>
        </w:rPr>
      </w:pPr>
    </w:p>
    <w:p w14:paraId="18986117" w14:textId="77777777" w:rsidR="00882A91" w:rsidRPr="00C20CAA" w:rsidRDefault="00612AB2" w:rsidP="006161DC">
      <w:pPr>
        <w:pStyle w:val="ListParagraph"/>
        <w:numPr>
          <w:ilvl w:val="0"/>
          <w:numId w:val="1"/>
        </w:numPr>
        <w:rPr>
          <w:rFonts w:ascii="Arial" w:hAnsi="Arial" w:cs="Arial"/>
          <w:b/>
        </w:rPr>
      </w:pPr>
      <w:r w:rsidRPr="00C20CAA">
        <w:rPr>
          <w:rFonts w:ascii="Arial" w:hAnsi="Arial" w:cs="Arial"/>
          <w:b/>
        </w:rPr>
        <w:t>Gender Additionality: Justification and Intervention</w:t>
      </w:r>
    </w:p>
    <w:p w14:paraId="28D174F7" w14:textId="239BAF82" w:rsidR="004C4A8A" w:rsidRPr="00C20CAA" w:rsidRDefault="006E17BB" w:rsidP="006E17BB">
      <w:pPr>
        <w:spacing w:after="0"/>
        <w:jc w:val="both"/>
        <w:rPr>
          <w:rFonts w:ascii="Arial" w:eastAsia="Arial" w:hAnsi="Arial" w:cs="Arial"/>
        </w:rPr>
      </w:pPr>
      <w:r w:rsidRPr="00C20CAA">
        <w:rPr>
          <w:rFonts w:ascii="Arial" w:eastAsia="Arial" w:hAnsi="Arial" w:cs="Arial"/>
        </w:rPr>
        <w:t xml:space="preserve">The </w:t>
      </w:r>
      <w:r w:rsidR="00135B74">
        <w:rPr>
          <w:rFonts w:ascii="Arial" w:eastAsia="Arial" w:hAnsi="Arial" w:cs="Arial"/>
        </w:rPr>
        <w:t>main objective of t</w:t>
      </w:r>
      <w:r w:rsidR="00135B74" w:rsidRPr="00135B74">
        <w:rPr>
          <w:rFonts w:ascii="Arial" w:eastAsia="Arial" w:hAnsi="Arial" w:cs="Arial"/>
        </w:rPr>
        <w:t>his non-reimbursable co-financing operation</w:t>
      </w:r>
      <w:r w:rsidR="00135B74">
        <w:rPr>
          <w:rFonts w:ascii="Arial" w:eastAsia="Arial" w:hAnsi="Arial" w:cs="Arial"/>
        </w:rPr>
        <w:t xml:space="preserve"> which</w:t>
      </w:r>
      <w:r w:rsidR="00135B74" w:rsidRPr="00135B74">
        <w:rPr>
          <w:rFonts w:ascii="Arial" w:eastAsia="Arial" w:hAnsi="Arial" w:cs="Arial"/>
        </w:rPr>
        <w:t xml:space="preserve"> complem</w:t>
      </w:r>
      <w:r w:rsidR="00135B74">
        <w:rPr>
          <w:rFonts w:ascii="Arial" w:eastAsia="Arial" w:hAnsi="Arial" w:cs="Arial"/>
        </w:rPr>
        <w:t>ents the EMEP loan (3877/OC-JA) is to promote</w:t>
      </w:r>
      <w:r w:rsidR="00135B74" w:rsidRPr="00135B74">
        <w:rPr>
          <w:rFonts w:ascii="Arial" w:eastAsia="Arial" w:hAnsi="Arial" w:cs="Arial"/>
        </w:rPr>
        <w:t xml:space="preserve"> a more efficient use of energy resources that would free public funds through avoided oil imports, helping the GOJ to create fiscal space for productive spending. The specific objectives and expected results of this operation are: (i) reduced electricity consumption in public buildings resulting in avoided GHG emissions and (ii) support to capacity building for energy planning</w:t>
      </w:r>
    </w:p>
    <w:p w14:paraId="0680F7C2" w14:textId="77777777" w:rsidR="004C4A8A" w:rsidRPr="00C20CAA" w:rsidRDefault="004C4A8A" w:rsidP="006E17BB">
      <w:pPr>
        <w:spacing w:after="0"/>
        <w:jc w:val="both"/>
        <w:rPr>
          <w:rFonts w:ascii="Arial" w:eastAsia="Arial" w:hAnsi="Arial" w:cs="Arial"/>
        </w:rPr>
      </w:pPr>
    </w:p>
    <w:p w14:paraId="1CAD80A8" w14:textId="77777777" w:rsidR="006E17BB" w:rsidRPr="00C20CAA" w:rsidRDefault="006E17BB" w:rsidP="006E17BB">
      <w:pPr>
        <w:spacing w:after="0"/>
        <w:jc w:val="both"/>
        <w:rPr>
          <w:rFonts w:ascii="Arial" w:eastAsia="Arial" w:hAnsi="Arial" w:cs="Arial"/>
        </w:rPr>
      </w:pPr>
      <w:r w:rsidRPr="00C20CAA">
        <w:rPr>
          <w:rFonts w:ascii="Arial" w:eastAsia="Arial" w:hAnsi="Arial" w:cs="Arial"/>
        </w:rPr>
        <w:t>Taking in</w:t>
      </w:r>
      <w:r w:rsidR="00FC2445" w:rsidRPr="00C20CAA">
        <w:rPr>
          <w:rFonts w:ascii="Arial" w:eastAsia="Arial" w:hAnsi="Arial" w:cs="Arial"/>
        </w:rPr>
        <w:t>to account the gender context</w:t>
      </w:r>
      <w:r w:rsidRPr="00C20CAA">
        <w:rPr>
          <w:rFonts w:ascii="Arial" w:eastAsia="Arial" w:hAnsi="Arial" w:cs="Arial"/>
        </w:rPr>
        <w:t xml:space="preserve"> described in the previous section, as well as the objective of this project, this section will present </w:t>
      </w:r>
      <w:r w:rsidR="00FC2445" w:rsidRPr="00C20CAA">
        <w:rPr>
          <w:rFonts w:ascii="Arial" w:eastAsia="Arial" w:hAnsi="Arial" w:cs="Arial"/>
        </w:rPr>
        <w:t xml:space="preserve">why the project will include gender as </w:t>
      </w:r>
      <w:r w:rsidR="00313ED5" w:rsidRPr="00C20CAA">
        <w:rPr>
          <w:rFonts w:ascii="Arial" w:eastAsia="Arial" w:hAnsi="Arial" w:cs="Arial"/>
        </w:rPr>
        <w:t>additionality</w:t>
      </w:r>
      <w:r w:rsidR="00FC2445" w:rsidRPr="00C20CAA">
        <w:rPr>
          <w:rFonts w:ascii="Arial" w:eastAsia="Arial" w:hAnsi="Arial" w:cs="Arial"/>
        </w:rPr>
        <w:t>.</w:t>
      </w:r>
    </w:p>
    <w:p w14:paraId="472D62D4" w14:textId="77777777" w:rsidR="006E17BB" w:rsidRPr="00C20CAA" w:rsidRDefault="006E17BB" w:rsidP="006E17BB">
      <w:pPr>
        <w:spacing w:after="0"/>
        <w:jc w:val="both"/>
        <w:rPr>
          <w:rFonts w:ascii="Arial" w:eastAsia="Arial" w:hAnsi="Arial" w:cs="Arial"/>
        </w:rPr>
      </w:pPr>
    </w:p>
    <w:p w14:paraId="333548E4" w14:textId="77777777" w:rsidR="006E17BB" w:rsidRPr="00C20CAA" w:rsidRDefault="006E17BB" w:rsidP="006E17BB">
      <w:pPr>
        <w:spacing w:after="0"/>
        <w:jc w:val="both"/>
        <w:rPr>
          <w:rFonts w:ascii="Arial" w:eastAsia="Arial" w:hAnsi="Arial" w:cs="Arial"/>
        </w:rPr>
      </w:pPr>
      <w:r w:rsidRPr="00C20CAA">
        <w:rPr>
          <w:rFonts w:ascii="Arial" w:eastAsia="Arial" w:hAnsi="Arial" w:cs="Arial"/>
          <w:b/>
          <w:i/>
        </w:rPr>
        <w:t>Justification</w:t>
      </w:r>
    </w:p>
    <w:p w14:paraId="1E3A1F8F" w14:textId="77777777" w:rsidR="006E17BB" w:rsidRPr="00C20CAA" w:rsidRDefault="006E17BB" w:rsidP="006E17BB">
      <w:pPr>
        <w:spacing w:after="0"/>
        <w:jc w:val="both"/>
        <w:rPr>
          <w:rFonts w:ascii="Arial" w:eastAsia="Arial" w:hAnsi="Arial" w:cs="Arial"/>
        </w:rPr>
      </w:pPr>
      <w:r w:rsidRPr="00C20CAA">
        <w:rPr>
          <w:rFonts w:ascii="Arial" w:eastAsia="Arial" w:hAnsi="Arial" w:cs="Arial"/>
        </w:rPr>
        <w:t>Worldwide, female employment distribution by sectors confirm that women work primarily</w:t>
      </w:r>
      <w:r w:rsidR="00DE42E4" w:rsidRPr="00C20CAA">
        <w:rPr>
          <w:rFonts w:ascii="Arial" w:eastAsia="Arial" w:hAnsi="Arial" w:cs="Arial"/>
        </w:rPr>
        <w:t xml:space="preserve"> employed</w:t>
      </w:r>
      <w:r w:rsidRPr="00C20CAA">
        <w:rPr>
          <w:rFonts w:ascii="Arial" w:eastAsia="Arial" w:hAnsi="Arial" w:cs="Arial"/>
        </w:rPr>
        <w:t xml:space="preserve"> in sectors such as communication services (31%), agriculture (27%) and retail (21%), but hardly work in sectors such as energy </w:t>
      </w:r>
      <w:r w:rsidR="00CB0324" w:rsidRPr="00C20CAA">
        <w:rPr>
          <w:rFonts w:ascii="Arial" w:eastAsia="Arial" w:hAnsi="Arial" w:cs="Arial"/>
        </w:rPr>
        <w:t xml:space="preserve">and transport </w:t>
      </w:r>
      <w:r w:rsidRPr="00C20CAA">
        <w:rPr>
          <w:rFonts w:ascii="Arial" w:eastAsia="Arial" w:hAnsi="Arial" w:cs="Arial"/>
        </w:rPr>
        <w:t>(electricity and mining combined make up for 1% of total number of women workin</w:t>
      </w:r>
      <w:r w:rsidR="00DE42E4" w:rsidRPr="00C20CAA">
        <w:rPr>
          <w:rFonts w:ascii="Arial" w:eastAsia="Arial" w:hAnsi="Arial" w:cs="Arial"/>
        </w:rPr>
        <w:t>g in those sectors</w:t>
      </w:r>
      <w:r w:rsidR="00CB0324" w:rsidRPr="00C20CAA">
        <w:rPr>
          <w:rFonts w:ascii="Arial" w:eastAsia="Arial" w:hAnsi="Arial" w:cs="Arial"/>
        </w:rPr>
        <w:t xml:space="preserve"> and transport and telecommunications make up for 2%</w:t>
      </w:r>
      <w:r w:rsidR="00DE42E4" w:rsidRPr="00C20CAA">
        <w:rPr>
          <w:rFonts w:ascii="Arial" w:eastAsia="Arial" w:hAnsi="Arial" w:cs="Arial"/>
        </w:rPr>
        <w:t>, see graphic 2</w:t>
      </w:r>
      <w:r w:rsidRPr="00C20CAA">
        <w:rPr>
          <w:rFonts w:ascii="Arial" w:eastAsia="Arial" w:hAnsi="Arial" w:cs="Arial"/>
        </w:rPr>
        <w:t>).</w:t>
      </w:r>
    </w:p>
    <w:p w14:paraId="36D9646D" w14:textId="77777777" w:rsidR="00456268" w:rsidRPr="00C20CAA" w:rsidRDefault="00456268" w:rsidP="006E17BB">
      <w:pPr>
        <w:spacing w:after="0"/>
        <w:jc w:val="both"/>
        <w:rPr>
          <w:rFonts w:ascii="Arial" w:eastAsia="Arial" w:hAnsi="Arial" w:cs="Arial"/>
        </w:rPr>
      </w:pPr>
    </w:p>
    <w:p w14:paraId="4CEE7B45" w14:textId="77777777" w:rsidR="004C4A8A" w:rsidRPr="00C20CAA" w:rsidRDefault="004C4A8A" w:rsidP="006E17BB">
      <w:pPr>
        <w:spacing w:after="0"/>
        <w:jc w:val="both"/>
        <w:rPr>
          <w:rFonts w:ascii="Arial" w:eastAsia="Arial" w:hAnsi="Arial" w:cs="Arial"/>
        </w:rPr>
      </w:pPr>
    </w:p>
    <w:p w14:paraId="73FBDF74" w14:textId="77777777" w:rsidR="004C4A8A" w:rsidRPr="00C20CAA" w:rsidRDefault="004C4A8A" w:rsidP="006E17BB">
      <w:pPr>
        <w:spacing w:after="0"/>
        <w:jc w:val="both"/>
        <w:rPr>
          <w:rFonts w:ascii="Arial" w:eastAsia="Arial" w:hAnsi="Arial" w:cs="Arial"/>
        </w:rPr>
      </w:pPr>
    </w:p>
    <w:p w14:paraId="20B859BB" w14:textId="77777777" w:rsidR="004C4A8A" w:rsidRPr="00C20CAA" w:rsidRDefault="004C4A8A" w:rsidP="006E17BB">
      <w:pPr>
        <w:spacing w:after="0"/>
        <w:jc w:val="both"/>
        <w:rPr>
          <w:rFonts w:ascii="Arial" w:eastAsia="Arial" w:hAnsi="Arial" w:cs="Arial"/>
        </w:rPr>
      </w:pPr>
    </w:p>
    <w:p w14:paraId="5B5726AF" w14:textId="77777777" w:rsidR="004C4A8A" w:rsidRPr="00C20CAA" w:rsidRDefault="004C4A8A" w:rsidP="006E17BB">
      <w:pPr>
        <w:spacing w:after="0"/>
        <w:jc w:val="both"/>
        <w:rPr>
          <w:rFonts w:ascii="Arial" w:eastAsia="Arial" w:hAnsi="Arial" w:cs="Arial"/>
        </w:rPr>
      </w:pPr>
    </w:p>
    <w:p w14:paraId="3973F9EA" w14:textId="77777777" w:rsidR="004C4A8A" w:rsidRPr="00C20CAA" w:rsidRDefault="004C4A8A" w:rsidP="006E17BB">
      <w:pPr>
        <w:spacing w:after="0"/>
        <w:jc w:val="both"/>
        <w:rPr>
          <w:rFonts w:ascii="Arial" w:eastAsia="Arial" w:hAnsi="Arial" w:cs="Arial"/>
        </w:rPr>
      </w:pPr>
    </w:p>
    <w:p w14:paraId="314766E4" w14:textId="77777777" w:rsidR="004C4A8A" w:rsidRPr="00C20CAA" w:rsidRDefault="004C4A8A" w:rsidP="006E17BB">
      <w:pPr>
        <w:spacing w:after="0"/>
        <w:jc w:val="both"/>
        <w:rPr>
          <w:rFonts w:ascii="Arial" w:eastAsia="Arial" w:hAnsi="Arial" w:cs="Arial"/>
        </w:rPr>
      </w:pPr>
    </w:p>
    <w:p w14:paraId="1B430D5A" w14:textId="77777777" w:rsidR="006E17BB" w:rsidRPr="00C20CAA" w:rsidRDefault="006E17BB" w:rsidP="00E129F2">
      <w:pPr>
        <w:spacing w:after="0"/>
        <w:jc w:val="center"/>
        <w:rPr>
          <w:rFonts w:ascii="Arial" w:eastAsia="Arial" w:hAnsi="Arial" w:cs="Arial"/>
          <w:u w:val="single"/>
        </w:rPr>
      </w:pPr>
      <w:r w:rsidRPr="00C20CAA">
        <w:rPr>
          <w:rFonts w:ascii="Arial" w:eastAsia="Arial" w:hAnsi="Arial" w:cs="Arial"/>
          <w:u w:val="single"/>
        </w:rPr>
        <w:t>Gr</w:t>
      </w:r>
      <w:r w:rsidR="00E129F2" w:rsidRPr="00C20CAA">
        <w:rPr>
          <w:rFonts w:ascii="Arial" w:eastAsia="Arial" w:hAnsi="Arial" w:cs="Arial"/>
          <w:u w:val="single"/>
        </w:rPr>
        <w:t>aphic 2</w:t>
      </w:r>
      <w:r w:rsidRPr="00C20CAA">
        <w:rPr>
          <w:rFonts w:ascii="Arial" w:eastAsia="Arial" w:hAnsi="Arial" w:cs="Arial"/>
          <w:u w:val="single"/>
        </w:rPr>
        <w:t xml:space="preserve"> - Female and Male Employment Distribution by Sectors</w:t>
      </w:r>
    </w:p>
    <w:p w14:paraId="7663E4F9" w14:textId="77777777" w:rsidR="00E129F2" w:rsidRPr="00C20CAA" w:rsidRDefault="00E129F2" w:rsidP="006E17BB">
      <w:pPr>
        <w:spacing w:after="0"/>
        <w:jc w:val="both"/>
        <w:rPr>
          <w:rFonts w:ascii="Arial" w:eastAsia="Arial" w:hAnsi="Arial" w:cs="Arial"/>
        </w:rPr>
      </w:pPr>
    </w:p>
    <w:p w14:paraId="715415E5" w14:textId="77777777" w:rsidR="006E17BB" w:rsidRPr="00C20CAA" w:rsidRDefault="00E129F2" w:rsidP="00E129F2">
      <w:pPr>
        <w:spacing w:after="0"/>
        <w:jc w:val="center"/>
        <w:rPr>
          <w:rFonts w:ascii="Arial" w:eastAsia="Arial" w:hAnsi="Arial" w:cs="Arial"/>
        </w:rPr>
      </w:pPr>
      <w:r w:rsidRPr="00C20CAA">
        <w:rPr>
          <w:rFonts w:ascii="Arial" w:eastAsia="Arial" w:hAnsi="Arial" w:cs="Arial"/>
          <w:noProof/>
        </w:rPr>
        <w:drawing>
          <wp:inline distT="0" distB="0" distL="0" distR="0" wp14:anchorId="4919FD9D" wp14:editId="05233F50">
            <wp:extent cx="2964180" cy="25754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911" cy="2577807"/>
                    </a:xfrm>
                    <a:prstGeom prst="rect">
                      <a:avLst/>
                    </a:prstGeom>
                    <a:noFill/>
                    <a:ln>
                      <a:noFill/>
                    </a:ln>
                  </pic:spPr>
                </pic:pic>
              </a:graphicData>
            </a:graphic>
          </wp:inline>
        </w:drawing>
      </w:r>
    </w:p>
    <w:p w14:paraId="41D8F2B2" w14:textId="77777777" w:rsidR="00E129F2" w:rsidRPr="00C20CAA" w:rsidRDefault="00E129F2" w:rsidP="006E17BB">
      <w:pPr>
        <w:spacing w:after="0"/>
        <w:jc w:val="both"/>
        <w:rPr>
          <w:rFonts w:ascii="Arial" w:eastAsia="Arial" w:hAnsi="Arial" w:cs="Arial"/>
        </w:rPr>
      </w:pPr>
    </w:p>
    <w:p w14:paraId="3AE35DEC" w14:textId="77777777" w:rsidR="006E17BB" w:rsidRPr="00C20CAA" w:rsidRDefault="006E17BB" w:rsidP="006E17BB">
      <w:pPr>
        <w:spacing w:after="0"/>
        <w:jc w:val="both"/>
        <w:rPr>
          <w:rFonts w:ascii="Arial" w:eastAsia="Arial" w:hAnsi="Arial" w:cs="Arial"/>
          <w:sz w:val="16"/>
          <w:szCs w:val="16"/>
        </w:rPr>
      </w:pPr>
      <w:r w:rsidRPr="00C20CAA">
        <w:rPr>
          <w:rFonts w:ascii="Arial" w:eastAsia="Arial" w:hAnsi="Arial" w:cs="Arial"/>
          <w:sz w:val="16"/>
          <w:szCs w:val="16"/>
        </w:rPr>
        <w:t>Source: World Bank (2012). World Development Report 2012: Gender Equality and Development.</w:t>
      </w:r>
    </w:p>
    <w:p w14:paraId="3F96F69C" w14:textId="77777777" w:rsidR="006E17BB" w:rsidRPr="00C20CAA" w:rsidRDefault="006E17BB" w:rsidP="006E17BB">
      <w:pPr>
        <w:spacing w:after="0"/>
        <w:jc w:val="both"/>
        <w:rPr>
          <w:rFonts w:ascii="Arial" w:eastAsia="Arial" w:hAnsi="Arial" w:cs="Arial"/>
        </w:rPr>
      </w:pPr>
    </w:p>
    <w:p w14:paraId="1D7F8A47" w14:textId="77777777" w:rsidR="006E17BB" w:rsidRPr="00C20CAA" w:rsidRDefault="006E17BB" w:rsidP="006E17BB">
      <w:pPr>
        <w:spacing w:after="0"/>
        <w:jc w:val="both"/>
        <w:rPr>
          <w:rFonts w:ascii="Arial" w:eastAsia="Arial" w:hAnsi="Arial" w:cs="Arial"/>
        </w:rPr>
      </w:pPr>
      <w:r w:rsidRPr="00C20CAA">
        <w:rPr>
          <w:rFonts w:ascii="Arial" w:eastAsia="Arial" w:hAnsi="Arial" w:cs="Arial"/>
        </w:rPr>
        <w:t>The concentration of female and males in different sectors constitu</w:t>
      </w:r>
      <w:r w:rsidR="00E129F2" w:rsidRPr="00C20CAA">
        <w:rPr>
          <w:rFonts w:ascii="Arial" w:eastAsia="Arial" w:hAnsi="Arial" w:cs="Arial"/>
        </w:rPr>
        <w:t>te one of the most significant</w:t>
      </w:r>
      <w:r w:rsidRPr="00C20CAA">
        <w:rPr>
          <w:rFonts w:ascii="Arial" w:eastAsia="Arial" w:hAnsi="Arial" w:cs="Arial"/>
        </w:rPr>
        <w:t xml:space="preserve"> areas where gender inequality manifest itself the most when analyzing labor markets, and it is closely related to gender income gaps</w:t>
      </w:r>
      <w:r w:rsidRPr="00C20CAA">
        <w:rPr>
          <w:rFonts w:ascii="Arial" w:eastAsia="Arial" w:hAnsi="Arial" w:cs="Arial"/>
          <w:vertAlign w:val="superscript"/>
        </w:rPr>
        <w:footnoteReference w:id="9"/>
      </w:r>
      <w:r w:rsidRPr="00C20CAA">
        <w:rPr>
          <w:rFonts w:ascii="Arial" w:eastAsia="Arial" w:hAnsi="Arial" w:cs="Arial"/>
        </w:rPr>
        <w:t xml:space="preserve">. In fact, a study by the American organization Wider Opportunities for Women found that in the US women that work in traditional sectors, such as services and retails, earn between 20% and 30% less than women that work in no traditional sectors (such as </w:t>
      </w:r>
      <w:r w:rsidR="00C475C5" w:rsidRPr="00C20CAA">
        <w:rPr>
          <w:rFonts w:ascii="Arial" w:eastAsia="Arial" w:hAnsi="Arial" w:cs="Arial"/>
        </w:rPr>
        <w:t>metalwork</w:t>
      </w:r>
      <w:r w:rsidRPr="00C20CAA">
        <w:rPr>
          <w:rFonts w:ascii="Arial" w:eastAsia="Arial" w:hAnsi="Arial" w:cs="Arial"/>
        </w:rPr>
        <w:t xml:space="preserve"> or truck drivers). Moreover, these non-traditional sectors tend to offer better benefits for its employees since they are highly unio</w:t>
      </w:r>
      <w:r w:rsidR="00C475C5" w:rsidRPr="00C20CAA">
        <w:rPr>
          <w:rFonts w:ascii="Arial" w:eastAsia="Arial" w:hAnsi="Arial" w:cs="Arial"/>
        </w:rPr>
        <w:t>ni</w:t>
      </w:r>
      <w:r w:rsidRPr="00C20CAA">
        <w:rPr>
          <w:rFonts w:ascii="Arial" w:eastAsia="Arial" w:hAnsi="Arial" w:cs="Arial"/>
        </w:rPr>
        <w:t xml:space="preserve">zed and offer the possibilities of professional growth through promotions. When </w:t>
      </w:r>
      <w:r w:rsidR="00E05D6A" w:rsidRPr="00C20CAA">
        <w:rPr>
          <w:rFonts w:ascii="Arial" w:eastAsia="Arial" w:hAnsi="Arial" w:cs="Arial"/>
        </w:rPr>
        <w:t>analyzing</w:t>
      </w:r>
      <w:r w:rsidRPr="00C20CAA">
        <w:rPr>
          <w:rFonts w:ascii="Arial" w:eastAsia="Arial" w:hAnsi="Arial" w:cs="Arial"/>
        </w:rPr>
        <w:t xml:space="preserve"> sp</w:t>
      </w:r>
      <w:r w:rsidR="00CB0324" w:rsidRPr="00C20CAA">
        <w:rPr>
          <w:rFonts w:ascii="Arial" w:eastAsia="Arial" w:hAnsi="Arial" w:cs="Arial"/>
        </w:rPr>
        <w:t>ecifically the energy sector, a</w:t>
      </w:r>
      <w:r w:rsidRPr="00C20CAA">
        <w:rPr>
          <w:rFonts w:ascii="Arial" w:eastAsia="Arial" w:hAnsi="Arial" w:cs="Arial"/>
        </w:rPr>
        <w:t xml:space="preserve"> survey carried out by </w:t>
      </w:r>
      <w:r w:rsidRPr="00C20CAA">
        <w:rPr>
          <w:rFonts w:ascii="Arial" w:eastAsia="Arial" w:hAnsi="Arial" w:cs="Arial"/>
          <w:i/>
        </w:rPr>
        <w:t xml:space="preserve">PayScale Human </w:t>
      </w:r>
      <w:r w:rsidR="00C475C5" w:rsidRPr="00C20CAA">
        <w:rPr>
          <w:rFonts w:ascii="Arial" w:eastAsia="Arial" w:hAnsi="Arial" w:cs="Arial"/>
          <w:i/>
        </w:rPr>
        <w:t>Capital</w:t>
      </w:r>
      <w:r w:rsidR="00C475C5" w:rsidRPr="00C20CAA">
        <w:rPr>
          <w:rFonts w:ascii="Arial" w:eastAsia="Arial" w:hAnsi="Arial" w:cs="Arial"/>
        </w:rPr>
        <w:t xml:space="preserve"> in the US states </w:t>
      </w:r>
      <w:r w:rsidR="00CB0324" w:rsidRPr="00C20CAA">
        <w:rPr>
          <w:rFonts w:ascii="Arial" w:eastAsia="Arial" w:hAnsi="Arial" w:cs="Arial"/>
        </w:rPr>
        <w:t xml:space="preserve">that </w:t>
      </w:r>
      <w:r w:rsidR="00C475C5" w:rsidRPr="00C20CAA">
        <w:rPr>
          <w:rFonts w:ascii="Arial" w:eastAsia="Arial" w:hAnsi="Arial" w:cs="Arial"/>
        </w:rPr>
        <w:t>the</w:t>
      </w:r>
      <w:r w:rsidRPr="00C20CAA">
        <w:rPr>
          <w:rFonts w:ascii="Arial" w:eastAsia="Arial" w:hAnsi="Arial" w:cs="Arial"/>
        </w:rPr>
        <w:t xml:space="preserve"> position of energy manager is ver</w:t>
      </w:r>
      <w:r w:rsidR="00CB0324" w:rsidRPr="00C20CAA">
        <w:rPr>
          <w:rFonts w:ascii="Arial" w:eastAsia="Arial" w:hAnsi="Arial" w:cs="Arial"/>
        </w:rPr>
        <w:t>y well paid</w:t>
      </w:r>
      <w:r w:rsidRPr="00C20CAA">
        <w:rPr>
          <w:rFonts w:ascii="Arial" w:eastAsia="Arial" w:hAnsi="Arial" w:cs="Arial"/>
        </w:rPr>
        <w:t>, with an average of US$ 74,000 per year, close to what a mechanical engineer makes in the US (between US$ 58k to US$ 80k), and more than a social worker or a retail manager (average salary of US$ 42k per year for both). Additionally, over 90% of energy manager</w:t>
      </w:r>
      <w:r w:rsidR="00E05D6A" w:rsidRPr="00C20CAA">
        <w:rPr>
          <w:rFonts w:ascii="Arial" w:eastAsia="Arial" w:hAnsi="Arial" w:cs="Arial"/>
        </w:rPr>
        <w:t>s</w:t>
      </w:r>
      <w:r w:rsidRPr="00C20CAA">
        <w:rPr>
          <w:rFonts w:ascii="Arial" w:eastAsia="Arial" w:hAnsi="Arial" w:cs="Arial"/>
        </w:rPr>
        <w:t xml:space="preserve"> declared benefiting from health insurance (compared to only 70% of retail managers) and bei</w:t>
      </w:r>
      <w:r w:rsidR="00C475C5" w:rsidRPr="00C20CAA">
        <w:rPr>
          <w:rFonts w:ascii="Arial" w:eastAsia="Arial" w:hAnsi="Arial" w:cs="Arial"/>
        </w:rPr>
        <w:t>ng extremely satisfied with their</w:t>
      </w:r>
      <w:r w:rsidRPr="00C20CAA">
        <w:rPr>
          <w:rFonts w:ascii="Arial" w:eastAsia="Arial" w:hAnsi="Arial" w:cs="Arial"/>
        </w:rPr>
        <w:t xml:space="preserve"> jobs. However, like in the rest of the world, women are still under-represented in these position</w:t>
      </w:r>
      <w:r w:rsidR="00DE5BE2" w:rsidRPr="00C20CAA">
        <w:rPr>
          <w:rFonts w:ascii="Arial" w:eastAsia="Arial" w:hAnsi="Arial" w:cs="Arial"/>
        </w:rPr>
        <w:t>s: only 19% of the</w:t>
      </w:r>
      <w:r w:rsidRPr="00C20CAA">
        <w:rPr>
          <w:rFonts w:ascii="Arial" w:eastAsia="Arial" w:hAnsi="Arial" w:cs="Arial"/>
        </w:rPr>
        <w:t xml:space="preserve"> people working as energy manager</w:t>
      </w:r>
      <w:r w:rsidR="00C475C5" w:rsidRPr="00C20CAA">
        <w:rPr>
          <w:rFonts w:ascii="Arial" w:eastAsia="Arial" w:hAnsi="Arial" w:cs="Arial"/>
        </w:rPr>
        <w:t>s</w:t>
      </w:r>
      <w:r w:rsidRPr="00C20CAA">
        <w:rPr>
          <w:rFonts w:ascii="Arial" w:eastAsia="Arial" w:hAnsi="Arial" w:cs="Arial"/>
        </w:rPr>
        <w:t xml:space="preserve"> are female in the US.</w:t>
      </w:r>
      <w:r w:rsidRPr="00C20CAA">
        <w:rPr>
          <w:rFonts w:ascii="Arial" w:eastAsia="Arial" w:hAnsi="Arial" w:cs="Arial"/>
          <w:vertAlign w:val="superscript"/>
        </w:rPr>
        <w:footnoteReference w:id="10"/>
      </w:r>
      <w:r w:rsidR="009673E4" w:rsidRPr="00C20CAA">
        <w:rPr>
          <w:rFonts w:ascii="Arial" w:eastAsia="Arial" w:hAnsi="Arial" w:cs="Arial"/>
        </w:rPr>
        <w:t xml:space="preserve"> </w:t>
      </w:r>
      <w:r w:rsidR="00CB0324" w:rsidRPr="00C20CAA">
        <w:rPr>
          <w:rFonts w:ascii="Arial" w:eastAsia="Arial" w:hAnsi="Arial" w:cs="Arial"/>
        </w:rPr>
        <w:t>As for the transport sector, the same survey states that the position of traffic technician is well paid</w:t>
      </w:r>
      <w:r w:rsidR="009673E4" w:rsidRPr="00C20CAA">
        <w:rPr>
          <w:rFonts w:ascii="Arial" w:eastAsia="Arial" w:hAnsi="Arial" w:cs="Arial"/>
        </w:rPr>
        <w:t>, with an average of US$ 48</w:t>
      </w:r>
      <w:r w:rsidR="00CB0324" w:rsidRPr="00C20CAA">
        <w:rPr>
          <w:rFonts w:ascii="Arial" w:eastAsia="Arial" w:hAnsi="Arial" w:cs="Arial"/>
        </w:rPr>
        <w:t>,000 per year</w:t>
      </w:r>
      <w:r w:rsidR="009673E4" w:rsidRPr="00C20CAA">
        <w:rPr>
          <w:rFonts w:ascii="Arial" w:eastAsia="Arial" w:hAnsi="Arial" w:cs="Arial"/>
        </w:rPr>
        <w:t xml:space="preserve">. </w:t>
      </w:r>
      <w:r w:rsidR="00CB0324" w:rsidRPr="00C20CAA">
        <w:rPr>
          <w:rFonts w:ascii="Arial" w:eastAsia="Arial" w:hAnsi="Arial" w:cs="Arial"/>
        </w:rPr>
        <w:t>Additionally, over 81% of</w:t>
      </w:r>
      <w:r w:rsidR="009673E4" w:rsidRPr="00C20CAA">
        <w:rPr>
          <w:rFonts w:ascii="Arial" w:eastAsia="Arial" w:hAnsi="Arial" w:cs="Arial"/>
        </w:rPr>
        <w:t xml:space="preserve"> traffic technicians</w:t>
      </w:r>
      <w:r w:rsidR="00CB0324" w:rsidRPr="00C20CAA">
        <w:rPr>
          <w:rFonts w:ascii="Arial" w:eastAsia="Arial" w:hAnsi="Arial" w:cs="Arial"/>
        </w:rPr>
        <w:t xml:space="preserve"> declared benefiting from health insurance (compared to only 70% of retail managers) and being extremely satisfied with their jobs. However, like in the rest of the world, </w:t>
      </w:r>
      <w:r w:rsidR="00CB0324" w:rsidRPr="00C20CAA">
        <w:rPr>
          <w:rFonts w:ascii="Arial" w:eastAsia="Arial" w:hAnsi="Arial" w:cs="Arial"/>
        </w:rPr>
        <w:lastRenderedPageBreak/>
        <w:t>women are still under-represented in these position</w:t>
      </w:r>
      <w:r w:rsidR="009673E4" w:rsidRPr="00C20CAA">
        <w:rPr>
          <w:rFonts w:ascii="Arial" w:eastAsia="Arial" w:hAnsi="Arial" w:cs="Arial"/>
        </w:rPr>
        <w:t xml:space="preserve">s: only </w:t>
      </w:r>
      <w:r w:rsidR="00CB0324" w:rsidRPr="00C20CAA">
        <w:rPr>
          <w:rFonts w:ascii="Arial" w:eastAsia="Arial" w:hAnsi="Arial" w:cs="Arial"/>
        </w:rPr>
        <w:t xml:space="preserve">9% of the </w:t>
      </w:r>
      <w:r w:rsidR="009673E4" w:rsidRPr="00C20CAA">
        <w:rPr>
          <w:rFonts w:ascii="Arial" w:eastAsia="Arial" w:hAnsi="Arial" w:cs="Arial"/>
        </w:rPr>
        <w:t>people working as traffic managers</w:t>
      </w:r>
      <w:r w:rsidR="00CB0324" w:rsidRPr="00C20CAA">
        <w:rPr>
          <w:rFonts w:ascii="Arial" w:eastAsia="Arial" w:hAnsi="Arial" w:cs="Arial"/>
        </w:rPr>
        <w:t xml:space="preserve"> are female in the US.</w:t>
      </w:r>
      <w:r w:rsidR="00CB0324" w:rsidRPr="00C20CAA">
        <w:rPr>
          <w:rFonts w:ascii="Arial" w:eastAsia="Arial" w:hAnsi="Arial" w:cs="Arial"/>
          <w:vertAlign w:val="superscript"/>
        </w:rPr>
        <w:footnoteReference w:id="11"/>
      </w:r>
      <w:r w:rsidR="004F6CA7" w:rsidRPr="00C20CAA">
        <w:rPr>
          <w:rFonts w:ascii="Arial" w:eastAsia="Arial" w:hAnsi="Arial" w:cs="Arial"/>
        </w:rPr>
        <w:t xml:space="preserve"> </w:t>
      </w:r>
    </w:p>
    <w:p w14:paraId="40E883D5" w14:textId="77777777" w:rsidR="00DE5BE2" w:rsidRPr="00C20CAA" w:rsidRDefault="00DE5BE2" w:rsidP="006E17BB">
      <w:pPr>
        <w:spacing w:after="0"/>
        <w:jc w:val="both"/>
        <w:rPr>
          <w:rFonts w:ascii="Arial" w:hAnsi="Arial" w:cs="Arial"/>
        </w:rPr>
      </w:pPr>
    </w:p>
    <w:p w14:paraId="33166B81" w14:textId="77777777" w:rsidR="00DE5BE2" w:rsidRPr="00C20CAA" w:rsidRDefault="00DE5BE2" w:rsidP="00DE5BE2">
      <w:pPr>
        <w:spacing w:after="0"/>
        <w:jc w:val="center"/>
        <w:rPr>
          <w:rFonts w:ascii="Arial" w:hAnsi="Arial" w:cs="Arial"/>
        </w:rPr>
      </w:pPr>
      <w:r w:rsidRPr="00C20CAA">
        <w:rPr>
          <w:rFonts w:ascii="Arial" w:eastAsia="Arial" w:hAnsi="Arial" w:cs="Arial"/>
          <w:u w:val="single"/>
        </w:rPr>
        <w:t>Table 2 - Monthly Average Female Salary by Type of Work, USA</w:t>
      </w:r>
    </w:p>
    <w:p w14:paraId="7E2707A1" w14:textId="77777777" w:rsidR="00DE5BE2" w:rsidRPr="00C20CAA" w:rsidRDefault="00C475C5" w:rsidP="00DE5BE2">
      <w:pPr>
        <w:jc w:val="center"/>
        <w:rPr>
          <w:rFonts w:ascii="Arial" w:hAnsi="Arial" w:cs="Arial"/>
          <w:b/>
        </w:rPr>
      </w:pPr>
      <w:r w:rsidRPr="00C20CAA">
        <w:rPr>
          <w:rFonts w:ascii="Arial" w:hAnsi="Arial" w:cs="Arial"/>
          <w:noProof/>
        </w:rPr>
        <w:drawing>
          <wp:inline distT="114300" distB="114300" distL="114300" distR="114300" wp14:anchorId="34409A48" wp14:editId="2D6B9B2B">
            <wp:extent cx="2712720" cy="1813560"/>
            <wp:effectExtent l="0" t="0" r="0" b="0"/>
            <wp:docPr id="8" name="image08.png" descr="Screen Shot 2016-07-03 at 3.52.44 PM.png"/>
            <wp:cNvGraphicFramePr/>
            <a:graphic xmlns:a="http://schemas.openxmlformats.org/drawingml/2006/main">
              <a:graphicData uri="http://schemas.openxmlformats.org/drawingml/2006/picture">
                <pic:pic xmlns:pic="http://schemas.openxmlformats.org/drawingml/2006/picture">
                  <pic:nvPicPr>
                    <pic:cNvPr id="0" name="image08.png" descr="Screen Shot 2016-07-03 at 3.52.44 PM.png"/>
                    <pic:cNvPicPr preferRelativeResize="0"/>
                  </pic:nvPicPr>
                  <pic:blipFill>
                    <a:blip r:embed="rId15"/>
                    <a:srcRect/>
                    <a:stretch>
                      <a:fillRect/>
                    </a:stretch>
                  </pic:blipFill>
                  <pic:spPr>
                    <a:xfrm>
                      <a:off x="0" y="0"/>
                      <a:ext cx="2714370" cy="1814663"/>
                    </a:xfrm>
                    <a:prstGeom prst="rect">
                      <a:avLst/>
                    </a:prstGeom>
                    <a:ln/>
                  </pic:spPr>
                </pic:pic>
              </a:graphicData>
            </a:graphic>
          </wp:inline>
        </w:drawing>
      </w:r>
    </w:p>
    <w:p w14:paraId="3A5CAE8A" w14:textId="77777777" w:rsidR="00DE5BE2" w:rsidRPr="00C20CAA" w:rsidRDefault="00DE5BE2" w:rsidP="00DE5BE2">
      <w:pPr>
        <w:rPr>
          <w:rFonts w:ascii="Arial" w:hAnsi="Arial" w:cs="Arial"/>
          <w:b/>
        </w:rPr>
      </w:pPr>
      <w:r w:rsidRPr="00C20CAA">
        <w:rPr>
          <w:rFonts w:ascii="Arial" w:eastAsia="Arial" w:hAnsi="Arial" w:cs="Arial"/>
          <w:sz w:val="16"/>
          <w:szCs w:val="16"/>
        </w:rPr>
        <w:t>Source: Wider Opportunities for Women (2010). Women and Nontraditional Work. Washington DC.</w:t>
      </w:r>
    </w:p>
    <w:p w14:paraId="10A0B223" w14:textId="77777777" w:rsidR="00FE03D7" w:rsidRPr="00C20CAA" w:rsidRDefault="009D427B" w:rsidP="00DE5BE2">
      <w:pPr>
        <w:spacing w:after="0"/>
        <w:jc w:val="both"/>
        <w:rPr>
          <w:rFonts w:ascii="Arial" w:eastAsia="Arial" w:hAnsi="Arial" w:cs="Arial"/>
        </w:rPr>
      </w:pPr>
      <w:r w:rsidRPr="00C20CAA">
        <w:rPr>
          <w:rFonts w:ascii="Arial" w:eastAsia="Arial" w:hAnsi="Arial" w:cs="Arial"/>
        </w:rPr>
        <w:t>Moreover, in 2013, worldwide over 6.5 million direct and indirect jobs were created in the renewable energy sector and according to the International Renewable Energy Agency (IRENA) more than 16.7 million jobs could be generated in this sector by 2030</w:t>
      </w:r>
      <w:r w:rsidR="00FE03D7" w:rsidRPr="00C20CAA">
        <w:rPr>
          <w:rStyle w:val="FootnoteReference"/>
          <w:rFonts w:ascii="Arial" w:eastAsia="Arial" w:hAnsi="Arial" w:cs="Arial"/>
        </w:rPr>
        <w:footnoteReference w:id="12"/>
      </w:r>
      <w:r w:rsidRPr="00C20CAA">
        <w:rPr>
          <w:rFonts w:ascii="Arial" w:eastAsia="Arial" w:hAnsi="Arial" w:cs="Arial"/>
        </w:rPr>
        <w:t xml:space="preserve">. For example, the United States is seeing a rapid rise in deployment of solar </w:t>
      </w:r>
      <w:r w:rsidR="00FE03D7" w:rsidRPr="00C20CAA">
        <w:rPr>
          <w:rFonts w:ascii="Arial" w:eastAsia="Arial" w:hAnsi="Arial" w:cs="Arial"/>
        </w:rPr>
        <w:t>photovoltaic (</w:t>
      </w:r>
      <w:r w:rsidRPr="00C20CAA">
        <w:rPr>
          <w:rFonts w:ascii="Arial" w:eastAsia="Arial" w:hAnsi="Arial" w:cs="Arial"/>
        </w:rPr>
        <w:t>PV</w:t>
      </w:r>
      <w:r w:rsidR="00FE03D7" w:rsidRPr="00C20CAA">
        <w:rPr>
          <w:rFonts w:ascii="Arial" w:eastAsia="Arial" w:hAnsi="Arial" w:cs="Arial"/>
        </w:rPr>
        <w:t>)</w:t>
      </w:r>
      <w:r w:rsidRPr="00C20CAA">
        <w:rPr>
          <w:rFonts w:ascii="Arial" w:eastAsia="Arial" w:hAnsi="Arial" w:cs="Arial"/>
        </w:rPr>
        <w:t xml:space="preserve"> in particular, along with strong investment in wind in several states and a leading focus on development of advanced biofuels. Overall, wind jobs in the US have increased by almost half</w:t>
      </w:r>
      <w:r w:rsidR="00C17F07" w:rsidRPr="00C20CAA">
        <w:rPr>
          <w:rFonts w:ascii="Arial" w:eastAsia="Arial" w:hAnsi="Arial" w:cs="Arial"/>
        </w:rPr>
        <w:t>—</w:t>
      </w:r>
      <w:r w:rsidRPr="00C20CAA">
        <w:rPr>
          <w:rFonts w:ascii="Arial" w:eastAsia="Arial" w:hAnsi="Arial" w:cs="Arial"/>
        </w:rPr>
        <w:t>43%</w:t>
      </w:r>
      <w:r w:rsidR="00C17F07" w:rsidRPr="00C20CAA">
        <w:rPr>
          <w:rFonts w:ascii="Arial" w:eastAsia="Arial" w:hAnsi="Arial" w:cs="Arial"/>
        </w:rPr>
        <w:t>--</w:t>
      </w:r>
      <w:r w:rsidRPr="00C20CAA">
        <w:rPr>
          <w:rFonts w:ascii="Arial" w:eastAsia="Arial" w:hAnsi="Arial" w:cs="Arial"/>
        </w:rPr>
        <w:t>since last count to 73,000, whilst total solar employment surged 22% to 173,800 in 2014. And the employment of women in the US solar industry is on the rise, increasing from 26,700 to 37,500 last year</w:t>
      </w:r>
      <w:r w:rsidR="00FE03D7" w:rsidRPr="00C20CAA">
        <w:rPr>
          <w:rStyle w:val="FootnoteReference"/>
          <w:rFonts w:ascii="Arial" w:eastAsia="Arial" w:hAnsi="Arial" w:cs="Arial"/>
        </w:rPr>
        <w:footnoteReference w:id="13"/>
      </w:r>
      <w:r w:rsidRPr="00C20CAA">
        <w:rPr>
          <w:rFonts w:ascii="Arial" w:eastAsia="Arial" w:hAnsi="Arial" w:cs="Arial"/>
        </w:rPr>
        <w:t xml:space="preserve">. In the LAC region, </w:t>
      </w:r>
      <w:r w:rsidR="00FE03D7" w:rsidRPr="00C20CAA">
        <w:rPr>
          <w:rFonts w:ascii="Arial" w:eastAsia="Arial" w:hAnsi="Arial" w:cs="Arial"/>
        </w:rPr>
        <w:t>Brazil has created a considerable number of jobs in the renewable energy sector. For example, in 2013, 32,000 people were employed in the wind industry; however, the sector is predominantly male since women only account for 20 to 24% of total jobs</w:t>
      </w:r>
      <w:r w:rsidR="00FE03D7" w:rsidRPr="00C20CAA">
        <w:rPr>
          <w:rStyle w:val="FootnoteReference"/>
          <w:rFonts w:ascii="Arial" w:eastAsia="Arial" w:hAnsi="Arial" w:cs="Arial"/>
        </w:rPr>
        <w:footnoteReference w:id="14"/>
      </w:r>
      <w:r w:rsidR="00FE03D7" w:rsidRPr="00C20CAA">
        <w:rPr>
          <w:rFonts w:ascii="Arial" w:eastAsia="Arial" w:hAnsi="Arial" w:cs="Arial"/>
        </w:rPr>
        <w:t>.</w:t>
      </w:r>
      <w:r w:rsidRPr="00C20CAA">
        <w:rPr>
          <w:rFonts w:ascii="Arial" w:eastAsia="Arial" w:hAnsi="Arial" w:cs="Arial"/>
        </w:rPr>
        <w:t xml:space="preserve"> </w:t>
      </w:r>
      <w:r w:rsidR="009673E4" w:rsidRPr="00C20CAA">
        <w:rPr>
          <w:rFonts w:ascii="Arial" w:eastAsia="Arial" w:hAnsi="Arial" w:cs="Arial"/>
        </w:rPr>
        <w:t xml:space="preserve">As for the transport sector and related services, the sector could generate around 40,000 jobs for every US$ 1 million invested. However, as mentioned before, women are still not benefiting from this job creation. </w:t>
      </w:r>
    </w:p>
    <w:p w14:paraId="7FDE9F8F" w14:textId="77777777" w:rsidR="006140B2" w:rsidRPr="00C20CAA" w:rsidRDefault="006140B2" w:rsidP="00DE5BE2">
      <w:pPr>
        <w:spacing w:after="0"/>
        <w:jc w:val="both"/>
        <w:rPr>
          <w:rFonts w:ascii="Arial" w:eastAsia="Arial" w:hAnsi="Arial" w:cs="Arial"/>
        </w:rPr>
      </w:pPr>
    </w:p>
    <w:p w14:paraId="1A9C2FA8" w14:textId="77777777" w:rsidR="006140B2" w:rsidRPr="00C20CAA" w:rsidRDefault="006140B2" w:rsidP="006140B2">
      <w:pPr>
        <w:jc w:val="both"/>
        <w:rPr>
          <w:rFonts w:ascii="Arial" w:hAnsi="Arial" w:cs="Arial"/>
        </w:rPr>
      </w:pPr>
      <w:r w:rsidRPr="00C20CAA">
        <w:rPr>
          <w:rFonts w:ascii="Arial" w:eastAsia="Arial" w:hAnsi="Arial" w:cs="Arial"/>
        </w:rPr>
        <w:t xml:space="preserve">Additionally, when analyzing the type of positions that women occupy in non-traditional sectors, it can be highlighted that very few of them have technical or decision-making positions. In exchange, they tend to occupy more administrative and support positions, which tend to have lower salaries and offer less opportunities for professional growth. For example, </w:t>
      </w:r>
      <w:r w:rsidRPr="00C20CAA">
        <w:rPr>
          <w:rFonts w:ascii="Arial" w:hAnsi="Arial" w:cs="Arial"/>
        </w:rPr>
        <w:t>according to an Ernst and Young survey, worldwide women made up 5% of executive board members, 19% of non-executive directors’ members and 14% of senior management leadership positions in the top 200 power and utilities companies in 2016</w:t>
      </w:r>
      <w:r w:rsidRPr="00C20CAA">
        <w:rPr>
          <w:rStyle w:val="FootnoteReference"/>
          <w:rFonts w:ascii="Arial" w:hAnsi="Arial" w:cs="Arial"/>
        </w:rPr>
        <w:footnoteReference w:id="15"/>
      </w:r>
      <w:r w:rsidRPr="00C20CAA">
        <w:rPr>
          <w:rFonts w:ascii="Arial" w:hAnsi="Arial" w:cs="Arial"/>
        </w:rPr>
        <w:t xml:space="preserve">. When analyzing the Latin American and Caribbean (ALC), the region has the highest percentage of female executive directors, but they only </w:t>
      </w:r>
      <w:r w:rsidRPr="00C20CAA">
        <w:rPr>
          <w:rFonts w:ascii="Arial" w:hAnsi="Arial" w:cs="Arial"/>
        </w:rPr>
        <w:lastRenderedPageBreak/>
        <w:t>represent 9% of the total number (or 2 executive directors when looking at absolute numbers). Moreover, in ALC 7% of non-executive directors and 17% of senior management leaders are women (see graphic 1). Overall, women in the region represent only 19.7% of the total number of employees in the electricity, gas and water sector.</w:t>
      </w:r>
      <w:r w:rsidRPr="00C20CAA">
        <w:rPr>
          <w:rStyle w:val="FootnoteReference"/>
          <w:rFonts w:ascii="Arial" w:hAnsi="Arial" w:cs="Arial"/>
        </w:rPr>
        <w:footnoteReference w:id="16"/>
      </w:r>
    </w:p>
    <w:p w14:paraId="74DCF980" w14:textId="77777777" w:rsidR="006140B2" w:rsidRPr="00C20CAA" w:rsidRDefault="006140B2" w:rsidP="006140B2">
      <w:pPr>
        <w:jc w:val="center"/>
        <w:rPr>
          <w:rFonts w:ascii="Arial" w:hAnsi="Arial" w:cs="Arial"/>
          <w:u w:val="single"/>
        </w:rPr>
      </w:pPr>
      <w:r w:rsidRPr="00C20CAA">
        <w:rPr>
          <w:rFonts w:ascii="Arial" w:hAnsi="Arial" w:cs="Arial"/>
          <w:u w:val="single"/>
        </w:rPr>
        <w:t>Graphic 1 – Geographical Breakdown of Women in Strategic Roles in top 200 utilities</w:t>
      </w:r>
    </w:p>
    <w:p w14:paraId="5C5C898D" w14:textId="77777777" w:rsidR="006140B2" w:rsidRPr="00C20CAA" w:rsidRDefault="006140B2" w:rsidP="006140B2">
      <w:pPr>
        <w:jc w:val="center"/>
        <w:rPr>
          <w:rFonts w:ascii="Arial" w:hAnsi="Arial" w:cs="Arial"/>
        </w:rPr>
      </w:pPr>
      <w:r w:rsidRPr="00C20CAA">
        <w:rPr>
          <w:rFonts w:ascii="Arial" w:hAnsi="Arial" w:cs="Arial"/>
          <w:noProof/>
        </w:rPr>
        <w:drawing>
          <wp:inline distT="0" distB="0" distL="0" distR="0" wp14:anchorId="142C8063" wp14:editId="0A461F8C">
            <wp:extent cx="4366124" cy="272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0565" cy="2730735"/>
                    </a:xfrm>
                    <a:prstGeom prst="rect">
                      <a:avLst/>
                    </a:prstGeom>
                    <a:noFill/>
                    <a:ln>
                      <a:noFill/>
                    </a:ln>
                  </pic:spPr>
                </pic:pic>
              </a:graphicData>
            </a:graphic>
          </wp:inline>
        </w:drawing>
      </w:r>
    </w:p>
    <w:p w14:paraId="6515CF58" w14:textId="77777777" w:rsidR="00FC2445" w:rsidRPr="00C20CAA" w:rsidRDefault="006140B2" w:rsidP="006140B2">
      <w:pPr>
        <w:rPr>
          <w:rFonts w:ascii="Arial" w:hAnsi="Arial" w:cs="Arial"/>
          <w:sz w:val="16"/>
          <w:szCs w:val="16"/>
        </w:rPr>
      </w:pPr>
      <w:r w:rsidRPr="00C20CAA">
        <w:rPr>
          <w:rFonts w:ascii="Arial" w:hAnsi="Arial" w:cs="Arial"/>
          <w:sz w:val="16"/>
          <w:szCs w:val="16"/>
        </w:rPr>
        <w:t>Source: Ernst and Young (2016). Women in Power and Utilities: Index 2016.</w:t>
      </w:r>
    </w:p>
    <w:p w14:paraId="10C05D1B" w14:textId="77777777" w:rsidR="00DE5BE2" w:rsidRPr="00C20CAA" w:rsidRDefault="00DE5BE2" w:rsidP="00DE5BE2">
      <w:pPr>
        <w:spacing w:after="0"/>
        <w:jc w:val="both"/>
        <w:rPr>
          <w:rFonts w:ascii="Arial" w:hAnsi="Arial" w:cs="Arial"/>
        </w:rPr>
      </w:pPr>
      <w:r w:rsidRPr="00C20CAA">
        <w:rPr>
          <w:rFonts w:ascii="Arial" w:eastAsia="Arial" w:hAnsi="Arial" w:cs="Arial"/>
        </w:rPr>
        <w:t xml:space="preserve">Taking this into account, increasing women’s participation in non-traditional sectors, </w:t>
      </w:r>
      <w:r w:rsidR="006140B2" w:rsidRPr="00C20CAA">
        <w:rPr>
          <w:rFonts w:ascii="Arial" w:eastAsia="Arial" w:hAnsi="Arial" w:cs="Arial"/>
        </w:rPr>
        <w:t>as well as in more technical positions</w:t>
      </w:r>
      <w:r w:rsidRPr="00C20CAA">
        <w:rPr>
          <w:rFonts w:ascii="Arial" w:eastAsia="Arial" w:hAnsi="Arial" w:cs="Arial"/>
        </w:rPr>
        <w:t xml:space="preserve"> could help them to: i) increase their incomes; ii) provide them with more social benefits in the short and long term (health insurance, maternity leave and social se</w:t>
      </w:r>
      <w:r w:rsidR="00DE42E4" w:rsidRPr="00C20CAA">
        <w:rPr>
          <w:rFonts w:ascii="Arial" w:eastAsia="Arial" w:hAnsi="Arial" w:cs="Arial"/>
        </w:rPr>
        <w:t>curity during retirement); and iii</w:t>
      </w:r>
      <w:r w:rsidRPr="00C20CAA">
        <w:rPr>
          <w:rFonts w:ascii="Arial" w:eastAsia="Arial" w:hAnsi="Arial" w:cs="Arial"/>
        </w:rPr>
        <w:t>) grow professionally since they could have the possibility of being promoted within their companies. Moreover, taking advantage of women’s potential (they represent 50% of the population and possess over half of university degrees around the world) can result in: i) greater productivity for the energy sector; ii) respond to an increasing demand of workers in this growing sector; and iii) promote economic growth in the country</w:t>
      </w:r>
      <w:r w:rsidRPr="00C20CAA">
        <w:rPr>
          <w:rFonts w:ascii="Arial" w:eastAsia="Arial" w:hAnsi="Arial" w:cs="Arial"/>
          <w:vertAlign w:val="superscript"/>
        </w:rPr>
        <w:footnoteReference w:id="17"/>
      </w:r>
      <w:r w:rsidRPr="00C20CAA">
        <w:rPr>
          <w:rFonts w:ascii="Arial" w:eastAsia="Arial" w:hAnsi="Arial" w:cs="Arial"/>
        </w:rPr>
        <w:t xml:space="preserve">. </w:t>
      </w:r>
    </w:p>
    <w:p w14:paraId="3EC08B22" w14:textId="77777777" w:rsidR="00DE5BE2" w:rsidRPr="00C20CAA" w:rsidRDefault="00DE5BE2" w:rsidP="00DE5BE2">
      <w:pPr>
        <w:spacing w:after="0"/>
        <w:jc w:val="both"/>
        <w:rPr>
          <w:rFonts w:ascii="Arial" w:hAnsi="Arial" w:cs="Arial"/>
        </w:rPr>
      </w:pPr>
    </w:p>
    <w:p w14:paraId="7BA66546" w14:textId="77777777" w:rsidR="00F222E6" w:rsidRPr="00C20CAA" w:rsidRDefault="00DE5BE2" w:rsidP="00DE5BE2">
      <w:pPr>
        <w:spacing w:after="0"/>
        <w:jc w:val="both"/>
        <w:rPr>
          <w:rFonts w:ascii="Arial" w:eastAsia="Arial" w:hAnsi="Arial" w:cs="Arial"/>
        </w:rPr>
      </w:pPr>
      <w:r w:rsidRPr="00C20CAA">
        <w:rPr>
          <w:rFonts w:ascii="Arial" w:eastAsia="Arial" w:hAnsi="Arial" w:cs="Arial"/>
        </w:rPr>
        <w:t>Occupational segregation is also a reality in Jamaica. In fact, even if Jamaican women’s labor participation is one of the highest of the Caribbean, the rate is still lower than men (56.2% vs 70%, respectively in 2013). Women in Jamaica earn between 8 and 17% less than man</w:t>
      </w:r>
      <w:r w:rsidRPr="00C20CAA">
        <w:rPr>
          <w:rFonts w:ascii="Arial" w:eastAsia="Arial" w:hAnsi="Arial" w:cs="Arial"/>
          <w:vertAlign w:val="superscript"/>
        </w:rPr>
        <w:footnoteReference w:id="18"/>
      </w:r>
      <w:r w:rsidRPr="00C20CAA">
        <w:rPr>
          <w:rFonts w:ascii="Arial" w:eastAsia="Arial" w:hAnsi="Arial" w:cs="Arial"/>
        </w:rPr>
        <w:t xml:space="preserve">. And they are </w:t>
      </w:r>
      <w:r w:rsidR="00DE42E4" w:rsidRPr="00C20CAA">
        <w:rPr>
          <w:rFonts w:ascii="Arial" w:eastAsia="Arial" w:hAnsi="Arial" w:cs="Arial"/>
        </w:rPr>
        <w:t>highly</w:t>
      </w:r>
      <w:r w:rsidRPr="00C20CAA">
        <w:rPr>
          <w:rFonts w:ascii="Arial" w:eastAsia="Arial" w:hAnsi="Arial" w:cs="Arial"/>
        </w:rPr>
        <w:t xml:space="preserve"> concentrated in sectors that are less stable and have lower salar</w:t>
      </w:r>
      <w:r w:rsidR="00612AB2" w:rsidRPr="00C20CAA">
        <w:rPr>
          <w:rFonts w:ascii="Arial" w:eastAsia="Arial" w:hAnsi="Arial" w:cs="Arial"/>
        </w:rPr>
        <w:t>ies and benefits. For example, women represent only 2</w:t>
      </w:r>
      <w:r w:rsidR="00F222E6" w:rsidRPr="00C20CAA">
        <w:rPr>
          <w:rFonts w:ascii="Arial" w:eastAsia="Arial" w:hAnsi="Arial" w:cs="Arial"/>
        </w:rPr>
        <w:t>0</w:t>
      </w:r>
      <w:r w:rsidR="00612AB2" w:rsidRPr="00C20CAA">
        <w:rPr>
          <w:rFonts w:ascii="Arial" w:eastAsia="Arial" w:hAnsi="Arial" w:cs="Arial"/>
        </w:rPr>
        <w:t>% of the e</w:t>
      </w:r>
      <w:r w:rsidR="00F222E6" w:rsidRPr="00C20CAA">
        <w:rPr>
          <w:rFonts w:ascii="Arial" w:eastAsia="Arial" w:hAnsi="Arial" w:cs="Arial"/>
        </w:rPr>
        <w:t>lectricity sector</w:t>
      </w:r>
      <w:r w:rsidR="009673E4" w:rsidRPr="00C20CAA">
        <w:rPr>
          <w:rFonts w:ascii="Arial" w:eastAsia="Arial" w:hAnsi="Arial" w:cs="Arial"/>
        </w:rPr>
        <w:t xml:space="preserve"> and 19.7% of the transport sector</w:t>
      </w:r>
      <w:r w:rsidR="00F222E6" w:rsidRPr="00C20CAA">
        <w:rPr>
          <w:rFonts w:ascii="Arial" w:eastAsia="Arial" w:hAnsi="Arial" w:cs="Arial"/>
        </w:rPr>
        <w:t>. Therefore, energy</w:t>
      </w:r>
      <w:r w:rsidRPr="00C20CAA">
        <w:rPr>
          <w:rFonts w:ascii="Arial" w:eastAsia="Arial" w:hAnsi="Arial" w:cs="Arial"/>
        </w:rPr>
        <w:t xml:space="preserve"> </w:t>
      </w:r>
      <w:r w:rsidR="009673E4" w:rsidRPr="00C20CAA">
        <w:rPr>
          <w:rFonts w:ascii="Arial" w:eastAsia="Arial" w:hAnsi="Arial" w:cs="Arial"/>
        </w:rPr>
        <w:t xml:space="preserve">and transport </w:t>
      </w:r>
      <w:r w:rsidRPr="00C20CAA">
        <w:rPr>
          <w:rFonts w:ascii="Arial" w:eastAsia="Arial" w:hAnsi="Arial" w:cs="Arial"/>
        </w:rPr>
        <w:t>projects financed by the IDB represen</w:t>
      </w:r>
      <w:r w:rsidR="00F222E6" w:rsidRPr="00C20CAA">
        <w:rPr>
          <w:rFonts w:ascii="Arial" w:eastAsia="Arial" w:hAnsi="Arial" w:cs="Arial"/>
        </w:rPr>
        <w:t xml:space="preserve">t </w:t>
      </w:r>
      <w:r w:rsidRPr="00C20CAA">
        <w:rPr>
          <w:rFonts w:ascii="Arial" w:eastAsia="Arial" w:hAnsi="Arial" w:cs="Arial"/>
        </w:rPr>
        <w:t>not only</w:t>
      </w:r>
      <w:r w:rsidR="009673E4" w:rsidRPr="00C20CAA">
        <w:rPr>
          <w:rFonts w:ascii="Arial" w:eastAsia="Arial" w:hAnsi="Arial" w:cs="Arial"/>
        </w:rPr>
        <w:t xml:space="preserve"> a support to </w:t>
      </w:r>
      <w:r w:rsidR="009673E4" w:rsidRPr="00C20CAA">
        <w:rPr>
          <w:rFonts w:ascii="Arial" w:eastAsia="Arial" w:hAnsi="Arial" w:cs="Arial"/>
        </w:rPr>
        <w:lastRenderedPageBreak/>
        <w:t>strengthen those</w:t>
      </w:r>
      <w:r w:rsidR="00F222E6" w:rsidRPr="00C20CAA">
        <w:rPr>
          <w:rFonts w:ascii="Arial" w:eastAsia="Arial" w:hAnsi="Arial" w:cs="Arial"/>
        </w:rPr>
        <w:t xml:space="preserve"> sector</w:t>
      </w:r>
      <w:r w:rsidR="009673E4" w:rsidRPr="00C20CAA">
        <w:rPr>
          <w:rFonts w:ascii="Arial" w:eastAsia="Arial" w:hAnsi="Arial" w:cs="Arial"/>
        </w:rPr>
        <w:t>s</w:t>
      </w:r>
      <w:r w:rsidR="00F222E6" w:rsidRPr="00C20CAA">
        <w:rPr>
          <w:rFonts w:ascii="Arial" w:eastAsia="Arial" w:hAnsi="Arial" w:cs="Arial"/>
        </w:rPr>
        <w:t>, but also an opportunity to</w:t>
      </w:r>
      <w:r w:rsidRPr="00C20CAA">
        <w:rPr>
          <w:rFonts w:ascii="Arial" w:eastAsia="Arial" w:hAnsi="Arial" w:cs="Arial"/>
        </w:rPr>
        <w:t xml:space="preserve"> </w:t>
      </w:r>
      <w:r w:rsidR="00F222E6" w:rsidRPr="00C20CAA">
        <w:rPr>
          <w:rFonts w:ascii="Arial" w:eastAsia="Arial" w:hAnsi="Arial" w:cs="Arial"/>
        </w:rPr>
        <w:t>improve and expand economic opportunities for women</w:t>
      </w:r>
      <w:r w:rsidRPr="00C20CAA">
        <w:rPr>
          <w:rFonts w:ascii="Arial" w:eastAsia="Arial" w:hAnsi="Arial" w:cs="Arial"/>
        </w:rPr>
        <w:t xml:space="preserve">. </w:t>
      </w:r>
    </w:p>
    <w:p w14:paraId="39882B09" w14:textId="77777777" w:rsidR="00F222E6" w:rsidRPr="00C20CAA" w:rsidRDefault="00F222E6" w:rsidP="00DE5BE2">
      <w:pPr>
        <w:spacing w:after="0"/>
        <w:jc w:val="both"/>
        <w:rPr>
          <w:rFonts w:ascii="Arial" w:eastAsia="Arial" w:hAnsi="Arial" w:cs="Arial"/>
        </w:rPr>
      </w:pPr>
    </w:p>
    <w:p w14:paraId="37E7D4CF" w14:textId="77777777" w:rsidR="00456268" w:rsidRPr="00C20CAA" w:rsidRDefault="00456268" w:rsidP="00DE5BE2">
      <w:pPr>
        <w:spacing w:after="0"/>
        <w:jc w:val="both"/>
        <w:rPr>
          <w:rFonts w:ascii="Arial" w:eastAsia="Arial" w:hAnsi="Arial" w:cs="Arial"/>
          <w:b/>
          <w:i/>
        </w:rPr>
      </w:pPr>
      <w:r w:rsidRPr="00C20CAA">
        <w:rPr>
          <w:rFonts w:ascii="Arial" w:eastAsia="Arial" w:hAnsi="Arial" w:cs="Arial"/>
          <w:b/>
          <w:i/>
        </w:rPr>
        <w:t>Gender Intervention</w:t>
      </w:r>
    </w:p>
    <w:p w14:paraId="31C214EC" w14:textId="74630177" w:rsidR="00490BFE" w:rsidRPr="00490BFE" w:rsidRDefault="006624D4" w:rsidP="00307194">
      <w:pPr>
        <w:jc w:val="both"/>
        <w:rPr>
          <w:rFonts w:ascii="Arial" w:eastAsia="Arial" w:hAnsi="Arial" w:cs="Arial"/>
        </w:rPr>
      </w:pPr>
      <w:r w:rsidRPr="00C20CAA">
        <w:rPr>
          <w:rFonts w:ascii="Arial" w:eastAsia="Arial" w:hAnsi="Arial" w:cs="Arial"/>
        </w:rPr>
        <w:t>T</w:t>
      </w:r>
      <w:r w:rsidR="00DE5BE2" w:rsidRPr="00C20CAA">
        <w:rPr>
          <w:rFonts w:ascii="Arial" w:eastAsia="Arial" w:hAnsi="Arial" w:cs="Arial"/>
        </w:rPr>
        <w:t>he Energy Management and Efficiency Program (JA-</w:t>
      </w:r>
      <w:r w:rsidR="00497A01">
        <w:rPr>
          <w:rFonts w:ascii="Arial" w:eastAsia="Arial" w:hAnsi="Arial" w:cs="Arial"/>
        </w:rPr>
        <w:t>G1003</w:t>
      </w:r>
      <w:r w:rsidR="00DE5BE2" w:rsidRPr="00C20CAA">
        <w:rPr>
          <w:rFonts w:ascii="Arial" w:eastAsia="Arial" w:hAnsi="Arial" w:cs="Arial"/>
        </w:rPr>
        <w:t>) w</w:t>
      </w:r>
      <w:r w:rsidRPr="00C20CAA">
        <w:rPr>
          <w:rFonts w:ascii="Arial" w:eastAsia="Arial" w:hAnsi="Arial" w:cs="Arial"/>
        </w:rPr>
        <w:t>ill include</w:t>
      </w:r>
      <w:r w:rsidR="00F136C3">
        <w:rPr>
          <w:rFonts w:ascii="Arial" w:eastAsia="Arial" w:hAnsi="Arial" w:cs="Arial"/>
        </w:rPr>
        <w:t xml:space="preserve"> </w:t>
      </w:r>
      <w:r w:rsidR="009673E4" w:rsidRPr="00C20CAA">
        <w:rPr>
          <w:rFonts w:ascii="Arial" w:eastAsia="Arial" w:hAnsi="Arial" w:cs="Arial"/>
        </w:rPr>
        <w:t>several</w:t>
      </w:r>
      <w:r w:rsidR="00DE5BE2" w:rsidRPr="00C20CAA">
        <w:rPr>
          <w:rFonts w:ascii="Arial" w:eastAsia="Arial" w:hAnsi="Arial" w:cs="Arial"/>
        </w:rPr>
        <w:t xml:space="preserve"> </w:t>
      </w:r>
      <w:r w:rsidR="009673E4" w:rsidRPr="00C20CAA">
        <w:rPr>
          <w:rFonts w:ascii="Arial" w:eastAsia="Arial" w:hAnsi="Arial" w:cs="Arial"/>
        </w:rPr>
        <w:t>activities</w:t>
      </w:r>
      <w:r w:rsidR="00F136C3">
        <w:rPr>
          <w:rStyle w:val="FootnoteReference"/>
          <w:rFonts w:ascii="Arial" w:eastAsia="Arial" w:hAnsi="Arial" w:cs="Arial"/>
        </w:rPr>
        <w:footnoteReference w:id="19"/>
      </w:r>
      <w:r w:rsidR="009673E4" w:rsidRPr="00C20CAA">
        <w:rPr>
          <w:rFonts w:ascii="Arial" w:eastAsia="Arial" w:hAnsi="Arial" w:cs="Arial"/>
        </w:rPr>
        <w:t xml:space="preserve"> </w:t>
      </w:r>
      <w:r w:rsidR="00DE5BE2" w:rsidRPr="00C20CAA">
        <w:rPr>
          <w:rFonts w:ascii="Arial" w:eastAsia="Arial" w:hAnsi="Arial" w:cs="Arial"/>
        </w:rPr>
        <w:t>to train and certify maintenance staff</w:t>
      </w:r>
      <w:r w:rsidR="00F136C3">
        <w:rPr>
          <w:rFonts w:ascii="Arial" w:eastAsia="Arial" w:hAnsi="Arial" w:cs="Arial"/>
        </w:rPr>
        <w:t xml:space="preserve"> and </w:t>
      </w:r>
      <w:r w:rsidR="00C17F07" w:rsidRPr="00C20CAA">
        <w:rPr>
          <w:rFonts w:ascii="Arial" w:eastAsia="Arial" w:hAnsi="Arial" w:cs="Arial"/>
        </w:rPr>
        <w:t>facility managers</w:t>
      </w:r>
      <w:r w:rsidR="00F136C3">
        <w:rPr>
          <w:rFonts w:ascii="Arial" w:eastAsia="Arial" w:hAnsi="Arial" w:cs="Arial"/>
        </w:rPr>
        <w:t xml:space="preserve"> in the 7 public hospitals retrofitted.</w:t>
      </w:r>
      <w:r w:rsidR="00C17F07" w:rsidRPr="00C20CAA">
        <w:rPr>
          <w:rFonts w:ascii="Arial" w:eastAsia="Arial" w:hAnsi="Arial" w:cs="Arial"/>
        </w:rPr>
        <w:t xml:space="preserve"> </w:t>
      </w:r>
      <w:r w:rsidR="00EA32DC" w:rsidRPr="00C20CAA">
        <w:rPr>
          <w:rFonts w:ascii="Arial" w:eastAsia="Arial" w:hAnsi="Arial" w:cs="Arial"/>
        </w:rPr>
        <w:t xml:space="preserve">Some of the training will focus on: </w:t>
      </w:r>
      <w:r w:rsidR="00313ED5" w:rsidRPr="00C20CAA">
        <w:rPr>
          <w:rFonts w:ascii="Arial" w:eastAsia="Arial" w:hAnsi="Arial" w:cs="Arial"/>
        </w:rPr>
        <w:t>key technical and operational aspects of maintaining new building systems, and how energy efficiency and conservation measures can be implemented and sustained</w:t>
      </w:r>
      <w:r w:rsidR="00B62635" w:rsidRPr="00C20CAA">
        <w:rPr>
          <w:rFonts w:ascii="Arial" w:eastAsia="Arial" w:hAnsi="Arial" w:cs="Arial"/>
        </w:rPr>
        <w:t>.</w:t>
      </w:r>
      <w:r w:rsidR="00313ED5" w:rsidRPr="00C20CAA">
        <w:rPr>
          <w:rFonts w:ascii="Arial" w:eastAsia="Arial" w:hAnsi="Arial" w:cs="Arial"/>
        </w:rPr>
        <w:t xml:space="preserve"> </w:t>
      </w:r>
      <w:r w:rsidRPr="00C20CAA">
        <w:rPr>
          <w:rFonts w:ascii="Arial" w:eastAsia="Arial" w:hAnsi="Arial" w:cs="Arial"/>
        </w:rPr>
        <w:t>Taking into consideration high occupational segregation in the energy sector</w:t>
      </w:r>
      <w:r w:rsidR="00B31934" w:rsidRPr="00C20CAA">
        <w:rPr>
          <w:rFonts w:ascii="Arial" w:eastAsia="Arial" w:hAnsi="Arial" w:cs="Arial"/>
        </w:rPr>
        <w:t xml:space="preserve"> in Jamaica</w:t>
      </w:r>
      <w:r w:rsidRPr="00C20CAA">
        <w:rPr>
          <w:rFonts w:ascii="Arial" w:eastAsia="Arial" w:hAnsi="Arial" w:cs="Arial"/>
        </w:rPr>
        <w:t xml:space="preserve">, this project will include a gender target aimed at promoting women’s </w:t>
      </w:r>
      <w:r w:rsidR="00B31934" w:rsidRPr="00C20CAA">
        <w:rPr>
          <w:rFonts w:ascii="Arial" w:eastAsia="Arial" w:hAnsi="Arial" w:cs="Arial"/>
        </w:rPr>
        <w:t>participation the technical trainings mentioned before.</w:t>
      </w:r>
      <w:r w:rsidRPr="00C20CAA">
        <w:rPr>
          <w:rFonts w:ascii="Arial" w:eastAsia="Arial" w:hAnsi="Arial" w:cs="Arial"/>
        </w:rPr>
        <w:t xml:space="preserve"> </w:t>
      </w:r>
      <w:r w:rsidR="00B31934" w:rsidRPr="00C20CAA">
        <w:rPr>
          <w:rFonts w:ascii="Arial" w:eastAsia="Arial" w:hAnsi="Arial" w:cs="Arial"/>
        </w:rPr>
        <w:t xml:space="preserve">Hence, the gender </w:t>
      </w:r>
      <w:r w:rsidR="007C2C03" w:rsidRPr="00C20CAA">
        <w:rPr>
          <w:rFonts w:ascii="Arial" w:eastAsia="Arial" w:hAnsi="Arial" w:cs="Arial"/>
        </w:rPr>
        <w:t>t</w:t>
      </w:r>
      <w:r w:rsidR="00B31934" w:rsidRPr="00C20CAA">
        <w:rPr>
          <w:rFonts w:ascii="Arial" w:eastAsia="Arial" w:hAnsi="Arial" w:cs="Arial"/>
        </w:rPr>
        <w:t>arget will aim at ensuring that at least</w:t>
      </w:r>
      <w:r w:rsidR="007F5EE2" w:rsidRPr="00C20CAA">
        <w:rPr>
          <w:rFonts w:ascii="Arial" w:eastAsia="Arial" w:hAnsi="Arial" w:cs="Arial"/>
        </w:rPr>
        <w:t xml:space="preserve"> 25</w:t>
      </w:r>
      <w:r w:rsidR="00307194" w:rsidRPr="00C20CAA">
        <w:rPr>
          <w:rFonts w:ascii="Arial" w:eastAsia="Arial" w:hAnsi="Arial" w:cs="Arial"/>
        </w:rPr>
        <w:t xml:space="preserve">% of people </w:t>
      </w:r>
      <w:r w:rsidR="007F5EE2" w:rsidRPr="00C20CAA">
        <w:rPr>
          <w:rFonts w:ascii="Arial" w:eastAsia="Arial" w:hAnsi="Arial" w:cs="Arial"/>
        </w:rPr>
        <w:t>trained by</w:t>
      </w:r>
      <w:r w:rsidR="00151932" w:rsidRPr="00C20CAA">
        <w:rPr>
          <w:rFonts w:ascii="Arial" w:eastAsia="Arial" w:hAnsi="Arial" w:cs="Arial"/>
        </w:rPr>
        <w:t xml:space="preserve"> this project are women. </w:t>
      </w:r>
      <w:r w:rsidR="00B31934" w:rsidRPr="00C20CAA">
        <w:rPr>
          <w:rFonts w:ascii="Arial" w:eastAsia="Arial" w:hAnsi="Arial" w:cs="Arial"/>
        </w:rPr>
        <w:t xml:space="preserve">To reach this target, the project will include as a participation requirement that all institutions participating in the trainings </w:t>
      </w:r>
      <w:r w:rsidR="00B31934" w:rsidRPr="009B7B28">
        <w:rPr>
          <w:rFonts w:ascii="Arial" w:eastAsia="Arial" w:hAnsi="Arial" w:cs="Arial"/>
        </w:rPr>
        <w:t>send at least one woman from their teams to benefit from these trainings</w:t>
      </w:r>
      <w:r w:rsidR="00EC3577">
        <w:rPr>
          <w:rStyle w:val="FootnoteReference"/>
          <w:rFonts w:ascii="Arial" w:eastAsia="Arial" w:hAnsi="Arial" w:cs="Arial"/>
        </w:rPr>
        <w:footnoteReference w:id="20"/>
      </w:r>
      <w:r w:rsidR="00B31934" w:rsidRPr="00C20CAA">
        <w:rPr>
          <w:rFonts w:ascii="Arial" w:eastAsia="Arial" w:hAnsi="Arial" w:cs="Arial"/>
        </w:rPr>
        <w:t xml:space="preserve">. </w:t>
      </w:r>
      <w:r w:rsidR="007C2C03" w:rsidRPr="00C20CAA">
        <w:rPr>
          <w:rFonts w:ascii="Arial" w:eastAsia="Arial" w:hAnsi="Arial" w:cs="Arial"/>
        </w:rPr>
        <w:t>By including this target, the project expects that women will gain new skills, develop their professional networks and be exposed to new technolog</w:t>
      </w:r>
      <w:r w:rsidR="00B62635" w:rsidRPr="00C20CAA">
        <w:rPr>
          <w:rFonts w:ascii="Arial" w:eastAsia="Arial" w:hAnsi="Arial" w:cs="Arial"/>
        </w:rPr>
        <w:t>ies</w:t>
      </w:r>
      <w:r w:rsidR="007C2C03" w:rsidRPr="00C20CAA">
        <w:rPr>
          <w:rFonts w:ascii="Arial" w:eastAsia="Arial" w:hAnsi="Arial" w:cs="Arial"/>
        </w:rPr>
        <w:t>, resulting in better job opportunities</w:t>
      </w:r>
      <w:r w:rsidR="00307194" w:rsidRPr="00C20CAA">
        <w:rPr>
          <w:rFonts w:ascii="Arial" w:eastAsia="Arial" w:hAnsi="Arial" w:cs="Arial"/>
        </w:rPr>
        <w:t xml:space="preserve"> in the </w:t>
      </w:r>
      <w:r w:rsidR="00B62635" w:rsidRPr="00C20CAA">
        <w:rPr>
          <w:rFonts w:ascii="Arial" w:eastAsia="Arial" w:hAnsi="Arial" w:cs="Arial"/>
        </w:rPr>
        <w:t>EE&amp;C</w:t>
      </w:r>
      <w:r w:rsidR="00307194" w:rsidRPr="00C20CAA">
        <w:rPr>
          <w:rFonts w:ascii="Arial" w:eastAsia="Arial" w:hAnsi="Arial" w:cs="Arial"/>
        </w:rPr>
        <w:t xml:space="preserve"> sector</w:t>
      </w:r>
      <w:r w:rsidR="007C2C03" w:rsidRPr="00C20CAA">
        <w:rPr>
          <w:rFonts w:ascii="Arial" w:eastAsia="Arial" w:hAnsi="Arial" w:cs="Arial"/>
        </w:rPr>
        <w:t>.</w:t>
      </w:r>
      <w:r w:rsidR="00CB0324" w:rsidRPr="00C20CAA">
        <w:rPr>
          <w:rFonts w:ascii="Arial" w:eastAsia="Arial" w:hAnsi="Arial" w:cs="Arial"/>
        </w:rPr>
        <w:t xml:space="preserve"> </w:t>
      </w:r>
    </w:p>
    <w:p w14:paraId="7DA97D71" w14:textId="77777777" w:rsidR="00151932" w:rsidRPr="00C20CAA" w:rsidRDefault="00151932" w:rsidP="00151932">
      <w:pPr>
        <w:spacing w:after="0"/>
        <w:jc w:val="both"/>
        <w:rPr>
          <w:rFonts w:ascii="Arial" w:eastAsia="Arial" w:hAnsi="Arial" w:cs="Arial"/>
        </w:rPr>
      </w:pPr>
    </w:p>
    <w:p w14:paraId="6A3E64D7" w14:textId="77777777" w:rsidR="00151932" w:rsidRPr="00C20CAA" w:rsidRDefault="00151932" w:rsidP="00151932">
      <w:pPr>
        <w:spacing w:after="0"/>
        <w:jc w:val="both"/>
        <w:rPr>
          <w:rFonts w:ascii="Arial" w:eastAsia="Arial" w:hAnsi="Arial" w:cs="Arial"/>
          <w:b/>
        </w:rPr>
      </w:pPr>
      <w:r w:rsidRPr="00C20CAA">
        <w:rPr>
          <w:rFonts w:ascii="Arial" w:eastAsia="Arial" w:hAnsi="Arial" w:cs="Arial"/>
          <w:b/>
        </w:rPr>
        <w:t>Gender Indicator:</w:t>
      </w:r>
    </w:p>
    <w:tbl>
      <w:tblPr>
        <w:tblStyle w:val="TableGrid"/>
        <w:tblW w:w="0" w:type="auto"/>
        <w:tblInd w:w="108" w:type="dxa"/>
        <w:tblLook w:val="04A0" w:firstRow="1" w:lastRow="0" w:firstColumn="1" w:lastColumn="0" w:noHBand="0" w:noVBand="1"/>
      </w:tblPr>
      <w:tblGrid>
        <w:gridCol w:w="2201"/>
        <w:gridCol w:w="1650"/>
        <w:gridCol w:w="1646"/>
        <w:gridCol w:w="1440"/>
        <w:gridCol w:w="2305"/>
      </w:tblGrid>
      <w:tr w:rsidR="00151932" w:rsidRPr="00C20CAA" w14:paraId="43A73269" w14:textId="77777777" w:rsidTr="00456268">
        <w:tc>
          <w:tcPr>
            <w:tcW w:w="9468" w:type="dxa"/>
            <w:gridSpan w:val="5"/>
          </w:tcPr>
          <w:p w14:paraId="76AF71A1" w14:textId="77777777" w:rsidR="00151932" w:rsidRPr="00C20CAA" w:rsidRDefault="00151932" w:rsidP="00151932">
            <w:pPr>
              <w:spacing w:line="276" w:lineRule="auto"/>
              <w:jc w:val="both"/>
              <w:rPr>
                <w:rFonts w:ascii="Arial" w:eastAsia="Arial" w:hAnsi="Arial" w:cs="Arial"/>
                <w:b/>
                <w:i/>
              </w:rPr>
            </w:pPr>
            <w:r w:rsidRPr="00C20CAA">
              <w:rPr>
                <w:rFonts w:ascii="Arial" w:eastAsia="Arial" w:hAnsi="Arial" w:cs="Arial"/>
                <w:b/>
                <w:i/>
              </w:rPr>
              <w:t>Output indicator</w:t>
            </w:r>
          </w:p>
        </w:tc>
      </w:tr>
      <w:tr w:rsidR="00151932" w:rsidRPr="00C20CAA" w14:paraId="5961A693" w14:textId="77777777" w:rsidTr="00456268">
        <w:tc>
          <w:tcPr>
            <w:tcW w:w="2250" w:type="dxa"/>
          </w:tcPr>
          <w:p w14:paraId="0045C8FB" w14:textId="77777777" w:rsidR="00151932" w:rsidRPr="00C20CAA" w:rsidRDefault="00151932" w:rsidP="00720181">
            <w:pPr>
              <w:spacing w:line="276" w:lineRule="auto"/>
              <w:jc w:val="center"/>
              <w:rPr>
                <w:rFonts w:ascii="Arial" w:eastAsia="Arial" w:hAnsi="Arial" w:cs="Arial"/>
                <w:b/>
              </w:rPr>
            </w:pPr>
            <w:r w:rsidRPr="00C20CAA">
              <w:rPr>
                <w:rFonts w:ascii="Arial" w:eastAsia="Arial" w:hAnsi="Arial" w:cs="Arial"/>
                <w:b/>
              </w:rPr>
              <w:t>Indicator</w:t>
            </w:r>
          </w:p>
        </w:tc>
        <w:tc>
          <w:tcPr>
            <w:tcW w:w="1710" w:type="dxa"/>
          </w:tcPr>
          <w:p w14:paraId="103BE8B4" w14:textId="77777777" w:rsidR="00151932" w:rsidRPr="00C20CAA" w:rsidRDefault="00151932" w:rsidP="00720181">
            <w:pPr>
              <w:spacing w:line="276" w:lineRule="auto"/>
              <w:jc w:val="center"/>
              <w:rPr>
                <w:rFonts w:ascii="Arial" w:eastAsia="Arial" w:hAnsi="Arial" w:cs="Arial"/>
                <w:b/>
              </w:rPr>
            </w:pPr>
            <w:r w:rsidRPr="00C20CAA">
              <w:rPr>
                <w:rFonts w:ascii="Arial" w:eastAsia="Arial" w:hAnsi="Arial" w:cs="Arial"/>
                <w:b/>
              </w:rPr>
              <w:t>Unit</w:t>
            </w:r>
          </w:p>
        </w:tc>
        <w:tc>
          <w:tcPr>
            <w:tcW w:w="1677" w:type="dxa"/>
          </w:tcPr>
          <w:p w14:paraId="655AF89D" w14:textId="77777777" w:rsidR="00151932" w:rsidRPr="00C20CAA" w:rsidRDefault="00151932" w:rsidP="00720181">
            <w:pPr>
              <w:spacing w:line="276" w:lineRule="auto"/>
              <w:jc w:val="center"/>
              <w:rPr>
                <w:rFonts w:ascii="Arial" w:eastAsia="Arial" w:hAnsi="Arial" w:cs="Arial"/>
                <w:b/>
              </w:rPr>
            </w:pPr>
            <w:r w:rsidRPr="00C20CAA">
              <w:rPr>
                <w:rFonts w:ascii="Arial" w:eastAsia="Arial" w:hAnsi="Arial" w:cs="Arial"/>
                <w:b/>
              </w:rPr>
              <w:t>Baseline</w:t>
            </w:r>
          </w:p>
        </w:tc>
        <w:tc>
          <w:tcPr>
            <w:tcW w:w="1473" w:type="dxa"/>
          </w:tcPr>
          <w:p w14:paraId="6E008238" w14:textId="77777777" w:rsidR="00151932" w:rsidRPr="00C20CAA" w:rsidRDefault="00151932" w:rsidP="00720181">
            <w:pPr>
              <w:spacing w:line="276" w:lineRule="auto"/>
              <w:jc w:val="center"/>
              <w:rPr>
                <w:rFonts w:ascii="Arial" w:eastAsia="Arial" w:hAnsi="Arial" w:cs="Arial"/>
                <w:b/>
              </w:rPr>
            </w:pPr>
            <w:r w:rsidRPr="00C20CAA">
              <w:rPr>
                <w:rFonts w:ascii="Arial" w:eastAsia="Arial" w:hAnsi="Arial" w:cs="Arial"/>
                <w:b/>
              </w:rPr>
              <w:t>Target</w:t>
            </w:r>
          </w:p>
        </w:tc>
        <w:tc>
          <w:tcPr>
            <w:tcW w:w="2358" w:type="dxa"/>
          </w:tcPr>
          <w:p w14:paraId="249092EF" w14:textId="77777777" w:rsidR="00151932" w:rsidRPr="00C20CAA" w:rsidRDefault="00151932" w:rsidP="00720181">
            <w:pPr>
              <w:spacing w:line="276" w:lineRule="auto"/>
              <w:jc w:val="center"/>
              <w:rPr>
                <w:rFonts w:ascii="Arial" w:eastAsia="Arial" w:hAnsi="Arial" w:cs="Arial"/>
                <w:b/>
              </w:rPr>
            </w:pPr>
            <w:r w:rsidRPr="00C20CAA">
              <w:rPr>
                <w:rFonts w:ascii="Arial" w:eastAsia="Arial" w:hAnsi="Arial" w:cs="Arial"/>
                <w:b/>
              </w:rPr>
              <w:t>Verification Method</w:t>
            </w:r>
          </w:p>
        </w:tc>
      </w:tr>
      <w:tr w:rsidR="00151932" w:rsidRPr="00C20CAA" w14:paraId="3A3CAFCF" w14:textId="77777777" w:rsidTr="00456268">
        <w:tc>
          <w:tcPr>
            <w:tcW w:w="2250" w:type="dxa"/>
          </w:tcPr>
          <w:p w14:paraId="124047BF" w14:textId="39A18EE5" w:rsidR="00151932" w:rsidRPr="00C20CAA" w:rsidRDefault="00E24821" w:rsidP="00E24821">
            <w:pPr>
              <w:spacing w:line="276" w:lineRule="auto"/>
              <w:rPr>
                <w:rFonts w:ascii="Arial" w:eastAsia="Arial" w:hAnsi="Arial" w:cs="Arial"/>
              </w:rPr>
            </w:pPr>
            <w:r w:rsidRPr="00C20CAA">
              <w:rPr>
                <w:rFonts w:ascii="Arial" w:eastAsia="Arial" w:hAnsi="Arial" w:cs="Arial"/>
              </w:rPr>
              <w:t xml:space="preserve">Women participating in trainings </w:t>
            </w:r>
          </w:p>
        </w:tc>
        <w:tc>
          <w:tcPr>
            <w:tcW w:w="1710" w:type="dxa"/>
            <w:vAlign w:val="center"/>
          </w:tcPr>
          <w:p w14:paraId="470D24E8" w14:textId="77777777" w:rsidR="00151932" w:rsidRPr="00C20CAA" w:rsidRDefault="00151932" w:rsidP="007F5EE2">
            <w:pPr>
              <w:spacing w:line="276" w:lineRule="auto"/>
              <w:jc w:val="center"/>
              <w:rPr>
                <w:rFonts w:ascii="Arial" w:eastAsia="Arial" w:hAnsi="Arial" w:cs="Arial"/>
              </w:rPr>
            </w:pPr>
            <w:r w:rsidRPr="00C20CAA">
              <w:rPr>
                <w:rFonts w:ascii="Arial" w:eastAsia="Arial" w:hAnsi="Arial" w:cs="Arial"/>
              </w:rPr>
              <w:t>%</w:t>
            </w:r>
          </w:p>
        </w:tc>
        <w:tc>
          <w:tcPr>
            <w:tcW w:w="1677" w:type="dxa"/>
            <w:vAlign w:val="center"/>
          </w:tcPr>
          <w:p w14:paraId="5E4DACCD" w14:textId="77777777" w:rsidR="00151932" w:rsidRPr="00C20CAA" w:rsidRDefault="00151932" w:rsidP="007F5EE2">
            <w:pPr>
              <w:spacing w:line="276" w:lineRule="auto"/>
              <w:jc w:val="center"/>
              <w:rPr>
                <w:rFonts w:ascii="Arial" w:eastAsia="Arial" w:hAnsi="Arial" w:cs="Arial"/>
              </w:rPr>
            </w:pPr>
            <w:r w:rsidRPr="00C20CAA">
              <w:rPr>
                <w:rFonts w:ascii="Arial" w:eastAsia="Arial" w:hAnsi="Arial" w:cs="Arial"/>
              </w:rPr>
              <w:t>0</w:t>
            </w:r>
          </w:p>
        </w:tc>
        <w:tc>
          <w:tcPr>
            <w:tcW w:w="1473" w:type="dxa"/>
            <w:vAlign w:val="center"/>
          </w:tcPr>
          <w:p w14:paraId="64EB0A1D" w14:textId="77777777" w:rsidR="00151932" w:rsidRPr="00C20CAA" w:rsidRDefault="007F5EE2" w:rsidP="007F5EE2">
            <w:pPr>
              <w:spacing w:line="276" w:lineRule="auto"/>
              <w:jc w:val="center"/>
              <w:rPr>
                <w:rFonts w:ascii="Arial" w:eastAsia="Arial" w:hAnsi="Arial" w:cs="Arial"/>
              </w:rPr>
            </w:pPr>
            <w:r w:rsidRPr="00C20CAA">
              <w:rPr>
                <w:rFonts w:ascii="Arial" w:eastAsia="Arial" w:hAnsi="Arial" w:cs="Arial"/>
              </w:rPr>
              <w:t>25</w:t>
            </w:r>
          </w:p>
        </w:tc>
        <w:tc>
          <w:tcPr>
            <w:tcW w:w="2358" w:type="dxa"/>
          </w:tcPr>
          <w:p w14:paraId="27EFEBFA" w14:textId="77777777" w:rsidR="00151932" w:rsidRPr="00C20CAA" w:rsidRDefault="00151932" w:rsidP="00151932">
            <w:pPr>
              <w:spacing w:line="276" w:lineRule="auto"/>
              <w:jc w:val="both"/>
              <w:rPr>
                <w:rFonts w:ascii="Arial" w:eastAsia="Arial" w:hAnsi="Arial" w:cs="Arial"/>
              </w:rPr>
            </w:pPr>
            <w:r w:rsidRPr="00C20CAA">
              <w:rPr>
                <w:rFonts w:ascii="Arial" w:eastAsia="Arial" w:hAnsi="Arial" w:cs="Arial"/>
              </w:rPr>
              <w:t>List of participant and follow-up monitoring to participants</w:t>
            </w:r>
          </w:p>
        </w:tc>
      </w:tr>
    </w:tbl>
    <w:p w14:paraId="453177CF" w14:textId="77777777" w:rsidR="00882A91" w:rsidRPr="00C20CAA" w:rsidRDefault="00882A91" w:rsidP="0027062A">
      <w:pPr>
        <w:rPr>
          <w:rFonts w:ascii="Arial" w:hAnsi="Arial" w:cs="Arial"/>
          <w:b/>
        </w:rPr>
      </w:pPr>
    </w:p>
    <w:p w14:paraId="15CE1159" w14:textId="77777777" w:rsidR="00F41554" w:rsidRPr="00C20CAA" w:rsidRDefault="00F41554" w:rsidP="0027062A">
      <w:pPr>
        <w:rPr>
          <w:rFonts w:ascii="Arial" w:hAnsi="Arial" w:cs="Arial"/>
          <w:b/>
        </w:rPr>
      </w:pPr>
    </w:p>
    <w:p w14:paraId="1D7C524F" w14:textId="015B3F20" w:rsidR="00F41554" w:rsidRDefault="00F41554" w:rsidP="0027062A">
      <w:pPr>
        <w:rPr>
          <w:rFonts w:ascii="Arial" w:hAnsi="Arial" w:cs="Arial"/>
          <w:b/>
        </w:rPr>
      </w:pPr>
    </w:p>
    <w:p w14:paraId="24914E2C" w14:textId="455D1990" w:rsidR="00F136C3" w:rsidRDefault="00F136C3" w:rsidP="0027062A">
      <w:pPr>
        <w:rPr>
          <w:rFonts w:ascii="Arial" w:hAnsi="Arial" w:cs="Arial"/>
          <w:b/>
        </w:rPr>
      </w:pPr>
    </w:p>
    <w:p w14:paraId="1FAA8E8B" w14:textId="5C7E8B45" w:rsidR="00212564" w:rsidRDefault="00212564" w:rsidP="0027062A">
      <w:pPr>
        <w:rPr>
          <w:rFonts w:ascii="Arial" w:hAnsi="Arial" w:cs="Arial"/>
          <w:b/>
        </w:rPr>
      </w:pPr>
    </w:p>
    <w:p w14:paraId="7DB1BF1D" w14:textId="26FDAEB4" w:rsidR="00161E8C" w:rsidRDefault="00161E8C" w:rsidP="0027062A">
      <w:pPr>
        <w:rPr>
          <w:rFonts w:ascii="Arial" w:hAnsi="Arial" w:cs="Arial"/>
          <w:b/>
        </w:rPr>
      </w:pPr>
    </w:p>
    <w:p w14:paraId="6D23E9E8" w14:textId="77777777" w:rsidR="00161E8C" w:rsidRDefault="00161E8C" w:rsidP="0027062A">
      <w:pPr>
        <w:rPr>
          <w:rFonts w:ascii="Arial" w:hAnsi="Arial" w:cs="Arial"/>
          <w:b/>
        </w:rPr>
      </w:pPr>
    </w:p>
    <w:p w14:paraId="7FA3C9DF" w14:textId="49845C6F" w:rsidR="00F136C3" w:rsidRDefault="00F136C3" w:rsidP="0027062A">
      <w:pPr>
        <w:rPr>
          <w:rFonts w:ascii="Arial" w:hAnsi="Arial" w:cs="Arial"/>
          <w:b/>
        </w:rPr>
      </w:pPr>
    </w:p>
    <w:p w14:paraId="75DAE1DE" w14:textId="6917EFCA" w:rsidR="00F136C3" w:rsidRDefault="00F136C3" w:rsidP="0027062A">
      <w:pPr>
        <w:rPr>
          <w:rFonts w:ascii="Arial" w:hAnsi="Arial" w:cs="Arial"/>
          <w:b/>
        </w:rPr>
      </w:pPr>
    </w:p>
    <w:p w14:paraId="5657192F" w14:textId="77777777" w:rsidR="00F136C3" w:rsidRPr="00C20CAA" w:rsidRDefault="00F136C3" w:rsidP="0027062A">
      <w:pPr>
        <w:rPr>
          <w:rFonts w:ascii="Arial" w:hAnsi="Arial" w:cs="Arial"/>
          <w:b/>
        </w:rPr>
      </w:pPr>
    </w:p>
    <w:p w14:paraId="456E6569" w14:textId="77777777" w:rsidR="00F41554" w:rsidRPr="00C20CAA" w:rsidRDefault="00F41554" w:rsidP="0035621B">
      <w:pPr>
        <w:jc w:val="right"/>
        <w:rPr>
          <w:rFonts w:ascii="Arial" w:hAnsi="Arial" w:cs="Arial"/>
          <w:b/>
        </w:rPr>
      </w:pPr>
      <w:r w:rsidRPr="00C20CAA">
        <w:rPr>
          <w:rFonts w:ascii="Arial" w:hAnsi="Arial" w:cs="Arial"/>
          <w:b/>
        </w:rPr>
        <w:t>Annex 1</w:t>
      </w:r>
    </w:p>
    <w:p w14:paraId="37353647" w14:textId="77777777" w:rsidR="00F41554" w:rsidRPr="00C20CAA" w:rsidRDefault="00F41554" w:rsidP="00F41554">
      <w:pPr>
        <w:jc w:val="center"/>
        <w:rPr>
          <w:rFonts w:ascii="Arial" w:hAnsi="Arial" w:cs="Arial"/>
          <w:b/>
          <w:u w:val="single"/>
        </w:rPr>
      </w:pPr>
      <w:r w:rsidRPr="00C20CAA">
        <w:rPr>
          <w:rFonts w:ascii="Arial" w:hAnsi="Arial" w:cs="Arial"/>
          <w:b/>
          <w:u w:val="single"/>
        </w:rPr>
        <w:t>Hospital, Schools and Executing Agencies Staff by sex</w:t>
      </w:r>
    </w:p>
    <w:tbl>
      <w:tblPr>
        <w:tblStyle w:val="TableGrid"/>
        <w:tblW w:w="0" w:type="auto"/>
        <w:tblInd w:w="378" w:type="dxa"/>
        <w:tblLook w:val="04A0" w:firstRow="1" w:lastRow="0" w:firstColumn="1" w:lastColumn="0" w:noHBand="0" w:noVBand="1"/>
      </w:tblPr>
      <w:tblGrid>
        <w:gridCol w:w="4050"/>
        <w:gridCol w:w="2430"/>
        <w:gridCol w:w="1890"/>
      </w:tblGrid>
      <w:tr w:rsidR="00F41554" w:rsidRPr="00C20CAA" w14:paraId="59C70B25" w14:textId="77777777" w:rsidTr="00FF650C">
        <w:tc>
          <w:tcPr>
            <w:tcW w:w="4050" w:type="dxa"/>
            <w:shd w:val="clear" w:color="auto" w:fill="4F81BD" w:themeFill="accent1"/>
          </w:tcPr>
          <w:p w14:paraId="0F700010" w14:textId="77777777" w:rsidR="00F41554" w:rsidRPr="00C20CAA" w:rsidRDefault="00D6480A" w:rsidP="00FF650C">
            <w:pPr>
              <w:jc w:val="center"/>
              <w:rPr>
                <w:rFonts w:ascii="Arial" w:hAnsi="Arial" w:cs="Arial"/>
                <w:b/>
                <w:color w:val="FFFFFF" w:themeColor="background1"/>
                <w:sz w:val="20"/>
                <w:szCs w:val="20"/>
              </w:rPr>
            </w:pPr>
            <w:r w:rsidRPr="00C20CAA">
              <w:rPr>
                <w:rFonts w:ascii="Arial" w:hAnsi="Arial" w:cs="Arial"/>
                <w:b/>
                <w:color w:val="FFFFFF" w:themeColor="background1"/>
                <w:sz w:val="20"/>
                <w:szCs w:val="20"/>
              </w:rPr>
              <w:t>Name of the Staff</w:t>
            </w:r>
          </w:p>
        </w:tc>
        <w:tc>
          <w:tcPr>
            <w:tcW w:w="2430" w:type="dxa"/>
            <w:shd w:val="clear" w:color="auto" w:fill="4F81BD" w:themeFill="accent1"/>
          </w:tcPr>
          <w:p w14:paraId="56BF171D" w14:textId="77777777" w:rsidR="00F41554" w:rsidRPr="00C20CAA" w:rsidRDefault="00F41554" w:rsidP="00F41554">
            <w:pPr>
              <w:jc w:val="center"/>
              <w:rPr>
                <w:rFonts w:ascii="Arial" w:hAnsi="Arial" w:cs="Arial"/>
                <w:b/>
                <w:color w:val="FFFFFF" w:themeColor="background1"/>
                <w:sz w:val="20"/>
                <w:szCs w:val="20"/>
              </w:rPr>
            </w:pPr>
            <w:r w:rsidRPr="00C20CAA">
              <w:rPr>
                <w:rFonts w:ascii="Arial" w:hAnsi="Arial" w:cs="Arial"/>
                <w:b/>
                <w:color w:val="FFFFFF" w:themeColor="background1"/>
                <w:sz w:val="20"/>
                <w:szCs w:val="20"/>
              </w:rPr>
              <w:t>Sex</w:t>
            </w:r>
          </w:p>
        </w:tc>
        <w:tc>
          <w:tcPr>
            <w:tcW w:w="1890" w:type="dxa"/>
            <w:shd w:val="clear" w:color="auto" w:fill="4F81BD" w:themeFill="accent1"/>
          </w:tcPr>
          <w:p w14:paraId="7BE6A14D" w14:textId="77777777" w:rsidR="00F41554" w:rsidRPr="00C20CAA" w:rsidRDefault="00F41554" w:rsidP="00F41554">
            <w:pPr>
              <w:jc w:val="center"/>
              <w:rPr>
                <w:rFonts w:ascii="Arial" w:hAnsi="Arial" w:cs="Arial"/>
                <w:b/>
                <w:color w:val="FFFFFF" w:themeColor="background1"/>
                <w:sz w:val="20"/>
                <w:szCs w:val="20"/>
              </w:rPr>
            </w:pPr>
            <w:r w:rsidRPr="00C20CAA">
              <w:rPr>
                <w:rFonts w:ascii="Arial" w:hAnsi="Arial" w:cs="Arial"/>
                <w:b/>
                <w:color w:val="FFFFFF" w:themeColor="background1"/>
                <w:sz w:val="20"/>
                <w:szCs w:val="20"/>
              </w:rPr>
              <w:t>% of female</w:t>
            </w:r>
          </w:p>
        </w:tc>
      </w:tr>
      <w:tr w:rsidR="00FF650C" w:rsidRPr="00C20CAA" w14:paraId="538C5469" w14:textId="77777777" w:rsidTr="00FF650C">
        <w:tc>
          <w:tcPr>
            <w:tcW w:w="8370" w:type="dxa"/>
            <w:gridSpan w:val="3"/>
            <w:shd w:val="clear" w:color="auto" w:fill="DBE5F1" w:themeFill="accent1" w:themeFillTint="33"/>
          </w:tcPr>
          <w:p w14:paraId="4403742A" w14:textId="77777777" w:rsidR="00FF650C" w:rsidRPr="00C20CAA" w:rsidRDefault="00FF650C" w:rsidP="00F41554">
            <w:pPr>
              <w:jc w:val="center"/>
              <w:rPr>
                <w:rFonts w:ascii="Arial" w:hAnsi="Arial" w:cs="Arial"/>
                <w:b/>
                <w:sz w:val="20"/>
                <w:szCs w:val="20"/>
              </w:rPr>
            </w:pPr>
            <w:r w:rsidRPr="00C20CAA">
              <w:rPr>
                <w:rFonts w:ascii="Arial" w:hAnsi="Arial" w:cs="Arial"/>
                <w:b/>
                <w:bCs/>
                <w:sz w:val="20"/>
                <w:szCs w:val="20"/>
              </w:rPr>
              <w:t>Mandeville Regional Hospital</w:t>
            </w:r>
          </w:p>
        </w:tc>
      </w:tr>
      <w:tr w:rsidR="00D6480A" w:rsidRPr="00C20CAA" w14:paraId="37C413D4" w14:textId="77777777" w:rsidTr="00D6480A">
        <w:tc>
          <w:tcPr>
            <w:tcW w:w="4050" w:type="dxa"/>
          </w:tcPr>
          <w:p w14:paraId="498F223A" w14:textId="77777777" w:rsidR="00D6480A" w:rsidRPr="00C20CAA" w:rsidRDefault="00D6480A" w:rsidP="00F41554">
            <w:pPr>
              <w:pStyle w:val="ListParagraph"/>
              <w:ind w:left="0"/>
              <w:rPr>
                <w:rFonts w:ascii="Arial" w:hAnsi="Arial" w:cs="Arial"/>
                <w:sz w:val="20"/>
                <w:szCs w:val="20"/>
              </w:rPr>
            </w:pPr>
            <w:r w:rsidRPr="00C20CAA">
              <w:rPr>
                <w:rFonts w:ascii="Arial" w:hAnsi="Arial" w:cs="Arial"/>
                <w:sz w:val="20"/>
                <w:szCs w:val="20"/>
              </w:rPr>
              <w:t xml:space="preserve">Alwyn Miller </w:t>
            </w:r>
          </w:p>
        </w:tc>
        <w:tc>
          <w:tcPr>
            <w:tcW w:w="2430" w:type="dxa"/>
          </w:tcPr>
          <w:p w14:paraId="1320DBFF"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Male</w:t>
            </w:r>
          </w:p>
        </w:tc>
        <w:tc>
          <w:tcPr>
            <w:tcW w:w="1890" w:type="dxa"/>
            <w:vMerge w:val="restart"/>
            <w:vAlign w:val="center"/>
          </w:tcPr>
          <w:p w14:paraId="6EA47FB4" w14:textId="77777777" w:rsidR="00D6480A" w:rsidRPr="00C20CAA" w:rsidRDefault="00D6480A" w:rsidP="00D6480A">
            <w:pPr>
              <w:jc w:val="center"/>
              <w:rPr>
                <w:rFonts w:ascii="Arial" w:hAnsi="Arial" w:cs="Arial"/>
                <w:sz w:val="20"/>
                <w:szCs w:val="20"/>
              </w:rPr>
            </w:pPr>
            <w:r w:rsidRPr="00C20CAA">
              <w:rPr>
                <w:rFonts w:ascii="Arial" w:hAnsi="Arial" w:cs="Arial"/>
                <w:sz w:val="20"/>
                <w:szCs w:val="20"/>
              </w:rPr>
              <w:t>25%</w:t>
            </w:r>
          </w:p>
        </w:tc>
      </w:tr>
      <w:tr w:rsidR="00D6480A" w:rsidRPr="00C20CAA" w14:paraId="2D0CC0C4" w14:textId="77777777" w:rsidTr="00D6480A">
        <w:tc>
          <w:tcPr>
            <w:tcW w:w="4050" w:type="dxa"/>
          </w:tcPr>
          <w:p w14:paraId="7839742B" w14:textId="77777777" w:rsidR="00D6480A" w:rsidRPr="00C20CAA" w:rsidRDefault="00D6480A" w:rsidP="00F41554">
            <w:pPr>
              <w:pStyle w:val="ListParagraph"/>
              <w:ind w:left="0"/>
              <w:rPr>
                <w:rFonts w:ascii="Arial" w:hAnsi="Arial" w:cs="Arial"/>
                <w:color w:val="FF0000"/>
                <w:sz w:val="20"/>
                <w:szCs w:val="20"/>
                <w:lang w:val="pt-BR"/>
              </w:rPr>
            </w:pPr>
            <w:r w:rsidRPr="00C20CAA">
              <w:rPr>
                <w:rFonts w:ascii="Arial" w:hAnsi="Arial" w:cs="Arial"/>
                <w:sz w:val="20"/>
                <w:szCs w:val="20"/>
                <w:lang w:val="pt-BR"/>
              </w:rPr>
              <w:t xml:space="preserve">Marcia Francis </w:t>
            </w:r>
          </w:p>
        </w:tc>
        <w:tc>
          <w:tcPr>
            <w:tcW w:w="2430" w:type="dxa"/>
          </w:tcPr>
          <w:p w14:paraId="4F2A92C0"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2F4CB6C7" w14:textId="77777777" w:rsidR="00D6480A" w:rsidRPr="00C20CAA" w:rsidRDefault="00D6480A" w:rsidP="00F41554">
            <w:pPr>
              <w:jc w:val="center"/>
              <w:rPr>
                <w:rFonts w:ascii="Arial" w:hAnsi="Arial" w:cs="Arial"/>
                <w:sz w:val="20"/>
                <w:szCs w:val="20"/>
              </w:rPr>
            </w:pPr>
          </w:p>
        </w:tc>
      </w:tr>
      <w:tr w:rsidR="00D6480A" w:rsidRPr="00C20CAA" w14:paraId="55CFD955" w14:textId="77777777" w:rsidTr="00D6480A">
        <w:tc>
          <w:tcPr>
            <w:tcW w:w="4050" w:type="dxa"/>
          </w:tcPr>
          <w:p w14:paraId="5D4BFC30" w14:textId="77777777" w:rsidR="00D6480A" w:rsidRPr="00C20CAA" w:rsidRDefault="00D6480A" w:rsidP="00F41554">
            <w:pPr>
              <w:pStyle w:val="ListParagraph"/>
              <w:ind w:left="0"/>
              <w:rPr>
                <w:rFonts w:ascii="Arial" w:hAnsi="Arial" w:cs="Arial"/>
                <w:sz w:val="20"/>
                <w:szCs w:val="20"/>
              </w:rPr>
            </w:pPr>
            <w:r w:rsidRPr="00C20CAA">
              <w:rPr>
                <w:rFonts w:ascii="Arial" w:hAnsi="Arial" w:cs="Arial"/>
                <w:sz w:val="20"/>
                <w:szCs w:val="20"/>
              </w:rPr>
              <w:t>Herschel Ismail</w:t>
            </w:r>
          </w:p>
        </w:tc>
        <w:tc>
          <w:tcPr>
            <w:tcW w:w="2430" w:type="dxa"/>
          </w:tcPr>
          <w:p w14:paraId="4716A73C"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4B1A94EB" w14:textId="77777777" w:rsidR="00D6480A" w:rsidRPr="00C20CAA" w:rsidRDefault="00D6480A" w:rsidP="00F41554">
            <w:pPr>
              <w:jc w:val="center"/>
              <w:rPr>
                <w:rFonts w:ascii="Arial" w:hAnsi="Arial" w:cs="Arial"/>
                <w:sz w:val="20"/>
                <w:szCs w:val="20"/>
              </w:rPr>
            </w:pPr>
          </w:p>
        </w:tc>
      </w:tr>
      <w:tr w:rsidR="00D6480A" w:rsidRPr="00C20CAA" w14:paraId="0C185F28" w14:textId="77777777" w:rsidTr="00D6480A">
        <w:tc>
          <w:tcPr>
            <w:tcW w:w="4050" w:type="dxa"/>
          </w:tcPr>
          <w:p w14:paraId="21D1632E" w14:textId="77777777" w:rsidR="00D6480A" w:rsidRPr="00C20CAA" w:rsidRDefault="00D6480A" w:rsidP="00F41554">
            <w:pPr>
              <w:pStyle w:val="ListParagraph"/>
              <w:ind w:left="0"/>
              <w:rPr>
                <w:rFonts w:ascii="Arial" w:hAnsi="Arial" w:cs="Arial"/>
                <w:sz w:val="20"/>
                <w:szCs w:val="20"/>
              </w:rPr>
            </w:pPr>
            <w:r w:rsidRPr="00C20CAA">
              <w:rPr>
                <w:rFonts w:ascii="Arial" w:hAnsi="Arial" w:cs="Arial"/>
                <w:sz w:val="20"/>
                <w:szCs w:val="20"/>
              </w:rPr>
              <w:t>Richard Copeland</w:t>
            </w:r>
          </w:p>
        </w:tc>
        <w:tc>
          <w:tcPr>
            <w:tcW w:w="2430" w:type="dxa"/>
          </w:tcPr>
          <w:p w14:paraId="78D69241"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5AB5D0CE" w14:textId="77777777" w:rsidR="00D6480A" w:rsidRPr="00C20CAA" w:rsidRDefault="00D6480A" w:rsidP="00F41554">
            <w:pPr>
              <w:jc w:val="center"/>
              <w:rPr>
                <w:rFonts w:ascii="Arial" w:hAnsi="Arial" w:cs="Arial"/>
                <w:sz w:val="20"/>
                <w:szCs w:val="20"/>
              </w:rPr>
            </w:pPr>
          </w:p>
        </w:tc>
      </w:tr>
      <w:tr w:rsidR="00D6480A" w:rsidRPr="00C20CAA" w14:paraId="17246CE8" w14:textId="77777777" w:rsidTr="00FF650C">
        <w:tc>
          <w:tcPr>
            <w:tcW w:w="8370" w:type="dxa"/>
            <w:gridSpan w:val="3"/>
            <w:shd w:val="clear" w:color="auto" w:fill="DBE5F1" w:themeFill="accent1" w:themeFillTint="33"/>
          </w:tcPr>
          <w:p w14:paraId="1E073FB9" w14:textId="77777777" w:rsidR="00D6480A" w:rsidRPr="00C20CAA" w:rsidRDefault="00D6480A" w:rsidP="00F41554">
            <w:pPr>
              <w:jc w:val="center"/>
              <w:rPr>
                <w:rFonts w:ascii="Arial" w:hAnsi="Arial" w:cs="Arial"/>
                <w:sz w:val="20"/>
                <w:szCs w:val="20"/>
              </w:rPr>
            </w:pPr>
            <w:r w:rsidRPr="00C20CAA">
              <w:rPr>
                <w:rFonts w:ascii="Arial" w:hAnsi="Arial" w:cs="Arial"/>
                <w:b/>
                <w:bCs/>
                <w:sz w:val="20"/>
                <w:szCs w:val="20"/>
              </w:rPr>
              <w:t>Marcus Garvey Technic School</w:t>
            </w:r>
          </w:p>
        </w:tc>
      </w:tr>
      <w:tr w:rsidR="00D6480A" w:rsidRPr="00C20CAA" w14:paraId="6F73BF58" w14:textId="77777777" w:rsidTr="00D6480A">
        <w:tc>
          <w:tcPr>
            <w:tcW w:w="4050" w:type="dxa"/>
          </w:tcPr>
          <w:p w14:paraId="6B72CBCF" w14:textId="77777777" w:rsidR="00D6480A" w:rsidRPr="00C20CAA" w:rsidRDefault="00D6480A" w:rsidP="00D6480A">
            <w:pPr>
              <w:pStyle w:val="ListParagraph"/>
              <w:ind w:left="0"/>
              <w:rPr>
                <w:rFonts w:ascii="Arial" w:hAnsi="Arial" w:cs="Arial"/>
                <w:sz w:val="20"/>
                <w:szCs w:val="20"/>
              </w:rPr>
            </w:pPr>
            <w:r w:rsidRPr="00C20CAA">
              <w:rPr>
                <w:rFonts w:ascii="Arial" w:hAnsi="Arial" w:cs="Arial"/>
                <w:sz w:val="20"/>
                <w:szCs w:val="20"/>
              </w:rPr>
              <w:t xml:space="preserve">Rohan Francis </w:t>
            </w:r>
          </w:p>
        </w:tc>
        <w:tc>
          <w:tcPr>
            <w:tcW w:w="2430" w:type="dxa"/>
          </w:tcPr>
          <w:p w14:paraId="2E01A1A3"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Male</w:t>
            </w:r>
          </w:p>
        </w:tc>
        <w:tc>
          <w:tcPr>
            <w:tcW w:w="1890" w:type="dxa"/>
            <w:vMerge w:val="restart"/>
            <w:vAlign w:val="center"/>
          </w:tcPr>
          <w:p w14:paraId="0FA2B12D" w14:textId="77777777" w:rsidR="00D6480A" w:rsidRPr="00C20CAA" w:rsidRDefault="00D6480A" w:rsidP="00D6480A">
            <w:pPr>
              <w:jc w:val="center"/>
              <w:rPr>
                <w:rFonts w:ascii="Arial" w:hAnsi="Arial" w:cs="Arial"/>
                <w:sz w:val="20"/>
                <w:szCs w:val="20"/>
              </w:rPr>
            </w:pPr>
            <w:r w:rsidRPr="00C20CAA">
              <w:rPr>
                <w:rFonts w:ascii="Arial" w:hAnsi="Arial" w:cs="Arial"/>
                <w:sz w:val="20"/>
                <w:szCs w:val="20"/>
              </w:rPr>
              <w:t>20%</w:t>
            </w:r>
          </w:p>
        </w:tc>
      </w:tr>
      <w:tr w:rsidR="00D6480A" w:rsidRPr="00C20CAA" w14:paraId="58264B6F" w14:textId="77777777" w:rsidTr="00D6480A">
        <w:tc>
          <w:tcPr>
            <w:tcW w:w="4050" w:type="dxa"/>
          </w:tcPr>
          <w:p w14:paraId="4680956B" w14:textId="77777777" w:rsidR="00D6480A" w:rsidRPr="00C20CAA" w:rsidRDefault="00D6480A" w:rsidP="00D6480A">
            <w:pPr>
              <w:pStyle w:val="ListParagraph"/>
              <w:ind w:left="0"/>
              <w:rPr>
                <w:rFonts w:ascii="Arial" w:hAnsi="Arial" w:cs="Arial"/>
                <w:sz w:val="20"/>
                <w:szCs w:val="20"/>
              </w:rPr>
            </w:pPr>
            <w:r w:rsidRPr="00C20CAA">
              <w:rPr>
                <w:rFonts w:ascii="Arial" w:hAnsi="Arial" w:cs="Arial"/>
                <w:sz w:val="20"/>
                <w:szCs w:val="20"/>
              </w:rPr>
              <w:t xml:space="preserve">Sheyon Sherwood </w:t>
            </w:r>
          </w:p>
        </w:tc>
        <w:tc>
          <w:tcPr>
            <w:tcW w:w="2430" w:type="dxa"/>
          </w:tcPr>
          <w:p w14:paraId="4DF10CDA"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3386DF03" w14:textId="77777777" w:rsidR="00D6480A" w:rsidRPr="00C20CAA" w:rsidRDefault="00D6480A" w:rsidP="00F41554">
            <w:pPr>
              <w:jc w:val="center"/>
              <w:rPr>
                <w:rFonts w:ascii="Arial" w:hAnsi="Arial" w:cs="Arial"/>
                <w:sz w:val="20"/>
                <w:szCs w:val="20"/>
              </w:rPr>
            </w:pPr>
          </w:p>
        </w:tc>
      </w:tr>
      <w:tr w:rsidR="00D6480A" w:rsidRPr="00C20CAA" w14:paraId="38D1D7DD" w14:textId="77777777" w:rsidTr="00D6480A">
        <w:tc>
          <w:tcPr>
            <w:tcW w:w="4050" w:type="dxa"/>
          </w:tcPr>
          <w:p w14:paraId="5028B6E4" w14:textId="77777777" w:rsidR="00D6480A" w:rsidRPr="00C20CAA" w:rsidRDefault="00D6480A" w:rsidP="00D6480A">
            <w:pPr>
              <w:pStyle w:val="ListParagraph"/>
              <w:ind w:left="0"/>
              <w:rPr>
                <w:rFonts w:ascii="Arial" w:hAnsi="Arial" w:cs="Arial"/>
                <w:sz w:val="20"/>
                <w:szCs w:val="20"/>
              </w:rPr>
            </w:pPr>
            <w:r w:rsidRPr="00C20CAA">
              <w:rPr>
                <w:rFonts w:ascii="Arial" w:hAnsi="Arial" w:cs="Arial"/>
                <w:sz w:val="20"/>
                <w:szCs w:val="20"/>
              </w:rPr>
              <w:t xml:space="preserve">Andre Russell </w:t>
            </w:r>
          </w:p>
        </w:tc>
        <w:tc>
          <w:tcPr>
            <w:tcW w:w="2430" w:type="dxa"/>
          </w:tcPr>
          <w:p w14:paraId="44FD334D"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40A5EF15" w14:textId="77777777" w:rsidR="00D6480A" w:rsidRPr="00C20CAA" w:rsidRDefault="00D6480A" w:rsidP="00F41554">
            <w:pPr>
              <w:jc w:val="center"/>
              <w:rPr>
                <w:rFonts w:ascii="Arial" w:hAnsi="Arial" w:cs="Arial"/>
                <w:sz w:val="20"/>
                <w:szCs w:val="20"/>
              </w:rPr>
            </w:pPr>
          </w:p>
        </w:tc>
      </w:tr>
      <w:tr w:rsidR="00D6480A" w:rsidRPr="00C20CAA" w14:paraId="178BFD3D" w14:textId="77777777" w:rsidTr="00D6480A">
        <w:tc>
          <w:tcPr>
            <w:tcW w:w="4050" w:type="dxa"/>
          </w:tcPr>
          <w:p w14:paraId="65530DF4" w14:textId="77777777" w:rsidR="00D6480A" w:rsidRPr="00C20CAA" w:rsidRDefault="00D6480A" w:rsidP="00D6480A">
            <w:pPr>
              <w:pStyle w:val="ListParagraph"/>
              <w:ind w:left="0"/>
              <w:rPr>
                <w:rFonts w:ascii="Arial" w:hAnsi="Arial" w:cs="Arial"/>
                <w:sz w:val="20"/>
                <w:szCs w:val="20"/>
              </w:rPr>
            </w:pPr>
            <w:r w:rsidRPr="00C20CAA">
              <w:rPr>
                <w:rFonts w:ascii="Arial" w:hAnsi="Arial" w:cs="Arial"/>
                <w:sz w:val="20"/>
                <w:szCs w:val="20"/>
              </w:rPr>
              <w:t>Derron Pottinger</w:t>
            </w:r>
          </w:p>
        </w:tc>
        <w:tc>
          <w:tcPr>
            <w:tcW w:w="2430" w:type="dxa"/>
          </w:tcPr>
          <w:p w14:paraId="3E4B2D39"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6512A68B" w14:textId="77777777" w:rsidR="00D6480A" w:rsidRPr="00C20CAA" w:rsidRDefault="00D6480A" w:rsidP="00F41554">
            <w:pPr>
              <w:jc w:val="center"/>
              <w:rPr>
                <w:rFonts w:ascii="Arial" w:hAnsi="Arial" w:cs="Arial"/>
                <w:sz w:val="20"/>
                <w:szCs w:val="20"/>
              </w:rPr>
            </w:pPr>
          </w:p>
        </w:tc>
      </w:tr>
      <w:tr w:rsidR="00D6480A" w:rsidRPr="00C20CAA" w14:paraId="4170E335" w14:textId="77777777" w:rsidTr="00D6480A">
        <w:tc>
          <w:tcPr>
            <w:tcW w:w="4050" w:type="dxa"/>
          </w:tcPr>
          <w:p w14:paraId="707EBF5C" w14:textId="77777777" w:rsidR="00D6480A" w:rsidRPr="00C20CAA" w:rsidRDefault="00D6480A" w:rsidP="00D6480A">
            <w:pPr>
              <w:pStyle w:val="ListParagraph"/>
              <w:ind w:left="0"/>
              <w:rPr>
                <w:rFonts w:ascii="Arial" w:hAnsi="Arial" w:cs="Arial"/>
                <w:color w:val="FF0000"/>
                <w:sz w:val="20"/>
                <w:szCs w:val="20"/>
              </w:rPr>
            </w:pPr>
            <w:r w:rsidRPr="00C20CAA">
              <w:rPr>
                <w:rFonts w:ascii="Arial" w:hAnsi="Arial" w:cs="Arial"/>
                <w:sz w:val="20"/>
                <w:szCs w:val="20"/>
              </w:rPr>
              <w:t>Monica McIntyre</w:t>
            </w:r>
          </w:p>
        </w:tc>
        <w:tc>
          <w:tcPr>
            <w:tcW w:w="2430" w:type="dxa"/>
          </w:tcPr>
          <w:p w14:paraId="49802116" w14:textId="77777777" w:rsidR="00D6480A" w:rsidRPr="00C20CAA" w:rsidRDefault="00D6480A"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53821BC9" w14:textId="77777777" w:rsidR="00D6480A" w:rsidRPr="00C20CAA" w:rsidRDefault="00D6480A" w:rsidP="00F41554">
            <w:pPr>
              <w:jc w:val="center"/>
              <w:rPr>
                <w:rFonts w:ascii="Arial" w:hAnsi="Arial" w:cs="Arial"/>
                <w:sz w:val="20"/>
                <w:szCs w:val="20"/>
              </w:rPr>
            </w:pPr>
          </w:p>
        </w:tc>
      </w:tr>
      <w:tr w:rsidR="00D6480A" w:rsidRPr="00C20CAA" w14:paraId="1E77DEB4" w14:textId="77777777" w:rsidTr="00FF650C">
        <w:tc>
          <w:tcPr>
            <w:tcW w:w="8370" w:type="dxa"/>
            <w:gridSpan w:val="3"/>
            <w:shd w:val="clear" w:color="auto" w:fill="DBE5F1" w:themeFill="accent1" w:themeFillTint="33"/>
          </w:tcPr>
          <w:p w14:paraId="22C94564" w14:textId="77777777" w:rsidR="00D6480A" w:rsidRPr="00C20CAA" w:rsidRDefault="00D6480A" w:rsidP="00F41554">
            <w:pPr>
              <w:jc w:val="center"/>
              <w:rPr>
                <w:rFonts w:ascii="Arial" w:hAnsi="Arial" w:cs="Arial"/>
                <w:sz w:val="20"/>
                <w:szCs w:val="20"/>
              </w:rPr>
            </w:pPr>
            <w:r w:rsidRPr="00C20CAA">
              <w:rPr>
                <w:rFonts w:ascii="Arial" w:hAnsi="Arial" w:cs="Arial"/>
                <w:b/>
                <w:bCs/>
                <w:sz w:val="20"/>
                <w:szCs w:val="20"/>
              </w:rPr>
              <w:t>Cornwall Western Regional Hospital</w:t>
            </w:r>
          </w:p>
        </w:tc>
      </w:tr>
      <w:tr w:rsidR="00FF650C" w:rsidRPr="00C20CAA" w14:paraId="541B451B" w14:textId="77777777" w:rsidTr="00FF650C">
        <w:tc>
          <w:tcPr>
            <w:tcW w:w="4050" w:type="dxa"/>
          </w:tcPr>
          <w:p w14:paraId="77A75CE7" w14:textId="77777777" w:rsidR="00FF650C" w:rsidRPr="00C20CAA" w:rsidRDefault="00FF650C" w:rsidP="00D6480A">
            <w:pPr>
              <w:rPr>
                <w:rFonts w:ascii="Arial" w:hAnsi="Arial" w:cs="Arial"/>
                <w:sz w:val="20"/>
                <w:szCs w:val="20"/>
              </w:rPr>
            </w:pPr>
            <w:r w:rsidRPr="00C20CAA">
              <w:rPr>
                <w:rFonts w:ascii="Arial" w:hAnsi="Arial" w:cs="Arial"/>
                <w:sz w:val="20"/>
                <w:szCs w:val="20"/>
              </w:rPr>
              <w:t xml:space="preserve">Sian McLaughlin </w:t>
            </w:r>
          </w:p>
        </w:tc>
        <w:tc>
          <w:tcPr>
            <w:tcW w:w="2430" w:type="dxa"/>
          </w:tcPr>
          <w:p w14:paraId="6AA40EFD"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val="restart"/>
            <w:vAlign w:val="center"/>
          </w:tcPr>
          <w:p w14:paraId="32DFF087" w14:textId="77777777" w:rsidR="00FF650C" w:rsidRPr="00C20CAA" w:rsidRDefault="00FF650C" w:rsidP="00FF650C">
            <w:pPr>
              <w:jc w:val="center"/>
              <w:rPr>
                <w:rFonts w:ascii="Arial" w:hAnsi="Arial" w:cs="Arial"/>
                <w:sz w:val="20"/>
                <w:szCs w:val="20"/>
              </w:rPr>
            </w:pPr>
            <w:r w:rsidRPr="00C20CAA">
              <w:rPr>
                <w:rFonts w:ascii="Arial" w:hAnsi="Arial" w:cs="Arial"/>
                <w:sz w:val="20"/>
                <w:szCs w:val="20"/>
              </w:rPr>
              <w:t>0</w:t>
            </w:r>
          </w:p>
        </w:tc>
      </w:tr>
      <w:tr w:rsidR="00FF650C" w:rsidRPr="00C20CAA" w14:paraId="1470FF51" w14:textId="77777777" w:rsidTr="00D6480A">
        <w:tc>
          <w:tcPr>
            <w:tcW w:w="4050" w:type="dxa"/>
          </w:tcPr>
          <w:p w14:paraId="35370363" w14:textId="77777777" w:rsidR="00FF650C" w:rsidRPr="00C20CAA" w:rsidRDefault="00FF650C" w:rsidP="00D6480A">
            <w:pPr>
              <w:rPr>
                <w:rFonts w:ascii="Arial" w:hAnsi="Arial" w:cs="Arial"/>
                <w:sz w:val="20"/>
                <w:szCs w:val="20"/>
              </w:rPr>
            </w:pPr>
            <w:r w:rsidRPr="00C20CAA">
              <w:rPr>
                <w:rFonts w:ascii="Arial" w:hAnsi="Arial" w:cs="Arial"/>
                <w:sz w:val="20"/>
                <w:szCs w:val="20"/>
              </w:rPr>
              <w:t>Joseph Ramsay</w:t>
            </w:r>
          </w:p>
        </w:tc>
        <w:tc>
          <w:tcPr>
            <w:tcW w:w="2430" w:type="dxa"/>
          </w:tcPr>
          <w:p w14:paraId="1A89B9FE"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30B114A0" w14:textId="77777777" w:rsidR="00FF650C" w:rsidRPr="00C20CAA" w:rsidRDefault="00FF650C" w:rsidP="00F41554">
            <w:pPr>
              <w:jc w:val="center"/>
              <w:rPr>
                <w:rFonts w:ascii="Arial" w:hAnsi="Arial" w:cs="Arial"/>
                <w:sz w:val="20"/>
                <w:szCs w:val="20"/>
              </w:rPr>
            </w:pPr>
          </w:p>
        </w:tc>
      </w:tr>
      <w:tr w:rsidR="00FF650C" w:rsidRPr="00C20CAA" w14:paraId="6EF877F3" w14:textId="77777777" w:rsidTr="00D6480A">
        <w:tc>
          <w:tcPr>
            <w:tcW w:w="4050" w:type="dxa"/>
          </w:tcPr>
          <w:p w14:paraId="4DFF7AF3" w14:textId="77777777" w:rsidR="00FF650C" w:rsidRPr="00C20CAA" w:rsidRDefault="00FF650C" w:rsidP="00D6480A">
            <w:pPr>
              <w:rPr>
                <w:rFonts w:ascii="Arial" w:hAnsi="Arial" w:cs="Arial"/>
                <w:sz w:val="20"/>
                <w:szCs w:val="20"/>
              </w:rPr>
            </w:pPr>
            <w:r w:rsidRPr="00C20CAA">
              <w:rPr>
                <w:rFonts w:ascii="Arial" w:hAnsi="Arial" w:cs="Arial"/>
                <w:sz w:val="20"/>
                <w:szCs w:val="20"/>
              </w:rPr>
              <w:t>Steve Lawrence</w:t>
            </w:r>
          </w:p>
        </w:tc>
        <w:tc>
          <w:tcPr>
            <w:tcW w:w="2430" w:type="dxa"/>
          </w:tcPr>
          <w:p w14:paraId="5D1CA2C7"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2E9D98B7" w14:textId="77777777" w:rsidR="00FF650C" w:rsidRPr="00C20CAA" w:rsidRDefault="00FF650C" w:rsidP="00F41554">
            <w:pPr>
              <w:jc w:val="center"/>
              <w:rPr>
                <w:rFonts w:ascii="Arial" w:hAnsi="Arial" w:cs="Arial"/>
                <w:sz w:val="20"/>
                <w:szCs w:val="20"/>
              </w:rPr>
            </w:pPr>
          </w:p>
        </w:tc>
      </w:tr>
      <w:tr w:rsidR="00D6480A" w:rsidRPr="00C20CAA" w14:paraId="27FF1CA1" w14:textId="77777777" w:rsidTr="00FF650C">
        <w:tc>
          <w:tcPr>
            <w:tcW w:w="8370" w:type="dxa"/>
            <w:gridSpan w:val="3"/>
            <w:shd w:val="clear" w:color="auto" w:fill="DBE5F1" w:themeFill="accent1" w:themeFillTint="33"/>
          </w:tcPr>
          <w:p w14:paraId="4D1E8C74" w14:textId="77777777" w:rsidR="00D6480A" w:rsidRPr="00C20CAA" w:rsidRDefault="00D6480A" w:rsidP="00F41554">
            <w:pPr>
              <w:jc w:val="center"/>
              <w:rPr>
                <w:rFonts w:ascii="Arial" w:hAnsi="Arial" w:cs="Arial"/>
                <w:sz w:val="20"/>
                <w:szCs w:val="20"/>
              </w:rPr>
            </w:pPr>
            <w:r w:rsidRPr="00C20CAA">
              <w:rPr>
                <w:rFonts w:ascii="Arial" w:hAnsi="Arial" w:cs="Arial"/>
                <w:b/>
                <w:sz w:val="20"/>
                <w:szCs w:val="20"/>
              </w:rPr>
              <w:t>Kingston Public and Victoria Jubilee Hospitals</w:t>
            </w:r>
          </w:p>
        </w:tc>
      </w:tr>
      <w:tr w:rsidR="00FF650C" w:rsidRPr="00C20CAA" w14:paraId="0A111400" w14:textId="77777777" w:rsidTr="00FF650C">
        <w:tc>
          <w:tcPr>
            <w:tcW w:w="4050" w:type="dxa"/>
          </w:tcPr>
          <w:p w14:paraId="00FA01D7" w14:textId="77777777" w:rsidR="00FF650C" w:rsidRPr="00C20CAA" w:rsidRDefault="00FF650C" w:rsidP="009F1D50">
            <w:pPr>
              <w:rPr>
                <w:rFonts w:ascii="Arial" w:hAnsi="Arial" w:cs="Arial"/>
                <w:sz w:val="20"/>
                <w:szCs w:val="20"/>
              </w:rPr>
            </w:pPr>
            <w:r w:rsidRPr="00C20CAA">
              <w:rPr>
                <w:rFonts w:ascii="Arial" w:hAnsi="Arial" w:cs="Arial"/>
                <w:sz w:val="20"/>
                <w:szCs w:val="20"/>
              </w:rPr>
              <w:t>Nadia Adams Richards</w:t>
            </w:r>
          </w:p>
        </w:tc>
        <w:tc>
          <w:tcPr>
            <w:tcW w:w="2430" w:type="dxa"/>
          </w:tcPr>
          <w:p w14:paraId="1225552C"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Female</w:t>
            </w:r>
          </w:p>
        </w:tc>
        <w:tc>
          <w:tcPr>
            <w:tcW w:w="1890" w:type="dxa"/>
            <w:vMerge w:val="restart"/>
            <w:vAlign w:val="center"/>
          </w:tcPr>
          <w:p w14:paraId="3D413813" w14:textId="77777777" w:rsidR="00FF650C" w:rsidRPr="00C20CAA" w:rsidRDefault="00FF650C" w:rsidP="00FF650C">
            <w:pPr>
              <w:jc w:val="center"/>
              <w:rPr>
                <w:rFonts w:ascii="Arial" w:hAnsi="Arial" w:cs="Arial"/>
                <w:sz w:val="20"/>
                <w:szCs w:val="20"/>
              </w:rPr>
            </w:pPr>
            <w:r w:rsidRPr="00C20CAA">
              <w:rPr>
                <w:rFonts w:ascii="Arial" w:hAnsi="Arial" w:cs="Arial"/>
                <w:sz w:val="20"/>
                <w:szCs w:val="20"/>
              </w:rPr>
              <w:t>50%</w:t>
            </w:r>
          </w:p>
        </w:tc>
      </w:tr>
      <w:tr w:rsidR="00FF650C" w:rsidRPr="00C20CAA" w14:paraId="2E8E93FD" w14:textId="77777777" w:rsidTr="00D6480A">
        <w:tc>
          <w:tcPr>
            <w:tcW w:w="4050" w:type="dxa"/>
          </w:tcPr>
          <w:p w14:paraId="4C38ECC3" w14:textId="77777777" w:rsidR="00FF650C" w:rsidRPr="00C20CAA" w:rsidRDefault="00FF650C" w:rsidP="00D6480A">
            <w:pPr>
              <w:rPr>
                <w:rFonts w:ascii="Arial" w:hAnsi="Arial" w:cs="Arial"/>
                <w:sz w:val="20"/>
                <w:szCs w:val="20"/>
              </w:rPr>
            </w:pPr>
            <w:r w:rsidRPr="00C20CAA">
              <w:rPr>
                <w:rFonts w:ascii="Arial" w:hAnsi="Arial" w:cs="Arial"/>
                <w:sz w:val="20"/>
                <w:szCs w:val="20"/>
              </w:rPr>
              <w:t>Raul Morgan</w:t>
            </w:r>
          </w:p>
        </w:tc>
        <w:tc>
          <w:tcPr>
            <w:tcW w:w="2430" w:type="dxa"/>
          </w:tcPr>
          <w:p w14:paraId="3EDFC77C"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29F4C74D" w14:textId="77777777" w:rsidR="00FF650C" w:rsidRPr="00C20CAA" w:rsidRDefault="00FF650C" w:rsidP="00F41554">
            <w:pPr>
              <w:jc w:val="center"/>
              <w:rPr>
                <w:rFonts w:ascii="Arial" w:hAnsi="Arial" w:cs="Arial"/>
                <w:sz w:val="20"/>
                <w:szCs w:val="20"/>
              </w:rPr>
            </w:pPr>
          </w:p>
        </w:tc>
      </w:tr>
      <w:tr w:rsidR="00FF650C" w:rsidRPr="00C20CAA" w14:paraId="01A34955" w14:textId="77777777" w:rsidTr="00FF650C">
        <w:tc>
          <w:tcPr>
            <w:tcW w:w="8370" w:type="dxa"/>
            <w:gridSpan w:val="3"/>
            <w:shd w:val="clear" w:color="auto" w:fill="DBE5F1" w:themeFill="accent1" w:themeFillTint="33"/>
          </w:tcPr>
          <w:p w14:paraId="2ED02189" w14:textId="77777777" w:rsidR="00FF650C" w:rsidRPr="00C20CAA" w:rsidRDefault="00FF650C" w:rsidP="00FF650C">
            <w:pPr>
              <w:jc w:val="center"/>
              <w:rPr>
                <w:rFonts w:ascii="Arial" w:hAnsi="Arial" w:cs="Arial"/>
                <w:b/>
                <w:sz w:val="20"/>
                <w:szCs w:val="20"/>
              </w:rPr>
            </w:pPr>
            <w:r w:rsidRPr="00C20CAA">
              <w:rPr>
                <w:rFonts w:ascii="Arial" w:hAnsi="Arial" w:cs="Arial"/>
                <w:b/>
                <w:sz w:val="20"/>
                <w:szCs w:val="20"/>
              </w:rPr>
              <w:t>Ebony Heart Academy</w:t>
            </w:r>
          </w:p>
        </w:tc>
      </w:tr>
      <w:tr w:rsidR="00FF650C" w:rsidRPr="00C20CAA" w14:paraId="1A93EF38" w14:textId="77777777" w:rsidTr="00FF650C">
        <w:tc>
          <w:tcPr>
            <w:tcW w:w="4050" w:type="dxa"/>
          </w:tcPr>
          <w:p w14:paraId="7040FD12" w14:textId="77777777" w:rsidR="00FF650C" w:rsidRPr="00C20CAA" w:rsidRDefault="00FF650C" w:rsidP="00D6480A">
            <w:pPr>
              <w:rPr>
                <w:rFonts w:ascii="Arial" w:hAnsi="Arial" w:cs="Arial"/>
                <w:sz w:val="20"/>
                <w:szCs w:val="20"/>
              </w:rPr>
            </w:pPr>
            <w:r w:rsidRPr="00C20CAA">
              <w:rPr>
                <w:rFonts w:ascii="Arial" w:hAnsi="Arial" w:cs="Arial"/>
                <w:sz w:val="20"/>
                <w:szCs w:val="20"/>
              </w:rPr>
              <w:t>Robert Green</w:t>
            </w:r>
          </w:p>
        </w:tc>
        <w:tc>
          <w:tcPr>
            <w:tcW w:w="2430" w:type="dxa"/>
          </w:tcPr>
          <w:p w14:paraId="0839886A"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val="restart"/>
            <w:vAlign w:val="center"/>
          </w:tcPr>
          <w:p w14:paraId="223306AD" w14:textId="77777777" w:rsidR="00FF650C" w:rsidRPr="00C20CAA" w:rsidRDefault="00FF650C" w:rsidP="00FF650C">
            <w:pPr>
              <w:jc w:val="center"/>
              <w:rPr>
                <w:rFonts w:ascii="Arial" w:hAnsi="Arial" w:cs="Arial"/>
                <w:sz w:val="20"/>
                <w:szCs w:val="20"/>
              </w:rPr>
            </w:pPr>
            <w:r w:rsidRPr="00C20CAA">
              <w:rPr>
                <w:rFonts w:ascii="Arial" w:hAnsi="Arial" w:cs="Arial"/>
                <w:sz w:val="20"/>
                <w:szCs w:val="20"/>
              </w:rPr>
              <w:t>40%</w:t>
            </w:r>
          </w:p>
        </w:tc>
      </w:tr>
      <w:tr w:rsidR="00FF650C" w:rsidRPr="00C20CAA" w14:paraId="64B47886" w14:textId="77777777" w:rsidTr="00D6480A">
        <w:tc>
          <w:tcPr>
            <w:tcW w:w="4050" w:type="dxa"/>
          </w:tcPr>
          <w:p w14:paraId="384CFF0D" w14:textId="77777777" w:rsidR="00FF650C" w:rsidRPr="00C20CAA" w:rsidRDefault="00FF650C" w:rsidP="00D6480A">
            <w:pPr>
              <w:rPr>
                <w:rFonts w:ascii="Arial" w:hAnsi="Arial" w:cs="Arial"/>
                <w:sz w:val="20"/>
                <w:szCs w:val="20"/>
              </w:rPr>
            </w:pPr>
            <w:r w:rsidRPr="00C20CAA">
              <w:rPr>
                <w:rFonts w:ascii="Arial" w:hAnsi="Arial" w:cs="Arial"/>
                <w:sz w:val="20"/>
                <w:szCs w:val="20"/>
              </w:rPr>
              <w:t>Charlene Edwards</w:t>
            </w:r>
          </w:p>
        </w:tc>
        <w:tc>
          <w:tcPr>
            <w:tcW w:w="2430" w:type="dxa"/>
          </w:tcPr>
          <w:p w14:paraId="7CE1690A"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6E87A43C" w14:textId="77777777" w:rsidR="00FF650C" w:rsidRPr="00C20CAA" w:rsidRDefault="00FF650C" w:rsidP="00F41554">
            <w:pPr>
              <w:jc w:val="center"/>
              <w:rPr>
                <w:rFonts w:ascii="Arial" w:hAnsi="Arial" w:cs="Arial"/>
                <w:sz w:val="20"/>
                <w:szCs w:val="20"/>
              </w:rPr>
            </w:pPr>
          </w:p>
        </w:tc>
      </w:tr>
      <w:tr w:rsidR="00FF650C" w:rsidRPr="00C20CAA" w14:paraId="7431872E" w14:textId="77777777" w:rsidTr="00D6480A">
        <w:tc>
          <w:tcPr>
            <w:tcW w:w="4050" w:type="dxa"/>
          </w:tcPr>
          <w:p w14:paraId="7A8087B7" w14:textId="77777777" w:rsidR="00FF650C" w:rsidRPr="00C20CAA" w:rsidRDefault="00FF650C" w:rsidP="00D6480A">
            <w:pPr>
              <w:rPr>
                <w:rFonts w:ascii="Arial" w:hAnsi="Arial" w:cs="Arial"/>
                <w:sz w:val="20"/>
                <w:szCs w:val="20"/>
              </w:rPr>
            </w:pPr>
            <w:r w:rsidRPr="00C20CAA">
              <w:rPr>
                <w:rFonts w:ascii="Arial" w:hAnsi="Arial" w:cs="Arial"/>
                <w:sz w:val="20"/>
                <w:szCs w:val="20"/>
              </w:rPr>
              <w:t>Stephen Clarke</w:t>
            </w:r>
          </w:p>
        </w:tc>
        <w:tc>
          <w:tcPr>
            <w:tcW w:w="2430" w:type="dxa"/>
          </w:tcPr>
          <w:p w14:paraId="2FE36BEC"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42AFFAB3" w14:textId="77777777" w:rsidR="00FF650C" w:rsidRPr="00C20CAA" w:rsidRDefault="00FF650C" w:rsidP="00F41554">
            <w:pPr>
              <w:jc w:val="center"/>
              <w:rPr>
                <w:rFonts w:ascii="Arial" w:hAnsi="Arial" w:cs="Arial"/>
                <w:sz w:val="20"/>
                <w:szCs w:val="20"/>
              </w:rPr>
            </w:pPr>
          </w:p>
        </w:tc>
      </w:tr>
      <w:tr w:rsidR="00FF650C" w:rsidRPr="00C20CAA" w14:paraId="4F8BFFCA" w14:textId="77777777" w:rsidTr="00D6480A">
        <w:tc>
          <w:tcPr>
            <w:tcW w:w="4050" w:type="dxa"/>
          </w:tcPr>
          <w:p w14:paraId="2B1BEDF7" w14:textId="77777777" w:rsidR="00FF650C" w:rsidRPr="00C20CAA" w:rsidRDefault="00FF650C" w:rsidP="00D6480A">
            <w:pPr>
              <w:rPr>
                <w:rFonts w:ascii="Arial" w:hAnsi="Arial" w:cs="Arial"/>
                <w:sz w:val="20"/>
                <w:szCs w:val="20"/>
              </w:rPr>
            </w:pPr>
            <w:r w:rsidRPr="00C20CAA">
              <w:rPr>
                <w:rFonts w:ascii="Arial" w:hAnsi="Arial" w:cs="Arial"/>
                <w:sz w:val="20"/>
                <w:szCs w:val="20"/>
              </w:rPr>
              <w:t>Dr. Sasha-Shim-Hue</w:t>
            </w:r>
          </w:p>
        </w:tc>
        <w:tc>
          <w:tcPr>
            <w:tcW w:w="2430" w:type="dxa"/>
          </w:tcPr>
          <w:p w14:paraId="6984F91D"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2D55CC51" w14:textId="77777777" w:rsidR="00FF650C" w:rsidRPr="00C20CAA" w:rsidRDefault="00FF650C" w:rsidP="00F41554">
            <w:pPr>
              <w:jc w:val="center"/>
              <w:rPr>
                <w:rFonts w:ascii="Arial" w:hAnsi="Arial" w:cs="Arial"/>
                <w:sz w:val="20"/>
                <w:szCs w:val="20"/>
              </w:rPr>
            </w:pPr>
          </w:p>
        </w:tc>
      </w:tr>
      <w:tr w:rsidR="00FF650C" w:rsidRPr="00C20CAA" w14:paraId="4CC141C1" w14:textId="77777777" w:rsidTr="00D6480A">
        <w:tc>
          <w:tcPr>
            <w:tcW w:w="4050" w:type="dxa"/>
          </w:tcPr>
          <w:p w14:paraId="48E0C358" w14:textId="77777777" w:rsidR="00FF650C" w:rsidRPr="00C20CAA" w:rsidRDefault="00FF650C" w:rsidP="00D6480A">
            <w:pPr>
              <w:rPr>
                <w:rFonts w:ascii="Arial" w:hAnsi="Arial" w:cs="Arial"/>
                <w:sz w:val="20"/>
                <w:szCs w:val="20"/>
              </w:rPr>
            </w:pPr>
            <w:r w:rsidRPr="00C20CAA">
              <w:rPr>
                <w:rFonts w:ascii="Arial" w:hAnsi="Arial" w:cs="Arial"/>
                <w:sz w:val="20"/>
                <w:szCs w:val="20"/>
              </w:rPr>
              <w:t>Donald Sergeon</w:t>
            </w:r>
          </w:p>
        </w:tc>
        <w:tc>
          <w:tcPr>
            <w:tcW w:w="2430" w:type="dxa"/>
          </w:tcPr>
          <w:p w14:paraId="71B2F470"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795854FC" w14:textId="77777777" w:rsidR="00FF650C" w:rsidRPr="00C20CAA" w:rsidRDefault="00FF650C" w:rsidP="00F41554">
            <w:pPr>
              <w:jc w:val="center"/>
              <w:rPr>
                <w:rFonts w:ascii="Arial" w:hAnsi="Arial" w:cs="Arial"/>
                <w:sz w:val="20"/>
                <w:szCs w:val="20"/>
              </w:rPr>
            </w:pPr>
          </w:p>
        </w:tc>
      </w:tr>
      <w:tr w:rsidR="00FF650C" w:rsidRPr="00C20CAA" w14:paraId="1DD06B3E" w14:textId="77777777" w:rsidTr="00FF650C">
        <w:tc>
          <w:tcPr>
            <w:tcW w:w="8370" w:type="dxa"/>
            <w:gridSpan w:val="3"/>
            <w:shd w:val="clear" w:color="auto" w:fill="DBE5F1" w:themeFill="accent1" w:themeFillTint="33"/>
          </w:tcPr>
          <w:p w14:paraId="2D046CD8" w14:textId="77777777" w:rsidR="00FF650C" w:rsidRPr="00C20CAA" w:rsidRDefault="00FF650C" w:rsidP="00F41554">
            <w:pPr>
              <w:jc w:val="center"/>
              <w:rPr>
                <w:rFonts w:ascii="Arial" w:hAnsi="Arial" w:cs="Arial"/>
                <w:sz w:val="20"/>
                <w:szCs w:val="20"/>
              </w:rPr>
            </w:pPr>
            <w:r w:rsidRPr="00C20CAA">
              <w:rPr>
                <w:rFonts w:ascii="Arial" w:hAnsi="Arial" w:cs="Arial"/>
                <w:b/>
                <w:bCs/>
                <w:sz w:val="20"/>
                <w:szCs w:val="20"/>
              </w:rPr>
              <w:t>Falmouth Hospital</w:t>
            </w:r>
          </w:p>
        </w:tc>
      </w:tr>
      <w:tr w:rsidR="00FF650C" w:rsidRPr="00C20CAA" w14:paraId="4DA9408C" w14:textId="77777777" w:rsidTr="00FF650C">
        <w:tc>
          <w:tcPr>
            <w:tcW w:w="4050" w:type="dxa"/>
          </w:tcPr>
          <w:p w14:paraId="5FAEFC05" w14:textId="77777777" w:rsidR="00FF650C" w:rsidRPr="00C20CAA" w:rsidRDefault="00FF650C" w:rsidP="00D6480A">
            <w:pPr>
              <w:rPr>
                <w:rFonts w:ascii="Arial" w:hAnsi="Arial" w:cs="Arial"/>
                <w:sz w:val="20"/>
                <w:szCs w:val="20"/>
              </w:rPr>
            </w:pPr>
            <w:r w:rsidRPr="00C20CAA">
              <w:rPr>
                <w:rFonts w:ascii="Arial" w:hAnsi="Arial" w:cs="Arial"/>
                <w:sz w:val="20"/>
                <w:szCs w:val="20"/>
              </w:rPr>
              <w:t xml:space="preserve">Darion Thompson-Smith </w:t>
            </w:r>
          </w:p>
        </w:tc>
        <w:tc>
          <w:tcPr>
            <w:tcW w:w="2430" w:type="dxa"/>
          </w:tcPr>
          <w:p w14:paraId="57072521"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val="restart"/>
            <w:vAlign w:val="center"/>
          </w:tcPr>
          <w:p w14:paraId="4828509C" w14:textId="77777777" w:rsidR="00FF650C" w:rsidRPr="00C20CAA" w:rsidRDefault="00FF650C" w:rsidP="00FF650C">
            <w:pPr>
              <w:jc w:val="center"/>
              <w:rPr>
                <w:rFonts w:ascii="Arial" w:hAnsi="Arial" w:cs="Arial"/>
                <w:sz w:val="20"/>
                <w:szCs w:val="20"/>
              </w:rPr>
            </w:pPr>
            <w:r w:rsidRPr="00C20CAA">
              <w:rPr>
                <w:rFonts w:ascii="Arial" w:hAnsi="Arial" w:cs="Arial"/>
                <w:sz w:val="20"/>
                <w:szCs w:val="20"/>
              </w:rPr>
              <w:t>0</w:t>
            </w:r>
          </w:p>
        </w:tc>
      </w:tr>
      <w:tr w:rsidR="00FF650C" w:rsidRPr="00C20CAA" w14:paraId="0CD4F493" w14:textId="77777777" w:rsidTr="00D6480A">
        <w:tc>
          <w:tcPr>
            <w:tcW w:w="4050" w:type="dxa"/>
          </w:tcPr>
          <w:p w14:paraId="711E0676" w14:textId="77777777" w:rsidR="00FF650C" w:rsidRPr="00C20CAA" w:rsidRDefault="00FF650C" w:rsidP="00D6480A">
            <w:pPr>
              <w:rPr>
                <w:rFonts w:ascii="Arial" w:hAnsi="Arial" w:cs="Arial"/>
                <w:sz w:val="20"/>
                <w:szCs w:val="20"/>
              </w:rPr>
            </w:pPr>
            <w:r w:rsidRPr="00C20CAA">
              <w:rPr>
                <w:rFonts w:ascii="Arial" w:hAnsi="Arial" w:cs="Arial"/>
                <w:sz w:val="20"/>
                <w:szCs w:val="20"/>
              </w:rPr>
              <w:t xml:space="preserve">Carlington McLennon </w:t>
            </w:r>
          </w:p>
        </w:tc>
        <w:tc>
          <w:tcPr>
            <w:tcW w:w="2430" w:type="dxa"/>
          </w:tcPr>
          <w:p w14:paraId="27EAC146"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74055D30" w14:textId="77777777" w:rsidR="00FF650C" w:rsidRPr="00C20CAA" w:rsidRDefault="00FF650C" w:rsidP="00F41554">
            <w:pPr>
              <w:jc w:val="center"/>
              <w:rPr>
                <w:rFonts w:ascii="Arial" w:hAnsi="Arial" w:cs="Arial"/>
                <w:sz w:val="20"/>
                <w:szCs w:val="20"/>
              </w:rPr>
            </w:pPr>
          </w:p>
        </w:tc>
      </w:tr>
      <w:tr w:rsidR="00FF650C" w:rsidRPr="00C20CAA" w14:paraId="3F41662E" w14:textId="77777777" w:rsidTr="00D6480A">
        <w:tc>
          <w:tcPr>
            <w:tcW w:w="4050" w:type="dxa"/>
          </w:tcPr>
          <w:p w14:paraId="60B761E0" w14:textId="77777777" w:rsidR="00FF650C" w:rsidRPr="00C20CAA" w:rsidRDefault="00FF650C" w:rsidP="00D6480A">
            <w:pPr>
              <w:rPr>
                <w:rFonts w:ascii="Arial" w:hAnsi="Arial" w:cs="Arial"/>
                <w:sz w:val="20"/>
                <w:szCs w:val="20"/>
              </w:rPr>
            </w:pPr>
            <w:r w:rsidRPr="00C20CAA">
              <w:rPr>
                <w:rFonts w:ascii="Arial" w:hAnsi="Arial" w:cs="Arial"/>
                <w:sz w:val="20"/>
                <w:szCs w:val="20"/>
              </w:rPr>
              <w:t>Damian Leslie</w:t>
            </w:r>
          </w:p>
        </w:tc>
        <w:tc>
          <w:tcPr>
            <w:tcW w:w="2430" w:type="dxa"/>
          </w:tcPr>
          <w:p w14:paraId="7632AA3C" w14:textId="77777777" w:rsidR="00FF650C" w:rsidRPr="00C20CAA" w:rsidRDefault="00FF650C"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10B9B42A" w14:textId="77777777" w:rsidR="00FF650C" w:rsidRPr="00C20CAA" w:rsidRDefault="00FF650C" w:rsidP="00F41554">
            <w:pPr>
              <w:jc w:val="center"/>
              <w:rPr>
                <w:rFonts w:ascii="Arial" w:hAnsi="Arial" w:cs="Arial"/>
                <w:sz w:val="20"/>
                <w:szCs w:val="20"/>
              </w:rPr>
            </w:pPr>
          </w:p>
        </w:tc>
      </w:tr>
      <w:tr w:rsidR="00FF650C" w:rsidRPr="00C20CAA" w14:paraId="6CFAE574" w14:textId="77777777" w:rsidTr="00977BCB">
        <w:tc>
          <w:tcPr>
            <w:tcW w:w="8370" w:type="dxa"/>
            <w:gridSpan w:val="3"/>
            <w:shd w:val="clear" w:color="auto" w:fill="DBE5F1" w:themeFill="accent1" w:themeFillTint="33"/>
          </w:tcPr>
          <w:p w14:paraId="4AF9D205" w14:textId="77777777" w:rsidR="00FF650C" w:rsidRPr="00C20CAA" w:rsidRDefault="00FF650C" w:rsidP="00F41554">
            <w:pPr>
              <w:jc w:val="center"/>
              <w:rPr>
                <w:rFonts w:ascii="Arial" w:hAnsi="Arial" w:cs="Arial"/>
                <w:sz w:val="20"/>
                <w:szCs w:val="20"/>
              </w:rPr>
            </w:pPr>
            <w:r w:rsidRPr="00C20CAA">
              <w:rPr>
                <w:rFonts w:ascii="Arial" w:hAnsi="Arial" w:cs="Arial"/>
                <w:b/>
                <w:sz w:val="20"/>
                <w:szCs w:val="20"/>
              </w:rPr>
              <w:t>PCJ’s REED Engineers Team Composition</w:t>
            </w:r>
          </w:p>
        </w:tc>
      </w:tr>
      <w:tr w:rsidR="00977BCB" w:rsidRPr="00C20CAA" w14:paraId="0F64A75E" w14:textId="77777777" w:rsidTr="00977BCB">
        <w:tc>
          <w:tcPr>
            <w:tcW w:w="4050" w:type="dxa"/>
          </w:tcPr>
          <w:p w14:paraId="70417299" w14:textId="77777777" w:rsidR="00977BCB" w:rsidRPr="00C20CAA" w:rsidRDefault="00977BCB" w:rsidP="00FF650C">
            <w:pPr>
              <w:rPr>
                <w:rFonts w:ascii="Arial" w:hAnsi="Arial" w:cs="Arial"/>
                <w:color w:val="000000" w:themeColor="text1"/>
                <w:sz w:val="20"/>
                <w:szCs w:val="20"/>
              </w:rPr>
            </w:pPr>
            <w:r w:rsidRPr="00C20CAA">
              <w:rPr>
                <w:rFonts w:ascii="Arial" w:hAnsi="Arial" w:cs="Arial"/>
                <w:color w:val="000000" w:themeColor="text1"/>
                <w:sz w:val="20"/>
                <w:szCs w:val="20"/>
              </w:rPr>
              <w:t>Graig Tattray</w:t>
            </w:r>
          </w:p>
        </w:tc>
        <w:tc>
          <w:tcPr>
            <w:tcW w:w="2430" w:type="dxa"/>
          </w:tcPr>
          <w:p w14:paraId="19D6414F"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val="restart"/>
            <w:vAlign w:val="center"/>
          </w:tcPr>
          <w:p w14:paraId="4B943290" w14:textId="77777777" w:rsidR="00977BCB" w:rsidRPr="00C20CAA" w:rsidRDefault="00977BCB" w:rsidP="00977BCB">
            <w:pPr>
              <w:jc w:val="center"/>
              <w:rPr>
                <w:rFonts w:ascii="Arial" w:hAnsi="Arial" w:cs="Arial"/>
                <w:sz w:val="20"/>
                <w:szCs w:val="20"/>
              </w:rPr>
            </w:pPr>
            <w:r w:rsidRPr="00C20CAA">
              <w:rPr>
                <w:rFonts w:ascii="Arial" w:hAnsi="Arial" w:cs="Arial"/>
                <w:sz w:val="20"/>
                <w:szCs w:val="20"/>
              </w:rPr>
              <w:t>30%</w:t>
            </w:r>
          </w:p>
        </w:tc>
      </w:tr>
      <w:tr w:rsidR="00977BCB" w:rsidRPr="00C20CAA" w14:paraId="2C96FF72" w14:textId="77777777" w:rsidTr="00D6480A">
        <w:tc>
          <w:tcPr>
            <w:tcW w:w="4050" w:type="dxa"/>
          </w:tcPr>
          <w:p w14:paraId="23756797"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Jannelle James</w:t>
            </w:r>
          </w:p>
        </w:tc>
        <w:tc>
          <w:tcPr>
            <w:tcW w:w="2430" w:type="dxa"/>
          </w:tcPr>
          <w:p w14:paraId="6A13C64C"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13AB4587" w14:textId="77777777" w:rsidR="00977BCB" w:rsidRPr="00C20CAA" w:rsidRDefault="00977BCB" w:rsidP="00F41554">
            <w:pPr>
              <w:jc w:val="center"/>
              <w:rPr>
                <w:rFonts w:ascii="Arial" w:hAnsi="Arial" w:cs="Arial"/>
                <w:sz w:val="20"/>
                <w:szCs w:val="20"/>
              </w:rPr>
            </w:pPr>
          </w:p>
        </w:tc>
      </w:tr>
      <w:tr w:rsidR="00977BCB" w:rsidRPr="00C20CAA" w14:paraId="6CE895E9" w14:textId="77777777" w:rsidTr="00D6480A">
        <w:tc>
          <w:tcPr>
            <w:tcW w:w="4050" w:type="dxa"/>
          </w:tcPr>
          <w:p w14:paraId="37D2831E"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Kevin Gallimore</w:t>
            </w:r>
          </w:p>
        </w:tc>
        <w:tc>
          <w:tcPr>
            <w:tcW w:w="2430" w:type="dxa"/>
          </w:tcPr>
          <w:p w14:paraId="21FCF369"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0012D100" w14:textId="77777777" w:rsidR="00977BCB" w:rsidRPr="00C20CAA" w:rsidRDefault="00977BCB" w:rsidP="00F41554">
            <w:pPr>
              <w:jc w:val="center"/>
              <w:rPr>
                <w:rFonts w:ascii="Arial" w:hAnsi="Arial" w:cs="Arial"/>
                <w:sz w:val="20"/>
                <w:szCs w:val="20"/>
              </w:rPr>
            </w:pPr>
          </w:p>
        </w:tc>
      </w:tr>
      <w:tr w:rsidR="00977BCB" w:rsidRPr="00C20CAA" w14:paraId="0CCF7B6A" w14:textId="77777777" w:rsidTr="00D6480A">
        <w:tc>
          <w:tcPr>
            <w:tcW w:w="4050" w:type="dxa"/>
          </w:tcPr>
          <w:p w14:paraId="31CBEC3B"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Kemar Mantock</w:t>
            </w:r>
          </w:p>
        </w:tc>
        <w:tc>
          <w:tcPr>
            <w:tcW w:w="2430" w:type="dxa"/>
          </w:tcPr>
          <w:p w14:paraId="773259CA"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61AB89B9" w14:textId="77777777" w:rsidR="00977BCB" w:rsidRPr="00C20CAA" w:rsidRDefault="00977BCB" w:rsidP="00F41554">
            <w:pPr>
              <w:jc w:val="center"/>
              <w:rPr>
                <w:rFonts w:ascii="Arial" w:hAnsi="Arial" w:cs="Arial"/>
                <w:sz w:val="20"/>
                <w:szCs w:val="20"/>
              </w:rPr>
            </w:pPr>
          </w:p>
        </w:tc>
      </w:tr>
      <w:tr w:rsidR="00977BCB" w:rsidRPr="00C20CAA" w14:paraId="62151AA9" w14:textId="77777777" w:rsidTr="00D6480A">
        <w:tc>
          <w:tcPr>
            <w:tcW w:w="4050" w:type="dxa"/>
          </w:tcPr>
          <w:p w14:paraId="0EBE58FE"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Shane Silvera</w:t>
            </w:r>
          </w:p>
        </w:tc>
        <w:tc>
          <w:tcPr>
            <w:tcW w:w="2430" w:type="dxa"/>
          </w:tcPr>
          <w:p w14:paraId="3768C6B1"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499B338A" w14:textId="77777777" w:rsidR="00977BCB" w:rsidRPr="00C20CAA" w:rsidRDefault="00977BCB" w:rsidP="00F41554">
            <w:pPr>
              <w:jc w:val="center"/>
              <w:rPr>
                <w:rFonts w:ascii="Arial" w:hAnsi="Arial" w:cs="Arial"/>
                <w:sz w:val="20"/>
                <w:szCs w:val="20"/>
              </w:rPr>
            </w:pPr>
          </w:p>
        </w:tc>
      </w:tr>
      <w:tr w:rsidR="00977BCB" w:rsidRPr="00C20CAA" w14:paraId="6A2EF48B" w14:textId="77777777" w:rsidTr="00D6480A">
        <w:tc>
          <w:tcPr>
            <w:tcW w:w="4050" w:type="dxa"/>
          </w:tcPr>
          <w:p w14:paraId="5EACA3F4" w14:textId="77777777" w:rsidR="00977BCB" w:rsidRPr="00C20CAA" w:rsidRDefault="00977BCB" w:rsidP="00FF650C">
            <w:pPr>
              <w:rPr>
                <w:rFonts w:ascii="Arial" w:hAnsi="Arial" w:cs="Arial"/>
                <w:color w:val="000000" w:themeColor="text1"/>
                <w:sz w:val="20"/>
                <w:szCs w:val="20"/>
              </w:rPr>
            </w:pPr>
            <w:r w:rsidRPr="00C20CAA">
              <w:rPr>
                <w:rFonts w:ascii="Arial" w:hAnsi="Arial" w:cs="Arial"/>
                <w:color w:val="000000" w:themeColor="text1"/>
                <w:sz w:val="20"/>
                <w:szCs w:val="20"/>
              </w:rPr>
              <w:t>Rasheed McCallum</w:t>
            </w:r>
          </w:p>
        </w:tc>
        <w:tc>
          <w:tcPr>
            <w:tcW w:w="2430" w:type="dxa"/>
          </w:tcPr>
          <w:p w14:paraId="201AAA53"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3A04EE18" w14:textId="77777777" w:rsidR="00977BCB" w:rsidRPr="00C20CAA" w:rsidRDefault="00977BCB" w:rsidP="00F41554">
            <w:pPr>
              <w:jc w:val="center"/>
              <w:rPr>
                <w:rFonts w:ascii="Arial" w:hAnsi="Arial" w:cs="Arial"/>
                <w:sz w:val="20"/>
                <w:szCs w:val="20"/>
              </w:rPr>
            </w:pPr>
          </w:p>
        </w:tc>
      </w:tr>
      <w:tr w:rsidR="00977BCB" w:rsidRPr="00C20CAA" w14:paraId="16184F7C" w14:textId="77777777" w:rsidTr="00D6480A">
        <w:tc>
          <w:tcPr>
            <w:tcW w:w="4050" w:type="dxa"/>
          </w:tcPr>
          <w:p w14:paraId="266872EE"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Niconor Reece</w:t>
            </w:r>
          </w:p>
        </w:tc>
        <w:tc>
          <w:tcPr>
            <w:tcW w:w="2430" w:type="dxa"/>
          </w:tcPr>
          <w:p w14:paraId="100DE6A9"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00569ED7" w14:textId="77777777" w:rsidR="00977BCB" w:rsidRPr="00C20CAA" w:rsidRDefault="00977BCB" w:rsidP="00F41554">
            <w:pPr>
              <w:jc w:val="center"/>
              <w:rPr>
                <w:rFonts w:ascii="Arial" w:hAnsi="Arial" w:cs="Arial"/>
                <w:sz w:val="20"/>
                <w:szCs w:val="20"/>
              </w:rPr>
            </w:pPr>
          </w:p>
        </w:tc>
      </w:tr>
      <w:tr w:rsidR="00977BCB" w:rsidRPr="00C20CAA" w14:paraId="47C8D683" w14:textId="77777777" w:rsidTr="00D6480A">
        <w:tc>
          <w:tcPr>
            <w:tcW w:w="4050" w:type="dxa"/>
          </w:tcPr>
          <w:p w14:paraId="3DAE166C"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Claon Rowe</w:t>
            </w:r>
          </w:p>
        </w:tc>
        <w:tc>
          <w:tcPr>
            <w:tcW w:w="2430" w:type="dxa"/>
          </w:tcPr>
          <w:p w14:paraId="5A9F154A"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2400A50E" w14:textId="77777777" w:rsidR="00977BCB" w:rsidRPr="00C20CAA" w:rsidRDefault="00977BCB" w:rsidP="00F41554">
            <w:pPr>
              <w:jc w:val="center"/>
              <w:rPr>
                <w:rFonts w:ascii="Arial" w:hAnsi="Arial" w:cs="Arial"/>
                <w:sz w:val="20"/>
                <w:szCs w:val="20"/>
              </w:rPr>
            </w:pPr>
          </w:p>
        </w:tc>
      </w:tr>
      <w:tr w:rsidR="00977BCB" w:rsidRPr="00C20CAA" w14:paraId="18B9E6E1" w14:textId="77777777" w:rsidTr="00D6480A">
        <w:tc>
          <w:tcPr>
            <w:tcW w:w="4050" w:type="dxa"/>
          </w:tcPr>
          <w:p w14:paraId="7EDA43EA"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Charles Koomson</w:t>
            </w:r>
          </w:p>
        </w:tc>
        <w:tc>
          <w:tcPr>
            <w:tcW w:w="2430" w:type="dxa"/>
          </w:tcPr>
          <w:p w14:paraId="166C7088"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5925C315" w14:textId="77777777" w:rsidR="00977BCB" w:rsidRPr="00C20CAA" w:rsidRDefault="00977BCB" w:rsidP="00F41554">
            <w:pPr>
              <w:jc w:val="center"/>
              <w:rPr>
                <w:rFonts w:ascii="Arial" w:hAnsi="Arial" w:cs="Arial"/>
                <w:sz w:val="20"/>
                <w:szCs w:val="20"/>
              </w:rPr>
            </w:pPr>
          </w:p>
        </w:tc>
      </w:tr>
      <w:tr w:rsidR="00977BCB" w:rsidRPr="00C20CAA" w14:paraId="0BEEEC7B" w14:textId="77777777" w:rsidTr="00D6480A">
        <w:tc>
          <w:tcPr>
            <w:tcW w:w="4050" w:type="dxa"/>
          </w:tcPr>
          <w:p w14:paraId="2EDB0EF2"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Denise Tulloch</w:t>
            </w:r>
          </w:p>
        </w:tc>
        <w:tc>
          <w:tcPr>
            <w:tcW w:w="2430" w:type="dxa"/>
          </w:tcPr>
          <w:p w14:paraId="24D91F26"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388CC85A" w14:textId="77777777" w:rsidR="00977BCB" w:rsidRPr="00C20CAA" w:rsidRDefault="00977BCB" w:rsidP="00F41554">
            <w:pPr>
              <w:jc w:val="center"/>
              <w:rPr>
                <w:rFonts w:ascii="Arial" w:hAnsi="Arial" w:cs="Arial"/>
                <w:sz w:val="20"/>
                <w:szCs w:val="20"/>
              </w:rPr>
            </w:pPr>
          </w:p>
        </w:tc>
      </w:tr>
      <w:tr w:rsidR="00977BCB" w:rsidRPr="00C20CAA" w14:paraId="6B52DBCA" w14:textId="77777777" w:rsidTr="00977BCB">
        <w:tc>
          <w:tcPr>
            <w:tcW w:w="8370" w:type="dxa"/>
            <w:gridSpan w:val="3"/>
            <w:shd w:val="clear" w:color="auto" w:fill="DBE5F1" w:themeFill="accent1" w:themeFillTint="33"/>
          </w:tcPr>
          <w:p w14:paraId="67F2DE9B" w14:textId="77777777" w:rsidR="00977BCB" w:rsidRPr="00C20CAA" w:rsidRDefault="00977BCB" w:rsidP="00F41554">
            <w:pPr>
              <w:jc w:val="center"/>
              <w:rPr>
                <w:rFonts w:ascii="Arial" w:hAnsi="Arial" w:cs="Arial"/>
                <w:b/>
                <w:color w:val="000000" w:themeColor="text1"/>
                <w:sz w:val="20"/>
                <w:szCs w:val="20"/>
              </w:rPr>
            </w:pPr>
            <w:r w:rsidRPr="00C20CAA">
              <w:rPr>
                <w:rFonts w:ascii="Arial" w:hAnsi="Arial" w:cs="Arial"/>
                <w:b/>
                <w:color w:val="000000" w:themeColor="text1"/>
                <w:sz w:val="20"/>
                <w:szCs w:val="20"/>
              </w:rPr>
              <w:t>MSET (IRP) Policy team Composition</w:t>
            </w:r>
          </w:p>
        </w:tc>
      </w:tr>
      <w:tr w:rsidR="00977BCB" w:rsidRPr="00C20CAA" w14:paraId="7DE3B84A" w14:textId="77777777" w:rsidTr="00977BCB">
        <w:tc>
          <w:tcPr>
            <w:tcW w:w="4050" w:type="dxa"/>
          </w:tcPr>
          <w:p w14:paraId="64C6BB68" w14:textId="77777777" w:rsidR="00977BCB" w:rsidRPr="00C20CAA" w:rsidRDefault="00977BCB" w:rsidP="00977BCB">
            <w:pPr>
              <w:rPr>
                <w:rFonts w:ascii="Arial" w:hAnsi="Arial" w:cs="Arial"/>
                <w:color w:val="000000" w:themeColor="text1"/>
                <w:sz w:val="20"/>
                <w:szCs w:val="20"/>
              </w:rPr>
            </w:pPr>
            <w:r w:rsidRPr="00C20CAA">
              <w:rPr>
                <w:rFonts w:ascii="Arial" w:hAnsi="Arial" w:cs="Arial"/>
                <w:color w:val="000000" w:themeColor="text1"/>
                <w:sz w:val="20"/>
                <w:szCs w:val="20"/>
              </w:rPr>
              <w:t>Fitzroy Vidal</w:t>
            </w:r>
          </w:p>
        </w:tc>
        <w:tc>
          <w:tcPr>
            <w:tcW w:w="2430" w:type="dxa"/>
          </w:tcPr>
          <w:p w14:paraId="37107BB1"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val="restart"/>
            <w:vAlign w:val="center"/>
          </w:tcPr>
          <w:p w14:paraId="0E661942" w14:textId="77777777" w:rsidR="00977BCB" w:rsidRPr="00C20CAA" w:rsidRDefault="00977BCB" w:rsidP="00977BCB">
            <w:pPr>
              <w:jc w:val="center"/>
              <w:rPr>
                <w:rFonts w:ascii="Arial" w:hAnsi="Arial" w:cs="Arial"/>
                <w:sz w:val="20"/>
                <w:szCs w:val="20"/>
              </w:rPr>
            </w:pPr>
            <w:r w:rsidRPr="00C20CAA">
              <w:rPr>
                <w:rFonts w:ascii="Arial" w:hAnsi="Arial" w:cs="Arial"/>
                <w:sz w:val="20"/>
                <w:szCs w:val="20"/>
              </w:rPr>
              <w:t>43%</w:t>
            </w:r>
          </w:p>
        </w:tc>
      </w:tr>
      <w:tr w:rsidR="00977BCB" w:rsidRPr="00C20CAA" w14:paraId="415BB1B4" w14:textId="77777777" w:rsidTr="00D6480A">
        <w:tc>
          <w:tcPr>
            <w:tcW w:w="4050" w:type="dxa"/>
          </w:tcPr>
          <w:p w14:paraId="2421DB62"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Horace Buckley</w:t>
            </w:r>
          </w:p>
        </w:tc>
        <w:tc>
          <w:tcPr>
            <w:tcW w:w="2430" w:type="dxa"/>
          </w:tcPr>
          <w:p w14:paraId="41E9F2AD"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470FB9E7" w14:textId="77777777" w:rsidR="00977BCB" w:rsidRPr="00C20CAA" w:rsidRDefault="00977BCB" w:rsidP="00F41554">
            <w:pPr>
              <w:jc w:val="center"/>
              <w:rPr>
                <w:rFonts w:ascii="Arial" w:hAnsi="Arial" w:cs="Arial"/>
                <w:sz w:val="20"/>
                <w:szCs w:val="20"/>
              </w:rPr>
            </w:pPr>
          </w:p>
        </w:tc>
      </w:tr>
      <w:tr w:rsidR="00977BCB" w:rsidRPr="00C20CAA" w14:paraId="3D68CD61" w14:textId="77777777" w:rsidTr="00D6480A">
        <w:tc>
          <w:tcPr>
            <w:tcW w:w="4050" w:type="dxa"/>
          </w:tcPr>
          <w:p w14:paraId="75BD179C"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Jody Grizzle</w:t>
            </w:r>
          </w:p>
        </w:tc>
        <w:tc>
          <w:tcPr>
            <w:tcW w:w="2430" w:type="dxa"/>
          </w:tcPr>
          <w:p w14:paraId="723FB7FA"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1181D8DA" w14:textId="77777777" w:rsidR="00977BCB" w:rsidRPr="00C20CAA" w:rsidRDefault="00977BCB" w:rsidP="00F41554">
            <w:pPr>
              <w:jc w:val="center"/>
              <w:rPr>
                <w:rFonts w:ascii="Arial" w:hAnsi="Arial" w:cs="Arial"/>
                <w:sz w:val="20"/>
                <w:szCs w:val="20"/>
              </w:rPr>
            </w:pPr>
          </w:p>
        </w:tc>
      </w:tr>
      <w:tr w:rsidR="00977BCB" w:rsidRPr="00C20CAA" w14:paraId="06E5533D" w14:textId="77777777" w:rsidTr="00D6480A">
        <w:tc>
          <w:tcPr>
            <w:tcW w:w="4050" w:type="dxa"/>
          </w:tcPr>
          <w:p w14:paraId="789BE631"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Mark Williams</w:t>
            </w:r>
          </w:p>
        </w:tc>
        <w:tc>
          <w:tcPr>
            <w:tcW w:w="2430" w:type="dxa"/>
          </w:tcPr>
          <w:p w14:paraId="0FDACB7B"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57BCF3E4" w14:textId="77777777" w:rsidR="00977BCB" w:rsidRPr="00C20CAA" w:rsidRDefault="00977BCB" w:rsidP="00F41554">
            <w:pPr>
              <w:jc w:val="center"/>
              <w:rPr>
                <w:rFonts w:ascii="Arial" w:hAnsi="Arial" w:cs="Arial"/>
                <w:sz w:val="20"/>
                <w:szCs w:val="20"/>
              </w:rPr>
            </w:pPr>
          </w:p>
        </w:tc>
      </w:tr>
      <w:tr w:rsidR="00977BCB" w:rsidRPr="00C20CAA" w14:paraId="734DDA92" w14:textId="77777777" w:rsidTr="00D6480A">
        <w:tc>
          <w:tcPr>
            <w:tcW w:w="4050" w:type="dxa"/>
          </w:tcPr>
          <w:p w14:paraId="26B703BC"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lastRenderedPageBreak/>
              <w:t>Yvonne Barret Edwards</w:t>
            </w:r>
          </w:p>
        </w:tc>
        <w:tc>
          <w:tcPr>
            <w:tcW w:w="2430" w:type="dxa"/>
          </w:tcPr>
          <w:p w14:paraId="5616FC17"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4AD1F26B" w14:textId="77777777" w:rsidR="00977BCB" w:rsidRPr="00C20CAA" w:rsidRDefault="00977BCB" w:rsidP="00F41554">
            <w:pPr>
              <w:jc w:val="center"/>
              <w:rPr>
                <w:rFonts w:ascii="Arial" w:hAnsi="Arial" w:cs="Arial"/>
                <w:sz w:val="20"/>
                <w:szCs w:val="20"/>
              </w:rPr>
            </w:pPr>
          </w:p>
        </w:tc>
      </w:tr>
      <w:tr w:rsidR="00977BCB" w:rsidRPr="00C20CAA" w14:paraId="4A77B670" w14:textId="77777777" w:rsidTr="00D6480A">
        <w:tc>
          <w:tcPr>
            <w:tcW w:w="4050" w:type="dxa"/>
          </w:tcPr>
          <w:p w14:paraId="0CC6FBDE"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Olivene Dahlia Rhodes</w:t>
            </w:r>
          </w:p>
        </w:tc>
        <w:tc>
          <w:tcPr>
            <w:tcW w:w="2430" w:type="dxa"/>
          </w:tcPr>
          <w:p w14:paraId="48B92B9F"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Female</w:t>
            </w:r>
          </w:p>
        </w:tc>
        <w:tc>
          <w:tcPr>
            <w:tcW w:w="1890" w:type="dxa"/>
            <w:vMerge/>
          </w:tcPr>
          <w:p w14:paraId="02CB408B" w14:textId="77777777" w:rsidR="00977BCB" w:rsidRPr="00C20CAA" w:rsidRDefault="00977BCB" w:rsidP="00F41554">
            <w:pPr>
              <w:jc w:val="center"/>
              <w:rPr>
                <w:rFonts w:ascii="Arial" w:hAnsi="Arial" w:cs="Arial"/>
                <w:sz w:val="20"/>
                <w:szCs w:val="20"/>
              </w:rPr>
            </w:pPr>
          </w:p>
        </w:tc>
      </w:tr>
      <w:tr w:rsidR="00977BCB" w:rsidRPr="00C20CAA" w14:paraId="20A59FE4" w14:textId="77777777" w:rsidTr="00D6480A">
        <w:tc>
          <w:tcPr>
            <w:tcW w:w="4050" w:type="dxa"/>
          </w:tcPr>
          <w:p w14:paraId="6D9ECB64" w14:textId="77777777" w:rsidR="00977BCB" w:rsidRPr="00C20CAA" w:rsidRDefault="00977BCB" w:rsidP="00D6480A">
            <w:pPr>
              <w:rPr>
                <w:rFonts w:ascii="Arial" w:hAnsi="Arial" w:cs="Arial"/>
                <w:color w:val="000000" w:themeColor="text1"/>
                <w:sz w:val="20"/>
                <w:szCs w:val="20"/>
              </w:rPr>
            </w:pPr>
            <w:r w:rsidRPr="00C20CAA">
              <w:rPr>
                <w:rFonts w:ascii="Arial" w:hAnsi="Arial" w:cs="Arial"/>
                <w:color w:val="000000" w:themeColor="text1"/>
                <w:sz w:val="20"/>
                <w:szCs w:val="20"/>
              </w:rPr>
              <w:t>Omar Alcock</w:t>
            </w:r>
          </w:p>
        </w:tc>
        <w:tc>
          <w:tcPr>
            <w:tcW w:w="2430" w:type="dxa"/>
          </w:tcPr>
          <w:p w14:paraId="7FEDB0F6" w14:textId="77777777" w:rsidR="00977BCB" w:rsidRPr="00C20CAA" w:rsidRDefault="00977BCB" w:rsidP="00F41554">
            <w:pPr>
              <w:jc w:val="center"/>
              <w:rPr>
                <w:rFonts w:ascii="Arial" w:hAnsi="Arial" w:cs="Arial"/>
                <w:sz w:val="20"/>
                <w:szCs w:val="20"/>
              </w:rPr>
            </w:pPr>
            <w:r w:rsidRPr="00C20CAA">
              <w:rPr>
                <w:rFonts w:ascii="Arial" w:hAnsi="Arial" w:cs="Arial"/>
                <w:sz w:val="20"/>
                <w:szCs w:val="20"/>
              </w:rPr>
              <w:t>Male</w:t>
            </w:r>
          </w:p>
        </w:tc>
        <w:tc>
          <w:tcPr>
            <w:tcW w:w="1890" w:type="dxa"/>
            <w:vMerge/>
          </w:tcPr>
          <w:p w14:paraId="5CAAD476" w14:textId="77777777" w:rsidR="00977BCB" w:rsidRPr="00C20CAA" w:rsidRDefault="00977BCB" w:rsidP="00F41554">
            <w:pPr>
              <w:jc w:val="center"/>
              <w:rPr>
                <w:rFonts w:ascii="Arial" w:hAnsi="Arial" w:cs="Arial"/>
                <w:sz w:val="20"/>
                <w:szCs w:val="20"/>
              </w:rPr>
            </w:pPr>
          </w:p>
        </w:tc>
      </w:tr>
    </w:tbl>
    <w:p w14:paraId="0CF3AC52" w14:textId="77777777" w:rsidR="00F41554" w:rsidRPr="00C20CAA" w:rsidRDefault="00F41554" w:rsidP="00F41554">
      <w:pPr>
        <w:jc w:val="center"/>
        <w:rPr>
          <w:rFonts w:ascii="Arial" w:hAnsi="Arial" w:cs="Arial"/>
          <w:b/>
        </w:rPr>
      </w:pPr>
    </w:p>
    <w:sectPr w:rsidR="00F41554" w:rsidRPr="00C20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63607" w14:textId="77777777" w:rsidR="007E7DC9" w:rsidRDefault="007E7DC9" w:rsidP="000C04ED">
      <w:pPr>
        <w:spacing w:after="0" w:line="240" w:lineRule="auto"/>
      </w:pPr>
      <w:r>
        <w:separator/>
      </w:r>
    </w:p>
  </w:endnote>
  <w:endnote w:type="continuationSeparator" w:id="0">
    <w:p w14:paraId="574E3842" w14:textId="77777777" w:rsidR="007E7DC9" w:rsidRDefault="007E7DC9" w:rsidP="000C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E2E5" w14:textId="77777777" w:rsidR="00183FB6" w:rsidRDefault="00183FB6">
    <w:pPr>
      <w:pStyle w:val="Footer"/>
      <w:framePr w:wrap="around" w:vAnchor="text" w:hAnchor="margin" w:xAlign="right" w:y="1"/>
      <w:rPr>
        <w:rStyle w:val="PageNumber"/>
      </w:rPr>
    </w:pPr>
  </w:p>
  <w:p w14:paraId="09AB4401" w14:textId="77777777" w:rsidR="00183FB6" w:rsidRDefault="00183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37AB" w14:textId="77777777" w:rsidR="007E7DC9" w:rsidRDefault="007E7DC9" w:rsidP="000C04ED">
      <w:pPr>
        <w:spacing w:after="0" w:line="240" w:lineRule="auto"/>
      </w:pPr>
      <w:r>
        <w:separator/>
      </w:r>
    </w:p>
  </w:footnote>
  <w:footnote w:type="continuationSeparator" w:id="0">
    <w:p w14:paraId="008CD202" w14:textId="77777777" w:rsidR="007E7DC9" w:rsidRDefault="007E7DC9" w:rsidP="000C04ED">
      <w:pPr>
        <w:spacing w:after="0" w:line="240" w:lineRule="auto"/>
      </w:pPr>
      <w:r>
        <w:continuationSeparator/>
      </w:r>
    </w:p>
  </w:footnote>
  <w:footnote w:id="1">
    <w:p w14:paraId="7120EB7E" w14:textId="77777777" w:rsidR="00882A91" w:rsidRPr="00456268" w:rsidRDefault="00882A91" w:rsidP="00882A91">
      <w:pPr>
        <w:pStyle w:val="FootnoteText"/>
        <w:rPr>
          <w:rFonts w:ascii="Arial" w:hAnsi="Arial" w:cs="Arial"/>
          <w:sz w:val="18"/>
          <w:szCs w:val="18"/>
        </w:rPr>
      </w:pPr>
      <w:r w:rsidRPr="00456268">
        <w:rPr>
          <w:rStyle w:val="FootnoteReference"/>
          <w:rFonts w:ascii="Arial" w:hAnsi="Arial" w:cs="Arial"/>
          <w:sz w:val="18"/>
          <w:szCs w:val="18"/>
        </w:rPr>
        <w:footnoteRef/>
      </w:r>
      <w:r w:rsidRPr="00456268">
        <w:rPr>
          <w:rFonts w:ascii="Arial" w:hAnsi="Arial" w:cs="Arial"/>
          <w:sz w:val="18"/>
          <w:szCs w:val="18"/>
        </w:rPr>
        <w:t xml:space="preserve"> World Bank (2015). GenderStats.</w:t>
      </w:r>
    </w:p>
  </w:footnote>
  <w:footnote w:id="2">
    <w:p w14:paraId="16F73CDC" w14:textId="77777777" w:rsidR="00404A9F" w:rsidRPr="00456268" w:rsidRDefault="00404A9F">
      <w:pPr>
        <w:pStyle w:val="FootnoteText"/>
        <w:rPr>
          <w:rFonts w:ascii="Arial" w:hAnsi="Arial" w:cs="Arial"/>
          <w:sz w:val="18"/>
          <w:szCs w:val="18"/>
          <w:lang w:val="de-DE"/>
        </w:rPr>
      </w:pPr>
      <w:r w:rsidRPr="00456268">
        <w:rPr>
          <w:rStyle w:val="FootnoteReference"/>
          <w:rFonts w:ascii="Arial" w:hAnsi="Arial" w:cs="Arial"/>
          <w:sz w:val="18"/>
          <w:szCs w:val="18"/>
        </w:rPr>
        <w:footnoteRef/>
      </w:r>
      <w:r w:rsidRPr="00456268">
        <w:rPr>
          <w:rFonts w:ascii="Arial" w:hAnsi="Arial" w:cs="Arial"/>
          <w:sz w:val="18"/>
          <w:szCs w:val="18"/>
        </w:rPr>
        <w:t xml:space="preserve"> World Bank (2015). </w:t>
      </w:r>
      <w:r w:rsidRPr="00456268">
        <w:rPr>
          <w:rFonts w:ascii="Arial" w:hAnsi="Arial" w:cs="Arial"/>
          <w:sz w:val="18"/>
          <w:szCs w:val="18"/>
          <w:lang w:val="de-DE"/>
        </w:rPr>
        <w:t>GenderStats.</w:t>
      </w:r>
    </w:p>
  </w:footnote>
  <w:footnote w:id="3">
    <w:p w14:paraId="25E66F9B" w14:textId="77777777" w:rsidR="00404A9F" w:rsidRPr="00456268" w:rsidRDefault="00404A9F">
      <w:pPr>
        <w:pStyle w:val="FootnoteText"/>
        <w:rPr>
          <w:rFonts w:ascii="Arial" w:hAnsi="Arial" w:cs="Arial"/>
          <w:sz w:val="18"/>
          <w:szCs w:val="18"/>
          <w:lang w:val="de-DE"/>
        </w:rPr>
      </w:pPr>
      <w:r w:rsidRPr="00456268">
        <w:rPr>
          <w:rStyle w:val="FootnoteReference"/>
          <w:rFonts w:ascii="Arial" w:hAnsi="Arial" w:cs="Arial"/>
          <w:sz w:val="18"/>
          <w:szCs w:val="18"/>
        </w:rPr>
        <w:footnoteRef/>
      </w:r>
      <w:r w:rsidRPr="00456268">
        <w:rPr>
          <w:rFonts w:ascii="Arial" w:hAnsi="Arial" w:cs="Arial"/>
          <w:sz w:val="18"/>
          <w:szCs w:val="18"/>
          <w:lang w:val="de-DE"/>
        </w:rPr>
        <w:t xml:space="preserve"> World Bank (2015). GenderStats.</w:t>
      </w:r>
    </w:p>
  </w:footnote>
  <w:footnote w:id="4">
    <w:p w14:paraId="1454632E" w14:textId="77777777" w:rsidR="00DA383B" w:rsidRPr="00456268" w:rsidRDefault="00DA383B">
      <w:pPr>
        <w:pStyle w:val="FootnoteText"/>
        <w:rPr>
          <w:rFonts w:ascii="Arial" w:hAnsi="Arial" w:cs="Arial"/>
          <w:sz w:val="18"/>
          <w:szCs w:val="18"/>
        </w:rPr>
      </w:pPr>
      <w:r w:rsidRPr="00456268">
        <w:rPr>
          <w:rStyle w:val="FootnoteReference"/>
          <w:rFonts w:ascii="Arial" w:hAnsi="Arial" w:cs="Arial"/>
          <w:sz w:val="18"/>
          <w:szCs w:val="18"/>
        </w:rPr>
        <w:footnoteRef/>
      </w:r>
      <w:r w:rsidRPr="00456268">
        <w:rPr>
          <w:rFonts w:ascii="Arial" w:hAnsi="Arial" w:cs="Arial"/>
          <w:sz w:val="18"/>
          <w:szCs w:val="18"/>
          <w:lang w:val="de-DE"/>
        </w:rPr>
        <w:t xml:space="preserve"> IPU (2015). </w:t>
      </w:r>
      <w:r w:rsidRPr="00456268">
        <w:rPr>
          <w:rFonts w:ascii="Arial" w:hAnsi="Arial" w:cs="Arial"/>
          <w:sz w:val="18"/>
          <w:szCs w:val="18"/>
        </w:rPr>
        <w:t>Women in Politics.</w:t>
      </w:r>
    </w:p>
  </w:footnote>
  <w:footnote w:id="5">
    <w:p w14:paraId="046D9556" w14:textId="77777777" w:rsidR="00882A91" w:rsidRPr="00456268" w:rsidRDefault="00882A91" w:rsidP="00882A91">
      <w:pPr>
        <w:pStyle w:val="FootnoteText"/>
        <w:rPr>
          <w:rFonts w:ascii="Arial" w:hAnsi="Arial" w:cs="Arial"/>
          <w:sz w:val="18"/>
          <w:szCs w:val="18"/>
        </w:rPr>
      </w:pPr>
      <w:r w:rsidRPr="00456268">
        <w:rPr>
          <w:rStyle w:val="FootnoteReference"/>
          <w:rFonts w:ascii="Arial" w:hAnsi="Arial" w:cs="Arial"/>
          <w:sz w:val="18"/>
          <w:szCs w:val="18"/>
        </w:rPr>
        <w:footnoteRef/>
      </w:r>
      <w:r w:rsidRPr="00456268">
        <w:rPr>
          <w:rFonts w:ascii="Arial" w:hAnsi="Arial" w:cs="Arial"/>
          <w:sz w:val="18"/>
          <w:szCs w:val="18"/>
        </w:rPr>
        <w:t xml:space="preserve"> ILO (2013). ILOSTAT Database: Barbados.</w:t>
      </w:r>
    </w:p>
  </w:footnote>
  <w:footnote w:id="6">
    <w:p w14:paraId="7B06AB80" w14:textId="77777777" w:rsidR="00BD43F6" w:rsidRPr="00456268" w:rsidRDefault="00BD43F6" w:rsidP="00BD43F6">
      <w:pPr>
        <w:pStyle w:val="FootnoteText"/>
        <w:jc w:val="both"/>
        <w:rPr>
          <w:rFonts w:ascii="Arial" w:hAnsi="Arial" w:cs="Arial"/>
          <w:sz w:val="18"/>
          <w:szCs w:val="18"/>
        </w:rPr>
      </w:pPr>
      <w:r w:rsidRPr="00456268">
        <w:rPr>
          <w:rStyle w:val="FootnoteReference"/>
          <w:rFonts w:ascii="Arial" w:hAnsi="Arial" w:cs="Arial"/>
          <w:sz w:val="18"/>
          <w:szCs w:val="18"/>
        </w:rPr>
        <w:footnoteRef/>
      </w:r>
      <w:r w:rsidRPr="00456268">
        <w:rPr>
          <w:rFonts w:ascii="Arial" w:hAnsi="Arial" w:cs="Arial"/>
          <w:sz w:val="18"/>
          <w:szCs w:val="18"/>
        </w:rPr>
        <w:t xml:space="preserve"> Bellony, Annelle; Hoyos Alejandro; and Nopo, Hugo (2010). Gender Earning Gaps in the Caribbean: Evidence from Barbados and Jamaica. IDB: Washington DC. </w:t>
      </w:r>
    </w:p>
  </w:footnote>
  <w:footnote w:id="7">
    <w:p w14:paraId="49EE5498" w14:textId="77777777" w:rsidR="00BD43F6" w:rsidRPr="00E7284E" w:rsidRDefault="00BD43F6" w:rsidP="00BD43F6">
      <w:pPr>
        <w:pStyle w:val="FootnoteText"/>
        <w:jc w:val="both"/>
        <w:rPr>
          <w:rFonts w:ascii="Arial" w:hAnsi="Arial" w:cs="Arial"/>
          <w:sz w:val="18"/>
          <w:szCs w:val="18"/>
        </w:rPr>
      </w:pPr>
      <w:r w:rsidRPr="00456268">
        <w:rPr>
          <w:rStyle w:val="FootnoteReference"/>
          <w:rFonts w:ascii="Arial" w:hAnsi="Arial" w:cs="Arial"/>
          <w:sz w:val="18"/>
          <w:szCs w:val="18"/>
        </w:rPr>
        <w:footnoteRef/>
      </w:r>
      <w:r w:rsidRPr="00456268">
        <w:rPr>
          <w:rFonts w:ascii="Arial" w:hAnsi="Arial" w:cs="Arial"/>
          <w:sz w:val="18"/>
          <w:szCs w:val="18"/>
        </w:rPr>
        <w:t xml:space="preserve"> Statistical Institute of Jamaica (</w:t>
      </w:r>
      <w:hyperlink r:id="rId1" w:history="1">
        <w:r w:rsidRPr="00456268">
          <w:rPr>
            <w:rStyle w:val="Hyperlink"/>
            <w:rFonts w:ascii="Arial" w:hAnsi="Arial" w:cs="Arial"/>
            <w:sz w:val="18"/>
            <w:szCs w:val="18"/>
          </w:rPr>
          <w:t>2014</w:t>
        </w:r>
      </w:hyperlink>
      <w:r w:rsidRPr="00456268">
        <w:rPr>
          <w:rFonts w:ascii="Arial" w:hAnsi="Arial" w:cs="Arial"/>
          <w:sz w:val="18"/>
          <w:szCs w:val="18"/>
        </w:rPr>
        <w:t>). Labor Force by Industry: January 2014.</w:t>
      </w:r>
    </w:p>
  </w:footnote>
  <w:footnote w:id="8">
    <w:p w14:paraId="5730383D" w14:textId="77777777" w:rsidR="009904C7" w:rsidRDefault="009904C7">
      <w:pPr>
        <w:pStyle w:val="FootnoteText"/>
      </w:pPr>
      <w:r>
        <w:rPr>
          <w:rStyle w:val="FootnoteReference"/>
        </w:rPr>
        <w:footnoteRef/>
      </w:r>
      <w:r>
        <w:t xml:space="preserve"> Of which, 73 </w:t>
      </w:r>
      <w:r w:rsidR="0080234F">
        <w:t>financed with t</w:t>
      </w:r>
      <w:r>
        <w:t xml:space="preserve">he </w:t>
      </w:r>
      <w:r w:rsidR="0080234F">
        <w:t>JA-L1056 and 8 with the JA-G1003.</w:t>
      </w:r>
    </w:p>
  </w:footnote>
  <w:footnote w:id="9">
    <w:p w14:paraId="6FEA6103" w14:textId="77777777" w:rsidR="006E17BB" w:rsidRPr="006140B2" w:rsidRDefault="006E17BB" w:rsidP="006E17BB">
      <w:pPr>
        <w:spacing w:after="0" w:line="240" w:lineRule="auto"/>
        <w:rPr>
          <w:rFonts w:ascii="Arial" w:hAnsi="Arial" w:cs="Arial"/>
          <w:sz w:val="18"/>
          <w:szCs w:val="18"/>
        </w:rPr>
      </w:pPr>
      <w:r w:rsidRPr="006140B2">
        <w:rPr>
          <w:rFonts w:ascii="Arial" w:hAnsi="Arial" w:cs="Arial"/>
          <w:sz w:val="18"/>
          <w:szCs w:val="18"/>
          <w:vertAlign w:val="superscript"/>
        </w:rPr>
        <w:footnoteRef/>
      </w:r>
      <w:r w:rsidRPr="006140B2">
        <w:rPr>
          <w:rFonts w:ascii="Arial" w:hAnsi="Arial" w:cs="Arial"/>
          <w:sz w:val="18"/>
          <w:szCs w:val="18"/>
        </w:rPr>
        <w:t xml:space="preserve"> </w:t>
      </w:r>
      <w:r w:rsidRPr="006140B2">
        <w:rPr>
          <w:rFonts w:ascii="Arial" w:eastAsia="Arial" w:hAnsi="Arial" w:cs="Arial"/>
          <w:sz w:val="18"/>
          <w:szCs w:val="18"/>
        </w:rPr>
        <w:t>The underutilization of the labor force influences the performance of the economy in a sub-optimal level of the economy since it produces less of what could, resulting in a low economic growth for country.</w:t>
      </w:r>
    </w:p>
  </w:footnote>
  <w:footnote w:id="10">
    <w:p w14:paraId="0D989CAA" w14:textId="77777777" w:rsidR="006E17BB" w:rsidRPr="006140B2" w:rsidRDefault="006E17BB" w:rsidP="006E17BB">
      <w:pPr>
        <w:spacing w:after="0" w:line="240" w:lineRule="auto"/>
        <w:rPr>
          <w:rFonts w:ascii="Arial" w:hAnsi="Arial" w:cs="Arial"/>
          <w:sz w:val="18"/>
          <w:szCs w:val="18"/>
        </w:rPr>
      </w:pPr>
      <w:r w:rsidRPr="006140B2">
        <w:rPr>
          <w:rFonts w:ascii="Arial" w:hAnsi="Arial" w:cs="Arial"/>
          <w:sz w:val="18"/>
          <w:szCs w:val="18"/>
          <w:vertAlign w:val="superscript"/>
        </w:rPr>
        <w:footnoteRef/>
      </w:r>
      <w:r w:rsidRPr="006140B2">
        <w:rPr>
          <w:rFonts w:ascii="Arial" w:hAnsi="Arial" w:cs="Arial"/>
          <w:sz w:val="18"/>
          <w:szCs w:val="18"/>
        </w:rPr>
        <w:t xml:space="preserve"> PayScale Human Capital (</w:t>
      </w:r>
      <w:hyperlink r:id="rId2">
        <w:r w:rsidRPr="006140B2">
          <w:rPr>
            <w:rFonts w:ascii="Arial" w:hAnsi="Arial" w:cs="Arial"/>
            <w:color w:val="1155CC"/>
            <w:sz w:val="18"/>
            <w:szCs w:val="18"/>
            <w:u w:val="single"/>
          </w:rPr>
          <w:t>2016</w:t>
        </w:r>
      </w:hyperlink>
      <w:r w:rsidRPr="006140B2">
        <w:rPr>
          <w:rFonts w:ascii="Arial" w:eastAsia="Calibri" w:hAnsi="Arial" w:cs="Arial"/>
          <w:sz w:val="18"/>
          <w:szCs w:val="18"/>
        </w:rPr>
        <w:t xml:space="preserve">). Energy Manager Salary in the US. </w:t>
      </w:r>
    </w:p>
  </w:footnote>
  <w:footnote w:id="11">
    <w:p w14:paraId="32BEE0E1" w14:textId="77777777" w:rsidR="00CB0324" w:rsidRPr="00FE03D7" w:rsidRDefault="00CB0324" w:rsidP="00CB0324">
      <w:pPr>
        <w:spacing w:after="0" w:line="240" w:lineRule="auto"/>
        <w:rPr>
          <w:rFonts w:ascii="Arial" w:hAnsi="Arial" w:cs="Arial"/>
          <w:sz w:val="18"/>
          <w:szCs w:val="18"/>
        </w:rPr>
      </w:pPr>
      <w:r w:rsidRPr="006140B2">
        <w:rPr>
          <w:rFonts w:ascii="Arial" w:hAnsi="Arial" w:cs="Arial"/>
          <w:sz w:val="18"/>
          <w:szCs w:val="18"/>
          <w:vertAlign w:val="superscript"/>
        </w:rPr>
        <w:footnoteRef/>
      </w:r>
      <w:r w:rsidRPr="006140B2">
        <w:rPr>
          <w:rFonts w:ascii="Arial" w:hAnsi="Arial" w:cs="Arial"/>
          <w:sz w:val="18"/>
          <w:szCs w:val="18"/>
        </w:rPr>
        <w:t xml:space="preserve"> PayScale Human Capital (</w:t>
      </w:r>
      <w:hyperlink r:id="rId3">
        <w:r w:rsidRPr="006140B2">
          <w:rPr>
            <w:rFonts w:ascii="Arial" w:hAnsi="Arial" w:cs="Arial"/>
            <w:color w:val="1155CC"/>
            <w:sz w:val="18"/>
            <w:szCs w:val="18"/>
            <w:u w:val="single"/>
          </w:rPr>
          <w:t>2016</w:t>
        </w:r>
      </w:hyperlink>
      <w:r w:rsidRPr="006140B2">
        <w:rPr>
          <w:rFonts w:ascii="Arial" w:eastAsia="Calibri" w:hAnsi="Arial" w:cs="Arial"/>
          <w:sz w:val="18"/>
          <w:szCs w:val="18"/>
        </w:rPr>
        <w:t>). Energy Manager Salary in the US.</w:t>
      </w:r>
      <w:r w:rsidRPr="00FE03D7">
        <w:rPr>
          <w:rFonts w:ascii="Arial" w:eastAsia="Calibri" w:hAnsi="Arial" w:cs="Arial"/>
          <w:sz w:val="18"/>
          <w:szCs w:val="18"/>
        </w:rPr>
        <w:t xml:space="preserve"> </w:t>
      </w:r>
    </w:p>
  </w:footnote>
  <w:footnote w:id="12">
    <w:p w14:paraId="5FC5D747" w14:textId="77777777" w:rsidR="00FE03D7" w:rsidRPr="006140B2" w:rsidRDefault="00FE03D7" w:rsidP="006140B2">
      <w:pPr>
        <w:pStyle w:val="FootnoteText"/>
        <w:jc w:val="both"/>
        <w:rPr>
          <w:rFonts w:ascii="Arial" w:hAnsi="Arial" w:cs="Arial"/>
          <w:sz w:val="18"/>
          <w:szCs w:val="18"/>
        </w:rPr>
      </w:pPr>
      <w:r w:rsidRPr="006140B2">
        <w:rPr>
          <w:rStyle w:val="FootnoteReference"/>
          <w:rFonts w:ascii="Arial" w:hAnsi="Arial" w:cs="Arial"/>
          <w:sz w:val="18"/>
          <w:szCs w:val="18"/>
        </w:rPr>
        <w:footnoteRef/>
      </w:r>
      <w:r w:rsidRPr="006140B2">
        <w:rPr>
          <w:rFonts w:ascii="Arial" w:hAnsi="Arial" w:cs="Arial"/>
          <w:sz w:val="18"/>
          <w:szCs w:val="18"/>
        </w:rPr>
        <w:t xml:space="preserve"> Marcos, Paloma (2014). Gender and Renewable Energy: Wind, Solar, Geothermal and Hydroelectric Energy. IDB: Washington, DC.</w:t>
      </w:r>
    </w:p>
  </w:footnote>
  <w:footnote w:id="13">
    <w:p w14:paraId="43E099D5" w14:textId="77777777" w:rsidR="00FE03D7" w:rsidRPr="006140B2" w:rsidRDefault="00FE03D7" w:rsidP="006140B2">
      <w:pPr>
        <w:pStyle w:val="FootnoteText"/>
        <w:jc w:val="both"/>
        <w:rPr>
          <w:rFonts w:ascii="Arial" w:hAnsi="Arial" w:cs="Arial"/>
          <w:sz w:val="18"/>
          <w:szCs w:val="18"/>
        </w:rPr>
      </w:pPr>
      <w:r w:rsidRPr="006140B2">
        <w:rPr>
          <w:rStyle w:val="FootnoteReference"/>
          <w:rFonts w:ascii="Arial" w:hAnsi="Arial" w:cs="Arial"/>
          <w:sz w:val="18"/>
          <w:szCs w:val="18"/>
        </w:rPr>
        <w:footnoteRef/>
      </w:r>
      <w:r w:rsidRPr="006140B2">
        <w:rPr>
          <w:rFonts w:ascii="Arial" w:hAnsi="Arial" w:cs="Arial"/>
          <w:sz w:val="18"/>
          <w:szCs w:val="18"/>
        </w:rPr>
        <w:t xml:space="preserve"> Aguilar, Lorena (</w:t>
      </w:r>
      <w:hyperlink r:id="rId4" w:history="1">
        <w:r w:rsidRPr="006140B2">
          <w:rPr>
            <w:rStyle w:val="Hyperlink"/>
            <w:rFonts w:ascii="Arial" w:hAnsi="Arial" w:cs="Arial"/>
            <w:sz w:val="18"/>
            <w:szCs w:val="18"/>
          </w:rPr>
          <w:t>2015</w:t>
        </w:r>
      </w:hyperlink>
      <w:r w:rsidRPr="006140B2">
        <w:rPr>
          <w:rFonts w:ascii="Arial" w:hAnsi="Arial" w:cs="Arial"/>
          <w:sz w:val="18"/>
          <w:szCs w:val="18"/>
        </w:rPr>
        <w:t>). Unleashing the Power of Women in the Renewable Energy Sector</w:t>
      </w:r>
    </w:p>
  </w:footnote>
  <w:footnote w:id="14">
    <w:p w14:paraId="1A7A4E75" w14:textId="77777777" w:rsidR="00FE03D7" w:rsidRPr="006140B2" w:rsidRDefault="00FE03D7" w:rsidP="006140B2">
      <w:pPr>
        <w:pStyle w:val="FootnoteText"/>
        <w:jc w:val="both"/>
        <w:rPr>
          <w:rFonts w:ascii="Arial" w:hAnsi="Arial" w:cs="Arial"/>
          <w:sz w:val="18"/>
          <w:szCs w:val="18"/>
        </w:rPr>
      </w:pPr>
      <w:r w:rsidRPr="006140B2">
        <w:rPr>
          <w:rStyle w:val="FootnoteReference"/>
          <w:rFonts w:ascii="Arial" w:hAnsi="Arial" w:cs="Arial"/>
          <w:sz w:val="18"/>
          <w:szCs w:val="18"/>
        </w:rPr>
        <w:footnoteRef/>
      </w:r>
      <w:r w:rsidRPr="006140B2">
        <w:rPr>
          <w:rFonts w:ascii="Arial" w:hAnsi="Arial" w:cs="Arial"/>
          <w:sz w:val="18"/>
          <w:szCs w:val="18"/>
        </w:rPr>
        <w:t xml:space="preserve"> Marcos, Paloma (2014). Gender and Renewable Energy: Wind, Solar, Geothermal and Hydroelectric Energy. IDB: Washington, DC.</w:t>
      </w:r>
    </w:p>
  </w:footnote>
  <w:footnote w:id="15">
    <w:p w14:paraId="61209C51" w14:textId="77777777" w:rsidR="006140B2" w:rsidRPr="00A90791" w:rsidRDefault="006140B2" w:rsidP="006140B2">
      <w:pPr>
        <w:pStyle w:val="FootnoteText"/>
        <w:jc w:val="both"/>
        <w:rPr>
          <w:rFonts w:ascii="Arial" w:hAnsi="Arial" w:cs="Arial"/>
          <w:sz w:val="18"/>
          <w:szCs w:val="18"/>
        </w:rPr>
      </w:pPr>
      <w:r w:rsidRPr="006140B2">
        <w:rPr>
          <w:rStyle w:val="FootnoteReference"/>
          <w:rFonts w:ascii="Arial" w:hAnsi="Arial" w:cs="Arial"/>
          <w:sz w:val="18"/>
          <w:szCs w:val="18"/>
        </w:rPr>
        <w:footnoteRef/>
      </w:r>
      <w:r w:rsidRPr="006140B2">
        <w:rPr>
          <w:rFonts w:ascii="Arial" w:hAnsi="Arial" w:cs="Arial"/>
          <w:sz w:val="18"/>
          <w:szCs w:val="18"/>
        </w:rPr>
        <w:t xml:space="preserve"> Ernst and Young (2016). Women in Power and Utilities: Index 2016.</w:t>
      </w:r>
    </w:p>
  </w:footnote>
  <w:footnote w:id="16">
    <w:p w14:paraId="3B19CA02" w14:textId="77777777" w:rsidR="006140B2" w:rsidRPr="008E47FA" w:rsidRDefault="006140B2" w:rsidP="00E24821">
      <w:pPr>
        <w:pStyle w:val="FootnoteText"/>
        <w:jc w:val="both"/>
        <w:rPr>
          <w:lang w:val="es-ES_tradnl"/>
        </w:rPr>
      </w:pPr>
      <w:r w:rsidRPr="00A90791">
        <w:rPr>
          <w:rStyle w:val="FootnoteReference"/>
          <w:rFonts w:ascii="Arial" w:hAnsi="Arial" w:cs="Arial"/>
          <w:sz w:val="18"/>
          <w:szCs w:val="18"/>
        </w:rPr>
        <w:footnoteRef/>
      </w:r>
      <w:r w:rsidRPr="00A90791">
        <w:rPr>
          <w:rFonts w:ascii="Arial" w:hAnsi="Arial" w:cs="Arial"/>
          <w:sz w:val="18"/>
          <w:szCs w:val="18"/>
          <w:lang w:val="es-ES_tradnl"/>
        </w:rPr>
        <w:t xml:space="preserve"> IDB (2015). Sistema de Información de Mercados Laborares y Seguridad Social.</w:t>
      </w:r>
      <w:r w:rsidRPr="008E47FA">
        <w:rPr>
          <w:lang w:val="es-ES_tradnl"/>
        </w:rPr>
        <w:t xml:space="preserve"> </w:t>
      </w:r>
    </w:p>
  </w:footnote>
  <w:footnote w:id="17">
    <w:p w14:paraId="67678EDC" w14:textId="77777777" w:rsidR="00DE5BE2" w:rsidRPr="00FE03D7" w:rsidRDefault="00DE5BE2" w:rsidP="00E24821">
      <w:pPr>
        <w:spacing w:after="0" w:line="240" w:lineRule="auto"/>
        <w:jc w:val="both"/>
        <w:rPr>
          <w:rFonts w:ascii="Arial" w:hAnsi="Arial" w:cs="Arial"/>
          <w:sz w:val="18"/>
          <w:szCs w:val="18"/>
        </w:rPr>
      </w:pPr>
      <w:r w:rsidRPr="00456268">
        <w:rPr>
          <w:rFonts w:ascii="Arial" w:hAnsi="Arial" w:cs="Arial"/>
          <w:sz w:val="18"/>
          <w:szCs w:val="18"/>
          <w:vertAlign w:val="superscript"/>
        </w:rPr>
        <w:footnoteRef/>
      </w:r>
      <w:r w:rsidRPr="00456268">
        <w:rPr>
          <w:rFonts w:ascii="Arial" w:eastAsia="Arial" w:hAnsi="Arial" w:cs="Arial"/>
          <w:sz w:val="18"/>
          <w:szCs w:val="18"/>
        </w:rPr>
        <w:t xml:space="preserve"> Several studies have demonstrated that gender equality has negative impact in the economic development of a country. See: Cuberes and Teignier (2011 and 2015); Klasen (2002); and Dollar and Gatti (1999), among others.</w:t>
      </w:r>
    </w:p>
  </w:footnote>
  <w:footnote w:id="18">
    <w:p w14:paraId="0AE0697D" w14:textId="77777777" w:rsidR="00DE5BE2" w:rsidRPr="00FE03D7" w:rsidRDefault="00DE5BE2" w:rsidP="00E24821">
      <w:pPr>
        <w:spacing w:after="0" w:line="240" w:lineRule="auto"/>
        <w:jc w:val="both"/>
        <w:rPr>
          <w:rFonts w:ascii="Arial" w:hAnsi="Arial" w:cs="Arial"/>
          <w:sz w:val="18"/>
          <w:szCs w:val="18"/>
        </w:rPr>
      </w:pPr>
      <w:r w:rsidRPr="00FE03D7">
        <w:rPr>
          <w:rFonts w:ascii="Arial" w:hAnsi="Arial" w:cs="Arial"/>
          <w:sz w:val="18"/>
          <w:szCs w:val="18"/>
          <w:vertAlign w:val="superscript"/>
        </w:rPr>
        <w:footnoteRef/>
      </w:r>
      <w:r w:rsidRPr="00FE03D7">
        <w:rPr>
          <w:rFonts w:ascii="Arial" w:eastAsia="Arial" w:hAnsi="Arial" w:cs="Arial"/>
          <w:sz w:val="18"/>
          <w:szCs w:val="18"/>
        </w:rPr>
        <w:t xml:space="preserve"> Bellony, Annelle; Hoyos Alejandro; and Nopo, Hugo (2010). Gender Earning Gaps in the Caribbean: Evidence from Barbados and Jamaica. IDB: Washington DC. </w:t>
      </w:r>
    </w:p>
  </w:footnote>
  <w:footnote w:id="19">
    <w:p w14:paraId="17F8E72F" w14:textId="5BCDB90C" w:rsidR="00F136C3" w:rsidRDefault="00F136C3">
      <w:pPr>
        <w:pStyle w:val="FootnoteText"/>
      </w:pPr>
      <w:r>
        <w:rPr>
          <w:rStyle w:val="FootnoteReference"/>
        </w:rPr>
        <w:footnoteRef/>
      </w:r>
      <w:r>
        <w:t xml:space="preserve"> </w:t>
      </w:r>
      <w:r w:rsidR="006E437D">
        <w:t>All training costs will be funded under the JA-L1056.</w:t>
      </w:r>
      <w:r w:rsidR="00DF0E37">
        <w:t xml:space="preserve"> However, all </w:t>
      </w:r>
      <w:r w:rsidR="00DF0E37" w:rsidRPr="00DF0E37">
        <w:t xml:space="preserve">maintenance staff and facility managers in the 7 public hospitals retrofitted </w:t>
      </w:r>
      <w:r w:rsidR="00DF0E37">
        <w:t>under JA-G1003 will benefit (at no cost).</w:t>
      </w:r>
    </w:p>
  </w:footnote>
  <w:footnote w:id="20">
    <w:p w14:paraId="7CE8960A" w14:textId="42C8C044" w:rsidR="00EC3577" w:rsidRPr="00EC3577" w:rsidRDefault="00EC3577" w:rsidP="00EC3577">
      <w:pPr>
        <w:rPr>
          <w:sz w:val="20"/>
          <w:szCs w:val="20"/>
        </w:rPr>
      </w:pPr>
      <w:r>
        <w:rPr>
          <w:rStyle w:val="FootnoteReference"/>
        </w:rPr>
        <w:footnoteRef/>
      </w:r>
      <w:r>
        <w:t xml:space="preserve"> </w:t>
      </w:r>
      <w:r>
        <w:rPr>
          <w:sz w:val="20"/>
          <w:szCs w:val="20"/>
        </w:rPr>
        <w:t xml:space="preserve">On average, about </w:t>
      </w:r>
      <w:r w:rsidRPr="00EC3577">
        <w:rPr>
          <w:sz w:val="20"/>
          <w:szCs w:val="20"/>
        </w:rPr>
        <w:t>4 facility managers per building</w:t>
      </w:r>
      <w:r>
        <w:rPr>
          <w:sz w:val="20"/>
          <w:szCs w:val="20"/>
        </w:rPr>
        <w:t xml:space="preserve"> will be trained.</w:t>
      </w:r>
      <w:r w:rsidRPr="00EC3577">
        <w:rPr>
          <w:sz w:val="20"/>
          <w:szCs w:val="20"/>
        </w:rPr>
        <w:t xml:space="preserve"> </w:t>
      </w:r>
      <w:r>
        <w:rPr>
          <w:sz w:val="20"/>
          <w:szCs w:val="20"/>
        </w:rPr>
        <w:t>This includes under t</w:t>
      </w:r>
      <w:r w:rsidRPr="00EC3577">
        <w:rPr>
          <w:sz w:val="20"/>
          <w:szCs w:val="20"/>
        </w:rPr>
        <w:t xml:space="preserve">he </w:t>
      </w:r>
      <w:r>
        <w:rPr>
          <w:sz w:val="20"/>
          <w:szCs w:val="20"/>
        </w:rPr>
        <w:t xml:space="preserve">JA-L1056 </w:t>
      </w:r>
      <w:r w:rsidRPr="00EC3577">
        <w:rPr>
          <w:sz w:val="20"/>
          <w:szCs w:val="20"/>
        </w:rPr>
        <w:t>loan</w:t>
      </w:r>
      <w:r>
        <w:rPr>
          <w:sz w:val="20"/>
          <w:szCs w:val="20"/>
        </w:rPr>
        <w:t xml:space="preserve"> operation approximately </w:t>
      </w:r>
      <w:r w:rsidRPr="00EC3577">
        <w:rPr>
          <w:sz w:val="20"/>
          <w:szCs w:val="20"/>
        </w:rPr>
        <w:t>292</w:t>
      </w:r>
      <w:r>
        <w:rPr>
          <w:sz w:val="20"/>
          <w:szCs w:val="20"/>
        </w:rPr>
        <w:t xml:space="preserve"> facility managers, </w:t>
      </w:r>
      <w:r w:rsidRPr="00EC3577">
        <w:rPr>
          <w:sz w:val="20"/>
          <w:szCs w:val="20"/>
        </w:rPr>
        <w:t>and</w:t>
      </w:r>
      <w:r>
        <w:rPr>
          <w:sz w:val="20"/>
          <w:szCs w:val="20"/>
        </w:rPr>
        <w:t xml:space="preserve"> under the JA-G1003 28</w:t>
      </w:r>
      <w:r w:rsidRPr="00EC3577">
        <w:rPr>
          <w:sz w:val="20"/>
          <w:szCs w:val="20"/>
        </w:rPr>
        <w:t>. In total,</w:t>
      </w:r>
      <w:r>
        <w:rPr>
          <w:sz w:val="20"/>
          <w:szCs w:val="20"/>
        </w:rPr>
        <w:t xml:space="preserve"> approximately </w:t>
      </w:r>
      <w:r w:rsidRPr="00EC3577">
        <w:rPr>
          <w:sz w:val="20"/>
          <w:szCs w:val="20"/>
        </w:rPr>
        <w:t>320 professionals will be trained in the overall context of the EMEP program.</w:t>
      </w:r>
    </w:p>
    <w:p w14:paraId="153C33EF" w14:textId="5CA83EB5" w:rsidR="00EC3577" w:rsidRDefault="00EC35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39AC" w14:textId="77777777" w:rsidR="00183FB6" w:rsidRDefault="00183FB6">
    <w:pPr>
      <w:pStyle w:val="Header"/>
      <w:ind w:right="360"/>
      <w:jc w:val="both"/>
      <w:rPr>
        <w:rStyle w:val="PageNumber"/>
        <w:snapToGrid w:val="0"/>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iii</w:t>
    </w:r>
    <w:r>
      <w:rPr>
        <w:rStyle w:val="PageNumber"/>
        <w:snapToGrid w:val="0"/>
      </w:rPr>
      <w:fldChar w:fldCharType="end"/>
    </w:r>
    <w:r>
      <w:rPr>
        <w:rStyle w:val="PageNumber"/>
        <w:snapToGrid w:val="0"/>
      </w:rPr>
      <w:t xml:space="preserve"> -</w:t>
    </w:r>
  </w:p>
  <w:p w14:paraId="6B5B57DE" w14:textId="77777777" w:rsidR="00183FB6" w:rsidRDefault="00183FB6">
    <w:pPr>
      <w:pStyle w:val="Header"/>
      <w:ind w:right="360"/>
      <w:jc w:val="both"/>
      <w:rPr>
        <w:rStyle w:val="PageNumber"/>
        <w:snapToGrid w:val="0"/>
      </w:rPr>
    </w:pPr>
    <w:r>
      <w:rPr>
        <w:rStyle w:val="PageNumber"/>
        <w:snapToGrid w:val="0"/>
      </w:rPr>
      <w:tab/>
    </w:r>
  </w:p>
  <w:p w14:paraId="2A46DE6E" w14:textId="77777777" w:rsidR="00183FB6" w:rsidRDefault="00183FB6">
    <w:pPr>
      <w:pStyle w:val="Header"/>
      <w:ind w:right="360"/>
      <w:jc w:val="both"/>
    </w:pPr>
    <w:r>
      <w:rPr>
        <w:snapToGrid w:val="0"/>
      </w:rPr>
      <w:tab/>
    </w:r>
  </w:p>
  <w:p w14:paraId="7BCFE252" w14:textId="77777777" w:rsidR="00183FB6" w:rsidRDefault="00183F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F729" w14:textId="35752B84" w:rsidR="00183FB6" w:rsidRDefault="009904C7" w:rsidP="006E17BB">
    <w:pPr>
      <w:pStyle w:val="Header"/>
      <w:jc w:val="right"/>
    </w:pPr>
    <w:r>
      <w:t>JA-G1003</w:t>
    </w:r>
  </w:p>
  <w:p w14:paraId="0297897C" w14:textId="5D8C9333" w:rsidR="00183FB6" w:rsidRDefault="0035621B" w:rsidP="006E17BB">
    <w:pPr>
      <w:pStyle w:val="Header"/>
      <w:jc w:val="right"/>
    </w:pPr>
    <w:r>
      <w:t>0</w:t>
    </w:r>
    <w:r w:rsidR="009904C7">
      <w:t>5/16/17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B58"/>
    <w:multiLevelType w:val="hybridMultilevel"/>
    <w:tmpl w:val="429E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171AE"/>
    <w:multiLevelType w:val="hybridMultilevel"/>
    <w:tmpl w:val="D9ECC012"/>
    <w:lvl w:ilvl="0" w:tplc="21E22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5575A"/>
    <w:multiLevelType w:val="hybridMultilevel"/>
    <w:tmpl w:val="D46E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ED"/>
    <w:rsid w:val="00045D97"/>
    <w:rsid w:val="000463AD"/>
    <w:rsid w:val="00052579"/>
    <w:rsid w:val="00085A2D"/>
    <w:rsid w:val="000943D5"/>
    <w:rsid w:val="000C04ED"/>
    <w:rsid w:val="001154ED"/>
    <w:rsid w:val="001216BC"/>
    <w:rsid w:val="00135B74"/>
    <w:rsid w:val="00151932"/>
    <w:rsid w:val="00161E8C"/>
    <w:rsid w:val="00183FB6"/>
    <w:rsid w:val="0018600E"/>
    <w:rsid w:val="001D4E9D"/>
    <w:rsid w:val="0020711E"/>
    <w:rsid w:val="00212564"/>
    <w:rsid w:val="00250E54"/>
    <w:rsid w:val="0027062A"/>
    <w:rsid w:val="0028244A"/>
    <w:rsid w:val="002B654F"/>
    <w:rsid w:val="00300CF1"/>
    <w:rsid w:val="00307194"/>
    <w:rsid w:val="00313ED5"/>
    <w:rsid w:val="00346968"/>
    <w:rsid w:val="0035621B"/>
    <w:rsid w:val="00392011"/>
    <w:rsid w:val="003F3241"/>
    <w:rsid w:val="00404A9F"/>
    <w:rsid w:val="00456268"/>
    <w:rsid w:val="004840FC"/>
    <w:rsid w:val="00490BFE"/>
    <w:rsid w:val="00497A01"/>
    <w:rsid w:val="004C4A8A"/>
    <w:rsid w:val="004F1334"/>
    <w:rsid w:val="004F6CA7"/>
    <w:rsid w:val="005A1164"/>
    <w:rsid w:val="005F6CC1"/>
    <w:rsid w:val="00612AB2"/>
    <w:rsid w:val="006140B2"/>
    <w:rsid w:val="006161DC"/>
    <w:rsid w:val="00627928"/>
    <w:rsid w:val="00631F22"/>
    <w:rsid w:val="00647212"/>
    <w:rsid w:val="00660417"/>
    <w:rsid w:val="006624D4"/>
    <w:rsid w:val="00692326"/>
    <w:rsid w:val="006E17BB"/>
    <w:rsid w:val="006E437D"/>
    <w:rsid w:val="00720181"/>
    <w:rsid w:val="007943F8"/>
    <w:rsid w:val="007C2ADE"/>
    <w:rsid w:val="007C2C03"/>
    <w:rsid w:val="007E7DC9"/>
    <w:rsid w:val="007F5EE2"/>
    <w:rsid w:val="0080234F"/>
    <w:rsid w:val="008073EF"/>
    <w:rsid w:val="008107C1"/>
    <w:rsid w:val="008241DB"/>
    <w:rsid w:val="00846886"/>
    <w:rsid w:val="00874FFC"/>
    <w:rsid w:val="00875CA7"/>
    <w:rsid w:val="00882A91"/>
    <w:rsid w:val="009564A3"/>
    <w:rsid w:val="009673E4"/>
    <w:rsid w:val="00977BCB"/>
    <w:rsid w:val="009904C7"/>
    <w:rsid w:val="009B7B28"/>
    <w:rsid w:val="009D427B"/>
    <w:rsid w:val="009F1D50"/>
    <w:rsid w:val="009F739C"/>
    <w:rsid w:val="009F7A58"/>
    <w:rsid w:val="00A9216B"/>
    <w:rsid w:val="00AC675C"/>
    <w:rsid w:val="00AD1993"/>
    <w:rsid w:val="00AD57F1"/>
    <w:rsid w:val="00AE6BBE"/>
    <w:rsid w:val="00AE71AA"/>
    <w:rsid w:val="00B13012"/>
    <w:rsid w:val="00B31934"/>
    <w:rsid w:val="00B37D68"/>
    <w:rsid w:val="00B62635"/>
    <w:rsid w:val="00BC7906"/>
    <w:rsid w:val="00BD43F6"/>
    <w:rsid w:val="00C12DDB"/>
    <w:rsid w:val="00C17016"/>
    <w:rsid w:val="00C17F07"/>
    <w:rsid w:val="00C20CAA"/>
    <w:rsid w:val="00C475C5"/>
    <w:rsid w:val="00C67B79"/>
    <w:rsid w:val="00C9256E"/>
    <w:rsid w:val="00CB0324"/>
    <w:rsid w:val="00CB34E8"/>
    <w:rsid w:val="00CD55E2"/>
    <w:rsid w:val="00D175B6"/>
    <w:rsid w:val="00D637E7"/>
    <w:rsid w:val="00D6480A"/>
    <w:rsid w:val="00D945EF"/>
    <w:rsid w:val="00DA009A"/>
    <w:rsid w:val="00DA383B"/>
    <w:rsid w:val="00DB26AF"/>
    <w:rsid w:val="00DD71B6"/>
    <w:rsid w:val="00DE42E4"/>
    <w:rsid w:val="00DE5BE2"/>
    <w:rsid w:val="00DE73FD"/>
    <w:rsid w:val="00DF0E37"/>
    <w:rsid w:val="00E05D6A"/>
    <w:rsid w:val="00E129F2"/>
    <w:rsid w:val="00E24821"/>
    <w:rsid w:val="00E37044"/>
    <w:rsid w:val="00E40574"/>
    <w:rsid w:val="00E50555"/>
    <w:rsid w:val="00E874C8"/>
    <w:rsid w:val="00E91526"/>
    <w:rsid w:val="00EA32DC"/>
    <w:rsid w:val="00EB422D"/>
    <w:rsid w:val="00EB714D"/>
    <w:rsid w:val="00EC3577"/>
    <w:rsid w:val="00EC6682"/>
    <w:rsid w:val="00EE30C3"/>
    <w:rsid w:val="00F00029"/>
    <w:rsid w:val="00F136C3"/>
    <w:rsid w:val="00F222E6"/>
    <w:rsid w:val="00F41554"/>
    <w:rsid w:val="00F44C47"/>
    <w:rsid w:val="00FC08A7"/>
    <w:rsid w:val="00FC2445"/>
    <w:rsid w:val="00FD4F9D"/>
    <w:rsid w:val="00FE03D7"/>
    <w:rsid w:val="00FF4B59"/>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3CF12"/>
  <w15:docId w15:val="{B6E86C00-3488-49BF-9BCC-7DE22DA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0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4ED"/>
    <w:rPr>
      <w:sz w:val="20"/>
      <w:szCs w:val="20"/>
    </w:rPr>
  </w:style>
  <w:style w:type="character" w:styleId="FootnoteReference">
    <w:name w:val="footnote reference"/>
    <w:basedOn w:val="DefaultParagraphFont"/>
    <w:uiPriority w:val="99"/>
    <w:semiHidden/>
    <w:unhideWhenUsed/>
    <w:rsid w:val="000C04ED"/>
    <w:rPr>
      <w:vertAlign w:val="superscript"/>
    </w:rPr>
  </w:style>
  <w:style w:type="paragraph" w:styleId="BalloonText">
    <w:name w:val="Balloon Text"/>
    <w:basedOn w:val="Normal"/>
    <w:link w:val="BalloonTextChar"/>
    <w:uiPriority w:val="99"/>
    <w:semiHidden/>
    <w:unhideWhenUsed/>
    <w:rsid w:val="0081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7C1"/>
    <w:rPr>
      <w:rFonts w:ascii="Tahoma" w:hAnsi="Tahoma" w:cs="Tahoma"/>
      <w:sz w:val="16"/>
      <w:szCs w:val="16"/>
    </w:rPr>
  </w:style>
  <w:style w:type="paragraph" w:styleId="Header">
    <w:name w:val="header"/>
    <w:basedOn w:val="Normal"/>
    <w:link w:val="HeaderChar"/>
    <w:unhideWhenUsed/>
    <w:rsid w:val="00183FB6"/>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rsid w:val="00183FB6"/>
    <w:rPr>
      <w:rFonts w:ascii="Calibri" w:eastAsia="Calibri" w:hAnsi="Calibri" w:cs="Calibri"/>
      <w:color w:val="000000"/>
    </w:rPr>
  </w:style>
  <w:style w:type="paragraph" w:styleId="Footer">
    <w:name w:val="footer"/>
    <w:basedOn w:val="Normal"/>
    <w:link w:val="FooterChar"/>
    <w:unhideWhenUsed/>
    <w:rsid w:val="00183FB6"/>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rsid w:val="00183FB6"/>
    <w:rPr>
      <w:rFonts w:ascii="Calibri" w:eastAsia="Calibri" w:hAnsi="Calibri" w:cs="Calibri"/>
      <w:color w:val="000000"/>
    </w:rPr>
  </w:style>
  <w:style w:type="paragraph" w:styleId="BodyText">
    <w:name w:val="Body Text"/>
    <w:basedOn w:val="Normal"/>
    <w:link w:val="BodyTextChar"/>
    <w:rsid w:val="00183FB6"/>
    <w:pPr>
      <w:tabs>
        <w:tab w:val="left" w:pos="3060"/>
      </w:tabs>
      <w:spacing w:after="0" w:line="240" w:lineRule="auto"/>
      <w:jc w:val="center"/>
    </w:pPr>
    <w:rPr>
      <w:rFonts w:ascii="Arial" w:eastAsia="Times New Roman" w:hAnsi="Arial" w:cs="Times New Roman"/>
      <w:szCs w:val="20"/>
      <w:lang w:val="es-ES_tradnl"/>
    </w:rPr>
  </w:style>
  <w:style w:type="character" w:customStyle="1" w:styleId="BodyTextChar">
    <w:name w:val="Body Text Char"/>
    <w:basedOn w:val="DefaultParagraphFont"/>
    <w:link w:val="BodyText"/>
    <w:rsid w:val="00183FB6"/>
    <w:rPr>
      <w:rFonts w:ascii="Arial" w:eastAsia="Times New Roman" w:hAnsi="Arial" w:cs="Times New Roman"/>
      <w:szCs w:val="20"/>
      <w:lang w:val="es-ES_tradnl"/>
    </w:rPr>
  </w:style>
  <w:style w:type="character" w:styleId="PageNumber">
    <w:name w:val="page number"/>
    <w:basedOn w:val="DefaultParagraphFont"/>
    <w:rsid w:val="00183FB6"/>
  </w:style>
  <w:style w:type="paragraph" w:styleId="ListParagraph">
    <w:name w:val="List Paragraph"/>
    <w:basedOn w:val="Normal"/>
    <w:uiPriority w:val="34"/>
    <w:qFormat/>
    <w:rsid w:val="006161DC"/>
    <w:pPr>
      <w:ind w:left="720"/>
      <w:contextualSpacing/>
    </w:pPr>
  </w:style>
  <w:style w:type="character" w:styleId="Hyperlink">
    <w:name w:val="Hyperlink"/>
    <w:basedOn w:val="DefaultParagraphFont"/>
    <w:uiPriority w:val="99"/>
    <w:unhideWhenUsed/>
    <w:rsid w:val="00BD43F6"/>
    <w:rPr>
      <w:color w:val="0000FF" w:themeColor="hyperlink"/>
      <w:u w:val="single"/>
    </w:rPr>
  </w:style>
  <w:style w:type="character" w:styleId="FollowedHyperlink">
    <w:name w:val="FollowedHyperlink"/>
    <w:basedOn w:val="DefaultParagraphFont"/>
    <w:uiPriority w:val="99"/>
    <w:semiHidden/>
    <w:unhideWhenUsed/>
    <w:rsid w:val="00BD43F6"/>
    <w:rPr>
      <w:color w:val="800080" w:themeColor="followedHyperlink"/>
      <w:u w:val="single"/>
    </w:rPr>
  </w:style>
  <w:style w:type="table" w:styleId="TableGrid">
    <w:name w:val="Table Grid"/>
    <w:basedOn w:val="TableNormal"/>
    <w:uiPriority w:val="59"/>
    <w:rsid w:val="0015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1932"/>
    <w:rPr>
      <w:sz w:val="16"/>
      <w:szCs w:val="16"/>
    </w:rPr>
  </w:style>
  <w:style w:type="paragraph" w:styleId="CommentText">
    <w:name w:val="annotation text"/>
    <w:basedOn w:val="Normal"/>
    <w:link w:val="CommentTextChar"/>
    <w:uiPriority w:val="99"/>
    <w:semiHidden/>
    <w:unhideWhenUsed/>
    <w:rsid w:val="00151932"/>
    <w:pPr>
      <w:spacing w:line="240" w:lineRule="auto"/>
    </w:pPr>
    <w:rPr>
      <w:sz w:val="20"/>
      <w:szCs w:val="20"/>
    </w:rPr>
  </w:style>
  <w:style w:type="character" w:customStyle="1" w:styleId="CommentTextChar">
    <w:name w:val="Comment Text Char"/>
    <w:basedOn w:val="DefaultParagraphFont"/>
    <w:link w:val="CommentText"/>
    <w:uiPriority w:val="99"/>
    <w:semiHidden/>
    <w:rsid w:val="00151932"/>
    <w:rPr>
      <w:sz w:val="20"/>
      <w:szCs w:val="20"/>
    </w:rPr>
  </w:style>
  <w:style w:type="paragraph" w:styleId="CommentSubject">
    <w:name w:val="annotation subject"/>
    <w:basedOn w:val="CommentText"/>
    <w:next w:val="CommentText"/>
    <w:link w:val="CommentSubjectChar"/>
    <w:uiPriority w:val="99"/>
    <w:semiHidden/>
    <w:unhideWhenUsed/>
    <w:rsid w:val="00E05D6A"/>
    <w:rPr>
      <w:b/>
      <w:bCs/>
    </w:rPr>
  </w:style>
  <w:style w:type="character" w:customStyle="1" w:styleId="CommentSubjectChar">
    <w:name w:val="Comment Subject Char"/>
    <w:basedOn w:val="CommentTextChar"/>
    <w:link w:val="CommentSubject"/>
    <w:uiPriority w:val="99"/>
    <w:semiHidden/>
    <w:rsid w:val="00E05D6A"/>
    <w:rPr>
      <w:b/>
      <w:bCs/>
      <w:sz w:val="20"/>
      <w:szCs w:val="20"/>
    </w:rPr>
  </w:style>
  <w:style w:type="character" w:styleId="BookTitle">
    <w:name w:val="Book Title"/>
    <w:basedOn w:val="DefaultParagraphFont"/>
    <w:uiPriority w:val="33"/>
    <w:qFormat/>
    <w:rsid w:val="00C20CA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2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atinja.gov.jm/LabourForce/LabourForceByIndustryGroup.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ayscale.com/research/US/Job=Energy_Manager/Salary" TargetMode="External"/><Relationship Id="rId2" Type="http://schemas.openxmlformats.org/officeDocument/2006/relationships/hyperlink" Target="http://www.payscale.com/research/US/Job=Energy_Manager/Salary" TargetMode="External"/><Relationship Id="rId1" Type="http://schemas.openxmlformats.org/officeDocument/2006/relationships/hyperlink" Target="http://statinja.gov.jm/LabourForce/LabourForceByIndustryGroup.aspx" TargetMode="External"/><Relationship Id="rId4" Type="http://schemas.openxmlformats.org/officeDocument/2006/relationships/hyperlink" Target="http://www.huffingtonpost.com/lorena-aguilar/unleashing-the-power-of-w_b_8338842.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onjesilva\Documents\INE%20-%20ENE\Genero%20y%20Energia\AMS%20ILO%20-%20Caribbean%20Labor%20particip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onjesilva\Documents\INE%20-%20ENE\JA-L1056\DZ-2016-08-03-11-54-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Male</c:v>
                </c:pt>
              </c:strCache>
            </c:strRef>
          </c:tx>
          <c:invertIfNegative val="0"/>
          <c:cat>
            <c:strRef>
              <c:f>Sheet1!$A$3:$A$10</c:f>
              <c:strCache>
                <c:ptCount val="8"/>
                <c:pt idx="0">
                  <c:v>Barbados</c:v>
                </c:pt>
                <c:pt idx="1">
                  <c:v>Bahamas</c:v>
                </c:pt>
                <c:pt idx="2">
                  <c:v>Cuba</c:v>
                </c:pt>
                <c:pt idx="3">
                  <c:v>Dominican Republic</c:v>
                </c:pt>
                <c:pt idx="4">
                  <c:v>Jamaica</c:v>
                </c:pt>
                <c:pt idx="5">
                  <c:v>St. Lucia</c:v>
                </c:pt>
                <c:pt idx="6">
                  <c:v>Suriname</c:v>
                </c:pt>
                <c:pt idx="7">
                  <c:v>Trinidad and Tobago</c:v>
                </c:pt>
              </c:strCache>
            </c:strRef>
          </c:cat>
          <c:val>
            <c:numRef>
              <c:f>Sheet1!$B$3:$B$10</c:f>
              <c:numCache>
                <c:formatCode>General</c:formatCode>
                <c:ptCount val="8"/>
                <c:pt idx="0">
                  <c:v>72</c:v>
                </c:pt>
                <c:pt idx="1">
                  <c:v>76.099999999999994</c:v>
                </c:pt>
                <c:pt idx="2">
                  <c:v>87.1</c:v>
                </c:pt>
                <c:pt idx="3">
                  <c:v>67.900000000000006</c:v>
                </c:pt>
                <c:pt idx="4">
                  <c:v>70</c:v>
                </c:pt>
                <c:pt idx="5">
                  <c:v>75.5</c:v>
                </c:pt>
                <c:pt idx="6">
                  <c:v>75.599999999999994</c:v>
                </c:pt>
                <c:pt idx="7">
                  <c:v>71.400000000000006</c:v>
                </c:pt>
              </c:numCache>
            </c:numRef>
          </c:val>
          <c:extLst>
            <c:ext xmlns:c16="http://schemas.microsoft.com/office/drawing/2014/chart" uri="{C3380CC4-5D6E-409C-BE32-E72D297353CC}">
              <c16:uniqueId val="{00000000-46FA-4103-926D-5855DC9D791B}"/>
            </c:ext>
          </c:extLst>
        </c:ser>
        <c:ser>
          <c:idx val="1"/>
          <c:order val="1"/>
          <c:tx>
            <c:strRef>
              <c:f>Sheet1!$C$2</c:f>
              <c:strCache>
                <c:ptCount val="1"/>
                <c:pt idx="0">
                  <c:v>Female</c:v>
                </c:pt>
              </c:strCache>
            </c:strRef>
          </c:tx>
          <c:spPr>
            <a:solidFill>
              <a:schemeClr val="accent3"/>
            </a:solidFill>
          </c:spPr>
          <c:invertIfNegative val="0"/>
          <c:cat>
            <c:strRef>
              <c:f>Sheet1!$A$3:$A$10</c:f>
              <c:strCache>
                <c:ptCount val="8"/>
                <c:pt idx="0">
                  <c:v>Barbados</c:v>
                </c:pt>
                <c:pt idx="1">
                  <c:v>Bahamas</c:v>
                </c:pt>
                <c:pt idx="2">
                  <c:v>Cuba</c:v>
                </c:pt>
                <c:pt idx="3">
                  <c:v>Dominican Republic</c:v>
                </c:pt>
                <c:pt idx="4">
                  <c:v>Jamaica</c:v>
                </c:pt>
                <c:pt idx="5">
                  <c:v>St. Lucia</c:v>
                </c:pt>
                <c:pt idx="6">
                  <c:v>Suriname</c:v>
                </c:pt>
                <c:pt idx="7">
                  <c:v>Trinidad and Tobago</c:v>
                </c:pt>
              </c:strCache>
            </c:strRef>
          </c:cat>
          <c:val>
            <c:numRef>
              <c:f>Sheet1!$C$3:$C$10</c:f>
              <c:numCache>
                <c:formatCode>General</c:formatCode>
                <c:ptCount val="8"/>
                <c:pt idx="0">
                  <c:v>62</c:v>
                </c:pt>
                <c:pt idx="1">
                  <c:v>69.8</c:v>
                </c:pt>
                <c:pt idx="2">
                  <c:v>57.3</c:v>
                </c:pt>
                <c:pt idx="3">
                  <c:v>44.5</c:v>
                </c:pt>
                <c:pt idx="4">
                  <c:v>56.2</c:v>
                </c:pt>
                <c:pt idx="5">
                  <c:v>63.4</c:v>
                </c:pt>
                <c:pt idx="6">
                  <c:v>49</c:v>
                </c:pt>
                <c:pt idx="7">
                  <c:v>51.4</c:v>
                </c:pt>
              </c:numCache>
            </c:numRef>
          </c:val>
          <c:extLst>
            <c:ext xmlns:c16="http://schemas.microsoft.com/office/drawing/2014/chart" uri="{C3380CC4-5D6E-409C-BE32-E72D297353CC}">
              <c16:uniqueId val="{00000001-46FA-4103-926D-5855DC9D791B}"/>
            </c:ext>
          </c:extLst>
        </c:ser>
        <c:dLbls>
          <c:showLegendKey val="0"/>
          <c:showVal val="0"/>
          <c:showCatName val="0"/>
          <c:showSerName val="0"/>
          <c:showPercent val="0"/>
          <c:showBubbleSize val="0"/>
        </c:dLbls>
        <c:gapWidth val="150"/>
        <c:axId val="226365824"/>
        <c:axId val="226367360"/>
      </c:barChart>
      <c:catAx>
        <c:axId val="226365824"/>
        <c:scaling>
          <c:orientation val="minMax"/>
        </c:scaling>
        <c:delete val="0"/>
        <c:axPos val="b"/>
        <c:numFmt formatCode="General" sourceLinked="0"/>
        <c:majorTickMark val="out"/>
        <c:minorTickMark val="none"/>
        <c:tickLblPos val="nextTo"/>
        <c:crossAx val="226367360"/>
        <c:crosses val="autoZero"/>
        <c:auto val="1"/>
        <c:lblAlgn val="ctr"/>
        <c:lblOffset val="100"/>
        <c:noMultiLvlLbl val="0"/>
      </c:catAx>
      <c:valAx>
        <c:axId val="226367360"/>
        <c:scaling>
          <c:orientation val="minMax"/>
        </c:scaling>
        <c:delete val="0"/>
        <c:axPos val="l"/>
        <c:majorGridlines/>
        <c:numFmt formatCode="General" sourceLinked="1"/>
        <c:majorTickMark val="out"/>
        <c:minorTickMark val="none"/>
        <c:tickLblPos val="nextTo"/>
        <c:crossAx val="2263658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'DZ-2016-08-03-11-54-54'!$B$22</c:f>
              <c:strCache>
                <c:ptCount val="1"/>
                <c:pt idx="0">
                  <c:v>Female</c:v>
                </c:pt>
              </c:strCache>
            </c:strRef>
          </c:tx>
          <c:spPr>
            <a:solidFill>
              <a:schemeClr val="accent3"/>
            </a:solidFill>
          </c:spPr>
          <c:invertIfNegative val="0"/>
          <c:cat>
            <c:strRef>
              <c:f>'DZ-2016-08-03-11-54-54'!$A$23:$A$38</c:f>
              <c:strCache>
                <c:ptCount val="16"/>
                <c:pt idx="0">
                  <c:v>Agriculture Hunting Forestry &amp; Fishing</c:v>
                </c:pt>
                <c:pt idx="1">
                  <c:v>Mining &amp; Quarrying</c:v>
                </c:pt>
                <c:pt idx="2">
                  <c:v>Manufacturing</c:v>
                </c:pt>
                <c:pt idx="3">
                  <c:v>Electricity Gas and Water Supply</c:v>
                </c:pt>
                <c:pt idx="4">
                  <c:v>Construction</c:v>
                </c:pt>
                <c:pt idx="5">
                  <c:v>Wholesale &amp; Retail Repair of Motor Vehicle &amp; Equipment</c:v>
                </c:pt>
                <c:pt idx="6">
                  <c:v>Hotels &amp; Restaurants Services</c:v>
                </c:pt>
                <c:pt idx="7">
                  <c:v>Transport Storage and Communication</c:v>
                </c:pt>
                <c:pt idx="8">
                  <c:v>Financial Intermediation</c:v>
                </c:pt>
                <c:pt idx="9">
                  <c:v>Real Estate Renting &amp; Business Activities</c:v>
                </c:pt>
                <c:pt idx="10">
                  <c:v>Public Adm. &amp; Defence; Social Security</c:v>
                </c:pt>
                <c:pt idx="11">
                  <c:v>Education</c:v>
                </c:pt>
                <c:pt idx="12">
                  <c:v>Health &amp; Social Work</c:v>
                </c:pt>
                <c:pt idx="13">
                  <c:v>Other Community Social and Personal Service Activities</c:v>
                </c:pt>
                <c:pt idx="14">
                  <c:v>Private Households with Employed Persons</c:v>
                </c:pt>
                <c:pt idx="15">
                  <c:v>Industry Not Specified (Incl. Extra-Territorial Bodies)</c:v>
                </c:pt>
              </c:strCache>
            </c:strRef>
          </c:cat>
          <c:val>
            <c:numRef>
              <c:f>'DZ-2016-08-03-11-54-54'!$B$23:$B$38</c:f>
              <c:numCache>
                <c:formatCode>#,##0.0</c:formatCode>
                <c:ptCount val="16"/>
                <c:pt idx="0">
                  <c:v>19.899999999999999</c:v>
                </c:pt>
                <c:pt idx="1">
                  <c:v>9.9</c:v>
                </c:pt>
                <c:pt idx="2">
                  <c:v>35.200000000000003</c:v>
                </c:pt>
                <c:pt idx="3">
                  <c:v>20</c:v>
                </c:pt>
                <c:pt idx="4">
                  <c:v>4.0999999999999996</c:v>
                </c:pt>
                <c:pt idx="5">
                  <c:v>56.5</c:v>
                </c:pt>
                <c:pt idx="6">
                  <c:v>64.099999999999994</c:v>
                </c:pt>
                <c:pt idx="7">
                  <c:v>19.7</c:v>
                </c:pt>
                <c:pt idx="8">
                  <c:v>65.8</c:v>
                </c:pt>
                <c:pt idx="9">
                  <c:v>47.7</c:v>
                </c:pt>
                <c:pt idx="10">
                  <c:v>54.4</c:v>
                </c:pt>
                <c:pt idx="11">
                  <c:v>74.099999999999994</c:v>
                </c:pt>
                <c:pt idx="12">
                  <c:v>75.3</c:v>
                </c:pt>
                <c:pt idx="13">
                  <c:v>50.9</c:v>
                </c:pt>
                <c:pt idx="14">
                  <c:v>80.5</c:v>
                </c:pt>
                <c:pt idx="15">
                  <c:v>36.200000000000003</c:v>
                </c:pt>
              </c:numCache>
            </c:numRef>
          </c:val>
          <c:extLst>
            <c:ext xmlns:c16="http://schemas.microsoft.com/office/drawing/2014/chart" uri="{C3380CC4-5D6E-409C-BE32-E72D297353CC}">
              <c16:uniqueId val="{00000000-52D8-4EEC-BA6F-8D7318E04DA9}"/>
            </c:ext>
          </c:extLst>
        </c:ser>
        <c:ser>
          <c:idx val="1"/>
          <c:order val="1"/>
          <c:tx>
            <c:strRef>
              <c:f>'DZ-2016-08-03-11-54-54'!$C$22</c:f>
              <c:strCache>
                <c:ptCount val="1"/>
                <c:pt idx="0">
                  <c:v>Male</c:v>
                </c:pt>
              </c:strCache>
            </c:strRef>
          </c:tx>
          <c:spPr>
            <a:solidFill>
              <a:schemeClr val="accent1"/>
            </a:solidFill>
          </c:spPr>
          <c:invertIfNegative val="0"/>
          <c:cat>
            <c:strRef>
              <c:f>'DZ-2016-08-03-11-54-54'!$A$23:$A$38</c:f>
              <c:strCache>
                <c:ptCount val="16"/>
                <c:pt idx="0">
                  <c:v>Agriculture Hunting Forestry &amp; Fishing</c:v>
                </c:pt>
                <c:pt idx="1">
                  <c:v>Mining &amp; Quarrying</c:v>
                </c:pt>
                <c:pt idx="2">
                  <c:v>Manufacturing</c:v>
                </c:pt>
                <c:pt idx="3">
                  <c:v>Electricity Gas and Water Supply</c:v>
                </c:pt>
                <c:pt idx="4">
                  <c:v>Construction</c:v>
                </c:pt>
                <c:pt idx="5">
                  <c:v>Wholesale &amp; Retail Repair of Motor Vehicle &amp; Equipment</c:v>
                </c:pt>
                <c:pt idx="6">
                  <c:v>Hotels &amp; Restaurants Services</c:v>
                </c:pt>
                <c:pt idx="7">
                  <c:v>Transport Storage and Communication</c:v>
                </c:pt>
                <c:pt idx="8">
                  <c:v>Financial Intermediation</c:v>
                </c:pt>
                <c:pt idx="9">
                  <c:v>Real Estate Renting &amp; Business Activities</c:v>
                </c:pt>
                <c:pt idx="10">
                  <c:v>Public Adm. &amp; Defence; Social Security</c:v>
                </c:pt>
                <c:pt idx="11">
                  <c:v>Education</c:v>
                </c:pt>
                <c:pt idx="12">
                  <c:v>Health &amp; Social Work</c:v>
                </c:pt>
                <c:pt idx="13">
                  <c:v>Other Community Social and Personal Service Activities</c:v>
                </c:pt>
                <c:pt idx="14">
                  <c:v>Private Households with Employed Persons</c:v>
                </c:pt>
                <c:pt idx="15">
                  <c:v>Industry Not Specified (Incl. Extra-Territorial Bodies)</c:v>
                </c:pt>
              </c:strCache>
            </c:strRef>
          </c:cat>
          <c:val>
            <c:numRef>
              <c:f>'DZ-2016-08-03-11-54-54'!$C$23:$C$38</c:f>
              <c:numCache>
                <c:formatCode>General</c:formatCode>
                <c:ptCount val="16"/>
                <c:pt idx="0">
                  <c:v>80.099999999999994</c:v>
                </c:pt>
                <c:pt idx="1">
                  <c:v>90.1</c:v>
                </c:pt>
                <c:pt idx="2">
                  <c:v>64.8</c:v>
                </c:pt>
                <c:pt idx="3">
                  <c:v>80</c:v>
                </c:pt>
                <c:pt idx="4">
                  <c:v>95.9</c:v>
                </c:pt>
                <c:pt idx="5">
                  <c:v>43.5</c:v>
                </c:pt>
                <c:pt idx="6">
                  <c:v>35.9</c:v>
                </c:pt>
                <c:pt idx="7">
                  <c:v>80.3</c:v>
                </c:pt>
                <c:pt idx="8">
                  <c:v>34.200000000000003</c:v>
                </c:pt>
                <c:pt idx="9">
                  <c:v>52.3</c:v>
                </c:pt>
                <c:pt idx="10">
                  <c:v>45.6</c:v>
                </c:pt>
                <c:pt idx="11">
                  <c:v>25.9</c:v>
                </c:pt>
                <c:pt idx="12">
                  <c:v>24.7</c:v>
                </c:pt>
                <c:pt idx="13">
                  <c:v>49.1</c:v>
                </c:pt>
                <c:pt idx="14">
                  <c:v>19.5</c:v>
                </c:pt>
                <c:pt idx="15">
                  <c:v>63.8</c:v>
                </c:pt>
              </c:numCache>
            </c:numRef>
          </c:val>
          <c:extLst>
            <c:ext xmlns:c16="http://schemas.microsoft.com/office/drawing/2014/chart" uri="{C3380CC4-5D6E-409C-BE32-E72D297353CC}">
              <c16:uniqueId val="{00000001-52D8-4EEC-BA6F-8D7318E04DA9}"/>
            </c:ext>
          </c:extLst>
        </c:ser>
        <c:dLbls>
          <c:showLegendKey val="0"/>
          <c:showVal val="0"/>
          <c:showCatName val="0"/>
          <c:showSerName val="0"/>
          <c:showPercent val="0"/>
          <c:showBubbleSize val="0"/>
        </c:dLbls>
        <c:gapWidth val="150"/>
        <c:axId val="226397568"/>
        <c:axId val="226403456"/>
      </c:barChart>
      <c:catAx>
        <c:axId val="226397568"/>
        <c:scaling>
          <c:orientation val="minMax"/>
        </c:scaling>
        <c:delete val="0"/>
        <c:axPos val="b"/>
        <c:numFmt formatCode="General" sourceLinked="0"/>
        <c:majorTickMark val="out"/>
        <c:minorTickMark val="none"/>
        <c:tickLblPos val="nextTo"/>
        <c:crossAx val="226403456"/>
        <c:crosses val="autoZero"/>
        <c:auto val="1"/>
        <c:lblAlgn val="ctr"/>
        <c:lblOffset val="100"/>
        <c:noMultiLvlLbl val="0"/>
      </c:catAx>
      <c:valAx>
        <c:axId val="226403456"/>
        <c:scaling>
          <c:orientation val="minMax"/>
        </c:scaling>
        <c:delete val="0"/>
        <c:axPos val="l"/>
        <c:majorGridlines/>
        <c:numFmt formatCode="#,##0.0" sourceLinked="1"/>
        <c:majorTickMark val="out"/>
        <c:minorTickMark val="none"/>
        <c:tickLblPos val="nextTo"/>
        <c:crossAx val="226397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3D25-7CEC-4321-BECE-3375C193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IADB</dc:creator>
  <cp:lastModifiedBy>Suber, Stephanie Anne</cp:lastModifiedBy>
  <cp:revision>17</cp:revision>
  <dcterms:created xsi:type="dcterms:W3CDTF">2017-05-18T17:04:00Z</dcterms:created>
  <dcterms:modified xsi:type="dcterms:W3CDTF">2017-05-31T20:36:00Z</dcterms:modified>
</cp:coreProperties>
</file>