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52E7" w14:textId="77777777" w:rsidR="007773C1" w:rsidRPr="00BB250A" w:rsidRDefault="007773C1" w:rsidP="007773C1">
      <w:pPr>
        <w:pStyle w:val="SubSubPar"/>
        <w:numPr>
          <w:ilvl w:val="0"/>
          <w:numId w:val="0"/>
        </w:numPr>
        <w:spacing w:after="0"/>
        <w:jc w:val="center"/>
        <w:rPr>
          <w:rFonts w:ascii="Arial" w:hAnsi="Arial" w:cs="Arial"/>
          <w:smallCaps/>
          <w:sz w:val="22"/>
          <w:szCs w:val="22"/>
          <w:lang w:val="es-ES_tradnl"/>
        </w:rPr>
      </w:pPr>
      <w:bookmarkStart w:id="0" w:name="_Toc388249744"/>
      <w:r w:rsidRPr="00BB250A">
        <w:rPr>
          <w:rFonts w:ascii="Arial" w:hAnsi="Arial" w:cs="Arial"/>
          <w:smallCaps/>
          <w:sz w:val="22"/>
          <w:szCs w:val="22"/>
          <w:lang w:val="es-ES_tradnl"/>
        </w:rPr>
        <w:t>Documento del Banco Interamericano De Desarrollo</w:t>
      </w:r>
      <w:bookmarkEnd w:id="0"/>
    </w:p>
    <w:p w14:paraId="09A71FE5" w14:textId="77777777" w:rsidR="007773C1" w:rsidRPr="00BB250A" w:rsidRDefault="007773C1" w:rsidP="007773C1">
      <w:pPr>
        <w:spacing w:before="120" w:after="120" w:line="240" w:lineRule="auto"/>
        <w:jc w:val="center"/>
        <w:rPr>
          <w:rFonts w:ascii="Arial" w:hAnsi="Arial" w:cs="Arial"/>
          <w:lang w:val="es-ES_tradnl"/>
        </w:rPr>
      </w:pPr>
    </w:p>
    <w:p w14:paraId="6B7F3B9A" w14:textId="77777777" w:rsidR="007773C1" w:rsidRPr="00BB250A" w:rsidRDefault="007773C1" w:rsidP="007773C1">
      <w:pPr>
        <w:spacing w:before="120" w:after="120" w:line="240" w:lineRule="auto"/>
        <w:jc w:val="center"/>
        <w:rPr>
          <w:rFonts w:ascii="Arial" w:hAnsi="Arial" w:cs="Arial"/>
          <w:lang w:val="es-ES_tradnl"/>
        </w:rPr>
      </w:pPr>
    </w:p>
    <w:p w14:paraId="0B1E719E" w14:textId="77777777" w:rsidR="007773C1" w:rsidRPr="00BB250A" w:rsidRDefault="007773C1" w:rsidP="007773C1">
      <w:pPr>
        <w:spacing w:before="120" w:after="120" w:line="240" w:lineRule="auto"/>
        <w:jc w:val="center"/>
        <w:rPr>
          <w:rFonts w:ascii="Arial" w:hAnsi="Arial" w:cs="Arial"/>
          <w:lang w:val="es-ES_tradnl"/>
        </w:rPr>
      </w:pPr>
    </w:p>
    <w:p w14:paraId="29F978D1" w14:textId="77777777" w:rsidR="007773C1" w:rsidRPr="00BB250A" w:rsidRDefault="007773C1" w:rsidP="007773C1">
      <w:pPr>
        <w:spacing w:before="120" w:after="120" w:line="240" w:lineRule="auto"/>
        <w:jc w:val="center"/>
        <w:rPr>
          <w:rFonts w:ascii="Arial" w:hAnsi="Arial" w:cs="Arial"/>
          <w:lang w:val="es-ES_tradnl"/>
        </w:rPr>
      </w:pPr>
    </w:p>
    <w:p w14:paraId="629CA92A" w14:textId="77777777" w:rsidR="00B520AA" w:rsidRPr="00BB250A" w:rsidRDefault="00B520AA" w:rsidP="00B520AA">
      <w:pPr>
        <w:tabs>
          <w:tab w:val="left" w:pos="1350"/>
        </w:tabs>
        <w:jc w:val="center"/>
        <w:rPr>
          <w:rFonts w:ascii="Arial" w:hAnsi="Arial" w:cs="Arial"/>
          <w:b/>
          <w:smallCaps/>
          <w:sz w:val="28"/>
          <w:lang w:val="es-ES_tradnl"/>
        </w:rPr>
      </w:pPr>
    </w:p>
    <w:p w14:paraId="2F1295C9" w14:textId="77777777" w:rsidR="00B520AA" w:rsidRPr="00BB250A" w:rsidRDefault="00B520AA" w:rsidP="00B520AA">
      <w:pPr>
        <w:tabs>
          <w:tab w:val="left" w:pos="1350"/>
        </w:tabs>
        <w:jc w:val="center"/>
        <w:rPr>
          <w:rFonts w:ascii="Arial" w:hAnsi="Arial" w:cs="Arial"/>
          <w:b/>
          <w:smallCaps/>
          <w:sz w:val="28"/>
          <w:lang w:val="es-ES_tradnl"/>
        </w:rPr>
      </w:pPr>
    </w:p>
    <w:p w14:paraId="77091E93" w14:textId="77777777" w:rsidR="009F4F77" w:rsidRPr="00BB250A" w:rsidRDefault="00BB250A" w:rsidP="009F4F77">
      <w:pPr>
        <w:tabs>
          <w:tab w:val="left" w:pos="1440"/>
          <w:tab w:val="left" w:pos="3060"/>
        </w:tabs>
        <w:jc w:val="center"/>
        <w:rPr>
          <w:rFonts w:ascii="Arial" w:hAnsi="Arial" w:cs="Arial"/>
          <w:b/>
          <w:smallCaps/>
          <w:sz w:val="28"/>
          <w:szCs w:val="28"/>
          <w:lang w:val="es-ES"/>
        </w:rPr>
      </w:pPr>
      <w:r w:rsidRPr="00BB250A">
        <w:rPr>
          <w:rFonts w:ascii="Arial" w:hAnsi="Arial" w:cs="Arial"/>
          <w:b/>
          <w:smallCaps/>
          <w:sz w:val="28"/>
          <w:szCs w:val="28"/>
          <w:lang w:val="es-ES"/>
        </w:rPr>
        <w:t>Argentina</w:t>
      </w:r>
    </w:p>
    <w:p w14:paraId="33E6F672" w14:textId="77777777" w:rsidR="009F4F77" w:rsidRPr="00BB250A" w:rsidRDefault="009F4F77" w:rsidP="009F4F77">
      <w:pPr>
        <w:tabs>
          <w:tab w:val="left" w:pos="1440"/>
          <w:tab w:val="left" w:pos="3060"/>
        </w:tabs>
        <w:jc w:val="center"/>
        <w:rPr>
          <w:rFonts w:ascii="Arial" w:hAnsi="Arial" w:cs="Arial"/>
          <w:b/>
          <w:smallCaps/>
          <w:lang w:val="es-ES"/>
        </w:rPr>
      </w:pPr>
    </w:p>
    <w:p w14:paraId="3E8955CC" w14:textId="77777777" w:rsidR="009F4F77" w:rsidRPr="00BB250A" w:rsidRDefault="009F4F77" w:rsidP="009F4F77">
      <w:pPr>
        <w:tabs>
          <w:tab w:val="left" w:pos="1440"/>
          <w:tab w:val="left" w:pos="3060"/>
        </w:tabs>
        <w:jc w:val="center"/>
        <w:rPr>
          <w:rFonts w:ascii="Arial" w:hAnsi="Arial" w:cs="Arial"/>
          <w:b/>
          <w:smallCaps/>
          <w:sz w:val="28"/>
          <w:szCs w:val="28"/>
          <w:lang w:val="es-ES"/>
        </w:rPr>
      </w:pPr>
    </w:p>
    <w:p w14:paraId="35AD398B" w14:textId="77777777" w:rsidR="009F4F77" w:rsidRPr="00BB250A" w:rsidRDefault="00BB250A" w:rsidP="009F4F77">
      <w:pPr>
        <w:tabs>
          <w:tab w:val="left" w:pos="1440"/>
          <w:tab w:val="left" w:pos="3060"/>
        </w:tabs>
        <w:jc w:val="center"/>
        <w:rPr>
          <w:rFonts w:ascii="Arial" w:hAnsi="Arial" w:cs="Arial"/>
          <w:b/>
          <w:smallCaps/>
          <w:sz w:val="28"/>
          <w:szCs w:val="28"/>
          <w:lang w:val="es-ES_tradnl"/>
        </w:rPr>
      </w:pPr>
      <w:r w:rsidRPr="00BB250A">
        <w:rPr>
          <w:rFonts w:ascii="Arial" w:hAnsi="Arial" w:cs="Arial"/>
          <w:b/>
          <w:smallCaps/>
          <w:sz w:val="28"/>
          <w:szCs w:val="28"/>
          <w:lang w:val="es-ES_tradnl"/>
        </w:rPr>
        <w:t>Programa para la implementación de la Estrategia Nacional de Inclusión Financiera de Argentina</w:t>
      </w:r>
    </w:p>
    <w:p w14:paraId="51855972" w14:textId="77777777" w:rsidR="007773C1" w:rsidRPr="00BB250A" w:rsidRDefault="009F4F77" w:rsidP="009F4F77">
      <w:pPr>
        <w:tabs>
          <w:tab w:val="left" w:pos="1440"/>
          <w:tab w:val="left" w:pos="3060"/>
        </w:tabs>
        <w:jc w:val="center"/>
        <w:outlineLvl w:val="0"/>
        <w:rPr>
          <w:rFonts w:ascii="Arial" w:hAnsi="Arial" w:cs="Arial"/>
          <w:b/>
          <w:smallCaps/>
          <w:sz w:val="24"/>
          <w:lang w:val="es-ES_tradnl"/>
        </w:rPr>
      </w:pPr>
      <w:r w:rsidRPr="00BB250A">
        <w:rPr>
          <w:rFonts w:ascii="Arial" w:hAnsi="Arial" w:cs="Arial"/>
          <w:b/>
          <w:smallCaps/>
          <w:lang w:val="es-ES"/>
        </w:rPr>
        <w:t>(</w:t>
      </w:r>
      <w:r w:rsidR="00BB250A" w:rsidRPr="00BB250A">
        <w:rPr>
          <w:rFonts w:ascii="Arial" w:hAnsi="Arial" w:cs="Arial"/>
          <w:b/>
          <w:smallCaps/>
          <w:lang w:val="es-ES"/>
        </w:rPr>
        <w:t>AR-L1249</w:t>
      </w:r>
      <w:r w:rsidRPr="00BB250A">
        <w:rPr>
          <w:rFonts w:ascii="Arial" w:hAnsi="Arial" w:cs="Arial"/>
          <w:b/>
          <w:smallCaps/>
          <w:lang w:val="es-ES"/>
        </w:rPr>
        <w:t>)</w:t>
      </w:r>
    </w:p>
    <w:p w14:paraId="03C53CFD" w14:textId="77777777" w:rsidR="007773C1" w:rsidRPr="00BB250A" w:rsidRDefault="007773C1" w:rsidP="007773C1">
      <w:pPr>
        <w:tabs>
          <w:tab w:val="left" w:pos="1440"/>
          <w:tab w:val="left" w:pos="3060"/>
        </w:tabs>
        <w:jc w:val="center"/>
        <w:outlineLvl w:val="0"/>
        <w:rPr>
          <w:rFonts w:ascii="Arial" w:hAnsi="Arial" w:cs="Arial"/>
          <w:b/>
          <w:smallCaps/>
          <w:sz w:val="24"/>
          <w:lang w:val="es-ES_tradnl"/>
        </w:rPr>
      </w:pPr>
    </w:p>
    <w:p w14:paraId="40C16FD4" w14:textId="77777777" w:rsidR="007773C1" w:rsidRPr="00BB250A" w:rsidRDefault="007773C1" w:rsidP="007773C1">
      <w:pPr>
        <w:tabs>
          <w:tab w:val="left" w:pos="1440"/>
          <w:tab w:val="left" w:pos="3060"/>
        </w:tabs>
        <w:jc w:val="center"/>
        <w:outlineLvl w:val="0"/>
        <w:rPr>
          <w:rFonts w:ascii="Arial" w:hAnsi="Arial" w:cs="Arial"/>
          <w:b/>
          <w:smallCaps/>
          <w:sz w:val="24"/>
          <w:lang w:val="es-ES_tradnl"/>
        </w:rPr>
      </w:pPr>
    </w:p>
    <w:p w14:paraId="57EC0183" w14:textId="77777777" w:rsidR="007773C1" w:rsidRPr="00BB250A" w:rsidRDefault="00792B06" w:rsidP="007773C1">
      <w:pPr>
        <w:tabs>
          <w:tab w:val="left" w:pos="1440"/>
          <w:tab w:val="left" w:pos="3060"/>
        </w:tabs>
        <w:jc w:val="center"/>
        <w:outlineLvl w:val="0"/>
        <w:rPr>
          <w:rFonts w:ascii="Arial" w:hAnsi="Arial" w:cs="Arial"/>
          <w:b/>
          <w:smallCaps/>
          <w:sz w:val="24"/>
          <w:lang w:val="es-ES_tradnl"/>
        </w:rPr>
      </w:pPr>
      <w:r w:rsidRPr="00BB250A">
        <w:rPr>
          <w:rFonts w:ascii="Arial" w:hAnsi="Arial" w:cs="Arial"/>
          <w:b/>
          <w:smallCaps/>
          <w:sz w:val="24"/>
          <w:lang w:val="es-ES_tradnl"/>
        </w:rPr>
        <w:t>Plan de Monitoreo y Evaluación</w:t>
      </w:r>
    </w:p>
    <w:p w14:paraId="1402F534" w14:textId="77777777" w:rsidR="007773C1" w:rsidRPr="00BB250A" w:rsidRDefault="007773C1" w:rsidP="007773C1">
      <w:pPr>
        <w:spacing w:after="100" w:afterAutospacing="1" w:line="240" w:lineRule="auto"/>
        <w:jc w:val="center"/>
        <w:rPr>
          <w:rFonts w:ascii="Arial" w:hAnsi="Arial" w:cs="Arial"/>
          <w:b/>
          <w:highlight w:val="yellow"/>
          <w:lang w:val="es-ES_tradnl"/>
        </w:rPr>
      </w:pPr>
    </w:p>
    <w:p w14:paraId="508593F9" w14:textId="77777777" w:rsidR="007773C1" w:rsidRPr="00BB250A" w:rsidRDefault="007773C1" w:rsidP="007773C1">
      <w:pPr>
        <w:pStyle w:val="TOC3"/>
        <w:rPr>
          <w:rFonts w:ascii="Arial" w:hAnsi="Arial" w:cs="Arial"/>
          <w:sz w:val="22"/>
          <w:highlight w:val="yellow"/>
          <w:lang w:val="es-ES_tradnl"/>
        </w:rPr>
      </w:pPr>
    </w:p>
    <w:p w14:paraId="2F8A8742" w14:textId="77777777" w:rsidR="007773C1" w:rsidRPr="00BB250A" w:rsidRDefault="007773C1" w:rsidP="007773C1">
      <w:pPr>
        <w:rPr>
          <w:rFonts w:ascii="Arial" w:hAnsi="Arial" w:cs="Arial"/>
          <w:highlight w:val="yellow"/>
          <w:lang w:val="es-ES_tradnl"/>
        </w:rPr>
      </w:pPr>
    </w:p>
    <w:p w14:paraId="7073B39C" w14:textId="77777777" w:rsidR="007773C1" w:rsidRPr="00BB250A" w:rsidRDefault="007773C1" w:rsidP="007773C1">
      <w:pPr>
        <w:rPr>
          <w:rFonts w:ascii="Arial" w:hAnsi="Arial" w:cs="Arial"/>
          <w:b/>
          <w:highlight w:val="yellow"/>
          <w:lang w:val="es-ES_tradnl"/>
        </w:rPr>
      </w:pPr>
    </w:p>
    <w:p w14:paraId="21BE5033" w14:textId="77777777" w:rsidR="007773C1" w:rsidRPr="00BB250A" w:rsidRDefault="007773C1" w:rsidP="007773C1">
      <w:pPr>
        <w:rPr>
          <w:rFonts w:ascii="Arial" w:hAnsi="Arial" w:cs="Arial"/>
          <w:b/>
          <w:highlight w:val="yellow"/>
          <w:lang w:val="es-ES_tradnl"/>
        </w:rPr>
      </w:pPr>
    </w:p>
    <w:p w14:paraId="1D1776FE" w14:textId="77777777" w:rsidR="00571425" w:rsidRPr="00BB250A" w:rsidRDefault="00571425" w:rsidP="00571425">
      <w:pPr>
        <w:rPr>
          <w:rFonts w:ascii="Arial" w:hAnsi="Arial" w:cs="Arial"/>
          <w:b/>
          <w:highlight w:val="yellow"/>
          <w:lang w:val="es-ES_tradnl"/>
        </w:rPr>
      </w:pPr>
    </w:p>
    <w:p w14:paraId="283CA62C" w14:textId="77777777" w:rsidR="00BB250A" w:rsidRPr="00BB250A" w:rsidRDefault="00BB250A" w:rsidP="00571425">
      <w:pPr>
        <w:rPr>
          <w:rFonts w:ascii="Arial" w:hAnsi="Arial" w:cs="Arial"/>
          <w:b/>
          <w:highlight w:val="yellow"/>
          <w:lang w:val="es-ES_tradnl"/>
        </w:rPr>
      </w:pPr>
    </w:p>
    <w:p w14:paraId="39BFACCB" w14:textId="77777777" w:rsidR="00BB250A" w:rsidRPr="00BB250A" w:rsidRDefault="00BB250A" w:rsidP="00571425">
      <w:pPr>
        <w:rPr>
          <w:rFonts w:ascii="Arial" w:hAnsi="Arial" w:cs="Arial"/>
          <w:b/>
          <w:highlight w:val="yellow"/>
          <w:lang w:val="es-ES_tradnl"/>
        </w:rPr>
      </w:pPr>
    </w:p>
    <w:p w14:paraId="0954B42D" w14:textId="77777777" w:rsidR="00BB250A" w:rsidRPr="00BB250A" w:rsidRDefault="00BB250A" w:rsidP="00571425">
      <w:pPr>
        <w:rPr>
          <w:rFonts w:ascii="Arial" w:hAnsi="Arial" w:cs="Arial"/>
          <w:b/>
          <w:highlight w:val="yellow"/>
          <w:lang w:val="es-ES_tradnl"/>
        </w:rPr>
      </w:pPr>
    </w:p>
    <w:p w14:paraId="1190E051" w14:textId="77777777" w:rsidR="00114A2D" w:rsidRPr="00BB250A" w:rsidRDefault="007773C1" w:rsidP="00571425">
      <w:pPr>
        <w:rPr>
          <w:rFonts w:ascii="Arial" w:hAnsi="Arial" w:cs="Arial"/>
          <w:b/>
          <w:highlight w:val="yellow"/>
          <w:lang w:val="es-ES_tradnl"/>
        </w:rPr>
        <w:sectPr w:rsidR="00114A2D" w:rsidRPr="00BB250A" w:rsidSect="00AF2969">
          <w:footerReference w:type="default" r:id="rId14"/>
          <w:pgSz w:w="12240" w:h="15840"/>
          <w:pgMar w:top="1440" w:right="1800" w:bottom="1440" w:left="1800" w:header="720" w:footer="720" w:gutter="0"/>
          <w:cols w:space="720"/>
          <w:titlePg/>
          <w:docGrid w:linePitch="360"/>
        </w:sectPr>
      </w:pPr>
      <w:r w:rsidRPr="00BB250A">
        <w:rPr>
          <w:rFonts w:ascii="Arial" w:hAnsi="Arial" w:cs="Arial"/>
          <w:noProof/>
          <w:highlight w:val="yellow"/>
          <w:lang w:val="en-US" w:eastAsia="en-US"/>
        </w:rPr>
        <mc:AlternateContent>
          <mc:Choice Requires="wps">
            <w:drawing>
              <wp:anchor distT="0" distB="0" distL="114300" distR="114300" simplePos="0" relativeHeight="251659264" behindDoc="0" locked="0" layoutInCell="1" allowOverlap="1" wp14:anchorId="70910425" wp14:editId="0658F622">
                <wp:simplePos x="0" y="0"/>
                <wp:positionH relativeFrom="column">
                  <wp:posOffset>-211347</wp:posOffset>
                </wp:positionH>
                <wp:positionV relativeFrom="paragraph">
                  <wp:posOffset>300607</wp:posOffset>
                </wp:positionV>
                <wp:extent cx="5734050" cy="276045"/>
                <wp:effectExtent l="0" t="0" r="1905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6045"/>
                        </a:xfrm>
                        <a:prstGeom prst="rect">
                          <a:avLst/>
                        </a:prstGeom>
                        <a:solidFill>
                          <a:srgbClr val="FFFFFF"/>
                        </a:solidFill>
                        <a:ln w="9525">
                          <a:solidFill>
                            <a:srgbClr val="000000"/>
                          </a:solidFill>
                          <a:miter lim="800000"/>
                          <a:headEnd/>
                          <a:tailEnd/>
                        </a:ln>
                      </wps:spPr>
                      <wps:txbx>
                        <w:txbxContent>
                          <w:p w14:paraId="02D70541" w14:textId="77777777" w:rsidR="00F366F6" w:rsidRPr="00486549" w:rsidRDefault="00F366F6" w:rsidP="007773C1">
                            <w:pPr>
                              <w:jc w:val="both"/>
                              <w:rPr>
                                <w:rFonts w:ascii="Arial" w:hAnsi="Arial" w:cs="Arial"/>
                                <w:sz w:val="20"/>
                                <w:lang w:val="es-ES_tradnl"/>
                              </w:rPr>
                            </w:pPr>
                            <w:r w:rsidRPr="00486549">
                              <w:rPr>
                                <w:rFonts w:ascii="Arial" w:hAnsi="Arial" w:cs="Arial"/>
                                <w:szCs w:val="24"/>
                                <w:lang w:val="es-ES_tradnl"/>
                              </w:rPr>
                              <w:t xml:space="preserve">Este documento fue </w:t>
                            </w:r>
                            <w:r>
                              <w:rPr>
                                <w:rFonts w:ascii="Arial" w:hAnsi="Arial" w:cs="Arial"/>
                                <w:szCs w:val="24"/>
                                <w:lang w:val="es-ES_tradnl"/>
                              </w:rPr>
                              <w:t>preparado por: Sebastián Vargas</w:t>
                            </w:r>
                            <w:r w:rsidRPr="00486549">
                              <w:rPr>
                                <w:rFonts w:ascii="Arial" w:hAnsi="Arial" w:cs="Arial"/>
                                <w:szCs w:val="24"/>
                                <w:lang w:val="es-ES_tradnl"/>
                              </w:rPr>
                              <w:t xml:space="preserve"> (IFD/CMF).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10425" id="_x0000_t202" coordsize="21600,21600" o:spt="202" path="m,l,21600r21600,l21600,xe">
                <v:stroke joinstyle="miter"/>
                <v:path gradientshapeok="t" o:connecttype="rect"/>
              </v:shapetype>
              <v:shape id="Text Box 1" o:spid="_x0000_s1026" type="#_x0000_t202" style="position:absolute;margin-left:-16.65pt;margin-top:23.65pt;width:45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KgIAAFAEAAAOAAAAZHJzL2Uyb0RvYy54bWysVNtu2zAMfR+wfxD0vtjJkqY14hRdugwD&#10;ugvQ7gNkWbaFSaImKbGzry8lp5mx7WmYHwRRpI4OD0lvbgetyFE4L8GUdD7LKRGGQy1NW9JvT/s3&#10;1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">
                <v:textbox>
                  <w:txbxContent>
                    <w:p w14:paraId="02D70541" w14:textId="77777777" w:rsidR="00F366F6" w:rsidRPr="00486549" w:rsidRDefault="00F366F6" w:rsidP="007773C1">
                      <w:pPr>
                        <w:jc w:val="both"/>
                        <w:rPr>
                          <w:rFonts w:ascii="Arial" w:hAnsi="Arial" w:cs="Arial"/>
                          <w:sz w:val="20"/>
                          <w:lang w:val="es-ES_tradnl"/>
                        </w:rPr>
                      </w:pPr>
                      <w:r w:rsidRPr="00486549">
                        <w:rPr>
                          <w:rFonts w:ascii="Arial" w:hAnsi="Arial" w:cs="Arial"/>
                          <w:szCs w:val="24"/>
                          <w:lang w:val="es-ES_tradnl"/>
                        </w:rPr>
                        <w:t xml:space="preserve">Este documento fue </w:t>
                      </w:r>
                      <w:r>
                        <w:rPr>
                          <w:rFonts w:ascii="Arial" w:hAnsi="Arial" w:cs="Arial"/>
                          <w:szCs w:val="24"/>
                          <w:lang w:val="es-ES_tradnl"/>
                        </w:rPr>
                        <w:t>preparado por: Sebastián Vargas</w:t>
                      </w:r>
                      <w:r w:rsidRPr="00486549">
                        <w:rPr>
                          <w:rFonts w:ascii="Arial" w:hAnsi="Arial" w:cs="Arial"/>
                          <w:szCs w:val="24"/>
                          <w:lang w:val="es-ES_tradnl"/>
                        </w:rPr>
                        <w:t xml:space="preserve"> (IFD/CMF).</w:t>
                      </w:r>
                    </w:p>
                  </w:txbxContent>
                </v:textbox>
              </v:shape>
            </w:pict>
          </mc:Fallback>
        </mc:AlternateContent>
      </w:r>
    </w:p>
    <w:p w14:paraId="7DFA3F37" w14:textId="77777777" w:rsidR="00C50FCC" w:rsidRPr="00BC5D4A" w:rsidRDefault="0051105A" w:rsidP="00AF3829">
      <w:pPr>
        <w:jc w:val="center"/>
        <w:rPr>
          <w:rFonts w:ascii="Arial" w:hAnsi="Arial" w:cs="Arial"/>
          <w:b/>
          <w:bCs/>
          <w:smallCaps/>
          <w:spacing w:val="5"/>
          <w:lang w:val="es-ES_tradnl"/>
        </w:rPr>
      </w:pPr>
      <w:r w:rsidRPr="00BC5D4A">
        <w:rPr>
          <w:rStyle w:val="BookTitle"/>
          <w:rFonts w:ascii="Arial" w:hAnsi="Arial" w:cs="Arial"/>
          <w:lang w:val="es-ES_tradnl"/>
        </w:rPr>
        <w:lastRenderedPageBreak/>
        <w:t>Contenido</w:t>
      </w:r>
    </w:p>
    <w:p w14:paraId="04581F3D" w14:textId="77777777" w:rsidR="00BC5D4A" w:rsidRPr="00BC5D4A" w:rsidRDefault="00114A2D">
      <w:pPr>
        <w:pStyle w:val="TOC1"/>
        <w:rPr>
          <w:rFonts w:asciiTheme="minorHAnsi" w:hAnsiTheme="minorHAnsi" w:cstheme="minorBidi"/>
          <w:b w:val="0"/>
          <w:smallCaps w:val="0"/>
          <w:sz w:val="22"/>
          <w:lang w:val="es-ES_tradnl" w:eastAsia="en-US"/>
        </w:rPr>
      </w:pPr>
      <w:r w:rsidRPr="00BC5D4A">
        <w:rPr>
          <w:rFonts w:ascii="Arial" w:hAnsi="Arial" w:cs="Arial"/>
          <w:b w:val="0"/>
          <w:noProof w:val="0"/>
          <w:sz w:val="22"/>
          <w:lang w:val="es-ES_tradnl"/>
        </w:rPr>
        <w:fldChar w:fldCharType="begin"/>
      </w:r>
      <w:r w:rsidRPr="00BC5D4A">
        <w:rPr>
          <w:rFonts w:ascii="Arial" w:hAnsi="Arial" w:cs="Arial"/>
          <w:b w:val="0"/>
          <w:noProof w:val="0"/>
          <w:sz w:val="22"/>
          <w:lang w:val="es-ES_tradnl"/>
        </w:rPr>
        <w:instrText xml:space="preserve"> TOC \f \t "Chapter,1,FirstHeading,2,SecHeading,3" </w:instrText>
      </w:r>
      <w:r w:rsidRPr="00BC5D4A">
        <w:rPr>
          <w:rFonts w:ascii="Arial" w:hAnsi="Arial" w:cs="Arial"/>
          <w:b w:val="0"/>
          <w:noProof w:val="0"/>
          <w:sz w:val="22"/>
          <w:lang w:val="es-ES_tradnl"/>
        </w:rPr>
        <w:fldChar w:fldCharType="separate"/>
      </w:r>
      <w:r w:rsidR="00BC5D4A" w:rsidRPr="00BC5D4A">
        <w:rPr>
          <w:rFonts w:ascii="Arial" w:hAnsi="Arial" w:cs="Arial"/>
          <w:lang w:val="es-ES_tradnl"/>
        </w:rPr>
        <w:t>I.</w:t>
      </w:r>
      <w:r w:rsidR="00BC5D4A" w:rsidRPr="00BC5D4A">
        <w:rPr>
          <w:rFonts w:asciiTheme="minorHAnsi" w:hAnsiTheme="minorHAnsi" w:cstheme="minorBidi"/>
          <w:b w:val="0"/>
          <w:smallCaps w:val="0"/>
          <w:sz w:val="22"/>
          <w:lang w:val="es-ES_tradnl" w:eastAsia="en-US"/>
        </w:rPr>
        <w:tab/>
      </w:r>
      <w:r w:rsidR="00BC5D4A" w:rsidRPr="00BC5D4A">
        <w:rPr>
          <w:rFonts w:ascii="Arial" w:hAnsi="Arial" w:cs="Arial"/>
          <w:lang w:val="es-ES_tradnl"/>
        </w:rPr>
        <w:t>Introducción</w:t>
      </w:r>
      <w:r w:rsidR="00BC5D4A" w:rsidRPr="00BC5D4A">
        <w:rPr>
          <w:lang w:val="es-ES_tradnl"/>
        </w:rPr>
        <w:tab/>
      </w:r>
      <w:r w:rsidR="00BC5D4A" w:rsidRPr="00BC5D4A">
        <w:fldChar w:fldCharType="begin"/>
      </w:r>
      <w:r w:rsidR="00BC5D4A" w:rsidRPr="00BC5D4A">
        <w:rPr>
          <w:lang w:val="es-ES_tradnl"/>
        </w:rPr>
        <w:instrText xml:space="preserve"> PAGEREF _Toc491884239 \h </w:instrText>
      </w:r>
      <w:r w:rsidR="00BC5D4A" w:rsidRPr="00BC5D4A">
        <w:fldChar w:fldCharType="separate"/>
      </w:r>
      <w:r w:rsidR="00DC561E">
        <w:rPr>
          <w:lang w:val="es-ES_tradnl"/>
        </w:rPr>
        <w:t>1</w:t>
      </w:r>
      <w:r w:rsidR="00BC5D4A" w:rsidRPr="00BC5D4A">
        <w:fldChar w:fldCharType="end"/>
      </w:r>
    </w:p>
    <w:p w14:paraId="43B31D2F" w14:textId="77777777" w:rsidR="00BC5D4A" w:rsidRPr="00BC5D4A" w:rsidRDefault="00BC5D4A">
      <w:pPr>
        <w:pStyle w:val="TOC1"/>
        <w:rPr>
          <w:rFonts w:asciiTheme="minorHAnsi" w:hAnsiTheme="minorHAnsi" w:cstheme="minorBidi"/>
          <w:b w:val="0"/>
          <w:smallCaps w:val="0"/>
          <w:sz w:val="22"/>
          <w:lang w:val="es-ES_tradnl" w:eastAsia="en-US"/>
        </w:rPr>
      </w:pPr>
      <w:r w:rsidRPr="00BC5D4A">
        <w:rPr>
          <w:rFonts w:ascii="Arial" w:hAnsi="Arial" w:cs="Arial"/>
          <w:lang w:val="es-ES_tradnl"/>
        </w:rPr>
        <w:t>II.</w:t>
      </w:r>
      <w:r w:rsidRPr="00BC5D4A">
        <w:rPr>
          <w:rFonts w:asciiTheme="minorHAnsi" w:hAnsiTheme="minorHAnsi" w:cstheme="minorBidi"/>
          <w:b w:val="0"/>
          <w:smallCaps w:val="0"/>
          <w:sz w:val="22"/>
          <w:lang w:val="es-ES_tradnl" w:eastAsia="en-US"/>
        </w:rPr>
        <w:tab/>
      </w:r>
      <w:r w:rsidRPr="00BC5D4A">
        <w:rPr>
          <w:rFonts w:ascii="Arial" w:hAnsi="Arial" w:cs="Arial"/>
          <w:lang w:val="es-ES_tradnl"/>
        </w:rPr>
        <w:t>Monitoreo</w:t>
      </w:r>
      <w:r w:rsidRPr="00BC5D4A">
        <w:rPr>
          <w:lang w:val="es-ES_tradnl"/>
        </w:rPr>
        <w:tab/>
      </w:r>
      <w:r w:rsidRPr="00BC5D4A">
        <w:fldChar w:fldCharType="begin"/>
      </w:r>
      <w:r w:rsidRPr="00BC5D4A">
        <w:rPr>
          <w:lang w:val="es-ES_tradnl"/>
        </w:rPr>
        <w:instrText xml:space="preserve"> PAGEREF _Toc491884240 \h </w:instrText>
      </w:r>
      <w:r w:rsidRPr="00BC5D4A">
        <w:fldChar w:fldCharType="separate"/>
      </w:r>
      <w:r w:rsidR="00DC561E">
        <w:rPr>
          <w:lang w:val="es-ES_tradnl"/>
        </w:rPr>
        <w:t>3</w:t>
      </w:r>
      <w:r w:rsidRPr="00BC5D4A">
        <w:fldChar w:fldCharType="end"/>
      </w:r>
    </w:p>
    <w:p w14:paraId="49736C7D"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1.</w:t>
      </w:r>
      <w:r w:rsidRPr="00BC5D4A">
        <w:rPr>
          <w:rFonts w:asciiTheme="minorHAnsi" w:hAnsiTheme="minorHAnsi" w:cstheme="minorBidi"/>
          <w:noProof/>
          <w:sz w:val="22"/>
          <w:lang w:val="es-ES_tradnl" w:eastAsia="en-US"/>
        </w:rPr>
        <w:tab/>
      </w:r>
      <w:r w:rsidRPr="00BC5D4A">
        <w:rPr>
          <w:rFonts w:ascii="Arial" w:hAnsi="Arial" w:cs="Arial"/>
          <w:noProof/>
          <w:lang w:val="es-ES_tradnl"/>
        </w:rPr>
        <w:t>Indicadores</w:t>
      </w:r>
      <w:r w:rsidRPr="00BC5D4A">
        <w:rPr>
          <w:noProof/>
          <w:lang w:val="es-ES_tradnl"/>
        </w:rPr>
        <w:tab/>
      </w:r>
      <w:r w:rsidRPr="00BC5D4A">
        <w:rPr>
          <w:noProof/>
        </w:rPr>
        <w:fldChar w:fldCharType="begin"/>
      </w:r>
      <w:r w:rsidRPr="00BC5D4A">
        <w:rPr>
          <w:noProof/>
          <w:lang w:val="es-ES_tradnl"/>
        </w:rPr>
        <w:instrText xml:space="preserve"> PAGEREF _Toc491884241 \h </w:instrText>
      </w:r>
      <w:r w:rsidRPr="00BC5D4A">
        <w:rPr>
          <w:noProof/>
        </w:rPr>
      </w:r>
      <w:r w:rsidRPr="00BC5D4A">
        <w:rPr>
          <w:noProof/>
        </w:rPr>
        <w:fldChar w:fldCharType="separate"/>
      </w:r>
      <w:r w:rsidR="00DC561E">
        <w:rPr>
          <w:noProof/>
          <w:lang w:val="es-ES_tradnl"/>
        </w:rPr>
        <w:t>3</w:t>
      </w:r>
      <w:r w:rsidRPr="00BC5D4A">
        <w:rPr>
          <w:noProof/>
        </w:rPr>
        <w:fldChar w:fldCharType="end"/>
      </w:r>
    </w:p>
    <w:p w14:paraId="6C15DE22"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2.</w:t>
      </w:r>
      <w:r w:rsidRPr="00BC5D4A">
        <w:rPr>
          <w:rFonts w:asciiTheme="minorHAnsi" w:hAnsiTheme="minorHAnsi" w:cstheme="minorBidi"/>
          <w:noProof/>
          <w:sz w:val="22"/>
          <w:lang w:val="es-ES_tradnl" w:eastAsia="en-US"/>
        </w:rPr>
        <w:tab/>
      </w:r>
      <w:r w:rsidRPr="00BC5D4A">
        <w:rPr>
          <w:rFonts w:ascii="Arial" w:hAnsi="Arial" w:cs="Arial"/>
          <w:noProof/>
          <w:lang w:val="es-ES_tradnl"/>
        </w:rPr>
        <w:t>Recolección de Información e Instrumentos</w:t>
      </w:r>
      <w:r w:rsidRPr="00BC5D4A">
        <w:rPr>
          <w:noProof/>
          <w:lang w:val="es-ES_tradnl"/>
        </w:rPr>
        <w:tab/>
      </w:r>
      <w:r w:rsidRPr="00BC5D4A">
        <w:rPr>
          <w:noProof/>
        </w:rPr>
        <w:fldChar w:fldCharType="begin"/>
      </w:r>
      <w:r w:rsidRPr="00BC5D4A">
        <w:rPr>
          <w:noProof/>
          <w:lang w:val="es-ES_tradnl"/>
        </w:rPr>
        <w:instrText xml:space="preserve"> PAGEREF _Toc491884242 \h </w:instrText>
      </w:r>
      <w:r w:rsidRPr="00BC5D4A">
        <w:rPr>
          <w:noProof/>
        </w:rPr>
      </w:r>
      <w:r w:rsidRPr="00BC5D4A">
        <w:rPr>
          <w:noProof/>
        </w:rPr>
        <w:fldChar w:fldCharType="separate"/>
      </w:r>
      <w:r w:rsidR="00DC561E">
        <w:rPr>
          <w:noProof/>
          <w:lang w:val="es-ES_tradnl"/>
        </w:rPr>
        <w:t>6</w:t>
      </w:r>
      <w:r w:rsidRPr="00BC5D4A">
        <w:rPr>
          <w:noProof/>
        </w:rPr>
        <w:fldChar w:fldCharType="end"/>
      </w:r>
    </w:p>
    <w:p w14:paraId="1DF7BFAE"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3.</w:t>
      </w:r>
      <w:r w:rsidRPr="00BC5D4A">
        <w:rPr>
          <w:rFonts w:asciiTheme="minorHAnsi" w:hAnsiTheme="minorHAnsi" w:cstheme="minorBidi"/>
          <w:noProof/>
          <w:sz w:val="22"/>
          <w:lang w:val="es-ES_tradnl" w:eastAsia="en-US"/>
        </w:rPr>
        <w:tab/>
      </w:r>
      <w:r w:rsidRPr="00BC5D4A">
        <w:rPr>
          <w:rFonts w:ascii="Arial" w:hAnsi="Arial" w:cs="Arial"/>
          <w:noProof/>
          <w:lang w:val="es-ES_tradnl"/>
        </w:rPr>
        <w:t>Presentación de Informes</w:t>
      </w:r>
      <w:r w:rsidRPr="00BC5D4A">
        <w:rPr>
          <w:noProof/>
          <w:lang w:val="es-ES_tradnl"/>
        </w:rPr>
        <w:tab/>
      </w:r>
      <w:r w:rsidRPr="00BC5D4A">
        <w:rPr>
          <w:noProof/>
        </w:rPr>
        <w:fldChar w:fldCharType="begin"/>
      </w:r>
      <w:r w:rsidRPr="00BC5D4A">
        <w:rPr>
          <w:noProof/>
          <w:lang w:val="es-ES_tradnl"/>
        </w:rPr>
        <w:instrText xml:space="preserve"> PAGEREF _Toc491884243 \h </w:instrText>
      </w:r>
      <w:r w:rsidRPr="00BC5D4A">
        <w:rPr>
          <w:noProof/>
        </w:rPr>
      </w:r>
      <w:r w:rsidRPr="00BC5D4A">
        <w:rPr>
          <w:noProof/>
        </w:rPr>
        <w:fldChar w:fldCharType="separate"/>
      </w:r>
      <w:r w:rsidR="00DC561E">
        <w:rPr>
          <w:noProof/>
          <w:lang w:val="es-ES_tradnl"/>
        </w:rPr>
        <w:t>7</w:t>
      </w:r>
      <w:r w:rsidRPr="00BC5D4A">
        <w:rPr>
          <w:noProof/>
        </w:rPr>
        <w:fldChar w:fldCharType="end"/>
      </w:r>
    </w:p>
    <w:p w14:paraId="44813D78"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4.</w:t>
      </w:r>
      <w:r w:rsidRPr="00BC5D4A">
        <w:rPr>
          <w:rFonts w:asciiTheme="minorHAnsi" w:hAnsiTheme="minorHAnsi" w:cstheme="minorBidi"/>
          <w:noProof/>
          <w:sz w:val="22"/>
          <w:lang w:val="es-ES_tradnl" w:eastAsia="en-US"/>
        </w:rPr>
        <w:tab/>
      </w:r>
      <w:r w:rsidRPr="00BC5D4A">
        <w:rPr>
          <w:rFonts w:ascii="Arial" w:hAnsi="Arial" w:cs="Arial"/>
          <w:noProof/>
          <w:lang w:val="es-ES_tradnl"/>
        </w:rPr>
        <w:t>Coordinación del Monitoreo, Plan de Trabajo y Presupuesto</w:t>
      </w:r>
      <w:r w:rsidRPr="00BC5D4A">
        <w:rPr>
          <w:noProof/>
          <w:lang w:val="es-ES_tradnl"/>
        </w:rPr>
        <w:tab/>
      </w:r>
      <w:r w:rsidRPr="00BC5D4A">
        <w:rPr>
          <w:noProof/>
        </w:rPr>
        <w:fldChar w:fldCharType="begin"/>
      </w:r>
      <w:r w:rsidRPr="00BC5D4A">
        <w:rPr>
          <w:noProof/>
          <w:lang w:val="es-ES_tradnl"/>
        </w:rPr>
        <w:instrText xml:space="preserve"> PAGEREF _Toc491884244 \h </w:instrText>
      </w:r>
      <w:r w:rsidRPr="00BC5D4A">
        <w:rPr>
          <w:noProof/>
        </w:rPr>
      </w:r>
      <w:r w:rsidRPr="00BC5D4A">
        <w:rPr>
          <w:noProof/>
        </w:rPr>
        <w:fldChar w:fldCharType="separate"/>
      </w:r>
      <w:r w:rsidR="00DC561E">
        <w:rPr>
          <w:noProof/>
          <w:lang w:val="es-ES_tradnl"/>
        </w:rPr>
        <w:t>7</w:t>
      </w:r>
      <w:r w:rsidRPr="00BC5D4A">
        <w:rPr>
          <w:noProof/>
        </w:rPr>
        <w:fldChar w:fldCharType="end"/>
      </w:r>
    </w:p>
    <w:p w14:paraId="2D1FF478" w14:textId="77777777" w:rsidR="00BC5D4A" w:rsidRPr="00BC5D4A" w:rsidRDefault="00BC5D4A">
      <w:pPr>
        <w:pStyle w:val="TOC1"/>
        <w:rPr>
          <w:rFonts w:asciiTheme="minorHAnsi" w:hAnsiTheme="minorHAnsi" w:cstheme="minorBidi"/>
          <w:b w:val="0"/>
          <w:smallCaps w:val="0"/>
          <w:sz w:val="22"/>
          <w:lang w:val="es-ES_tradnl" w:eastAsia="en-US"/>
        </w:rPr>
      </w:pPr>
      <w:r w:rsidRPr="00BC5D4A">
        <w:rPr>
          <w:rFonts w:ascii="Arial" w:hAnsi="Arial" w:cs="Arial"/>
          <w:lang w:val="es-ES_tradnl"/>
        </w:rPr>
        <w:t>III.</w:t>
      </w:r>
      <w:r w:rsidRPr="00BC5D4A">
        <w:rPr>
          <w:rFonts w:asciiTheme="minorHAnsi" w:hAnsiTheme="minorHAnsi" w:cstheme="minorBidi"/>
          <w:b w:val="0"/>
          <w:smallCaps w:val="0"/>
          <w:sz w:val="22"/>
          <w:lang w:val="es-ES_tradnl" w:eastAsia="en-US"/>
        </w:rPr>
        <w:tab/>
      </w:r>
      <w:r w:rsidRPr="00BC5D4A">
        <w:rPr>
          <w:rFonts w:ascii="Arial" w:hAnsi="Arial" w:cs="Arial"/>
          <w:lang w:val="es-ES_tradnl"/>
        </w:rPr>
        <w:t>Evaluación</w:t>
      </w:r>
      <w:r w:rsidRPr="00BC5D4A">
        <w:rPr>
          <w:lang w:val="es-ES_tradnl"/>
        </w:rPr>
        <w:tab/>
      </w:r>
      <w:r w:rsidRPr="00BC5D4A">
        <w:fldChar w:fldCharType="begin"/>
      </w:r>
      <w:r w:rsidRPr="00BC5D4A">
        <w:rPr>
          <w:lang w:val="es-ES_tradnl"/>
        </w:rPr>
        <w:instrText xml:space="preserve"> PAGEREF _Toc491884245 \h </w:instrText>
      </w:r>
      <w:r w:rsidRPr="00BC5D4A">
        <w:fldChar w:fldCharType="separate"/>
      </w:r>
      <w:r w:rsidR="00DC561E">
        <w:rPr>
          <w:lang w:val="es-ES_tradnl"/>
        </w:rPr>
        <w:t>9</w:t>
      </w:r>
      <w:r w:rsidRPr="00BC5D4A">
        <w:fldChar w:fldCharType="end"/>
      </w:r>
    </w:p>
    <w:p w14:paraId="3DF26B32"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1.</w:t>
      </w:r>
      <w:r w:rsidRPr="00BC5D4A">
        <w:rPr>
          <w:rFonts w:asciiTheme="minorHAnsi" w:hAnsiTheme="minorHAnsi" w:cstheme="minorBidi"/>
          <w:noProof/>
          <w:sz w:val="22"/>
          <w:lang w:val="es-ES_tradnl" w:eastAsia="en-US"/>
        </w:rPr>
        <w:tab/>
      </w:r>
      <w:r w:rsidRPr="00BC5D4A">
        <w:rPr>
          <w:rFonts w:ascii="Arial" w:hAnsi="Arial" w:cs="Arial"/>
          <w:noProof/>
          <w:lang w:val="es-ES_tradnl"/>
        </w:rPr>
        <w:t>Preguntas de evaluación</w:t>
      </w:r>
      <w:r w:rsidRPr="00BC5D4A">
        <w:rPr>
          <w:noProof/>
          <w:lang w:val="es-ES_tradnl"/>
        </w:rPr>
        <w:tab/>
      </w:r>
      <w:r w:rsidRPr="00BC5D4A">
        <w:rPr>
          <w:noProof/>
        </w:rPr>
        <w:fldChar w:fldCharType="begin"/>
      </w:r>
      <w:r w:rsidRPr="00BC5D4A">
        <w:rPr>
          <w:noProof/>
          <w:lang w:val="es-ES_tradnl"/>
        </w:rPr>
        <w:instrText xml:space="preserve"> PAGEREF _Toc491884246 \h </w:instrText>
      </w:r>
      <w:r w:rsidRPr="00BC5D4A">
        <w:rPr>
          <w:noProof/>
        </w:rPr>
      </w:r>
      <w:r w:rsidRPr="00BC5D4A">
        <w:rPr>
          <w:noProof/>
        </w:rPr>
        <w:fldChar w:fldCharType="separate"/>
      </w:r>
      <w:r w:rsidR="00DC561E">
        <w:rPr>
          <w:noProof/>
          <w:lang w:val="es-ES_tradnl"/>
        </w:rPr>
        <w:t>9</w:t>
      </w:r>
      <w:r w:rsidRPr="00BC5D4A">
        <w:rPr>
          <w:noProof/>
        </w:rPr>
        <w:fldChar w:fldCharType="end"/>
      </w:r>
    </w:p>
    <w:p w14:paraId="18074192"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2.</w:t>
      </w:r>
      <w:r w:rsidRPr="00BC5D4A">
        <w:rPr>
          <w:rFonts w:asciiTheme="minorHAnsi" w:hAnsiTheme="minorHAnsi" w:cstheme="minorBidi"/>
          <w:noProof/>
          <w:sz w:val="22"/>
          <w:lang w:val="es-ES_tradnl" w:eastAsia="en-US"/>
        </w:rPr>
        <w:tab/>
      </w:r>
      <w:r w:rsidRPr="00BC5D4A">
        <w:rPr>
          <w:rFonts w:ascii="Arial" w:hAnsi="Arial" w:cs="Arial"/>
          <w:noProof/>
          <w:lang w:val="es-ES_tradnl"/>
        </w:rPr>
        <w:t>Conocimiento existente</w:t>
      </w:r>
      <w:r w:rsidRPr="00BC5D4A">
        <w:rPr>
          <w:noProof/>
          <w:lang w:val="es-ES_tradnl"/>
        </w:rPr>
        <w:tab/>
      </w:r>
      <w:r w:rsidRPr="00BC5D4A">
        <w:rPr>
          <w:noProof/>
        </w:rPr>
        <w:fldChar w:fldCharType="begin"/>
      </w:r>
      <w:r w:rsidRPr="00BC5D4A">
        <w:rPr>
          <w:noProof/>
          <w:lang w:val="es-ES_tradnl"/>
        </w:rPr>
        <w:instrText xml:space="preserve"> PAGEREF _Toc491884247 \h </w:instrText>
      </w:r>
      <w:r w:rsidRPr="00BC5D4A">
        <w:rPr>
          <w:noProof/>
        </w:rPr>
      </w:r>
      <w:r w:rsidRPr="00BC5D4A">
        <w:rPr>
          <w:noProof/>
        </w:rPr>
        <w:fldChar w:fldCharType="separate"/>
      </w:r>
      <w:r w:rsidR="00DC561E">
        <w:rPr>
          <w:noProof/>
          <w:lang w:val="es-ES_tradnl"/>
        </w:rPr>
        <w:t>9</w:t>
      </w:r>
      <w:r w:rsidRPr="00BC5D4A">
        <w:rPr>
          <w:noProof/>
        </w:rPr>
        <w:fldChar w:fldCharType="end"/>
      </w:r>
    </w:p>
    <w:p w14:paraId="696B40CC"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3.</w:t>
      </w:r>
      <w:r w:rsidRPr="00BC5D4A">
        <w:rPr>
          <w:rFonts w:asciiTheme="minorHAnsi" w:hAnsiTheme="minorHAnsi" w:cstheme="minorBidi"/>
          <w:noProof/>
          <w:sz w:val="22"/>
          <w:lang w:val="es-ES_tradnl" w:eastAsia="en-US"/>
        </w:rPr>
        <w:tab/>
      </w:r>
      <w:r w:rsidRPr="00BC5D4A">
        <w:rPr>
          <w:rFonts w:ascii="Arial" w:hAnsi="Arial" w:cs="Arial"/>
          <w:noProof/>
          <w:lang w:val="es-ES_tradnl"/>
        </w:rPr>
        <w:t>Indicadores clave de resultados</w:t>
      </w:r>
      <w:r w:rsidRPr="00BC5D4A">
        <w:rPr>
          <w:noProof/>
          <w:lang w:val="es-ES_tradnl"/>
        </w:rPr>
        <w:tab/>
      </w:r>
      <w:r w:rsidRPr="00BC5D4A">
        <w:rPr>
          <w:noProof/>
        </w:rPr>
        <w:fldChar w:fldCharType="begin"/>
      </w:r>
      <w:r w:rsidRPr="00BC5D4A">
        <w:rPr>
          <w:noProof/>
          <w:lang w:val="es-ES_tradnl"/>
        </w:rPr>
        <w:instrText xml:space="preserve"> PAGEREF _Toc491884248 \h </w:instrText>
      </w:r>
      <w:r w:rsidRPr="00BC5D4A">
        <w:rPr>
          <w:noProof/>
        </w:rPr>
      </w:r>
      <w:r w:rsidRPr="00BC5D4A">
        <w:rPr>
          <w:noProof/>
        </w:rPr>
        <w:fldChar w:fldCharType="separate"/>
      </w:r>
      <w:r w:rsidR="00DC561E">
        <w:rPr>
          <w:noProof/>
          <w:lang w:val="es-ES_tradnl"/>
        </w:rPr>
        <w:t>10</w:t>
      </w:r>
      <w:r w:rsidRPr="00BC5D4A">
        <w:rPr>
          <w:noProof/>
        </w:rPr>
        <w:fldChar w:fldCharType="end"/>
      </w:r>
    </w:p>
    <w:p w14:paraId="52A1CC3E"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4.</w:t>
      </w:r>
      <w:r w:rsidRPr="00BC5D4A">
        <w:rPr>
          <w:rFonts w:asciiTheme="minorHAnsi" w:hAnsiTheme="minorHAnsi" w:cstheme="minorBidi"/>
          <w:noProof/>
          <w:sz w:val="22"/>
          <w:lang w:val="es-ES_tradnl" w:eastAsia="en-US"/>
        </w:rPr>
        <w:tab/>
      </w:r>
      <w:r w:rsidRPr="00BC5D4A">
        <w:rPr>
          <w:rFonts w:ascii="Arial" w:hAnsi="Arial" w:cs="Arial"/>
          <w:noProof/>
          <w:lang w:val="es-ES_tradnl"/>
        </w:rPr>
        <w:t>Metodología de evaluación</w:t>
      </w:r>
      <w:r w:rsidRPr="00BC5D4A">
        <w:rPr>
          <w:noProof/>
          <w:lang w:val="es-ES_tradnl"/>
        </w:rPr>
        <w:tab/>
      </w:r>
      <w:r w:rsidRPr="00BC5D4A">
        <w:rPr>
          <w:noProof/>
        </w:rPr>
        <w:fldChar w:fldCharType="begin"/>
      </w:r>
      <w:r w:rsidRPr="00BC5D4A">
        <w:rPr>
          <w:noProof/>
          <w:lang w:val="es-ES_tradnl"/>
        </w:rPr>
        <w:instrText xml:space="preserve"> PAGEREF _Toc491884249 \h </w:instrText>
      </w:r>
      <w:r w:rsidRPr="00BC5D4A">
        <w:rPr>
          <w:noProof/>
        </w:rPr>
      </w:r>
      <w:r w:rsidRPr="00BC5D4A">
        <w:rPr>
          <w:noProof/>
        </w:rPr>
        <w:fldChar w:fldCharType="separate"/>
      </w:r>
      <w:r w:rsidR="00DC561E">
        <w:rPr>
          <w:noProof/>
          <w:lang w:val="es-ES_tradnl"/>
        </w:rPr>
        <w:t>10</w:t>
      </w:r>
      <w:r w:rsidRPr="00BC5D4A">
        <w:rPr>
          <w:noProof/>
        </w:rPr>
        <w:fldChar w:fldCharType="end"/>
      </w:r>
    </w:p>
    <w:p w14:paraId="24254336" w14:textId="77777777" w:rsidR="00BC5D4A" w:rsidRPr="00BC5D4A" w:rsidRDefault="00BC5D4A">
      <w:pPr>
        <w:pStyle w:val="TOC3"/>
        <w:rPr>
          <w:rFonts w:asciiTheme="minorHAnsi" w:hAnsiTheme="minorHAnsi" w:cstheme="minorBidi"/>
          <w:noProof/>
          <w:sz w:val="22"/>
          <w:lang w:val="es-ES_tradnl" w:eastAsia="en-US"/>
        </w:rPr>
      </w:pPr>
      <w:r w:rsidRPr="00BC5D4A">
        <w:rPr>
          <w:rFonts w:ascii="Arial" w:hAnsi="Arial" w:cs="Arial"/>
          <w:noProof/>
          <w:lang w:val="es-ES_tradnl"/>
        </w:rPr>
        <w:t>5.</w:t>
      </w:r>
      <w:r w:rsidRPr="00BC5D4A">
        <w:rPr>
          <w:rFonts w:asciiTheme="minorHAnsi" w:hAnsiTheme="minorHAnsi" w:cstheme="minorBidi"/>
          <w:noProof/>
          <w:sz w:val="22"/>
          <w:lang w:val="es-ES_tradnl" w:eastAsia="en-US"/>
        </w:rPr>
        <w:tab/>
      </w:r>
      <w:r w:rsidRPr="00BC5D4A">
        <w:rPr>
          <w:rFonts w:ascii="Arial" w:hAnsi="Arial" w:cs="Arial"/>
          <w:noProof/>
          <w:lang w:val="es-ES_tradnl"/>
        </w:rPr>
        <w:t>Plan de trabajo y presupuesto de evaluación</w:t>
      </w:r>
      <w:r w:rsidRPr="00BC5D4A">
        <w:rPr>
          <w:noProof/>
          <w:lang w:val="es-ES_tradnl"/>
        </w:rPr>
        <w:tab/>
      </w:r>
      <w:r w:rsidRPr="00BC5D4A">
        <w:rPr>
          <w:noProof/>
        </w:rPr>
        <w:fldChar w:fldCharType="begin"/>
      </w:r>
      <w:r w:rsidRPr="00BC5D4A">
        <w:rPr>
          <w:noProof/>
          <w:lang w:val="es-ES_tradnl"/>
        </w:rPr>
        <w:instrText xml:space="preserve"> PAGEREF _Toc491884250 \h </w:instrText>
      </w:r>
      <w:r w:rsidRPr="00BC5D4A">
        <w:rPr>
          <w:noProof/>
        </w:rPr>
      </w:r>
      <w:r w:rsidRPr="00BC5D4A">
        <w:rPr>
          <w:noProof/>
        </w:rPr>
        <w:fldChar w:fldCharType="separate"/>
      </w:r>
      <w:r w:rsidR="00DC561E">
        <w:rPr>
          <w:noProof/>
          <w:lang w:val="es-ES_tradnl"/>
        </w:rPr>
        <w:t>13</w:t>
      </w:r>
      <w:r w:rsidRPr="00BC5D4A">
        <w:rPr>
          <w:noProof/>
        </w:rPr>
        <w:fldChar w:fldCharType="end"/>
      </w:r>
    </w:p>
    <w:p w14:paraId="44903C8B" w14:textId="77777777" w:rsidR="00062D0D" w:rsidRPr="00BB250A" w:rsidRDefault="00114A2D" w:rsidP="00114A2D">
      <w:pPr>
        <w:pStyle w:val="TOC3"/>
        <w:rPr>
          <w:rFonts w:ascii="Arial" w:hAnsi="Arial" w:cs="Arial"/>
          <w:sz w:val="22"/>
          <w:highlight w:val="yellow"/>
          <w:lang w:val="es-ES_tradnl"/>
        </w:rPr>
      </w:pPr>
      <w:r w:rsidRPr="00BC5D4A">
        <w:rPr>
          <w:rFonts w:ascii="Arial" w:hAnsi="Arial" w:cs="Arial"/>
          <w:sz w:val="22"/>
          <w:lang w:val="es-ES_tradnl"/>
        </w:rPr>
        <w:fldChar w:fldCharType="end"/>
      </w:r>
    </w:p>
    <w:p w14:paraId="6C6F76BC" w14:textId="77777777" w:rsidR="00062D0D" w:rsidRPr="00BB250A" w:rsidRDefault="00062D0D" w:rsidP="00982FF1">
      <w:pPr>
        <w:rPr>
          <w:rFonts w:ascii="Arial" w:hAnsi="Arial" w:cs="Arial"/>
          <w:highlight w:val="yellow"/>
          <w:lang w:val="es-ES_tradnl"/>
        </w:rPr>
      </w:pPr>
    </w:p>
    <w:p w14:paraId="0B2B0D20" w14:textId="77777777" w:rsidR="00062D0D" w:rsidRPr="00BB250A" w:rsidRDefault="00062D0D" w:rsidP="00982FF1">
      <w:pPr>
        <w:rPr>
          <w:rFonts w:ascii="Arial" w:hAnsi="Arial" w:cs="Arial"/>
          <w:highlight w:val="yellow"/>
          <w:lang w:val="es-ES_tradnl"/>
        </w:rPr>
      </w:pPr>
    </w:p>
    <w:p w14:paraId="0DA33DCC" w14:textId="77777777" w:rsidR="00062D0D" w:rsidRPr="00BB250A" w:rsidRDefault="00062D0D" w:rsidP="00982FF1">
      <w:pPr>
        <w:rPr>
          <w:rFonts w:ascii="Arial" w:hAnsi="Arial" w:cs="Arial"/>
          <w:highlight w:val="yellow"/>
          <w:lang w:val="es-ES_tradnl"/>
        </w:rPr>
        <w:sectPr w:rsidR="00062D0D" w:rsidRPr="00BB250A" w:rsidSect="00AF2969">
          <w:footerReference w:type="default" r:id="rId15"/>
          <w:pgSz w:w="12240" w:h="15840"/>
          <w:pgMar w:top="1440" w:right="1800" w:bottom="1440" w:left="1800" w:header="720" w:footer="720" w:gutter="0"/>
          <w:pgNumType w:start="0"/>
          <w:cols w:space="720"/>
          <w:titlePg/>
          <w:docGrid w:linePitch="360"/>
        </w:sectPr>
      </w:pPr>
      <w:r w:rsidRPr="00BB250A">
        <w:rPr>
          <w:rFonts w:ascii="Arial" w:hAnsi="Arial" w:cs="Arial"/>
          <w:highlight w:val="yellow"/>
          <w:lang w:val="es-ES_tradnl"/>
        </w:rPr>
        <w:br w:type="page"/>
      </w:r>
    </w:p>
    <w:p w14:paraId="4A86854A" w14:textId="77777777" w:rsidR="00062D0D" w:rsidRPr="00BB250A" w:rsidRDefault="00062D0D" w:rsidP="00F436E1">
      <w:pPr>
        <w:pStyle w:val="Chapter"/>
        <w:tabs>
          <w:tab w:val="clear" w:pos="1440"/>
        </w:tabs>
        <w:spacing w:before="0"/>
        <w:ind w:left="630" w:hanging="180"/>
        <w:rPr>
          <w:rFonts w:ascii="Arial" w:hAnsi="Arial" w:cs="Arial"/>
          <w:sz w:val="22"/>
          <w:szCs w:val="22"/>
          <w:lang w:val="es-ES_tradnl"/>
        </w:rPr>
      </w:pPr>
      <w:bookmarkStart w:id="1" w:name="_Toc352756751"/>
      <w:bookmarkStart w:id="2" w:name="_Toc491884239"/>
      <w:r w:rsidRPr="00BB250A">
        <w:rPr>
          <w:rFonts w:ascii="Arial" w:hAnsi="Arial" w:cs="Arial"/>
          <w:sz w:val="22"/>
          <w:szCs w:val="22"/>
          <w:lang w:val="es-ES_tradnl"/>
        </w:rPr>
        <w:lastRenderedPageBreak/>
        <w:t>Introducción</w:t>
      </w:r>
      <w:bookmarkEnd w:id="1"/>
      <w:bookmarkEnd w:id="2"/>
      <w:r w:rsidRPr="00BB250A">
        <w:rPr>
          <w:rFonts w:ascii="Arial" w:hAnsi="Arial" w:cs="Arial"/>
          <w:sz w:val="22"/>
          <w:szCs w:val="22"/>
          <w:lang w:val="es-ES_tradnl"/>
        </w:rPr>
        <w:t xml:space="preserve"> </w:t>
      </w:r>
    </w:p>
    <w:p w14:paraId="25B43AFB" w14:textId="77777777" w:rsidR="007159AD" w:rsidRPr="00607F68" w:rsidRDefault="00B520AA" w:rsidP="00BB250A">
      <w:pPr>
        <w:pStyle w:val="Paragraph"/>
        <w:numPr>
          <w:ilvl w:val="1"/>
          <w:numId w:val="13"/>
        </w:numPr>
        <w:tabs>
          <w:tab w:val="clear" w:pos="2448"/>
          <w:tab w:val="num" w:pos="630"/>
        </w:tabs>
        <w:ind w:left="630" w:hanging="630"/>
        <w:rPr>
          <w:rFonts w:ascii="Arial" w:hAnsi="Arial" w:cs="Arial"/>
          <w:sz w:val="22"/>
          <w:szCs w:val="22"/>
          <w:lang w:val="es-ES_tradnl"/>
        </w:rPr>
      </w:pPr>
      <w:r w:rsidRPr="00BB250A">
        <w:rPr>
          <w:rFonts w:ascii="Arial" w:hAnsi="Arial" w:cs="Arial"/>
          <w:b/>
          <w:sz w:val="22"/>
          <w:szCs w:val="22"/>
          <w:lang w:val="es-ES_tradnl"/>
        </w:rPr>
        <w:t>Objetivo</w:t>
      </w:r>
      <w:r w:rsidRPr="00BB250A">
        <w:rPr>
          <w:rFonts w:ascii="Arial" w:hAnsi="Arial" w:cs="Arial"/>
          <w:sz w:val="22"/>
          <w:szCs w:val="22"/>
          <w:lang w:val="es-ES_tradnl"/>
        </w:rPr>
        <w:t xml:space="preserve">. </w:t>
      </w:r>
      <w:r w:rsidR="00E909C2" w:rsidRPr="00E909C2">
        <w:rPr>
          <w:rFonts w:ascii="Arial" w:hAnsi="Arial" w:cs="Arial"/>
          <w:sz w:val="22"/>
          <w:lang w:val="es-ES_tradnl"/>
        </w:rPr>
        <w:t xml:space="preserve">El objetivo del programa es </w:t>
      </w:r>
      <w:bookmarkStart w:id="3" w:name="_Hlk485892931"/>
      <w:r w:rsidR="00E909C2" w:rsidRPr="00E909C2">
        <w:rPr>
          <w:rFonts w:ascii="Arial" w:hAnsi="Arial" w:cs="Arial"/>
          <w:sz w:val="22"/>
          <w:lang w:val="es-ES_tradnl"/>
        </w:rPr>
        <w:t>contribuir a incrementar el acceso y uso de servicios financieros para hogares y empresas a través de: (i) implementar la Estrategia Nacional de Inclusi</w:t>
      </w:r>
      <w:r w:rsidR="00E909C2">
        <w:rPr>
          <w:rFonts w:ascii="Arial" w:hAnsi="Arial" w:cs="Arial"/>
          <w:sz w:val="22"/>
          <w:lang w:val="es-ES_tradnl"/>
        </w:rPr>
        <w:t xml:space="preserve">ón Financiera; e (ii) </w:t>
      </w:r>
      <w:r w:rsidR="00E909C2" w:rsidRPr="00E909C2">
        <w:rPr>
          <w:rFonts w:ascii="Arial" w:hAnsi="Arial" w:cs="Arial"/>
          <w:sz w:val="22"/>
          <w:lang w:val="es-ES_tradnl"/>
        </w:rPr>
        <w:t>incrementar el acceso a crédito de Micro y Pequeñas Empresas (MyPE</w:t>
      </w:r>
      <w:bookmarkEnd w:id="3"/>
      <w:r w:rsidR="00E909C2" w:rsidRPr="00E909C2">
        <w:rPr>
          <w:rFonts w:ascii="Arial" w:hAnsi="Arial" w:cs="Arial"/>
          <w:sz w:val="22"/>
          <w:lang w:val="es-ES_tradnl"/>
        </w:rPr>
        <w:t>).</w:t>
      </w:r>
    </w:p>
    <w:p w14:paraId="0E477386" w14:textId="77777777" w:rsidR="00C9465F" w:rsidRDefault="00B520AA" w:rsidP="00BB250A">
      <w:pPr>
        <w:pStyle w:val="Paragraph"/>
        <w:numPr>
          <w:ilvl w:val="1"/>
          <w:numId w:val="13"/>
        </w:numPr>
        <w:tabs>
          <w:tab w:val="clear" w:pos="2448"/>
          <w:tab w:val="num" w:pos="630"/>
        </w:tabs>
        <w:ind w:left="630" w:hanging="630"/>
        <w:rPr>
          <w:rFonts w:ascii="Arial" w:hAnsi="Arial" w:cs="Arial"/>
          <w:sz w:val="22"/>
          <w:szCs w:val="22"/>
          <w:lang w:val="es-ES_tradnl"/>
        </w:rPr>
      </w:pPr>
      <w:r w:rsidRPr="00607F68">
        <w:rPr>
          <w:rFonts w:ascii="Arial" w:hAnsi="Arial" w:cs="Arial"/>
          <w:b/>
          <w:sz w:val="22"/>
          <w:szCs w:val="22"/>
          <w:lang w:val="es-ES_tradnl"/>
        </w:rPr>
        <w:t xml:space="preserve">Componentes. </w:t>
      </w:r>
      <w:r w:rsidRPr="00607F68">
        <w:rPr>
          <w:rFonts w:ascii="Arial" w:hAnsi="Arial" w:cs="Arial"/>
          <w:sz w:val="22"/>
          <w:szCs w:val="22"/>
          <w:lang w:val="es-ES_tradnl"/>
        </w:rPr>
        <w:t xml:space="preserve">El programa se estructura en torno a </w:t>
      </w:r>
      <w:r w:rsidR="00C9465F">
        <w:rPr>
          <w:rFonts w:ascii="Arial" w:hAnsi="Arial" w:cs="Arial"/>
          <w:sz w:val="22"/>
          <w:szCs w:val="22"/>
          <w:lang w:val="es-ES_tradnl"/>
        </w:rPr>
        <w:t>dos</w:t>
      </w:r>
      <w:r w:rsidRPr="00607F68">
        <w:rPr>
          <w:rFonts w:ascii="Arial" w:hAnsi="Arial" w:cs="Arial"/>
          <w:sz w:val="22"/>
          <w:szCs w:val="22"/>
          <w:lang w:val="es-ES_tradnl"/>
        </w:rPr>
        <w:t xml:space="preserve"> componentes. </w:t>
      </w:r>
      <w:r w:rsidR="00307324" w:rsidRPr="00607F68">
        <w:rPr>
          <w:rFonts w:ascii="Arial" w:hAnsi="Arial" w:cs="Arial"/>
          <w:sz w:val="22"/>
          <w:szCs w:val="22"/>
          <w:lang w:val="es-ES_tradnl"/>
        </w:rPr>
        <w:t xml:space="preserve">El primero, consiste en </w:t>
      </w:r>
      <w:r w:rsidR="00C9465F">
        <w:rPr>
          <w:rFonts w:ascii="Arial" w:hAnsi="Arial" w:cs="Arial"/>
          <w:sz w:val="22"/>
          <w:szCs w:val="22"/>
          <w:lang w:val="es-ES_tradnl"/>
        </w:rPr>
        <w:t>la implementación de la Estrategia Nacional de Inclusión Financiera, por US$ 13.5 millones</w:t>
      </w:r>
      <w:r w:rsidR="009F4F77" w:rsidRPr="00607F68">
        <w:rPr>
          <w:rFonts w:ascii="Arial" w:hAnsi="Arial" w:cs="Arial"/>
          <w:sz w:val="22"/>
          <w:szCs w:val="22"/>
          <w:lang w:val="es-ES_tradnl"/>
        </w:rPr>
        <w:t>. E</w:t>
      </w:r>
      <w:r w:rsidR="00C9465F">
        <w:rPr>
          <w:rFonts w:ascii="Arial" w:hAnsi="Arial" w:cs="Arial"/>
          <w:sz w:val="22"/>
          <w:szCs w:val="22"/>
          <w:lang w:val="es-ES_tradnl"/>
        </w:rPr>
        <w:t>l primer subcomponente, por US$ 10 millones</w:t>
      </w:r>
      <w:r w:rsidR="009F4F77" w:rsidRPr="00607F68">
        <w:rPr>
          <w:rFonts w:ascii="Arial" w:hAnsi="Arial" w:cs="Arial"/>
          <w:sz w:val="22"/>
          <w:szCs w:val="22"/>
          <w:lang w:val="es-ES_tradnl"/>
        </w:rPr>
        <w:t xml:space="preserve">, </w:t>
      </w:r>
      <w:r w:rsidR="00C9465F">
        <w:rPr>
          <w:rFonts w:ascii="Arial" w:hAnsi="Arial" w:cs="Arial"/>
          <w:sz w:val="22"/>
          <w:szCs w:val="22"/>
          <w:lang w:val="es-ES_tradnl"/>
        </w:rPr>
        <w:t xml:space="preserve">está </w:t>
      </w:r>
      <w:r w:rsidR="009F4F77" w:rsidRPr="00607F68">
        <w:rPr>
          <w:rFonts w:ascii="Arial" w:hAnsi="Arial" w:cs="Arial"/>
          <w:sz w:val="22"/>
          <w:szCs w:val="22"/>
          <w:lang w:val="es-ES_tradnl"/>
        </w:rPr>
        <w:t>asociado al primer objetivo específico</w:t>
      </w:r>
      <w:r w:rsidR="00C9465F">
        <w:rPr>
          <w:rFonts w:ascii="Arial" w:hAnsi="Arial" w:cs="Arial"/>
          <w:sz w:val="22"/>
          <w:szCs w:val="22"/>
          <w:lang w:val="es-ES_tradnl"/>
        </w:rPr>
        <w:t>. Este</w:t>
      </w:r>
      <w:r w:rsidR="00307324" w:rsidRPr="00607F68">
        <w:rPr>
          <w:rFonts w:ascii="Arial" w:hAnsi="Arial" w:cs="Arial"/>
          <w:sz w:val="22"/>
          <w:szCs w:val="22"/>
          <w:lang w:val="es-ES_tradnl"/>
        </w:rPr>
        <w:t xml:space="preserve"> buscará </w:t>
      </w:r>
      <w:r w:rsidR="00307324" w:rsidRPr="00607F68">
        <w:rPr>
          <w:rFonts w:ascii="Arial" w:hAnsi="Arial" w:cs="Arial"/>
          <w:sz w:val="22"/>
          <w:lang w:val="es-ES_tradnl"/>
        </w:rPr>
        <w:t>mejorar los niveles de acceso y uso de servicios por las empresas y los hogares, particularmente los segmentos excluidos o sub-atendidos con énfasis en la población en condición de pobreza y vulnerable y con ingresos informales</w:t>
      </w:r>
      <w:r w:rsidR="00307324" w:rsidRPr="00607F68">
        <w:rPr>
          <w:rFonts w:ascii="Arial" w:hAnsi="Arial" w:cs="Arial"/>
          <w:bCs/>
          <w:sz w:val="22"/>
          <w:lang w:val="es-MX"/>
        </w:rPr>
        <w:t xml:space="preserve">. Esto se logrará mediante la implementación de un </w:t>
      </w:r>
      <w:r w:rsidR="00307324" w:rsidRPr="00607F68">
        <w:rPr>
          <w:rFonts w:ascii="Arial" w:hAnsi="Arial" w:cs="Arial"/>
          <w:bCs/>
          <w:sz w:val="22"/>
          <w:lang w:val="es-EC"/>
        </w:rPr>
        <w:t xml:space="preserve">fondo concursable de fomento de la inclusión financiera que </w:t>
      </w:r>
      <w:r w:rsidR="00307324" w:rsidRPr="00607F68">
        <w:rPr>
          <w:rFonts w:ascii="Arial" w:hAnsi="Arial" w:cs="Arial"/>
          <w:sz w:val="22"/>
          <w:lang w:val="es-ES_tradnl"/>
        </w:rPr>
        <w:t>apoyará a las entidades financieras</w:t>
      </w:r>
      <w:r w:rsidR="00307324" w:rsidRPr="00607F68">
        <w:rPr>
          <w:rFonts w:ascii="Arial" w:hAnsi="Arial" w:cs="Arial"/>
          <w:sz w:val="18"/>
          <w:szCs w:val="18"/>
          <w:lang w:val="es-ES_tradnl"/>
        </w:rPr>
        <w:t xml:space="preserve"> </w:t>
      </w:r>
      <w:r w:rsidR="00307324" w:rsidRPr="00607F68">
        <w:rPr>
          <w:rFonts w:ascii="Arial" w:hAnsi="Arial" w:cs="Arial"/>
          <w:sz w:val="22"/>
          <w:lang w:val="es-ES_tradnl"/>
        </w:rPr>
        <w:t>reguladas con recursos reembolsables y no-reembolsables</w:t>
      </w:r>
      <w:r w:rsidR="009F4F77" w:rsidRPr="00607F68">
        <w:rPr>
          <w:rFonts w:ascii="Arial" w:hAnsi="Arial" w:cs="Arial"/>
          <w:sz w:val="22"/>
          <w:szCs w:val="22"/>
          <w:lang w:val="es-ES_tradnl"/>
        </w:rPr>
        <w:t>.</w:t>
      </w:r>
      <w:r w:rsidR="00C9465F" w:rsidRPr="00C9465F">
        <w:rPr>
          <w:rFonts w:ascii="Arial" w:eastAsia="Calibri" w:hAnsi="Arial" w:cs="Arial"/>
          <w:sz w:val="22"/>
          <w:szCs w:val="22"/>
          <w:lang w:val="es-ES_tradnl"/>
        </w:rPr>
        <w:t xml:space="preserve"> </w:t>
      </w:r>
      <w:r w:rsidR="00C9465F" w:rsidRPr="00607F68">
        <w:rPr>
          <w:rFonts w:ascii="Arial" w:hAnsi="Arial" w:cs="Arial"/>
          <w:sz w:val="22"/>
          <w:szCs w:val="22"/>
          <w:lang w:val="es-ES_tradnl"/>
        </w:rPr>
        <w:t xml:space="preserve">El </w:t>
      </w:r>
      <w:r w:rsidR="00C9465F">
        <w:rPr>
          <w:rFonts w:ascii="Arial" w:hAnsi="Arial" w:cs="Arial"/>
          <w:sz w:val="22"/>
          <w:szCs w:val="22"/>
          <w:lang w:val="es-ES_tradnl"/>
        </w:rPr>
        <w:t>segundo subcomponente</w:t>
      </w:r>
      <w:r w:rsidR="00C9465F" w:rsidRPr="00607F68">
        <w:rPr>
          <w:rFonts w:ascii="Arial" w:hAnsi="Arial" w:cs="Arial"/>
          <w:sz w:val="22"/>
          <w:szCs w:val="22"/>
          <w:lang w:val="es-ES_tradnl"/>
        </w:rPr>
        <w:t xml:space="preserve">, vinculado al </w:t>
      </w:r>
      <w:r w:rsidR="00C9465F">
        <w:rPr>
          <w:rFonts w:ascii="Arial" w:hAnsi="Arial" w:cs="Arial"/>
          <w:sz w:val="22"/>
          <w:szCs w:val="22"/>
          <w:lang w:val="es-ES_tradnl"/>
        </w:rPr>
        <w:t>tercer</w:t>
      </w:r>
      <w:r w:rsidR="00C9465F" w:rsidRPr="00607F68">
        <w:rPr>
          <w:rFonts w:ascii="Arial" w:hAnsi="Arial" w:cs="Arial"/>
          <w:sz w:val="22"/>
          <w:szCs w:val="22"/>
          <w:lang w:val="es-ES_tradnl"/>
        </w:rPr>
        <w:t xml:space="preserve"> objetivo específico, es el de fortalecimiento de la capacidad institucional del gobierno para desarrollar políticas de inclusión financiera, por US$3.5 millones. Con este </w:t>
      </w:r>
      <w:r w:rsidR="00C9465F">
        <w:rPr>
          <w:rFonts w:ascii="Arial" w:hAnsi="Arial" w:cs="Arial"/>
          <w:sz w:val="22"/>
          <w:szCs w:val="22"/>
          <w:lang w:val="es-ES_tradnl"/>
        </w:rPr>
        <w:t>sub</w:t>
      </w:r>
      <w:r w:rsidR="00C9465F" w:rsidRPr="00607F68">
        <w:rPr>
          <w:rFonts w:ascii="Arial" w:hAnsi="Arial" w:cs="Arial"/>
          <w:sz w:val="22"/>
          <w:szCs w:val="22"/>
          <w:lang w:val="es-ES_tradnl"/>
        </w:rPr>
        <w:t>componente se buscará apoyar la a la institucionalidad pública responsable de liderar e implementar la Estrategia Nacional de Inclusión Financiera (ENIF). El rango de actividades que este componente apoyará es amplio, yendo desde estudios y capacitaciones que promuevan reformas normativas, a gastos de gestión y comunicación relacionados a la implementación de la ENIF, así como a l</w:t>
      </w:r>
      <w:r w:rsidR="00C9465F">
        <w:rPr>
          <w:rFonts w:ascii="Arial" w:hAnsi="Arial" w:cs="Arial"/>
          <w:sz w:val="22"/>
          <w:szCs w:val="22"/>
          <w:lang w:val="es-ES_tradnl"/>
        </w:rPr>
        <w:t>a</w:t>
      </w:r>
      <w:r w:rsidR="00C9465F" w:rsidRPr="00607F68">
        <w:rPr>
          <w:rFonts w:ascii="Arial" w:hAnsi="Arial" w:cs="Arial"/>
          <w:sz w:val="22"/>
          <w:szCs w:val="22"/>
          <w:lang w:val="es-ES_tradnl"/>
        </w:rPr>
        <w:t xml:space="preserve"> articulación de los procesos participativos entre los diferentes actores públicos y privados y gastos de monitoreo y evaluación de la intervención gubernamental. </w:t>
      </w:r>
      <w:r w:rsidR="009F4F77" w:rsidRPr="00607F68">
        <w:rPr>
          <w:rFonts w:ascii="Arial" w:hAnsi="Arial" w:cs="Arial"/>
          <w:sz w:val="22"/>
          <w:szCs w:val="22"/>
          <w:lang w:val="es-ES_tradnl"/>
        </w:rPr>
        <w:t xml:space="preserve"> </w:t>
      </w:r>
    </w:p>
    <w:p w14:paraId="662781F7" w14:textId="77777777" w:rsidR="006325E9" w:rsidRPr="008E445B" w:rsidRDefault="009F4F77" w:rsidP="008E445B">
      <w:pPr>
        <w:pStyle w:val="Paragraph"/>
        <w:numPr>
          <w:ilvl w:val="1"/>
          <w:numId w:val="13"/>
        </w:numPr>
        <w:tabs>
          <w:tab w:val="clear" w:pos="2448"/>
          <w:tab w:val="num" w:pos="630"/>
        </w:tabs>
        <w:ind w:left="630" w:hanging="630"/>
        <w:rPr>
          <w:rFonts w:ascii="Arial" w:hAnsi="Arial" w:cs="Arial"/>
          <w:sz w:val="22"/>
          <w:szCs w:val="22"/>
          <w:lang w:val="es-ES_tradnl"/>
        </w:rPr>
      </w:pPr>
      <w:r w:rsidRPr="006325E9">
        <w:rPr>
          <w:rFonts w:ascii="Arial" w:hAnsi="Arial" w:cs="Arial"/>
          <w:sz w:val="22"/>
          <w:szCs w:val="22"/>
          <w:lang w:val="es-ES_tradnl"/>
        </w:rPr>
        <w:t>El segundo</w:t>
      </w:r>
      <w:r w:rsidR="00307324" w:rsidRPr="006325E9">
        <w:rPr>
          <w:rFonts w:ascii="Arial" w:hAnsi="Arial" w:cs="Arial"/>
          <w:lang w:val="es-ES_tradnl"/>
        </w:rPr>
        <w:t xml:space="preserve"> componente es el de acceso a crédito de las MyPE</w:t>
      </w:r>
      <w:r w:rsidRPr="006325E9">
        <w:rPr>
          <w:rFonts w:ascii="Arial" w:eastAsia="Calibri" w:hAnsi="Arial" w:cs="Arial"/>
          <w:lang w:val="es-ES_tradnl"/>
        </w:rPr>
        <w:t>, por US$</w:t>
      </w:r>
      <w:r w:rsidR="00307324" w:rsidRPr="006325E9">
        <w:rPr>
          <w:rFonts w:ascii="Arial" w:eastAsia="Calibri" w:hAnsi="Arial" w:cs="Arial"/>
          <w:lang w:val="es-ES_tradnl"/>
        </w:rPr>
        <w:t>6.5</w:t>
      </w:r>
      <w:r w:rsidRPr="006325E9">
        <w:rPr>
          <w:rFonts w:ascii="Arial" w:eastAsia="Calibri" w:hAnsi="Arial" w:cs="Arial"/>
          <w:lang w:val="es-ES_tradnl"/>
        </w:rPr>
        <w:t xml:space="preserve"> millones. Este componente, asociado al segundo objetivo específico,</w:t>
      </w:r>
      <w:r w:rsidR="00307324" w:rsidRPr="006325E9">
        <w:rPr>
          <w:rFonts w:ascii="Arial" w:hAnsi="Arial" w:cs="Arial"/>
          <w:lang w:val="es-ES_tradnl"/>
        </w:rPr>
        <w:t xml:space="preserve"> se concentrará en superar el limitado acceso a crédito de las MyPE</w:t>
      </w:r>
      <w:r w:rsidR="00307324" w:rsidRPr="00607F68">
        <w:rPr>
          <w:rStyle w:val="FootnoteReference"/>
          <w:rFonts w:ascii="Arial" w:hAnsi="Arial" w:cs="Arial"/>
          <w:sz w:val="22"/>
        </w:rPr>
        <w:footnoteReference w:id="1"/>
      </w:r>
      <w:r w:rsidR="00307324" w:rsidRPr="006325E9">
        <w:rPr>
          <w:rFonts w:ascii="Arial" w:hAnsi="Arial" w:cs="Arial"/>
          <w:lang w:val="es-ES_tradnl"/>
        </w:rPr>
        <w:t xml:space="preserve">, a través del financiamiento a las mismas mediante el Fondo de Capital Social (FONCAP) y las instituciones </w:t>
      </w:r>
      <w:r w:rsidR="00607F68" w:rsidRPr="006325E9">
        <w:rPr>
          <w:rFonts w:ascii="Arial" w:hAnsi="Arial" w:cs="Arial"/>
          <w:lang w:val="es-ES_tradnl"/>
        </w:rPr>
        <w:t>microfinancieras</w:t>
      </w:r>
      <w:r w:rsidR="00307324" w:rsidRPr="006325E9">
        <w:rPr>
          <w:rFonts w:ascii="Arial" w:hAnsi="Arial" w:cs="Arial"/>
          <w:lang w:val="es-ES_tradnl"/>
        </w:rPr>
        <w:t xml:space="preserve"> (IMF) elegibles bajo el Fondo</w:t>
      </w:r>
      <w:r w:rsidR="00C9465F" w:rsidRPr="006325E9">
        <w:rPr>
          <w:rFonts w:ascii="Arial" w:hAnsi="Arial" w:cs="Arial"/>
          <w:lang w:val="es-ES_tradnl"/>
        </w:rPr>
        <w:t xml:space="preserve"> utilizando un total de US$ 5.5 millones. Adicionalmente, $1 millón se dirigirá al financiamiento mismo de las IMF por FONCAP mediante préstamos de inversión para que las IMF amplíen su cobertura</w:t>
      </w:r>
      <w:r w:rsidR="00C9465F" w:rsidRPr="00EF5451">
        <w:rPr>
          <w:rStyle w:val="FootnoteReference"/>
          <w:rFonts w:ascii="Arial" w:hAnsi="Arial"/>
          <w:sz w:val="22"/>
        </w:rPr>
        <w:footnoteReference w:id="2"/>
      </w:r>
      <w:r w:rsidR="00C9465F" w:rsidRPr="006325E9">
        <w:rPr>
          <w:rFonts w:ascii="Arial" w:hAnsi="Arial" w:cs="Arial"/>
          <w:lang w:val="es-ES_tradnl"/>
        </w:rPr>
        <w:t xml:space="preserve"> y mejoren su capacidad técnica y operativa para atender a más MyPE. En su conjunto, ambos productos buscarán como resultado principal incrementar los nuevos cl</w:t>
      </w:r>
      <w:r w:rsidR="00C9465F" w:rsidRPr="006325E9">
        <w:rPr>
          <w:rFonts w:ascii="Arial" w:hAnsi="Arial" w:cs="Arial"/>
          <w:iCs/>
          <w:lang w:val="es-ES_tradnl"/>
        </w:rPr>
        <w:t>ientes de IMF</w:t>
      </w:r>
      <w:r w:rsidR="00C9465F" w:rsidRPr="00EF5451">
        <w:rPr>
          <w:rStyle w:val="FootnoteReference"/>
          <w:rFonts w:ascii="Arial" w:hAnsi="Arial" w:cs="Arial"/>
          <w:iCs/>
          <w:sz w:val="22"/>
          <w:lang w:val="es-ES_tradnl"/>
        </w:rPr>
        <w:footnoteReference w:id="3"/>
      </w:r>
      <w:r w:rsidR="00C9465F" w:rsidRPr="006325E9">
        <w:rPr>
          <w:rFonts w:ascii="Arial" w:hAnsi="Arial" w:cs="Arial"/>
          <w:lang w:val="es-ES_tradnl"/>
        </w:rPr>
        <w:t>.</w:t>
      </w:r>
    </w:p>
    <w:p w14:paraId="14B1D9F8" w14:textId="77777777" w:rsidR="006325E9" w:rsidRPr="008E445B" w:rsidRDefault="00BB17FC" w:rsidP="008E445B">
      <w:pPr>
        <w:pStyle w:val="Paragraph"/>
        <w:numPr>
          <w:ilvl w:val="1"/>
          <w:numId w:val="13"/>
        </w:numPr>
        <w:tabs>
          <w:tab w:val="clear" w:pos="2448"/>
          <w:tab w:val="num" w:pos="630"/>
        </w:tabs>
        <w:ind w:left="630" w:hanging="630"/>
        <w:rPr>
          <w:rFonts w:ascii="Arial" w:hAnsi="Arial" w:cs="Arial"/>
          <w:sz w:val="22"/>
          <w:szCs w:val="22"/>
          <w:lang w:val="es-ES_tradnl"/>
        </w:rPr>
      </w:pPr>
      <w:r w:rsidRPr="006325E9">
        <w:rPr>
          <w:rFonts w:ascii="Arial" w:hAnsi="Arial" w:cs="Arial"/>
          <w:b/>
          <w:lang w:val="es-ES_tradnl"/>
        </w:rPr>
        <w:t>Responsabilidades del</w:t>
      </w:r>
      <w:r w:rsidR="00B520AA" w:rsidRPr="006325E9">
        <w:rPr>
          <w:rFonts w:ascii="Arial" w:hAnsi="Arial" w:cs="Arial"/>
          <w:b/>
          <w:lang w:val="es-ES_tradnl"/>
        </w:rPr>
        <w:t xml:space="preserve"> Organismo Ejecutor (OE).</w:t>
      </w:r>
      <w:r w:rsidR="00DD5E4E" w:rsidRPr="006325E9">
        <w:rPr>
          <w:rFonts w:ascii="Arial" w:hAnsi="Arial" w:cs="Arial"/>
          <w:b/>
          <w:lang w:val="es-ES_tradnl"/>
        </w:rPr>
        <w:t xml:space="preserve"> </w:t>
      </w:r>
      <w:r w:rsidR="00DD5E4E" w:rsidRPr="006325E9">
        <w:rPr>
          <w:rFonts w:ascii="Arial" w:hAnsi="Arial" w:cs="Arial"/>
          <w:lang w:val="es-ES_tradnl"/>
        </w:rPr>
        <w:t>L</w:t>
      </w:r>
      <w:r w:rsidR="00BB250A" w:rsidRPr="006325E9">
        <w:rPr>
          <w:rFonts w:ascii="Arial" w:hAnsi="Arial" w:cs="Arial"/>
          <w:lang w:val="es-ES_tradnl"/>
        </w:rPr>
        <w:t xml:space="preserve">a Unidad de Coordinación de Programas y Proyectos con enfoque Sectorial Amplio (UCP) </w:t>
      </w:r>
      <w:r w:rsidR="00DD5E4E" w:rsidRPr="006325E9">
        <w:rPr>
          <w:rFonts w:ascii="Arial" w:hAnsi="Arial" w:cs="Arial"/>
          <w:lang w:val="es-ES_tradnl"/>
        </w:rPr>
        <w:t xml:space="preserve">del Ministerio de Finanzas </w:t>
      </w:r>
      <w:r w:rsidR="00B520AA" w:rsidRPr="006325E9">
        <w:rPr>
          <w:rFonts w:ascii="Arial" w:hAnsi="Arial" w:cs="Arial"/>
          <w:lang w:val="es-ES_tradnl"/>
        </w:rPr>
        <w:t xml:space="preserve">actuará como OE, para la administración, ejecución, control y monitoreo de los recursos de la </w:t>
      </w:r>
      <w:r w:rsidR="00F95D2E" w:rsidRPr="006325E9">
        <w:rPr>
          <w:rFonts w:ascii="Arial" w:hAnsi="Arial" w:cs="Arial"/>
          <w:lang w:val="es-ES_tradnl"/>
        </w:rPr>
        <w:t>o</w:t>
      </w:r>
      <w:r w:rsidR="00B520AA" w:rsidRPr="006325E9">
        <w:rPr>
          <w:rFonts w:ascii="Arial" w:hAnsi="Arial" w:cs="Arial"/>
          <w:lang w:val="es-ES_tradnl"/>
        </w:rPr>
        <w:t>peración</w:t>
      </w:r>
      <w:r w:rsidR="00ED2762" w:rsidRPr="006325E9">
        <w:rPr>
          <w:rFonts w:ascii="Arial" w:hAnsi="Arial" w:cs="Arial"/>
          <w:lang w:val="es-ES_tradnl"/>
        </w:rPr>
        <w:t>.</w:t>
      </w:r>
      <w:r w:rsidRPr="006325E9">
        <w:rPr>
          <w:rFonts w:ascii="Arial" w:hAnsi="Arial" w:cs="Arial"/>
          <w:lang w:val="es-ES_tradnl"/>
        </w:rPr>
        <w:t xml:space="preserve"> En este sentido, </w:t>
      </w:r>
      <w:r w:rsidR="00BB250A" w:rsidRPr="006325E9">
        <w:rPr>
          <w:rFonts w:ascii="Arial" w:hAnsi="Arial" w:cs="Arial"/>
          <w:lang w:val="es-ES_tradnl"/>
        </w:rPr>
        <w:t>la UCP</w:t>
      </w:r>
      <w:r w:rsidRPr="006325E9">
        <w:rPr>
          <w:rFonts w:ascii="Arial" w:hAnsi="Arial" w:cs="Arial"/>
          <w:lang w:val="es-ES_tradnl"/>
        </w:rPr>
        <w:t xml:space="preserve"> será la entidad responsable </w:t>
      </w:r>
      <w:r w:rsidR="00F95D2E" w:rsidRPr="006325E9">
        <w:rPr>
          <w:rFonts w:ascii="Arial" w:hAnsi="Arial" w:cs="Arial"/>
          <w:lang w:val="es-ES_tradnl"/>
        </w:rPr>
        <w:t>d</w:t>
      </w:r>
      <w:r w:rsidRPr="006325E9">
        <w:rPr>
          <w:rFonts w:ascii="Arial" w:hAnsi="Arial" w:cs="Arial"/>
          <w:lang w:val="es-ES_tradnl"/>
        </w:rPr>
        <w:t xml:space="preserve">el monitoreo y evaluación del Programa. El Reglamento Operativo del Programa </w:t>
      </w:r>
      <w:r w:rsidR="00576A27" w:rsidRPr="006325E9">
        <w:rPr>
          <w:rFonts w:ascii="Arial" w:hAnsi="Arial" w:cs="Arial"/>
          <w:lang w:val="es-ES_tradnl"/>
        </w:rPr>
        <w:t>(</w:t>
      </w:r>
      <w:r w:rsidRPr="006325E9">
        <w:rPr>
          <w:rFonts w:ascii="Arial" w:hAnsi="Arial" w:cs="Arial"/>
          <w:lang w:val="es-ES_tradnl"/>
        </w:rPr>
        <w:t>ROP</w:t>
      </w:r>
      <w:r w:rsidR="00576A27" w:rsidRPr="006325E9">
        <w:rPr>
          <w:rFonts w:ascii="Arial" w:hAnsi="Arial" w:cs="Arial"/>
          <w:lang w:val="es-ES_tradnl"/>
        </w:rPr>
        <w:t>)</w:t>
      </w:r>
      <w:r w:rsidRPr="006325E9">
        <w:rPr>
          <w:rFonts w:ascii="Arial" w:hAnsi="Arial" w:cs="Arial"/>
          <w:lang w:val="es-ES_tradnl"/>
        </w:rPr>
        <w:t xml:space="preserve"> determina una </w:t>
      </w:r>
      <w:r w:rsidRPr="006325E9">
        <w:rPr>
          <w:rFonts w:ascii="Arial" w:hAnsi="Arial" w:cs="Arial"/>
          <w:lang w:val="es-ES_tradnl"/>
        </w:rPr>
        <w:lastRenderedPageBreak/>
        <w:t xml:space="preserve">periodicidad semestral </w:t>
      </w:r>
      <w:r w:rsidR="00F95D2E" w:rsidRPr="006325E9">
        <w:rPr>
          <w:rFonts w:ascii="Arial" w:hAnsi="Arial" w:cs="Arial"/>
          <w:lang w:val="es-ES_tradnl"/>
        </w:rPr>
        <w:t>para los reportes</w:t>
      </w:r>
      <w:r w:rsidRPr="006325E9">
        <w:rPr>
          <w:rFonts w:ascii="Arial" w:hAnsi="Arial" w:cs="Arial"/>
          <w:lang w:val="es-ES_tradnl"/>
        </w:rPr>
        <w:t xml:space="preserve">, </w:t>
      </w:r>
      <w:r w:rsidR="00F95D2E" w:rsidRPr="006325E9">
        <w:rPr>
          <w:rFonts w:ascii="Arial" w:hAnsi="Arial" w:cs="Arial"/>
          <w:lang w:val="es-ES_tradnl"/>
        </w:rPr>
        <w:t>que contendrán</w:t>
      </w:r>
      <w:r w:rsidRPr="006325E9">
        <w:rPr>
          <w:rFonts w:ascii="Arial" w:hAnsi="Arial" w:cs="Arial"/>
          <w:lang w:val="es-ES_tradnl"/>
        </w:rPr>
        <w:t xml:space="preserve"> como mínimo el progreso de los indicadores de </w:t>
      </w:r>
      <w:r w:rsidR="00BB250A" w:rsidRPr="006325E9">
        <w:rPr>
          <w:rFonts w:ascii="Arial" w:hAnsi="Arial" w:cs="Arial"/>
          <w:lang w:val="es-ES_tradnl"/>
        </w:rPr>
        <w:t>producto</w:t>
      </w:r>
      <w:r w:rsidRPr="006325E9">
        <w:rPr>
          <w:rFonts w:ascii="Arial" w:hAnsi="Arial" w:cs="Arial"/>
          <w:lang w:val="es-ES_tradnl"/>
        </w:rPr>
        <w:t xml:space="preserve"> y el cumplimiento de los criterios de elegibi</w:t>
      </w:r>
      <w:r w:rsidR="00BB250A" w:rsidRPr="006325E9">
        <w:rPr>
          <w:rFonts w:ascii="Arial" w:hAnsi="Arial" w:cs="Arial"/>
          <w:lang w:val="es-ES_tradnl"/>
        </w:rPr>
        <w:t xml:space="preserve">lidad del financiamiento </w:t>
      </w:r>
      <w:r w:rsidRPr="006325E9">
        <w:rPr>
          <w:rFonts w:ascii="Arial" w:hAnsi="Arial" w:cs="Arial"/>
          <w:lang w:val="es-ES_tradnl"/>
        </w:rPr>
        <w:t>a otorgar</w:t>
      </w:r>
      <w:r w:rsidR="00BB250A" w:rsidRPr="006325E9">
        <w:rPr>
          <w:rFonts w:ascii="Arial" w:hAnsi="Arial" w:cs="Arial"/>
          <w:lang w:val="es-ES_tradnl"/>
        </w:rPr>
        <w:t xml:space="preserve"> a través del fondo concursable y FONCAP</w:t>
      </w:r>
      <w:r w:rsidRPr="006325E9">
        <w:rPr>
          <w:rFonts w:ascii="Arial" w:hAnsi="Arial" w:cs="Arial"/>
          <w:lang w:val="es-ES_tradnl"/>
        </w:rPr>
        <w:t>. Los estados financieros del programa estarán a cargo de</w:t>
      </w:r>
      <w:r w:rsidR="00BB250A" w:rsidRPr="006325E9">
        <w:rPr>
          <w:rFonts w:ascii="Arial" w:hAnsi="Arial" w:cs="Arial"/>
          <w:lang w:val="es-ES_tradnl"/>
        </w:rPr>
        <w:t xml:space="preserve"> la UCP</w:t>
      </w:r>
      <w:r w:rsidR="002159B3" w:rsidRPr="006325E9">
        <w:rPr>
          <w:rFonts w:ascii="Arial" w:hAnsi="Arial" w:cs="Arial"/>
          <w:lang w:val="es-ES_tradnl"/>
        </w:rPr>
        <w:t xml:space="preserve">. Finalmente, </w:t>
      </w:r>
      <w:r w:rsidR="00BB250A" w:rsidRPr="006325E9">
        <w:rPr>
          <w:rFonts w:ascii="Arial" w:hAnsi="Arial" w:cs="Arial"/>
          <w:lang w:val="es-ES_tradnl"/>
        </w:rPr>
        <w:t xml:space="preserve">este también </w:t>
      </w:r>
      <w:r w:rsidR="002159B3" w:rsidRPr="006325E9">
        <w:rPr>
          <w:rFonts w:ascii="Arial" w:hAnsi="Arial" w:cs="Arial"/>
          <w:lang w:val="es-ES_tradnl"/>
        </w:rPr>
        <w:t>estará a cargo de la recopilación de la información relevante requerida para la evaluación del</w:t>
      </w:r>
      <w:r w:rsidR="00F95D2E" w:rsidRPr="006325E9">
        <w:rPr>
          <w:rFonts w:ascii="Arial" w:hAnsi="Arial" w:cs="Arial"/>
          <w:lang w:val="es-ES_tradnl"/>
        </w:rPr>
        <w:t xml:space="preserve"> programa</w:t>
      </w:r>
      <w:r w:rsidR="002159B3" w:rsidRPr="006325E9">
        <w:rPr>
          <w:rFonts w:ascii="Arial" w:hAnsi="Arial" w:cs="Arial"/>
          <w:lang w:val="es-ES_tradnl"/>
        </w:rPr>
        <w:t xml:space="preserve">. </w:t>
      </w:r>
    </w:p>
    <w:p w14:paraId="0603AE87" w14:textId="77777777" w:rsidR="00062D0D" w:rsidRPr="006325E9" w:rsidRDefault="0066183F" w:rsidP="008E445B">
      <w:pPr>
        <w:pStyle w:val="Paragraph"/>
        <w:numPr>
          <w:ilvl w:val="1"/>
          <w:numId w:val="13"/>
        </w:numPr>
        <w:tabs>
          <w:tab w:val="clear" w:pos="2448"/>
          <w:tab w:val="num" w:pos="630"/>
        </w:tabs>
        <w:ind w:left="630" w:hanging="630"/>
        <w:rPr>
          <w:rFonts w:ascii="Arial" w:hAnsi="Arial" w:cs="Arial"/>
          <w:sz w:val="22"/>
          <w:szCs w:val="22"/>
          <w:lang w:val="es-ES_tradnl"/>
        </w:rPr>
      </w:pPr>
      <w:r w:rsidRPr="006325E9">
        <w:rPr>
          <w:rFonts w:ascii="Arial" w:hAnsi="Arial" w:cs="Arial"/>
          <w:b/>
          <w:sz w:val="22"/>
          <w:szCs w:val="22"/>
          <w:lang w:val="es-ES_tradnl"/>
        </w:rPr>
        <w:t xml:space="preserve">Instrumentos de monitoreo y evaluación. </w:t>
      </w:r>
      <w:r w:rsidR="00062D0D" w:rsidRPr="006325E9">
        <w:rPr>
          <w:rFonts w:ascii="Arial" w:hAnsi="Arial" w:cs="Arial"/>
          <w:sz w:val="22"/>
          <w:szCs w:val="22"/>
          <w:lang w:val="es-ES_tradnl"/>
        </w:rPr>
        <w:t xml:space="preserve">Como parte de la ejecución del programa, se han identificado los siguientes instrumentos de monitoreo y evaluación: </w:t>
      </w:r>
    </w:p>
    <w:p w14:paraId="564B23B2" w14:textId="77777777" w:rsidR="00062D0D" w:rsidRPr="00244FD5" w:rsidRDefault="00114B93" w:rsidP="00FE681D">
      <w:pPr>
        <w:pStyle w:val="subpar"/>
        <w:tabs>
          <w:tab w:val="num" w:pos="1440"/>
        </w:tabs>
        <w:spacing w:before="60" w:after="60"/>
        <w:ind w:left="1440" w:hanging="450"/>
        <w:rPr>
          <w:rFonts w:ascii="Arial" w:hAnsi="Arial" w:cs="Arial"/>
          <w:sz w:val="22"/>
          <w:szCs w:val="22"/>
          <w:lang w:val="es-ES_tradnl"/>
        </w:rPr>
      </w:pPr>
      <w:r w:rsidRPr="00244FD5">
        <w:rPr>
          <w:rFonts w:ascii="Arial" w:hAnsi="Arial" w:cs="Arial"/>
          <w:b/>
          <w:sz w:val="22"/>
          <w:szCs w:val="22"/>
          <w:lang w:val="es-ES_tradnl"/>
        </w:rPr>
        <w:t>I</w:t>
      </w:r>
      <w:r w:rsidR="00062D0D" w:rsidRPr="00244FD5">
        <w:rPr>
          <w:rFonts w:ascii="Arial" w:hAnsi="Arial" w:cs="Arial"/>
          <w:b/>
          <w:sz w:val="22"/>
          <w:szCs w:val="22"/>
          <w:lang w:val="es-ES_tradnl"/>
        </w:rPr>
        <w:t xml:space="preserve">nformes </w:t>
      </w:r>
      <w:r w:rsidR="00393049" w:rsidRPr="00244FD5">
        <w:rPr>
          <w:rFonts w:ascii="Arial" w:hAnsi="Arial" w:cs="Arial"/>
          <w:b/>
          <w:sz w:val="22"/>
          <w:szCs w:val="22"/>
          <w:lang w:val="es-ES_tradnl"/>
        </w:rPr>
        <w:t xml:space="preserve">semestrales </w:t>
      </w:r>
      <w:r w:rsidR="00062D0D" w:rsidRPr="00244FD5">
        <w:rPr>
          <w:rFonts w:ascii="Arial" w:hAnsi="Arial" w:cs="Arial"/>
          <w:b/>
          <w:sz w:val="22"/>
          <w:szCs w:val="22"/>
          <w:lang w:val="es-ES_tradnl"/>
        </w:rPr>
        <w:t>de seguimiento del programa</w:t>
      </w:r>
      <w:r w:rsidR="00F95D2E" w:rsidRPr="00244FD5">
        <w:rPr>
          <w:rFonts w:ascii="Arial" w:hAnsi="Arial" w:cs="Arial"/>
          <w:sz w:val="22"/>
          <w:szCs w:val="22"/>
          <w:lang w:val="es-ES_tradnl"/>
        </w:rPr>
        <w:t xml:space="preserve">, </w:t>
      </w:r>
      <w:r w:rsidR="00576A27" w:rsidRPr="00244FD5">
        <w:rPr>
          <w:rFonts w:ascii="Arial" w:hAnsi="Arial" w:cs="Arial"/>
          <w:sz w:val="22"/>
          <w:szCs w:val="22"/>
          <w:lang w:val="es-ES_tradnl"/>
        </w:rPr>
        <w:t>e</w:t>
      </w:r>
      <w:r w:rsidR="00062D0D" w:rsidRPr="00244FD5">
        <w:rPr>
          <w:rFonts w:ascii="Arial" w:hAnsi="Arial" w:cs="Arial"/>
          <w:sz w:val="22"/>
          <w:szCs w:val="22"/>
          <w:lang w:val="es-ES_tradnl"/>
        </w:rPr>
        <w:t xml:space="preserve">n </w:t>
      </w:r>
      <w:r w:rsidR="002159B3" w:rsidRPr="00244FD5">
        <w:rPr>
          <w:rFonts w:ascii="Arial" w:hAnsi="Arial" w:cs="Arial"/>
          <w:sz w:val="22"/>
          <w:szCs w:val="22"/>
          <w:lang w:val="es-ES_tradnl"/>
        </w:rPr>
        <w:t>los</w:t>
      </w:r>
      <w:r w:rsidR="00062D0D" w:rsidRPr="00244FD5">
        <w:rPr>
          <w:rFonts w:ascii="Arial" w:hAnsi="Arial" w:cs="Arial"/>
          <w:sz w:val="22"/>
          <w:szCs w:val="22"/>
          <w:lang w:val="es-ES_tradnl"/>
        </w:rPr>
        <w:t xml:space="preserve"> que </w:t>
      </w:r>
      <w:r w:rsidR="00B520AA" w:rsidRPr="00244FD5">
        <w:rPr>
          <w:rFonts w:ascii="Arial" w:hAnsi="Arial" w:cs="Arial"/>
          <w:sz w:val="22"/>
          <w:szCs w:val="22"/>
          <w:lang w:val="es-ES_tradnl"/>
        </w:rPr>
        <w:t>el OE</w:t>
      </w:r>
      <w:r w:rsidR="00062D0D" w:rsidRPr="00244FD5">
        <w:rPr>
          <w:rFonts w:ascii="Arial" w:hAnsi="Arial" w:cs="Arial"/>
          <w:sz w:val="22"/>
          <w:szCs w:val="22"/>
          <w:lang w:val="es-ES_tradnl"/>
        </w:rPr>
        <w:t xml:space="preserve"> informa</w:t>
      </w:r>
      <w:r w:rsidR="00F95D2E" w:rsidRPr="00244FD5">
        <w:rPr>
          <w:rFonts w:ascii="Arial" w:hAnsi="Arial" w:cs="Arial"/>
          <w:sz w:val="22"/>
          <w:szCs w:val="22"/>
          <w:lang w:val="es-ES_tradnl"/>
        </w:rPr>
        <w:t>rá</w:t>
      </w:r>
      <w:r w:rsidR="00062D0D" w:rsidRPr="00244FD5">
        <w:rPr>
          <w:rFonts w:ascii="Arial" w:hAnsi="Arial" w:cs="Arial"/>
          <w:sz w:val="22"/>
          <w:szCs w:val="22"/>
          <w:lang w:val="es-ES_tradnl"/>
        </w:rPr>
        <w:t xml:space="preserve"> al Banco </w:t>
      </w:r>
      <w:r w:rsidR="00393049" w:rsidRPr="00244FD5">
        <w:rPr>
          <w:rFonts w:ascii="Arial" w:hAnsi="Arial" w:cs="Arial"/>
          <w:sz w:val="22"/>
          <w:szCs w:val="22"/>
          <w:lang w:val="es-ES_tradnl"/>
        </w:rPr>
        <w:t xml:space="preserve">el </w:t>
      </w:r>
      <w:r w:rsidR="00062D0D" w:rsidRPr="00244FD5">
        <w:rPr>
          <w:rFonts w:ascii="Arial" w:hAnsi="Arial" w:cs="Arial"/>
          <w:sz w:val="22"/>
          <w:szCs w:val="22"/>
          <w:lang w:val="es-ES_tradnl"/>
        </w:rPr>
        <w:t xml:space="preserve">progreso en la ejecución de las actividades programadas, </w:t>
      </w:r>
      <w:r w:rsidR="00393049" w:rsidRPr="00244FD5">
        <w:rPr>
          <w:rFonts w:ascii="Arial" w:hAnsi="Arial" w:cs="Arial"/>
          <w:sz w:val="22"/>
          <w:szCs w:val="22"/>
          <w:lang w:val="es-ES_tradnl"/>
        </w:rPr>
        <w:t xml:space="preserve">incluyendo </w:t>
      </w:r>
      <w:r w:rsidR="00062D0D" w:rsidRPr="00244FD5">
        <w:rPr>
          <w:rFonts w:ascii="Arial" w:hAnsi="Arial" w:cs="Arial"/>
          <w:sz w:val="22"/>
          <w:szCs w:val="22"/>
          <w:lang w:val="es-ES_tradnl"/>
        </w:rPr>
        <w:t>el cumplimiento de objetivos previamente acordados para los indicadores de producto</w:t>
      </w:r>
      <w:r w:rsidR="000B2F1C" w:rsidRPr="00244FD5">
        <w:rPr>
          <w:rFonts w:ascii="Arial" w:hAnsi="Arial" w:cs="Arial"/>
          <w:sz w:val="22"/>
          <w:szCs w:val="22"/>
          <w:lang w:val="es-ES_tradnl"/>
        </w:rPr>
        <w:t xml:space="preserve"> y resultado</w:t>
      </w:r>
      <w:r w:rsidR="00062D0D" w:rsidRPr="00244FD5">
        <w:rPr>
          <w:rFonts w:ascii="Arial" w:hAnsi="Arial" w:cs="Arial"/>
          <w:sz w:val="22"/>
          <w:szCs w:val="22"/>
          <w:lang w:val="es-ES_tradnl"/>
        </w:rPr>
        <w:t xml:space="preserve"> </w:t>
      </w:r>
      <w:r w:rsidR="00393049" w:rsidRPr="00244FD5">
        <w:rPr>
          <w:rFonts w:ascii="Arial" w:hAnsi="Arial" w:cs="Arial"/>
          <w:sz w:val="22"/>
          <w:szCs w:val="22"/>
          <w:lang w:val="es-ES_tradnl"/>
        </w:rPr>
        <w:t xml:space="preserve">que se describen en </w:t>
      </w:r>
      <w:r w:rsidR="00393049" w:rsidRPr="004E1BB7">
        <w:rPr>
          <w:rFonts w:ascii="Arial" w:hAnsi="Arial" w:cs="Arial"/>
          <w:sz w:val="22"/>
          <w:szCs w:val="22"/>
          <w:lang w:val="es-ES_tradnl"/>
        </w:rPr>
        <w:t>la matriz de resultados que se adjunta al programa propuesto</w:t>
      </w:r>
      <w:r w:rsidR="00062D0D" w:rsidRPr="004E1BB7">
        <w:rPr>
          <w:rFonts w:ascii="Arial" w:hAnsi="Arial" w:cs="Arial"/>
          <w:sz w:val="22"/>
          <w:szCs w:val="22"/>
          <w:lang w:val="es-ES_tradnl"/>
        </w:rPr>
        <w:t xml:space="preserve"> </w:t>
      </w:r>
      <w:r w:rsidR="00A430DB" w:rsidRPr="004E1BB7">
        <w:rPr>
          <w:rFonts w:ascii="Arial" w:hAnsi="Arial" w:cs="Arial"/>
          <w:sz w:val="22"/>
          <w:szCs w:val="22"/>
          <w:lang w:val="es-ES_tradnl"/>
        </w:rPr>
        <w:t>(</w:t>
      </w:r>
      <w:r w:rsidR="00393049" w:rsidRPr="004E1BB7">
        <w:rPr>
          <w:rFonts w:ascii="Arial" w:hAnsi="Arial" w:cs="Arial"/>
          <w:sz w:val="22"/>
          <w:szCs w:val="22"/>
          <w:lang w:val="es-ES_tradnl"/>
        </w:rPr>
        <w:t xml:space="preserve">descritos en el </w:t>
      </w:r>
      <w:r w:rsidR="00576A27" w:rsidRPr="004E1BB7">
        <w:rPr>
          <w:rFonts w:ascii="Arial" w:hAnsi="Arial" w:cs="Arial"/>
          <w:sz w:val="22"/>
          <w:szCs w:val="22"/>
          <w:lang w:val="es-ES_tradnl"/>
        </w:rPr>
        <w:t xml:space="preserve">Cuadro </w:t>
      </w:r>
      <w:r w:rsidR="00A430DB" w:rsidRPr="004E1BB7">
        <w:rPr>
          <w:rFonts w:ascii="Arial" w:hAnsi="Arial" w:cs="Arial"/>
          <w:sz w:val="22"/>
          <w:szCs w:val="22"/>
          <w:lang w:val="es-ES_tradnl"/>
        </w:rPr>
        <w:t>1</w:t>
      </w:r>
      <w:r w:rsidR="00576A27" w:rsidRPr="00244FD5">
        <w:rPr>
          <w:rFonts w:ascii="Arial" w:hAnsi="Arial" w:cs="Arial"/>
          <w:sz w:val="22"/>
          <w:szCs w:val="22"/>
          <w:lang w:val="es-ES_tradnl"/>
        </w:rPr>
        <w:t xml:space="preserve"> en este documento</w:t>
      </w:r>
      <w:r w:rsidR="00A430DB" w:rsidRPr="00244FD5">
        <w:rPr>
          <w:rFonts w:ascii="Arial" w:hAnsi="Arial" w:cs="Arial"/>
          <w:sz w:val="22"/>
          <w:szCs w:val="22"/>
          <w:lang w:val="es-ES_tradnl"/>
        </w:rPr>
        <w:t>)</w:t>
      </w:r>
      <w:r w:rsidR="00F95D2E" w:rsidRPr="00244FD5">
        <w:rPr>
          <w:rFonts w:ascii="Arial" w:hAnsi="Arial" w:cs="Arial"/>
          <w:sz w:val="22"/>
          <w:szCs w:val="22"/>
          <w:lang w:val="es-ES_tradnl"/>
        </w:rPr>
        <w:t>.</w:t>
      </w:r>
      <w:r w:rsidR="00062D0D" w:rsidRPr="00244FD5">
        <w:rPr>
          <w:rFonts w:ascii="Arial" w:hAnsi="Arial" w:cs="Arial"/>
          <w:sz w:val="22"/>
          <w:szCs w:val="22"/>
          <w:lang w:val="es-ES_tradnl"/>
        </w:rPr>
        <w:t xml:space="preserve"> </w:t>
      </w:r>
    </w:p>
    <w:p w14:paraId="1BA5356A" w14:textId="77777777" w:rsidR="00062D0D" w:rsidRPr="00F436E1" w:rsidRDefault="00114B93" w:rsidP="00FE681D">
      <w:pPr>
        <w:pStyle w:val="subpar"/>
        <w:tabs>
          <w:tab w:val="num" w:pos="1440"/>
        </w:tabs>
        <w:spacing w:before="60" w:after="60"/>
        <w:ind w:left="1440" w:hanging="450"/>
        <w:rPr>
          <w:rFonts w:ascii="Arial" w:hAnsi="Arial" w:cs="Arial"/>
          <w:sz w:val="22"/>
          <w:szCs w:val="22"/>
          <w:lang w:val="es-ES_tradnl"/>
        </w:rPr>
      </w:pPr>
      <w:r w:rsidRPr="00F436E1">
        <w:rPr>
          <w:rFonts w:ascii="Arial" w:hAnsi="Arial" w:cs="Arial"/>
          <w:b/>
          <w:sz w:val="22"/>
          <w:szCs w:val="22"/>
          <w:lang w:val="es-ES_tradnl"/>
        </w:rPr>
        <w:t>A</w:t>
      </w:r>
      <w:r w:rsidR="00062D0D" w:rsidRPr="00F436E1">
        <w:rPr>
          <w:rFonts w:ascii="Arial" w:hAnsi="Arial" w:cs="Arial"/>
          <w:b/>
          <w:sz w:val="22"/>
          <w:szCs w:val="22"/>
          <w:lang w:val="es-ES_tradnl"/>
        </w:rPr>
        <w:t>uditor</w:t>
      </w:r>
      <w:r w:rsidR="00393049" w:rsidRPr="00F436E1">
        <w:rPr>
          <w:rFonts w:ascii="Arial" w:hAnsi="Arial" w:cs="Arial"/>
          <w:b/>
          <w:sz w:val="22"/>
          <w:szCs w:val="22"/>
          <w:lang w:val="es-ES_tradnl"/>
        </w:rPr>
        <w:t>í</w:t>
      </w:r>
      <w:r w:rsidR="00062D0D" w:rsidRPr="00F436E1">
        <w:rPr>
          <w:rFonts w:ascii="Arial" w:hAnsi="Arial" w:cs="Arial"/>
          <w:b/>
          <w:sz w:val="22"/>
          <w:szCs w:val="22"/>
          <w:lang w:val="es-ES_tradnl"/>
        </w:rPr>
        <w:t>as financieras</w:t>
      </w:r>
      <w:r w:rsidR="00F95D2E" w:rsidRPr="00F436E1">
        <w:rPr>
          <w:rFonts w:ascii="Arial" w:hAnsi="Arial" w:cs="Arial"/>
          <w:b/>
          <w:sz w:val="22"/>
          <w:szCs w:val="22"/>
          <w:lang w:val="es-ES_tradnl"/>
        </w:rPr>
        <w:t>,</w:t>
      </w:r>
      <w:r w:rsidR="002159B3" w:rsidRPr="00F436E1">
        <w:rPr>
          <w:rFonts w:ascii="Arial" w:hAnsi="Arial" w:cs="Arial"/>
          <w:sz w:val="22"/>
          <w:szCs w:val="22"/>
          <w:lang w:val="es-ES_tradnl"/>
        </w:rPr>
        <w:t xml:space="preserve"> </w:t>
      </w:r>
      <w:r w:rsidR="00576A27" w:rsidRPr="00F436E1">
        <w:rPr>
          <w:rFonts w:ascii="Arial" w:hAnsi="Arial" w:cs="Arial"/>
          <w:sz w:val="22"/>
          <w:szCs w:val="22"/>
          <w:lang w:val="es-ES_tradnl"/>
        </w:rPr>
        <w:t>l</w:t>
      </w:r>
      <w:r w:rsidR="002159B3" w:rsidRPr="00F436E1">
        <w:rPr>
          <w:rFonts w:ascii="Arial" w:hAnsi="Arial" w:cs="Arial"/>
          <w:sz w:val="22"/>
          <w:szCs w:val="22"/>
          <w:lang w:val="es-ES_tradnl"/>
        </w:rPr>
        <w:t>as cuales serán</w:t>
      </w:r>
      <w:r w:rsidR="00062D0D" w:rsidRPr="00F436E1">
        <w:rPr>
          <w:rFonts w:ascii="Arial" w:hAnsi="Arial" w:cs="Arial"/>
          <w:sz w:val="22"/>
          <w:szCs w:val="22"/>
          <w:lang w:val="es-ES_tradnl"/>
        </w:rPr>
        <w:t xml:space="preserve"> </w:t>
      </w:r>
      <w:r w:rsidR="00F95D2E" w:rsidRPr="00F436E1">
        <w:rPr>
          <w:rFonts w:ascii="Arial" w:hAnsi="Arial" w:cs="Arial"/>
          <w:sz w:val="22"/>
          <w:szCs w:val="22"/>
          <w:lang w:val="es-ES_tradnl"/>
        </w:rPr>
        <w:t>de periodicidad anual.</w:t>
      </w:r>
      <w:r w:rsidR="00062D0D" w:rsidRPr="00F436E1">
        <w:rPr>
          <w:rFonts w:ascii="Arial" w:hAnsi="Arial" w:cs="Arial"/>
          <w:sz w:val="22"/>
          <w:szCs w:val="22"/>
          <w:lang w:val="es-ES_tradnl"/>
        </w:rPr>
        <w:t xml:space="preserve"> </w:t>
      </w:r>
    </w:p>
    <w:p w14:paraId="2BFEDD81" w14:textId="77777777" w:rsidR="00062D0D" w:rsidRPr="0059691C" w:rsidRDefault="002159B3" w:rsidP="00F95D2E">
      <w:pPr>
        <w:pStyle w:val="subpar"/>
        <w:tabs>
          <w:tab w:val="num" w:pos="1440"/>
        </w:tabs>
        <w:spacing w:before="60" w:after="60"/>
        <w:ind w:left="1440" w:hanging="450"/>
        <w:rPr>
          <w:rFonts w:ascii="Arial" w:hAnsi="Arial" w:cs="Arial"/>
          <w:sz w:val="22"/>
          <w:szCs w:val="22"/>
          <w:lang w:val="es-ES_tradnl"/>
        </w:rPr>
      </w:pPr>
      <w:r w:rsidRPr="0059691C">
        <w:rPr>
          <w:rFonts w:ascii="Arial" w:hAnsi="Arial" w:cs="Arial"/>
          <w:b/>
          <w:sz w:val="22"/>
          <w:szCs w:val="22"/>
          <w:lang w:val="es-ES_tradnl"/>
        </w:rPr>
        <w:t xml:space="preserve">Evaluación </w:t>
      </w:r>
      <w:r w:rsidR="00F95D2E" w:rsidRPr="0059691C">
        <w:rPr>
          <w:rFonts w:ascii="Arial" w:hAnsi="Arial" w:cs="Arial"/>
          <w:b/>
          <w:sz w:val="22"/>
          <w:szCs w:val="22"/>
          <w:lang w:val="es-ES_tradnl"/>
        </w:rPr>
        <w:t>ex-post,</w:t>
      </w:r>
      <w:r w:rsidRPr="0059691C">
        <w:rPr>
          <w:rFonts w:ascii="Arial" w:hAnsi="Arial" w:cs="Arial"/>
          <w:b/>
          <w:sz w:val="22"/>
          <w:szCs w:val="22"/>
          <w:lang w:val="es-ES_tradnl"/>
        </w:rPr>
        <w:t xml:space="preserve"> </w:t>
      </w:r>
      <w:r w:rsidR="00576A27" w:rsidRPr="0059691C">
        <w:rPr>
          <w:rFonts w:ascii="Arial" w:hAnsi="Arial" w:cs="Arial"/>
          <w:sz w:val="22"/>
          <w:szCs w:val="22"/>
          <w:lang w:val="es-ES_tradnl"/>
        </w:rPr>
        <w:t>q</w:t>
      </w:r>
      <w:r w:rsidRPr="0059691C">
        <w:rPr>
          <w:rFonts w:ascii="Arial" w:hAnsi="Arial" w:cs="Arial"/>
          <w:sz w:val="22"/>
          <w:szCs w:val="22"/>
          <w:lang w:val="es-ES_tradnl"/>
        </w:rPr>
        <w:t>ue</w:t>
      </w:r>
      <w:r w:rsidR="00062D0D" w:rsidRPr="0059691C">
        <w:rPr>
          <w:rFonts w:ascii="Arial" w:hAnsi="Arial" w:cs="Arial"/>
          <w:sz w:val="22"/>
          <w:szCs w:val="22"/>
          <w:lang w:val="es-ES_tradnl"/>
        </w:rPr>
        <w:t xml:space="preserve"> </w:t>
      </w:r>
      <w:r w:rsidR="00F95D2E" w:rsidRPr="0059691C">
        <w:rPr>
          <w:rFonts w:ascii="Arial" w:hAnsi="Arial" w:cs="Arial"/>
          <w:sz w:val="22"/>
          <w:szCs w:val="22"/>
          <w:lang w:val="es-ES_tradnl"/>
        </w:rPr>
        <w:t>cuantificará el valor económico de los resultados alcanzados a través de un análisis costo-beneficio ex</w:t>
      </w:r>
      <w:r w:rsidR="00C409EE" w:rsidRPr="0059691C">
        <w:rPr>
          <w:rFonts w:ascii="Arial" w:hAnsi="Arial" w:cs="Arial"/>
          <w:sz w:val="22"/>
          <w:szCs w:val="22"/>
          <w:lang w:val="es-ES_tradnl"/>
        </w:rPr>
        <w:t> </w:t>
      </w:r>
      <w:r w:rsidR="00F95D2E" w:rsidRPr="0059691C">
        <w:rPr>
          <w:rFonts w:ascii="Arial" w:hAnsi="Arial" w:cs="Arial"/>
          <w:sz w:val="22"/>
          <w:szCs w:val="22"/>
          <w:lang w:val="es-ES_tradnl"/>
        </w:rPr>
        <w:t>post</w:t>
      </w:r>
      <w:r w:rsidR="00062D0D" w:rsidRPr="0059691C">
        <w:rPr>
          <w:rFonts w:ascii="Arial" w:hAnsi="Arial" w:cs="Arial"/>
          <w:sz w:val="22"/>
          <w:szCs w:val="22"/>
          <w:lang w:val="es-ES_tradnl"/>
        </w:rPr>
        <w:t xml:space="preserve">. La evaluación </w:t>
      </w:r>
      <w:r w:rsidR="00F95D2E" w:rsidRPr="0059691C">
        <w:rPr>
          <w:rFonts w:ascii="Arial" w:hAnsi="Arial" w:cs="Arial"/>
          <w:sz w:val="22"/>
          <w:szCs w:val="22"/>
          <w:lang w:val="es-ES_tradnl"/>
        </w:rPr>
        <w:t>comprenderá</w:t>
      </w:r>
      <w:r w:rsidR="00062D0D" w:rsidRPr="0059691C">
        <w:rPr>
          <w:rFonts w:ascii="Arial" w:hAnsi="Arial" w:cs="Arial"/>
          <w:sz w:val="22"/>
          <w:szCs w:val="22"/>
          <w:lang w:val="es-ES_tradnl"/>
        </w:rPr>
        <w:t xml:space="preserve"> la recopilación de información sobre los beneficiarios del programa</w:t>
      </w:r>
      <w:r w:rsidR="002C297E" w:rsidRPr="0059691C">
        <w:rPr>
          <w:rFonts w:ascii="Arial" w:hAnsi="Arial" w:cs="Arial"/>
          <w:sz w:val="22"/>
          <w:szCs w:val="22"/>
          <w:lang w:val="es-ES_tradnl"/>
        </w:rPr>
        <w:t xml:space="preserve"> (Grupo de </w:t>
      </w:r>
      <w:r w:rsidR="00F01067" w:rsidRPr="0059691C">
        <w:rPr>
          <w:rFonts w:ascii="Arial" w:hAnsi="Arial" w:cs="Arial"/>
          <w:sz w:val="22"/>
          <w:szCs w:val="22"/>
          <w:lang w:val="es-ES_tradnl"/>
        </w:rPr>
        <w:t>Tratamiento</w:t>
      </w:r>
      <w:r w:rsidR="002C297E" w:rsidRPr="0059691C">
        <w:rPr>
          <w:rFonts w:ascii="Arial" w:hAnsi="Arial" w:cs="Arial"/>
          <w:sz w:val="22"/>
          <w:szCs w:val="22"/>
          <w:lang w:val="es-ES_tradnl"/>
        </w:rPr>
        <w:t xml:space="preserve">) y </w:t>
      </w:r>
      <w:r w:rsidR="00F95D2E" w:rsidRPr="0059691C">
        <w:rPr>
          <w:rFonts w:ascii="Arial" w:hAnsi="Arial" w:cs="Arial"/>
          <w:sz w:val="22"/>
          <w:szCs w:val="22"/>
          <w:lang w:val="es-ES_tradnl"/>
        </w:rPr>
        <w:t>de no beneficiarios promedio y del sistema</w:t>
      </w:r>
      <w:r w:rsidR="002C297E" w:rsidRPr="0059691C">
        <w:rPr>
          <w:rFonts w:ascii="Arial" w:hAnsi="Arial" w:cs="Arial"/>
          <w:sz w:val="22"/>
          <w:szCs w:val="22"/>
          <w:lang w:val="es-ES_tradnl"/>
        </w:rPr>
        <w:t xml:space="preserve"> (</w:t>
      </w:r>
      <w:r w:rsidR="00F95D2E" w:rsidRPr="0059691C">
        <w:rPr>
          <w:rFonts w:ascii="Arial" w:hAnsi="Arial" w:cs="Arial"/>
          <w:sz w:val="22"/>
          <w:szCs w:val="22"/>
          <w:lang w:val="es-ES_tradnl"/>
        </w:rPr>
        <w:t>contrafactual</w:t>
      </w:r>
      <w:r w:rsidR="002C297E" w:rsidRPr="0059691C">
        <w:rPr>
          <w:rFonts w:ascii="Arial" w:hAnsi="Arial" w:cs="Arial"/>
          <w:sz w:val="22"/>
          <w:szCs w:val="22"/>
          <w:lang w:val="es-ES_tradnl"/>
        </w:rPr>
        <w:t>)</w:t>
      </w:r>
      <w:r w:rsidR="00062D0D" w:rsidRPr="0059691C">
        <w:rPr>
          <w:rFonts w:ascii="Arial" w:hAnsi="Arial" w:cs="Arial"/>
          <w:sz w:val="22"/>
          <w:szCs w:val="22"/>
          <w:lang w:val="es-ES_tradnl"/>
        </w:rPr>
        <w:t xml:space="preserve">. </w:t>
      </w:r>
      <w:r w:rsidR="00244FD5" w:rsidRPr="0059691C">
        <w:rPr>
          <w:rFonts w:ascii="Arial" w:hAnsi="Arial" w:cs="Arial"/>
          <w:sz w:val="22"/>
          <w:szCs w:val="22"/>
          <w:lang w:val="es-ES_tradnl"/>
        </w:rPr>
        <w:t>L</w:t>
      </w:r>
      <w:r w:rsidR="00F95D2E" w:rsidRPr="0059691C">
        <w:rPr>
          <w:rFonts w:ascii="Arial" w:hAnsi="Arial" w:cs="Arial"/>
          <w:sz w:val="22"/>
          <w:szCs w:val="22"/>
          <w:lang w:val="es-ES_tradnl"/>
        </w:rPr>
        <w:t xml:space="preserve">os detalles de la evaluación se </w:t>
      </w:r>
      <w:r w:rsidR="00C409EE" w:rsidRPr="0059691C">
        <w:rPr>
          <w:rFonts w:ascii="Arial" w:hAnsi="Arial" w:cs="Arial"/>
          <w:sz w:val="22"/>
          <w:szCs w:val="22"/>
          <w:lang w:val="es-ES_tradnl"/>
        </w:rPr>
        <w:t>describen</w:t>
      </w:r>
      <w:r w:rsidR="00152AEE" w:rsidRPr="0059691C">
        <w:rPr>
          <w:rFonts w:ascii="Arial" w:hAnsi="Arial" w:cs="Arial"/>
          <w:sz w:val="22"/>
          <w:szCs w:val="22"/>
          <w:lang w:val="es-ES_tradnl"/>
        </w:rPr>
        <w:t xml:space="preserve"> en el apartado III de este informe. La evaluación incluirá la recopilación de información a través de los registros de información de los beneficiarios del programa </w:t>
      </w:r>
      <w:r w:rsidR="00244FD5" w:rsidRPr="0059691C">
        <w:rPr>
          <w:rFonts w:ascii="Arial" w:hAnsi="Arial" w:cs="Arial"/>
          <w:sz w:val="22"/>
          <w:szCs w:val="22"/>
          <w:lang w:val="es-ES_tradnl"/>
        </w:rPr>
        <w:t>y consolidados por la UCP</w:t>
      </w:r>
      <w:r w:rsidR="006E2450" w:rsidRPr="0059691C">
        <w:rPr>
          <w:rFonts w:ascii="Arial" w:hAnsi="Arial" w:cs="Arial"/>
          <w:sz w:val="22"/>
          <w:szCs w:val="22"/>
          <w:lang w:val="es-ES_tradnl"/>
        </w:rPr>
        <w:t xml:space="preserve"> </w:t>
      </w:r>
      <w:r w:rsidR="00F95D2E" w:rsidRPr="0059691C">
        <w:rPr>
          <w:rFonts w:ascii="Arial" w:hAnsi="Arial" w:cs="Arial"/>
          <w:sz w:val="22"/>
          <w:szCs w:val="22"/>
          <w:lang w:val="es-ES_tradnl"/>
        </w:rPr>
        <w:t>e información del sistema financiero</w:t>
      </w:r>
      <w:r w:rsidR="006E2450" w:rsidRPr="0059691C">
        <w:rPr>
          <w:rFonts w:ascii="Arial" w:hAnsi="Arial" w:cs="Arial"/>
          <w:sz w:val="22"/>
          <w:szCs w:val="22"/>
          <w:lang w:val="es-ES_tradnl"/>
        </w:rPr>
        <w:t xml:space="preserve"> (y microfinanzas)</w:t>
      </w:r>
      <w:r w:rsidR="00F95D2E" w:rsidRPr="0059691C">
        <w:rPr>
          <w:rFonts w:ascii="Arial" w:hAnsi="Arial" w:cs="Arial"/>
          <w:sz w:val="22"/>
          <w:szCs w:val="22"/>
          <w:lang w:val="es-ES_tradnl"/>
        </w:rPr>
        <w:t xml:space="preserve">, proveniente de </w:t>
      </w:r>
      <w:r w:rsidR="006E2450" w:rsidRPr="0059691C">
        <w:rPr>
          <w:rFonts w:ascii="Arial" w:hAnsi="Arial" w:cs="Arial"/>
          <w:sz w:val="22"/>
          <w:szCs w:val="22"/>
          <w:lang w:val="es-ES_tradnl"/>
        </w:rPr>
        <w:t>Ministerio de Finanzas</w:t>
      </w:r>
      <w:r w:rsidR="00F95D2E" w:rsidRPr="0059691C">
        <w:rPr>
          <w:rFonts w:ascii="Arial" w:hAnsi="Arial" w:cs="Arial"/>
          <w:sz w:val="22"/>
          <w:szCs w:val="22"/>
          <w:lang w:val="es-ES_tradnl"/>
        </w:rPr>
        <w:t>, e</w:t>
      </w:r>
      <w:r w:rsidR="006E2450" w:rsidRPr="0059691C">
        <w:rPr>
          <w:rFonts w:ascii="Arial" w:hAnsi="Arial" w:cs="Arial"/>
          <w:sz w:val="22"/>
          <w:szCs w:val="22"/>
          <w:lang w:val="es-ES_tradnl"/>
        </w:rPr>
        <w:t>l</w:t>
      </w:r>
      <w:r w:rsidR="00F95D2E" w:rsidRPr="0059691C">
        <w:rPr>
          <w:rFonts w:ascii="Arial" w:hAnsi="Arial" w:cs="Arial"/>
          <w:sz w:val="22"/>
          <w:szCs w:val="22"/>
          <w:lang w:val="es-ES_tradnl"/>
        </w:rPr>
        <w:t xml:space="preserve"> Banco Central </w:t>
      </w:r>
      <w:r w:rsidR="006E2450" w:rsidRPr="0059691C">
        <w:rPr>
          <w:rFonts w:ascii="Arial" w:hAnsi="Arial" w:cs="Arial"/>
          <w:sz w:val="22"/>
          <w:szCs w:val="22"/>
          <w:lang w:val="es-ES_tradnl"/>
        </w:rPr>
        <w:t xml:space="preserve">de la República Argentina </w:t>
      </w:r>
      <w:r w:rsidR="00F95D2E" w:rsidRPr="0059691C">
        <w:rPr>
          <w:rFonts w:ascii="Arial" w:hAnsi="Arial" w:cs="Arial"/>
          <w:sz w:val="22"/>
          <w:szCs w:val="22"/>
          <w:lang w:val="es-ES_tradnl"/>
        </w:rPr>
        <w:t xml:space="preserve">y </w:t>
      </w:r>
      <w:r w:rsidR="006E2450" w:rsidRPr="0059691C">
        <w:rPr>
          <w:rFonts w:ascii="Arial" w:hAnsi="Arial" w:cs="Arial"/>
          <w:sz w:val="22"/>
          <w:szCs w:val="22"/>
          <w:lang w:val="es-ES_tradnl"/>
        </w:rPr>
        <w:t>el FONCAP.</w:t>
      </w:r>
      <w:r w:rsidR="00483E43" w:rsidRPr="0059691C">
        <w:rPr>
          <w:rFonts w:ascii="Arial" w:hAnsi="Arial" w:cs="Arial"/>
          <w:sz w:val="22"/>
          <w:szCs w:val="22"/>
          <w:lang w:val="es-ES_tradnl"/>
        </w:rPr>
        <w:t xml:space="preserve"> </w:t>
      </w:r>
    </w:p>
    <w:p w14:paraId="6B8467F7" w14:textId="77777777" w:rsidR="00483E43" w:rsidRPr="008E445B" w:rsidRDefault="006B31F8" w:rsidP="008E445B">
      <w:pPr>
        <w:pStyle w:val="Paragraph"/>
        <w:numPr>
          <w:ilvl w:val="1"/>
          <w:numId w:val="19"/>
        </w:numPr>
        <w:tabs>
          <w:tab w:val="clear" w:pos="2736"/>
        </w:tabs>
        <w:ind w:left="720" w:hanging="720"/>
        <w:rPr>
          <w:rFonts w:ascii="Arial" w:hAnsi="Arial" w:cs="Arial"/>
          <w:sz w:val="22"/>
          <w:szCs w:val="22"/>
          <w:lang w:val="es-ES_tradnl"/>
        </w:rPr>
      </w:pPr>
      <w:r w:rsidRPr="008E445B">
        <w:rPr>
          <w:rFonts w:ascii="Arial" w:hAnsi="Arial" w:cs="Arial"/>
          <w:b/>
          <w:sz w:val="22"/>
          <w:szCs w:val="22"/>
          <w:lang w:val="es-ES_tradnl"/>
        </w:rPr>
        <w:t xml:space="preserve">Sistema de </w:t>
      </w:r>
      <w:r w:rsidR="00576A27" w:rsidRPr="008E445B">
        <w:rPr>
          <w:rFonts w:ascii="Arial" w:hAnsi="Arial" w:cs="Arial"/>
          <w:b/>
          <w:sz w:val="22"/>
          <w:szCs w:val="22"/>
          <w:lang w:val="es-ES_tradnl"/>
        </w:rPr>
        <w:t>i</w:t>
      </w:r>
      <w:r w:rsidRPr="008E445B">
        <w:rPr>
          <w:rFonts w:ascii="Arial" w:hAnsi="Arial" w:cs="Arial"/>
          <w:b/>
          <w:sz w:val="22"/>
          <w:szCs w:val="22"/>
          <w:lang w:val="es-ES_tradnl"/>
        </w:rPr>
        <w:t xml:space="preserve">nformación. </w:t>
      </w:r>
      <w:r w:rsidR="0059691C" w:rsidRPr="008E445B">
        <w:rPr>
          <w:rFonts w:ascii="Arial" w:hAnsi="Arial" w:cs="Arial"/>
          <w:sz w:val="22"/>
          <w:szCs w:val="22"/>
          <w:lang w:val="es-ES_tradnl"/>
        </w:rPr>
        <w:t>La UCP</w:t>
      </w:r>
      <w:r w:rsidR="00456656" w:rsidRPr="008E445B">
        <w:rPr>
          <w:rFonts w:ascii="Arial" w:hAnsi="Arial" w:cs="Arial"/>
          <w:sz w:val="22"/>
          <w:szCs w:val="22"/>
          <w:lang w:val="es-ES_tradnl"/>
        </w:rPr>
        <w:t xml:space="preserve"> </w:t>
      </w:r>
      <w:r w:rsidR="00062D0D" w:rsidRPr="008E445B">
        <w:rPr>
          <w:rFonts w:ascii="Arial" w:hAnsi="Arial" w:cs="Arial"/>
          <w:sz w:val="22"/>
          <w:szCs w:val="22"/>
          <w:lang w:val="es-ES_tradnl"/>
        </w:rPr>
        <w:t xml:space="preserve">será responsable de mantener </w:t>
      </w:r>
      <w:r w:rsidRPr="008E445B">
        <w:rPr>
          <w:rFonts w:ascii="Arial" w:hAnsi="Arial" w:cs="Arial"/>
          <w:sz w:val="22"/>
          <w:szCs w:val="22"/>
          <w:lang w:val="es-ES_tradnl"/>
        </w:rPr>
        <w:t>el</w:t>
      </w:r>
      <w:r w:rsidR="00E064D1" w:rsidRPr="008E445B">
        <w:rPr>
          <w:rFonts w:ascii="Arial" w:hAnsi="Arial" w:cs="Arial"/>
          <w:sz w:val="22"/>
          <w:szCs w:val="22"/>
          <w:lang w:val="es-ES_tradnl"/>
        </w:rPr>
        <w:t xml:space="preserve"> </w:t>
      </w:r>
      <w:r w:rsidR="00062D0D" w:rsidRPr="008E445B">
        <w:rPr>
          <w:rFonts w:ascii="Arial" w:hAnsi="Arial" w:cs="Arial"/>
          <w:sz w:val="22"/>
          <w:szCs w:val="22"/>
          <w:lang w:val="es-ES_tradnl"/>
        </w:rPr>
        <w:t xml:space="preserve">sistema de información a partir del cual se realizará la recolección de la información administrativa del programa. </w:t>
      </w:r>
      <w:r w:rsidR="0059691C" w:rsidRPr="008E445B">
        <w:rPr>
          <w:rFonts w:ascii="Arial" w:hAnsi="Arial" w:cs="Arial"/>
          <w:sz w:val="22"/>
          <w:szCs w:val="22"/>
          <w:lang w:val="es-ES_tradnl"/>
        </w:rPr>
        <w:t xml:space="preserve">Asimismo, coordinará con la FONCAP la recolección y administración de la información proveniente del componente de microcrédito. </w:t>
      </w:r>
      <w:r w:rsidR="00062D0D" w:rsidRPr="008E445B">
        <w:rPr>
          <w:rFonts w:ascii="Arial" w:hAnsi="Arial" w:cs="Arial"/>
          <w:sz w:val="22"/>
          <w:szCs w:val="22"/>
          <w:lang w:val="es-ES_tradnl"/>
        </w:rPr>
        <w:t>Dicha información será necesaria no solo para monitorear el progreso del programa en términos de productos, sino también para</w:t>
      </w:r>
      <w:r w:rsidR="00B774E9" w:rsidRPr="008E445B">
        <w:rPr>
          <w:rFonts w:ascii="Arial" w:hAnsi="Arial" w:cs="Arial"/>
          <w:sz w:val="22"/>
          <w:szCs w:val="22"/>
          <w:lang w:val="es-ES_tradnl"/>
        </w:rPr>
        <w:t xml:space="preserve"> llevar a cabo la evaluación ex-post del mismo</w:t>
      </w:r>
      <w:r w:rsidR="00062D0D" w:rsidRPr="008E445B">
        <w:rPr>
          <w:rFonts w:ascii="Arial" w:hAnsi="Arial" w:cs="Arial"/>
          <w:sz w:val="22"/>
          <w:szCs w:val="22"/>
          <w:lang w:val="es-ES_tradnl"/>
        </w:rPr>
        <w:t>.</w:t>
      </w:r>
      <w:r w:rsidR="00B774E9" w:rsidRPr="008E445B">
        <w:rPr>
          <w:rFonts w:ascii="Arial" w:hAnsi="Arial" w:cs="Arial"/>
          <w:sz w:val="22"/>
          <w:szCs w:val="22"/>
          <w:lang w:val="es-ES_tradnl"/>
        </w:rPr>
        <w:t xml:space="preserve"> </w:t>
      </w:r>
      <w:r w:rsidR="00F653E8" w:rsidRPr="008E445B">
        <w:rPr>
          <w:rFonts w:ascii="Arial" w:hAnsi="Arial" w:cs="Arial"/>
          <w:sz w:val="22"/>
          <w:szCs w:val="22"/>
          <w:lang w:val="es-ES_tradnl"/>
        </w:rPr>
        <w:t xml:space="preserve"> </w:t>
      </w:r>
    </w:p>
    <w:p w14:paraId="51956138" w14:textId="77777777" w:rsidR="00114B93" w:rsidRPr="00F436E1" w:rsidRDefault="006B31F8">
      <w:pPr>
        <w:pStyle w:val="Paragraph"/>
        <w:tabs>
          <w:tab w:val="clear" w:pos="2736"/>
          <w:tab w:val="num" w:pos="630"/>
        </w:tabs>
        <w:ind w:left="630" w:hanging="630"/>
        <w:rPr>
          <w:rFonts w:ascii="Arial" w:hAnsi="Arial" w:cs="Arial"/>
          <w:sz w:val="22"/>
          <w:szCs w:val="22"/>
          <w:lang w:val="es-ES_tradnl"/>
        </w:rPr>
      </w:pPr>
      <w:r w:rsidRPr="00F436E1">
        <w:rPr>
          <w:rFonts w:ascii="Arial" w:hAnsi="Arial" w:cs="Arial"/>
          <w:b/>
          <w:sz w:val="22"/>
          <w:szCs w:val="22"/>
          <w:lang w:val="es-ES_tradnl"/>
        </w:rPr>
        <w:t xml:space="preserve">Otros programas con </w:t>
      </w:r>
      <w:bookmarkStart w:id="4" w:name="_Toc352756752"/>
      <w:r w:rsidR="0059691C" w:rsidRPr="00F436E1">
        <w:rPr>
          <w:rFonts w:ascii="Arial" w:hAnsi="Arial" w:cs="Arial"/>
          <w:b/>
          <w:sz w:val="22"/>
          <w:szCs w:val="22"/>
          <w:lang w:val="es-ES_tradnl"/>
        </w:rPr>
        <w:t>el ejecutor.</w:t>
      </w:r>
      <w:r w:rsidR="004D114B" w:rsidRPr="004D114B">
        <w:rPr>
          <w:rFonts w:ascii="Arial" w:hAnsi="Arial" w:cs="Arial"/>
          <w:b/>
          <w:sz w:val="22"/>
          <w:szCs w:val="22"/>
          <w:lang w:val="es-ES_tradnl"/>
        </w:rPr>
        <w:t xml:space="preserve"> </w:t>
      </w:r>
      <w:r w:rsidR="004D114B" w:rsidRPr="00F436E1">
        <w:rPr>
          <w:rFonts w:ascii="Arial" w:hAnsi="Arial" w:cs="Arial"/>
          <w:sz w:val="22"/>
          <w:szCs w:val="22"/>
          <w:lang w:val="es-ES"/>
        </w:rPr>
        <w:t xml:space="preserve">La presente operación contará con el soporte de la Cooperación Técnica (CT) </w:t>
      </w:r>
      <w:hyperlink r:id="rId16" w:history="1">
        <w:r w:rsidR="004D114B" w:rsidRPr="00F436E1">
          <w:rPr>
            <w:rStyle w:val="Hyperlink"/>
            <w:rFonts w:ascii="Arial" w:hAnsi="Arial" w:cs="Arial"/>
            <w:sz w:val="22"/>
            <w:szCs w:val="22"/>
            <w:lang w:val="es-ES"/>
          </w:rPr>
          <w:t>ATN/OC-15795-AR</w:t>
        </w:r>
      </w:hyperlink>
      <w:r w:rsidR="004D114B" w:rsidRPr="00F436E1">
        <w:rPr>
          <w:rFonts w:ascii="Arial" w:hAnsi="Arial" w:cs="Arial"/>
          <w:sz w:val="22"/>
          <w:szCs w:val="22"/>
          <w:lang w:val="es-ES"/>
        </w:rPr>
        <w:t xml:space="preserve">, Apoyo al fortalecimiento institucional al FONCAP (US$500,000). Este </w:t>
      </w:r>
      <w:r w:rsidR="00F436E1" w:rsidRPr="00F436E1">
        <w:rPr>
          <w:rFonts w:ascii="Arial" w:hAnsi="Arial" w:cs="Arial"/>
          <w:sz w:val="22"/>
          <w:szCs w:val="22"/>
          <w:lang w:val="es-ES"/>
        </w:rPr>
        <w:t>Fondo</w:t>
      </w:r>
      <w:r w:rsidR="00F436E1" w:rsidRPr="00F436E1">
        <w:rPr>
          <w:rFonts w:ascii="Arial" w:hAnsi="Arial" w:cs="Arial"/>
          <w:sz w:val="22"/>
          <w:szCs w:val="22"/>
          <w:vertAlign w:val="superscript"/>
          <w:lang w:val="es-ES"/>
        </w:rPr>
        <w:t xml:space="preserve"> [</w:t>
      </w:r>
      <w:r w:rsidR="004D114B" w:rsidRPr="00F436E1">
        <w:rPr>
          <w:rFonts w:ascii="Arial" w:hAnsi="Arial" w:cs="Arial"/>
          <w:sz w:val="22"/>
          <w:szCs w:val="22"/>
          <w:vertAlign w:val="superscript"/>
          <w:lang w:val="es-ES"/>
        </w:rPr>
        <w:t>1]</w:t>
      </w:r>
      <w:r w:rsidR="004D114B" w:rsidRPr="00F436E1">
        <w:rPr>
          <w:rFonts w:ascii="Arial" w:hAnsi="Arial" w:cs="Arial"/>
          <w:sz w:val="22"/>
          <w:szCs w:val="22"/>
          <w:lang w:val="es-ES"/>
        </w:rPr>
        <w:t xml:space="preserve"> es un vehículo de segundo piso con los objetivos de desarrollar una red de las IMF, ofreciéndoles asistencia técnica y formación, y fondear en condiciones de mercado a las IMF. La CT tiene el objetivo de reformar y desarrollar el Fondo a través de </w:t>
      </w:r>
      <w:r w:rsidR="004D114B" w:rsidRPr="00F436E1">
        <w:rPr>
          <w:rFonts w:ascii="Arial" w:hAnsi="Arial" w:cs="Arial"/>
          <w:sz w:val="22"/>
          <w:szCs w:val="22"/>
          <w:lang w:val="es-ES_tradnl"/>
        </w:rPr>
        <w:t>apoyar las reformas institucionales, organizacionales y de procesos internos de FONCAP que se requieran para mejorar el cumplimiento de sus propósitos de desarrollo, y de mejorar el acceso, intercambio y procesamiento de información, incluyendo mejoras en Tecnologías de Información y Comunicaciones (TIC) y recursos humanos, para la ampliación y fortalecimiento de la red de IMF.</w:t>
      </w:r>
      <w:r w:rsidR="004D114B" w:rsidRPr="004D114B">
        <w:rPr>
          <w:rFonts w:ascii="Arial" w:hAnsi="Arial" w:cs="Arial"/>
          <w:b/>
          <w:lang w:val="es-ES_tradnl"/>
        </w:rPr>
        <w:t xml:space="preserve"> </w:t>
      </w:r>
    </w:p>
    <w:p w14:paraId="6ABF9029" w14:textId="77777777" w:rsidR="004D114B" w:rsidRPr="00F436E1" w:rsidRDefault="004D114B" w:rsidP="00F436E1">
      <w:pPr>
        <w:pStyle w:val="Paragraph"/>
        <w:numPr>
          <w:ilvl w:val="0"/>
          <w:numId w:val="0"/>
        </w:numPr>
        <w:ind w:left="630"/>
        <w:rPr>
          <w:rFonts w:ascii="Arial" w:hAnsi="Arial" w:cs="Arial"/>
          <w:sz w:val="22"/>
          <w:szCs w:val="22"/>
          <w:lang w:val="es-ES_tradnl"/>
        </w:rPr>
      </w:pPr>
    </w:p>
    <w:p w14:paraId="520A6789" w14:textId="77777777" w:rsidR="0084196D" w:rsidRPr="004D114B" w:rsidRDefault="0084196D" w:rsidP="00F436E1">
      <w:pPr>
        <w:pStyle w:val="Chapter"/>
        <w:tabs>
          <w:tab w:val="clear" w:pos="1440"/>
        </w:tabs>
        <w:spacing w:before="0"/>
        <w:ind w:left="630" w:hanging="180"/>
        <w:rPr>
          <w:rFonts w:ascii="Arial" w:hAnsi="Arial" w:cs="Arial"/>
          <w:sz w:val="22"/>
          <w:szCs w:val="22"/>
          <w:lang w:val="es-ES_tradnl"/>
        </w:rPr>
      </w:pPr>
      <w:bookmarkStart w:id="5" w:name="_Toc491884240"/>
      <w:r w:rsidRPr="004D114B">
        <w:rPr>
          <w:rFonts w:ascii="Arial" w:hAnsi="Arial" w:cs="Arial"/>
          <w:sz w:val="22"/>
          <w:szCs w:val="22"/>
          <w:lang w:val="es-ES_tradnl"/>
        </w:rPr>
        <w:lastRenderedPageBreak/>
        <w:t>Monitoreo</w:t>
      </w:r>
      <w:bookmarkEnd w:id="5"/>
    </w:p>
    <w:p w14:paraId="7432C929" w14:textId="77777777" w:rsidR="00892FC3" w:rsidRPr="004D114B" w:rsidRDefault="002223DC" w:rsidP="00004A4F">
      <w:pPr>
        <w:pStyle w:val="Paragraph"/>
        <w:tabs>
          <w:tab w:val="clear" w:pos="2736"/>
          <w:tab w:val="num" w:pos="630"/>
        </w:tabs>
        <w:ind w:left="630" w:hanging="630"/>
        <w:rPr>
          <w:rFonts w:ascii="Arial" w:hAnsi="Arial" w:cs="Arial"/>
          <w:sz w:val="22"/>
          <w:szCs w:val="22"/>
          <w:lang w:val="es-ES_tradnl"/>
        </w:rPr>
      </w:pPr>
      <w:r w:rsidRPr="004D114B">
        <w:rPr>
          <w:rFonts w:ascii="Arial" w:hAnsi="Arial" w:cs="Arial"/>
          <w:sz w:val="22"/>
          <w:szCs w:val="22"/>
          <w:lang w:val="es-ES_tradnl"/>
        </w:rPr>
        <w:t xml:space="preserve">El propósito de esta sección es describir el proceso de monitoreo del programa que se aplicará a lo largo de la ejecución de este para garantizar su correcto desarrollo y adecuada utilización de los recursos. Como se ha mencionado antes, </w:t>
      </w:r>
      <w:r w:rsidR="0059691C" w:rsidRPr="004D114B">
        <w:rPr>
          <w:rFonts w:ascii="Arial" w:hAnsi="Arial" w:cs="Arial"/>
          <w:sz w:val="22"/>
          <w:szCs w:val="22"/>
          <w:lang w:val="es-ES_tradnl"/>
        </w:rPr>
        <w:t>la UCP</w:t>
      </w:r>
      <w:r w:rsidR="007C4C07" w:rsidRPr="004D114B">
        <w:rPr>
          <w:rFonts w:ascii="Arial" w:hAnsi="Arial" w:cs="Arial"/>
          <w:sz w:val="22"/>
          <w:szCs w:val="22"/>
          <w:lang w:val="es-ES_tradnl"/>
        </w:rPr>
        <w:t xml:space="preserve"> </w:t>
      </w:r>
      <w:r w:rsidRPr="004D114B">
        <w:rPr>
          <w:rFonts w:ascii="Arial" w:hAnsi="Arial" w:cs="Arial"/>
          <w:sz w:val="22"/>
          <w:szCs w:val="22"/>
          <w:lang w:val="es-ES_tradnl"/>
        </w:rPr>
        <w:t>será la</w:t>
      </w:r>
      <w:r w:rsidR="00892FC3" w:rsidRPr="004D114B">
        <w:rPr>
          <w:rFonts w:ascii="Arial" w:hAnsi="Arial" w:cs="Arial"/>
          <w:sz w:val="22"/>
          <w:szCs w:val="22"/>
          <w:lang w:val="es-ES_tradnl"/>
        </w:rPr>
        <w:t xml:space="preserve"> responsable de realizar </w:t>
      </w:r>
      <w:r w:rsidRPr="004D114B">
        <w:rPr>
          <w:rFonts w:ascii="Arial" w:hAnsi="Arial" w:cs="Arial"/>
          <w:sz w:val="22"/>
          <w:szCs w:val="22"/>
          <w:lang w:val="es-ES_tradnl"/>
        </w:rPr>
        <w:t>las actividades de monitoreo</w:t>
      </w:r>
      <w:r w:rsidR="00892FC3" w:rsidRPr="004D114B">
        <w:rPr>
          <w:rFonts w:ascii="Arial" w:hAnsi="Arial" w:cs="Arial"/>
          <w:sz w:val="22"/>
          <w:szCs w:val="22"/>
          <w:lang w:val="es-ES_tradnl"/>
        </w:rPr>
        <w:t xml:space="preserve">. </w:t>
      </w:r>
    </w:p>
    <w:p w14:paraId="5B5C144B" w14:textId="77777777" w:rsidR="00124BB7" w:rsidRPr="004D114B" w:rsidRDefault="0084196D" w:rsidP="0081242F">
      <w:pPr>
        <w:pStyle w:val="SecHeading"/>
        <w:tabs>
          <w:tab w:val="clear" w:pos="5400"/>
          <w:tab w:val="num" w:pos="1260"/>
        </w:tabs>
        <w:ind w:hanging="4680"/>
        <w:rPr>
          <w:rFonts w:ascii="Arial" w:hAnsi="Arial" w:cs="Arial"/>
          <w:color w:val="auto"/>
          <w:sz w:val="22"/>
          <w:szCs w:val="22"/>
        </w:rPr>
      </w:pPr>
      <w:bookmarkStart w:id="6" w:name="_Toc352756753"/>
      <w:bookmarkStart w:id="7" w:name="_Toc491884241"/>
      <w:r w:rsidRPr="004D114B">
        <w:rPr>
          <w:rFonts w:ascii="Arial" w:hAnsi="Arial" w:cs="Arial"/>
          <w:color w:val="auto"/>
          <w:sz w:val="22"/>
          <w:szCs w:val="22"/>
        </w:rPr>
        <w:t>Indicadores</w:t>
      </w:r>
      <w:bookmarkEnd w:id="6"/>
      <w:bookmarkEnd w:id="7"/>
      <w:r w:rsidRPr="004D114B">
        <w:rPr>
          <w:rFonts w:ascii="Arial" w:hAnsi="Arial" w:cs="Arial"/>
          <w:color w:val="auto"/>
          <w:sz w:val="22"/>
          <w:szCs w:val="22"/>
        </w:rPr>
        <w:t xml:space="preserve"> </w:t>
      </w:r>
    </w:p>
    <w:p w14:paraId="76835862" w14:textId="77777777" w:rsidR="00B24409" w:rsidRPr="0059691C" w:rsidRDefault="00124BB7" w:rsidP="00004A4F">
      <w:pPr>
        <w:pStyle w:val="Paragraph"/>
        <w:tabs>
          <w:tab w:val="clear" w:pos="2736"/>
          <w:tab w:val="num" w:pos="630"/>
        </w:tabs>
        <w:ind w:left="630" w:hanging="630"/>
        <w:rPr>
          <w:rFonts w:ascii="Arial" w:hAnsi="Arial" w:cs="Arial"/>
          <w:sz w:val="22"/>
          <w:szCs w:val="22"/>
          <w:lang w:val="es-ES_tradnl"/>
        </w:rPr>
      </w:pPr>
      <w:r w:rsidRPr="004D114B">
        <w:rPr>
          <w:rFonts w:ascii="Arial" w:hAnsi="Arial" w:cs="Arial"/>
          <w:sz w:val="22"/>
          <w:szCs w:val="22"/>
          <w:lang w:val="es-ES_tradnl"/>
        </w:rPr>
        <w:t>Los indicadores que serán monitoreados y registrados en el Informe de Seguimiento del Proyecto</w:t>
      </w:r>
      <w:r w:rsidRPr="0059691C">
        <w:rPr>
          <w:rFonts w:ascii="Arial" w:hAnsi="Arial" w:cs="Arial"/>
          <w:sz w:val="22"/>
          <w:szCs w:val="22"/>
          <w:lang w:val="es-ES_tradnl"/>
        </w:rPr>
        <w:t xml:space="preserve"> (PMR</w:t>
      </w:r>
      <w:r w:rsidRPr="0059691C">
        <w:rPr>
          <w:rFonts w:ascii="Arial" w:hAnsi="Arial" w:cs="Arial"/>
          <w:sz w:val="22"/>
          <w:szCs w:val="22"/>
          <w:vertAlign w:val="superscript"/>
          <w:lang w:val="es-ES_tradnl"/>
        </w:rPr>
        <w:footnoteReference w:id="4"/>
      </w:r>
      <w:r w:rsidRPr="0059691C">
        <w:rPr>
          <w:rFonts w:ascii="Arial" w:hAnsi="Arial" w:cs="Arial"/>
          <w:sz w:val="22"/>
          <w:szCs w:val="22"/>
          <w:lang w:val="es-ES_tradnl"/>
        </w:rPr>
        <w:t>) se encuentran descritos en la Matriz de Resultados del Programa</w:t>
      </w:r>
      <w:r w:rsidRPr="0059691C">
        <w:rPr>
          <w:rFonts w:ascii="Arial" w:hAnsi="Arial" w:cs="Arial"/>
          <w:sz w:val="22"/>
          <w:szCs w:val="22"/>
          <w:vertAlign w:val="superscript"/>
          <w:lang w:val="es-ES_tradnl"/>
        </w:rPr>
        <w:footnoteReference w:id="5"/>
      </w:r>
      <w:r w:rsidRPr="0059691C">
        <w:rPr>
          <w:rFonts w:ascii="Arial" w:hAnsi="Arial" w:cs="Arial"/>
          <w:sz w:val="22"/>
          <w:szCs w:val="22"/>
          <w:lang w:val="es-ES_tradnl"/>
        </w:rPr>
        <w:t xml:space="preserve"> </w:t>
      </w:r>
      <w:r w:rsidR="008E686C" w:rsidRPr="0059691C">
        <w:rPr>
          <w:rFonts w:ascii="Arial" w:hAnsi="Arial" w:cs="Arial"/>
          <w:sz w:val="22"/>
          <w:szCs w:val="22"/>
          <w:lang w:val="es-ES_tradnl"/>
        </w:rPr>
        <w:t xml:space="preserve">acordada con </w:t>
      </w:r>
      <w:r w:rsidR="006B31F8" w:rsidRPr="0059691C">
        <w:rPr>
          <w:rFonts w:ascii="Arial" w:hAnsi="Arial" w:cs="Arial"/>
          <w:sz w:val="22"/>
          <w:szCs w:val="22"/>
          <w:lang w:val="es-ES_tradnl"/>
        </w:rPr>
        <w:t>el OE</w:t>
      </w:r>
      <w:r w:rsidR="008B53FF" w:rsidRPr="0059691C">
        <w:rPr>
          <w:rFonts w:ascii="Arial" w:hAnsi="Arial" w:cs="Arial"/>
          <w:sz w:val="22"/>
          <w:szCs w:val="22"/>
          <w:lang w:val="es-ES_tradnl"/>
        </w:rPr>
        <w:t>.</w:t>
      </w:r>
    </w:p>
    <w:p w14:paraId="27E2B152" w14:textId="77777777" w:rsidR="00124BB7" w:rsidRPr="0059691C" w:rsidRDefault="00B24409" w:rsidP="00004A4F">
      <w:pPr>
        <w:pStyle w:val="Paragraph"/>
        <w:tabs>
          <w:tab w:val="clear" w:pos="2736"/>
          <w:tab w:val="num" w:pos="630"/>
        </w:tabs>
        <w:ind w:left="630" w:hanging="630"/>
        <w:rPr>
          <w:rFonts w:ascii="Arial" w:hAnsi="Arial" w:cs="Arial"/>
          <w:sz w:val="22"/>
          <w:szCs w:val="22"/>
          <w:lang w:val="es-ES_tradnl"/>
        </w:rPr>
      </w:pPr>
      <w:r w:rsidRPr="00121364">
        <w:rPr>
          <w:rFonts w:ascii="Arial" w:hAnsi="Arial" w:cs="Arial"/>
          <w:sz w:val="22"/>
          <w:szCs w:val="22"/>
          <w:lang w:val="es-ES_tradnl"/>
        </w:rPr>
        <w:t>El monitoreo</w:t>
      </w:r>
      <w:r w:rsidR="000D02CA" w:rsidRPr="00121364">
        <w:rPr>
          <w:rFonts w:ascii="Arial" w:hAnsi="Arial" w:cs="Arial"/>
          <w:sz w:val="22"/>
          <w:szCs w:val="22"/>
          <w:lang w:val="es-ES_tradnl"/>
        </w:rPr>
        <w:t xml:space="preserve"> de productos</w:t>
      </w:r>
      <w:r w:rsidRPr="00121364">
        <w:rPr>
          <w:rFonts w:ascii="Arial" w:hAnsi="Arial" w:cs="Arial"/>
          <w:sz w:val="22"/>
          <w:szCs w:val="22"/>
          <w:lang w:val="es-ES_tradnl"/>
        </w:rPr>
        <w:t xml:space="preserve"> tendrá una </w:t>
      </w:r>
      <w:r w:rsidRPr="00F436E1">
        <w:rPr>
          <w:rFonts w:ascii="Arial" w:hAnsi="Arial" w:cs="Arial"/>
          <w:sz w:val="22"/>
          <w:szCs w:val="22"/>
          <w:lang w:val="es-ES_tradnl"/>
        </w:rPr>
        <w:t>frecuencia semestral</w:t>
      </w:r>
      <w:r w:rsidRPr="00121364">
        <w:rPr>
          <w:rFonts w:ascii="Arial" w:hAnsi="Arial" w:cs="Arial"/>
          <w:sz w:val="22"/>
          <w:szCs w:val="22"/>
          <w:lang w:val="es-ES_tradnl"/>
        </w:rPr>
        <w:t xml:space="preserve"> y será actualizado en</w:t>
      </w:r>
      <w:r w:rsidRPr="0059691C">
        <w:rPr>
          <w:rFonts w:ascii="Arial" w:hAnsi="Arial" w:cs="Arial"/>
          <w:sz w:val="22"/>
          <w:szCs w:val="22"/>
          <w:lang w:val="es-ES_tradnl"/>
        </w:rPr>
        <w:t xml:space="preserve"> el Informe de Monitoreo y en el PMR del Programa. </w:t>
      </w:r>
      <w:r w:rsidR="00576A27" w:rsidRPr="0059691C">
        <w:rPr>
          <w:rFonts w:ascii="Arial" w:hAnsi="Arial" w:cs="Arial"/>
          <w:sz w:val="22"/>
          <w:szCs w:val="22"/>
          <w:lang w:val="es-ES_tradnl"/>
        </w:rPr>
        <w:t>El Cuadro</w:t>
      </w:r>
      <w:r w:rsidR="007626F4" w:rsidRPr="0059691C">
        <w:rPr>
          <w:rFonts w:ascii="Arial" w:hAnsi="Arial" w:cs="Arial"/>
          <w:sz w:val="22"/>
          <w:szCs w:val="22"/>
          <w:lang w:val="es-ES_tradnl"/>
        </w:rPr>
        <w:t xml:space="preserve"> 1 </w:t>
      </w:r>
      <w:r w:rsidR="009A229F" w:rsidRPr="0059691C">
        <w:rPr>
          <w:rFonts w:ascii="Arial" w:hAnsi="Arial" w:cs="Arial"/>
          <w:sz w:val="22"/>
          <w:szCs w:val="22"/>
          <w:lang w:val="es-ES_tradnl"/>
        </w:rPr>
        <w:t>describe</w:t>
      </w:r>
      <w:r w:rsidR="007626F4" w:rsidRPr="0059691C">
        <w:rPr>
          <w:rFonts w:ascii="Arial" w:hAnsi="Arial" w:cs="Arial"/>
          <w:sz w:val="22"/>
          <w:szCs w:val="22"/>
          <w:lang w:val="es-ES_tradnl"/>
        </w:rPr>
        <w:t xml:space="preserve"> los indicadores que recibirán seguimiento</w:t>
      </w:r>
      <w:r w:rsidR="00ED606A" w:rsidRPr="0059691C">
        <w:rPr>
          <w:rFonts w:ascii="Arial" w:hAnsi="Arial" w:cs="Arial"/>
          <w:sz w:val="22"/>
          <w:szCs w:val="22"/>
          <w:lang w:val="es-ES_tradnl"/>
        </w:rPr>
        <w:t xml:space="preserve"> y la frecuencia de medición</w:t>
      </w:r>
      <w:r w:rsidR="00AF2969" w:rsidRPr="0059691C">
        <w:rPr>
          <w:rFonts w:ascii="Arial" w:hAnsi="Arial" w:cs="Arial"/>
          <w:sz w:val="22"/>
          <w:szCs w:val="22"/>
          <w:lang w:val="es-ES_tradnl"/>
        </w:rPr>
        <w:t>.</w:t>
      </w:r>
    </w:p>
    <w:p w14:paraId="3EB96B3C" w14:textId="77777777" w:rsidR="002525CF" w:rsidRPr="00BB250A" w:rsidRDefault="002525CF" w:rsidP="009A229F">
      <w:pPr>
        <w:pStyle w:val="Default"/>
        <w:rPr>
          <w:rFonts w:ascii="Arial" w:hAnsi="Arial" w:cs="Arial"/>
          <w:b/>
          <w:color w:val="auto"/>
          <w:sz w:val="22"/>
          <w:szCs w:val="22"/>
          <w:highlight w:val="yellow"/>
          <w:lang w:val="es-ES_tradnl"/>
        </w:rPr>
      </w:pPr>
    </w:p>
    <w:p w14:paraId="6A53AB78" w14:textId="77777777" w:rsidR="0084196D" w:rsidRDefault="00576A27" w:rsidP="002525CF">
      <w:pPr>
        <w:pStyle w:val="Default"/>
        <w:jc w:val="center"/>
        <w:rPr>
          <w:rFonts w:ascii="Arial" w:hAnsi="Arial" w:cs="Arial"/>
          <w:b/>
          <w:color w:val="auto"/>
          <w:sz w:val="20"/>
          <w:szCs w:val="20"/>
          <w:lang w:val="es-ES_tradnl"/>
        </w:rPr>
      </w:pPr>
      <w:r w:rsidRPr="00E55C94">
        <w:rPr>
          <w:rFonts w:ascii="Arial" w:hAnsi="Arial" w:cs="Arial"/>
          <w:b/>
          <w:color w:val="auto"/>
          <w:sz w:val="20"/>
          <w:szCs w:val="20"/>
          <w:lang w:val="es-ES_tradnl"/>
        </w:rPr>
        <w:t xml:space="preserve">Cuadro </w:t>
      </w:r>
      <w:r w:rsidR="0084196D" w:rsidRPr="00E55C94">
        <w:rPr>
          <w:rFonts w:ascii="Arial" w:hAnsi="Arial" w:cs="Arial"/>
          <w:b/>
          <w:color w:val="auto"/>
          <w:sz w:val="20"/>
          <w:szCs w:val="20"/>
          <w:lang w:val="es-ES_tradnl"/>
        </w:rPr>
        <w:t>1</w:t>
      </w:r>
      <w:r w:rsidR="002525CF" w:rsidRPr="00E55C94">
        <w:rPr>
          <w:rFonts w:ascii="Arial" w:hAnsi="Arial" w:cs="Arial"/>
          <w:b/>
          <w:color w:val="auto"/>
          <w:sz w:val="20"/>
          <w:szCs w:val="20"/>
          <w:lang w:val="es-ES_tradnl"/>
        </w:rPr>
        <w:t xml:space="preserve">. </w:t>
      </w:r>
      <w:r w:rsidR="0084196D" w:rsidRPr="00E55C94">
        <w:rPr>
          <w:rFonts w:ascii="Arial" w:hAnsi="Arial" w:cs="Arial"/>
          <w:b/>
          <w:color w:val="auto"/>
          <w:sz w:val="20"/>
          <w:szCs w:val="20"/>
          <w:lang w:val="es-ES_tradnl"/>
        </w:rPr>
        <w:t>Indicadores de Monitoreo</w:t>
      </w:r>
    </w:p>
    <w:p w14:paraId="26E61028" w14:textId="77777777" w:rsidR="00E55C94" w:rsidRPr="00E55C94" w:rsidRDefault="00E55C94" w:rsidP="002525CF">
      <w:pPr>
        <w:pStyle w:val="Default"/>
        <w:jc w:val="center"/>
        <w:rPr>
          <w:rFonts w:ascii="Arial" w:hAnsi="Arial" w:cs="Arial"/>
          <w:b/>
          <w:color w:val="auto"/>
          <w:sz w:val="20"/>
          <w:szCs w:val="20"/>
          <w:lang w:val="es-ES_tradnl"/>
        </w:rPr>
      </w:pPr>
    </w:p>
    <w:tbl>
      <w:tblPr>
        <w:tblStyle w:val="TableGrid"/>
        <w:tblW w:w="8059" w:type="dxa"/>
        <w:jc w:val="right"/>
        <w:tblLook w:val="04A0" w:firstRow="1" w:lastRow="0" w:firstColumn="1" w:lastColumn="0" w:noHBand="0" w:noVBand="1"/>
      </w:tblPr>
      <w:tblGrid>
        <w:gridCol w:w="1980"/>
        <w:gridCol w:w="2880"/>
        <w:gridCol w:w="1350"/>
        <w:gridCol w:w="1849"/>
      </w:tblGrid>
      <w:tr w:rsidR="009A229F" w:rsidRPr="00E55C94" w14:paraId="35FF7726" w14:textId="77777777" w:rsidTr="000A6E8E">
        <w:trPr>
          <w:jc w:val="right"/>
        </w:trPr>
        <w:tc>
          <w:tcPr>
            <w:tcW w:w="1980" w:type="dxa"/>
          </w:tcPr>
          <w:p w14:paraId="6306A825" w14:textId="77777777" w:rsidR="009A229F" w:rsidRPr="00E55C94" w:rsidRDefault="009A229F" w:rsidP="000A6E8E">
            <w:pPr>
              <w:pStyle w:val="Default"/>
              <w:jc w:val="center"/>
              <w:rPr>
                <w:rFonts w:ascii="Arial" w:hAnsi="Arial" w:cs="Arial"/>
                <w:b/>
                <w:color w:val="auto"/>
                <w:sz w:val="18"/>
                <w:szCs w:val="20"/>
                <w:lang w:val="es-AR"/>
              </w:rPr>
            </w:pPr>
            <w:bookmarkStart w:id="8" w:name="_Toc352756754"/>
            <w:bookmarkEnd w:id="4"/>
            <w:r w:rsidRPr="00E55C94">
              <w:rPr>
                <w:rFonts w:ascii="Arial" w:hAnsi="Arial" w:cs="Arial"/>
                <w:b/>
                <w:color w:val="auto"/>
                <w:sz w:val="18"/>
                <w:szCs w:val="20"/>
                <w:lang w:val="es-AR"/>
              </w:rPr>
              <w:t>Indicador</w:t>
            </w:r>
          </w:p>
        </w:tc>
        <w:tc>
          <w:tcPr>
            <w:tcW w:w="2880" w:type="dxa"/>
          </w:tcPr>
          <w:p w14:paraId="116D7693" w14:textId="77777777" w:rsidR="009A229F" w:rsidRPr="00E55C94" w:rsidRDefault="009A229F" w:rsidP="000A6E8E">
            <w:pPr>
              <w:pStyle w:val="Default"/>
              <w:jc w:val="center"/>
              <w:rPr>
                <w:rFonts w:ascii="Arial" w:hAnsi="Arial" w:cs="Arial"/>
                <w:b/>
                <w:color w:val="auto"/>
                <w:sz w:val="18"/>
                <w:szCs w:val="20"/>
                <w:lang w:val="es-AR"/>
              </w:rPr>
            </w:pPr>
            <w:r w:rsidRPr="00E55C94">
              <w:rPr>
                <w:rFonts w:ascii="Arial" w:hAnsi="Arial" w:cs="Arial"/>
                <w:b/>
                <w:color w:val="auto"/>
                <w:sz w:val="18"/>
                <w:szCs w:val="20"/>
                <w:lang w:val="es-AR"/>
              </w:rPr>
              <w:t>Formula/descripción</w:t>
            </w:r>
          </w:p>
        </w:tc>
        <w:tc>
          <w:tcPr>
            <w:tcW w:w="1350" w:type="dxa"/>
          </w:tcPr>
          <w:p w14:paraId="2F6AA4CB" w14:textId="77777777" w:rsidR="009A229F" w:rsidRPr="00E55C94" w:rsidRDefault="009A229F" w:rsidP="000A6E8E">
            <w:pPr>
              <w:pStyle w:val="Default"/>
              <w:jc w:val="center"/>
              <w:rPr>
                <w:rFonts w:ascii="Arial" w:hAnsi="Arial" w:cs="Arial"/>
                <w:b/>
                <w:color w:val="auto"/>
                <w:sz w:val="18"/>
                <w:szCs w:val="20"/>
                <w:lang w:val="es-AR"/>
              </w:rPr>
            </w:pPr>
            <w:r w:rsidRPr="00E55C94">
              <w:rPr>
                <w:rFonts w:ascii="Arial" w:hAnsi="Arial" w:cs="Arial"/>
                <w:b/>
                <w:color w:val="auto"/>
                <w:sz w:val="18"/>
                <w:szCs w:val="20"/>
                <w:lang w:val="es-AR"/>
              </w:rPr>
              <w:t>Frecuencia de Medición</w:t>
            </w:r>
          </w:p>
        </w:tc>
        <w:tc>
          <w:tcPr>
            <w:tcW w:w="1849" w:type="dxa"/>
          </w:tcPr>
          <w:p w14:paraId="2940CCD9" w14:textId="77777777" w:rsidR="009A229F" w:rsidRPr="00E55C94" w:rsidRDefault="009A229F" w:rsidP="000A6E8E">
            <w:pPr>
              <w:pStyle w:val="Default"/>
              <w:jc w:val="center"/>
              <w:rPr>
                <w:rFonts w:ascii="Arial" w:hAnsi="Arial" w:cs="Arial"/>
                <w:b/>
                <w:color w:val="auto"/>
                <w:sz w:val="18"/>
                <w:szCs w:val="20"/>
                <w:lang w:val="es-AR"/>
              </w:rPr>
            </w:pPr>
            <w:r w:rsidRPr="00E55C94">
              <w:rPr>
                <w:rFonts w:ascii="Arial" w:hAnsi="Arial" w:cs="Arial"/>
                <w:b/>
                <w:color w:val="auto"/>
                <w:sz w:val="18"/>
                <w:szCs w:val="20"/>
                <w:lang w:val="es-AR"/>
              </w:rPr>
              <w:t>Fuente de Verificación</w:t>
            </w:r>
          </w:p>
        </w:tc>
      </w:tr>
      <w:tr w:rsidR="009A229F" w:rsidRPr="00E55C94" w14:paraId="7C63690E" w14:textId="77777777" w:rsidTr="000A6E8E">
        <w:trPr>
          <w:jc w:val="right"/>
        </w:trPr>
        <w:tc>
          <w:tcPr>
            <w:tcW w:w="8059" w:type="dxa"/>
            <w:gridSpan w:val="4"/>
          </w:tcPr>
          <w:p w14:paraId="248AD03D" w14:textId="77777777" w:rsidR="009A229F" w:rsidRPr="00E55C94" w:rsidRDefault="009A229F" w:rsidP="000A6E8E">
            <w:pPr>
              <w:pStyle w:val="Default"/>
              <w:jc w:val="center"/>
              <w:rPr>
                <w:rFonts w:ascii="Arial" w:hAnsi="Arial" w:cs="Arial"/>
                <w:b/>
                <w:color w:val="auto"/>
                <w:sz w:val="18"/>
                <w:szCs w:val="20"/>
                <w:lang w:val="es-AR"/>
              </w:rPr>
            </w:pPr>
            <w:r w:rsidRPr="00E55C94">
              <w:rPr>
                <w:rFonts w:ascii="Arial" w:hAnsi="Arial" w:cs="Arial"/>
                <w:b/>
                <w:color w:val="auto"/>
                <w:sz w:val="18"/>
                <w:szCs w:val="20"/>
                <w:lang w:val="es-AR"/>
              </w:rPr>
              <w:t>Indicadores de Producto</w:t>
            </w:r>
          </w:p>
        </w:tc>
      </w:tr>
      <w:tr w:rsidR="00DC561E" w:rsidRPr="00E55C94" w14:paraId="3C2BE255" w14:textId="77777777" w:rsidTr="000A6E8E">
        <w:trPr>
          <w:jc w:val="right"/>
        </w:trPr>
        <w:tc>
          <w:tcPr>
            <w:tcW w:w="1980" w:type="dxa"/>
          </w:tcPr>
          <w:p w14:paraId="0CC2476F" w14:textId="77777777" w:rsidR="00DC561E" w:rsidRPr="00E55C94" w:rsidRDefault="00DC561E" w:rsidP="00DC561E">
            <w:pPr>
              <w:pStyle w:val="Default"/>
              <w:rPr>
                <w:rFonts w:ascii="Arial" w:hAnsi="Arial" w:cs="Arial"/>
                <w:color w:val="auto"/>
                <w:sz w:val="18"/>
                <w:szCs w:val="20"/>
                <w:lang w:val="es-ES_tradnl"/>
              </w:rPr>
            </w:pPr>
            <w:r w:rsidRPr="00C842D7">
              <w:rPr>
                <w:rFonts w:ascii="Arial" w:hAnsi="Arial" w:cs="Arial"/>
                <w:sz w:val="18"/>
                <w:szCs w:val="18"/>
                <w:lang w:val="es-ES"/>
              </w:rPr>
              <w:t xml:space="preserve">Número de concursos </w:t>
            </w:r>
            <w:r>
              <w:rPr>
                <w:rFonts w:ascii="Arial" w:hAnsi="Arial" w:cs="Arial"/>
                <w:sz w:val="18"/>
                <w:szCs w:val="18"/>
                <w:lang w:val="es-ES"/>
              </w:rPr>
              <w:t xml:space="preserve">realizados </w:t>
            </w:r>
            <w:r w:rsidRPr="00C842D7">
              <w:rPr>
                <w:rFonts w:ascii="Arial" w:hAnsi="Arial" w:cs="Arial"/>
                <w:sz w:val="18"/>
                <w:szCs w:val="18"/>
                <w:lang w:val="es-ES"/>
              </w:rPr>
              <w:t>q</w:t>
            </w:r>
            <w:bookmarkStart w:id="9" w:name="_Hlk493858405"/>
            <w:r w:rsidRPr="00C842D7">
              <w:rPr>
                <w:rFonts w:ascii="Arial" w:hAnsi="Arial" w:cs="Arial"/>
                <w:sz w:val="18"/>
                <w:szCs w:val="18"/>
                <w:lang w:val="es-ES"/>
              </w:rPr>
              <w:t>ue buscan desarrollar nuevos productos y servicios para la IF</w:t>
            </w:r>
            <w:bookmarkEnd w:id="9"/>
            <w:r w:rsidRPr="00C842D7">
              <w:rPr>
                <w:rStyle w:val="FootnoteReference"/>
                <w:rFonts w:ascii="Arial" w:hAnsi="Arial" w:cs="Arial"/>
                <w:sz w:val="18"/>
                <w:szCs w:val="18"/>
                <w:lang w:val="es-ES"/>
              </w:rPr>
              <w:footnoteReference w:id="6"/>
            </w:r>
          </w:p>
        </w:tc>
        <w:tc>
          <w:tcPr>
            <w:tcW w:w="2880" w:type="dxa"/>
          </w:tcPr>
          <w:p w14:paraId="143B1EDB" w14:textId="77777777" w:rsidR="00DC561E" w:rsidRPr="00E55C94" w:rsidRDefault="00DC561E" w:rsidP="00DC561E">
            <w:pPr>
              <w:spacing w:before="60" w:after="60"/>
              <w:rPr>
                <w:rFonts w:ascii="Arial" w:eastAsia="Arial Unicode MS" w:hAnsi="Arial" w:cs="Arial"/>
                <w:sz w:val="18"/>
                <w:lang w:val="es-ES_tradnl"/>
              </w:rPr>
            </w:pPr>
            <w:r>
              <w:rPr>
                <w:rFonts w:ascii="Arial" w:hAnsi="Arial" w:cs="Arial"/>
                <w:sz w:val="18"/>
                <w:szCs w:val="18"/>
                <w:lang w:val="es-ES_tradnl"/>
              </w:rPr>
              <w:t>C</w:t>
            </w:r>
            <w:r w:rsidRPr="00C842D7">
              <w:rPr>
                <w:rFonts w:ascii="Arial" w:hAnsi="Arial" w:cs="Arial"/>
                <w:sz w:val="18"/>
                <w:szCs w:val="18"/>
                <w:lang w:val="es-ES_tradnl"/>
              </w:rPr>
              <w:t xml:space="preserve">oncursos </w:t>
            </w:r>
            <w:r>
              <w:rPr>
                <w:rFonts w:ascii="Arial" w:hAnsi="Arial" w:cs="Arial"/>
                <w:sz w:val="18"/>
                <w:szCs w:val="18"/>
                <w:lang w:val="es-ES_tradnl"/>
              </w:rPr>
              <w:t>contemplados son</w:t>
            </w:r>
            <w:r w:rsidRPr="00C842D7">
              <w:rPr>
                <w:rFonts w:ascii="Arial" w:hAnsi="Arial" w:cs="Arial"/>
                <w:sz w:val="18"/>
                <w:szCs w:val="18"/>
                <w:lang w:val="es-ES_tradnl"/>
              </w:rPr>
              <w:t>: productos innovadores de cuentas de bajo monto, de ahorro y de crédito, dirigidos a segmentos informales; desarrollar canales de bajo costo; apoyar billeteras electrónicas en el desarrollo del producto; apoyar nuevos modelos de negocios digitales</w:t>
            </w:r>
            <w:r>
              <w:rPr>
                <w:rFonts w:ascii="Arial" w:hAnsi="Arial" w:cs="Arial"/>
                <w:sz w:val="18"/>
                <w:szCs w:val="18"/>
                <w:lang w:val="es-ES_tradnl"/>
              </w:rPr>
              <w:t xml:space="preserve"> de pagos y transferencias</w:t>
            </w:r>
            <w:r w:rsidRPr="00C842D7">
              <w:rPr>
                <w:rFonts w:ascii="Arial" w:hAnsi="Arial" w:cs="Arial"/>
                <w:sz w:val="18"/>
                <w:szCs w:val="18"/>
                <w:lang w:val="es-ES_tradnl"/>
              </w:rPr>
              <w:t>.</w:t>
            </w:r>
          </w:p>
        </w:tc>
        <w:tc>
          <w:tcPr>
            <w:tcW w:w="1350" w:type="dxa"/>
          </w:tcPr>
          <w:p w14:paraId="3B1B6D82" w14:textId="77777777" w:rsidR="00DC561E" w:rsidRPr="00E55C94" w:rsidRDefault="00DC561E" w:rsidP="00DC561E">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Semestral</w:t>
            </w:r>
          </w:p>
        </w:tc>
        <w:tc>
          <w:tcPr>
            <w:tcW w:w="1849" w:type="dxa"/>
          </w:tcPr>
          <w:p w14:paraId="2644E5AD" w14:textId="77777777" w:rsidR="00DC561E" w:rsidRPr="00E55C94" w:rsidRDefault="00DC561E" w:rsidP="00DC561E">
            <w:pPr>
              <w:pStyle w:val="Default"/>
              <w:rPr>
                <w:rFonts w:ascii="Arial" w:hAnsi="Arial" w:cs="Arial"/>
                <w:color w:val="auto"/>
                <w:sz w:val="18"/>
                <w:szCs w:val="20"/>
                <w:lang w:val="es-AR"/>
              </w:rPr>
            </w:pPr>
            <w:r w:rsidRPr="00E55C94">
              <w:rPr>
                <w:rFonts w:ascii="Arial" w:hAnsi="Arial" w:cs="Arial"/>
                <w:sz w:val="18"/>
                <w:szCs w:val="18"/>
                <w:lang w:val="es-ES"/>
              </w:rPr>
              <w:t>Informes Semestrales de la UCP</w:t>
            </w:r>
            <w:r w:rsidRPr="00E55C94">
              <w:rPr>
                <w:rFonts w:ascii="Arial" w:hAnsi="Arial" w:cs="Arial"/>
                <w:color w:val="auto"/>
                <w:sz w:val="18"/>
                <w:szCs w:val="20"/>
                <w:lang w:val="es-AR"/>
              </w:rPr>
              <w:t xml:space="preserve"> </w:t>
            </w:r>
          </w:p>
        </w:tc>
      </w:tr>
      <w:tr w:rsidR="00567EFF" w:rsidRPr="00E55C94" w14:paraId="4BBD1D9C" w14:textId="77777777" w:rsidTr="000A6E8E">
        <w:trPr>
          <w:jc w:val="right"/>
        </w:trPr>
        <w:tc>
          <w:tcPr>
            <w:tcW w:w="1980" w:type="dxa"/>
          </w:tcPr>
          <w:p w14:paraId="7A96B177" w14:textId="77777777" w:rsidR="00567EFF" w:rsidRPr="00E55C94" w:rsidRDefault="00DC561E" w:rsidP="00567EFF">
            <w:pPr>
              <w:pStyle w:val="Default"/>
              <w:rPr>
                <w:rFonts w:ascii="Arial" w:hAnsi="Arial" w:cs="Arial"/>
                <w:sz w:val="18"/>
                <w:szCs w:val="18"/>
                <w:lang w:val="es-ES"/>
              </w:rPr>
            </w:pPr>
            <w:r w:rsidRPr="00C842D7">
              <w:rPr>
                <w:rFonts w:ascii="Arial" w:hAnsi="Arial" w:cs="Arial"/>
                <w:sz w:val="18"/>
                <w:szCs w:val="18"/>
                <w:lang w:val="es-ES"/>
              </w:rPr>
              <w:t xml:space="preserve">Número de estudios </w:t>
            </w:r>
            <w:r>
              <w:rPr>
                <w:rFonts w:ascii="Arial" w:hAnsi="Arial" w:cs="Arial"/>
                <w:sz w:val="18"/>
                <w:szCs w:val="18"/>
                <w:lang w:val="es-ES"/>
              </w:rPr>
              <w:t xml:space="preserve">desarrollados </w:t>
            </w:r>
            <w:r w:rsidRPr="00C842D7">
              <w:rPr>
                <w:rFonts w:ascii="Arial" w:hAnsi="Arial" w:cs="Arial"/>
                <w:sz w:val="18"/>
                <w:szCs w:val="18"/>
                <w:lang w:val="es-ES"/>
              </w:rPr>
              <w:t>que conduzcan a propuestas de reformas normativas</w:t>
            </w:r>
          </w:p>
        </w:tc>
        <w:tc>
          <w:tcPr>
            <w:tcW w:w="2880" w:type="dxa"/>
          </w:tcPr>
          <w:p w14:paraId="0223133A" w14:textId="77777777" w:rsidR="00567EFF" w:rsidRPr="00E55C94" w:rsidRDefault="00567EFF" w:rsidP="00567EFF">
            <w:pPr>
              <w:spacing w:before="60" w:after="60"/>
              <w:rPr>
                <w:rFonts w:ascii="Arial" w:hAnsi="Arial" w:cs="Arial"/>
                <w:sz w:val="18"/>
                <w:lang w:val="es-ES_tradnl"/>
              </w:rPr>
            </w:pPr>
          </w:p>
        </w:tc>
        <w:tc>
          <w:tcPr>
            <w:tcW w:w="1350" w:type="dxa"/>
          </w:tcPr>
          <w:p w14:paraId="16A54841" w14:textId="77777777" w:rsidR="00567EFF" w:rsidRPr="00E55C94" w:rsidRDefault="00567EFF" w:rsidP="00567EFF">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Semestral</w:t>
            </w:r>
          </w:p>
        </w:tc>
        <w:tc>
          <w:tcPr>
            <w:tcW w:w="1849" w:type="dxa"/>
          </w:tcPr>
          <w:p w14:paraId="5DD19139" w14:textId="77777777" w:rsidR="00567EFF" w:rsidRPr="00E55C94" w:rsidRDefault="00567EFF" w:rsidP="00567EFF">
            <w:pPr>
              <w:pStyle w:val="Default"/>
              <w:rPr>
                <w:rFonts w:ascii="Arial" w:hAnsi="Arial" w:cs="Arial"/>
                <w:sz w:val="18"/>
                <w:szCs w:val="18"/>
                <w:lang w:val="es-ES"/>
              </w:rPr>
            </w:pPr>
            <w:r w:rsidRPr="00E55C94">
              <w:rPr>
                <w:rFonts w:ascii="Arial" w:hAnsi="Arial" w:cs="Arial"/>
                <w:sz w:val="18"/>
                <w:szCs w:val="18"/>
                <w:lang w:val="es-ES"/>
              </w:rPr>
              <w:t>Informes Semestrales de la UCP</w:t>
            </w:r>
            <w:r w:rsidRPr="00E55C94">
              <w:rPr>
                <w:rFonts w:ascii="Arial" w:hAnsi="Arial" w:cs="Arial"/>
                <w:color w:val="auto"/>
                <w:sz w:val="18"/>
                <w:szCs w:val="20"/>
                <w:lang w:val="es-AR"/>
              </w:rPr>
              <w:t xml:space="preserve"> </w:t>
            </w:r>
          </w:p>
        </w:tc>
      </w:tr>
      <w:tr w:rsidR="00567EFF" w:rsidRPr="00567EFF" w14:paraId="55C0178D" w14:textId="77777777" w:rsidTr="000A6E8E">
        <w:trPr>
          <w:jc w:val="right"/>
        </w:trPr>
        <w:tc>
          <w:tcPr>
            <w:tcW w:w="1980" w:type="dxa"/>
          </w:tcPr>
          <w:p w14:paraId="3125C4B6" w14:textId="77777777" w:rsidR="00567EFF" w:rsidRPr="00E55C94" w:rsidRDefault="00DC561E" w:rsidP="00567EFF">
            <w:pPr>
              <w:pStyle w:val="Default"/>
              <w:rPr>
                <w:rFonts w:ascii="Arial" w:hAnsi="Arial" w:cs="Arial"/>
                <w:sz w:val="18"/>
                <w:szCs w:val="18"/>
                <w:lang w:val="es-ES"/>
              </w:rPr>
            </w:pPr>
            <w:bookmarkStart w:id="10" w:name="_Hlk493858895"/>
            <w:r w:rsidRPr="00C842D7">
              <w:rPr>
                <w:rFonts w:ascii="Arial" w:hAnsi="Arial" w:cs="Arial"/>
                <w:sz w:val="18"/>
                <w:szCs w:val="18"/>
                <w:lang w:val="es-ES"/>
              </w:rPr>
              <w:t xml:space="preserve">Número de encuestas </w:t>
            </w:r>
            <w:r>
              <w:rPr>
                <w:rFonts w:ascii="Arial" w:hAnsi="Arial" w:cs="Arial"/>
                <w:sz w:val="18"/>
                <w:szCs w:val="18"/>
                <w:lang w:val="es-ES"/>
              </w:rPr>
              <w:t xml:space="preserve">realizadas </w:t>
            </w:r>
            <w:r w:rsidRPr="00C842D7">
              <w:rPr>
                <w:rFonts w:ascii="Arial" w:hAnsi="Arial" w:cs="Arial"/>
                <w:sz w:val="18"/>
                <w:szCs w:val="18"/>
                <w:lang w:val="es-ES"/>
              </w:rPr>
              <w:t>sobre características de la demanda de servicios formales, incluyendo un módulo específico para el tema de género</w:t>
            </w:r>
            <w:bookmarkEnd w:id="10"/>
          </w:p>
        </w:tc>
        <w:tc>
          <w:tcPr>
            <w:tcW w:w="2880" w:type="dxa"/>
          </w:tcPr>
          <w:p w14:paraId="10F84832" w14:textId="77777777" w:rsidR="00567EFF" w:rsidRPr="00E55C94" w:rsidRDefault="00567EFF" w:rsidP="00567EFF">
            <w:pPr>
              <w:spacing w:before="60" w:after="60"/>
              <w:rPr>
                <w:rFonts w:ascii="Arial" w:hAnsi="Arial" w:cs="Arial"/>
                <w:sz w:val="18"/>
                <w:lang w:val="es-ES_tradnl"/>
              </w:rPr>
            </w:pPr>
          </w:p>
        </w:tc>
        <w:tc>
          <w:tcPr>
            <w:tcW w:w="1350" w:type="dxa"/>
          </w:tcPr>
          <w:p w14:paraId="1FF663FB" w14:textId="77777777" w:rsidR="00567EFF" w:rsidRPr="00E55C94" w:rsidRDefault="00567EFF" w:rsidP="00567EFF">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Semestral</w:t>
            </w:r>
          </w:p>
        </w:tc>
        <w:tc>
          <w:tcPr>
            <w:tcW w:w="1849" w:type="dxa"/>
          </w:tcPr>
          <w:p w14:paraId="4A666867" w14:textId="77777777" w:rsidR="00567EFF" w:rsidRPr="00E55C94" w:rsidRDefault="00567EFF" w:rsidP="00567EFF">
            <w:pPr>
              <w:pStyle w:val="Default"/>
              <w:rPr>
                <w:rFonts w:ascii="Arial" w:hAnsi="Arial" w:cs="Arial"/>
                <w:sz w:val="18"/>
                <w:szCs w:val="18"/>
                <w:lang w:val="es-ES"/>
              </w:rPr>
            </w:pPr>
            <w:r w:rsidRPr="00E55C94">
              <w:rPr>
                <w:rFonts w:ascii="Arial" w:hAnsi="Arial" w:cs="Arial"/>
                <w:sz w:val="18"/>
                <w:szCs w:val="18"/>
                <w:lang w:val="es-ES"/>
              </w:rPr>
              <w:t>Informes Semestrales de la UCP</w:t>
            </w:r>
            <w:r w:rsidRPr="00E55C94">
              <w:rPr>
                <w:rFonts w:ascii="Arial" w:hAnsi="Arial" w:cs="Arial"/>
                <w:color w:val="auto"/>
                <w:sz w:val="18"/>
                <w:szCs w:val="20"/>
                <w:lang w:val="es-AR"/>
              </w:rPr>
              <w:t xml:space="preserve"> </w:t>
            </w:r>
          </w:p>
        </w:tc>
      </w:tr>
      <w:tr w:rsidR="00567EFF" w:rsidRPr="00567EFF" w14:paraId="0B425B53" w14:textId="77777777" w:rsidTr="000A6E8E">
        <w:trPr>
          <w:jc w:val="right"/>
        </w:trPr>
        <w:tc>
          <w:tcPr>
            <w:tcW w:w="1980" w:type="dxa"/>
          </w:tcPr>
          <w:p w14:paraId="455457C9" w14:textId="77777777" w:rsidR="00567EFF" w:rsidRPr="00E55C94" w:rsidRDefault="00DC561E" w:rsidP="00567EFF">
            <w:pPr>
              <w:pStyle w:val="Default"/>
              <w:rPr>
                <w:rFonts w:ascii="Arial" w:hAnsi="Arial" w:cs="Arial"/>
                <w:sz w:val="18"/>
                <w:szCs w:val="18"/>
                <w:lang w:val="es-ES"/>
              </w:rPr>
            </w:pPr>
            <w:r>
              <w:rPr>
                <w:rFonts w:ascii="Arial" w:hAnsi="Arial" w:cs="Arial"/>
                <w:sz w:val="18"/>
                <w:szCs w:val="18"/>
                <w:lang w:val="es-ES_tradnl"/>
              </w:rPr>
              <w:t>Número de c</w:t>
            </w:r>
            <w:r w:rsidRPr="00C842D7">
              <w:rPr>
                <w:rFonts w:ascii="Arial" w:hAnsi="Arial" w:cs="Arial"/>
                <w:sz w:val="18"/>
                <w:szCs w:val="18"/>
                <w:lang w:val="es-ES_tradnl"/>
              </w:rPr>
              <w:t xml:space="preserve">ampañas de comunicación y de </w:t>
            </w:r>
            <w:r w:rsidRPr="00C842D7">
              <w:rPr>
                <w:rFonts w:ascii="Arial" w:hAnsi="Arial" w:cs="Arial"/>
                <w:sz w:val="18"/>
                <w:szCs w:val="18"/>
                <w:lang w:val="es-ES_tradnl"/>
              </w:rPr>
              <w:lastRenderedPageBreak/>
              <w:t>educación</w:t>
            </w:r>
            <w:r>
              <w:rPr>
                <w:rFonts w:ascii="Arial" w:hAnsi="Arial" w:cs="Arial"/>
                <w:sz w:val="18"/>
                <w:szCs w:val="18"/>
                <w:lang w:val="es-ES_tradnl"/>
              </w:rPr>
              <w:t xml:space="preserve"> realizadas </w:t>
            </w:r>
            <w:r w:rsidRPr="00C842D7">
              <w:rPr>
                <w:rFonts w:ascii="Arial" w:hAnsi="Arial" w:cs="Arial"/>
                <w:sz w:val="18"/>
                <w:szCs w:val="18"/>
                <w:lang w:val="es-ES_tradnl"/>
              </w:rPr>
              <w:t>para la implementación de la ENIF</w:t>
            </w:r>
          </w:p>
        </w:tc>
        <w:tc>
          <w:tcPr>
            <w:tcW w:w="2880" w:type="dxa"/>
          </w:tcPr>
          <w:p w14:paraId="4FB89282" w14:textId="77777777" w:rsidR="00567EFF" w:rsidRPr="00F436E1" w:rsidRDefault="00567EFF" w:rsidP="00567EFF">
            <w:pPr>
              <w:spacing w:before="60" w:after="60"/>
              <w:rPr>
                <w:rFonts w:ascii="Arial" w:hAnsi="Arial" w:cs="Arial"/>
                <w:sz w:val="18"/>
                <w:lang w:val="es-ES"/>
              </w:rPr>
            </w:pPr>
          </w:p>
        </w:tc>
        <w:tc>
          <w:tcPr>
            <w:tcW w:w="1350" w:type="dxa"/>
          </w:tcPr>
          <w:p w14:paraId="76D972EB" w14:textId="77777777" w:rsidR="00567EFF" w:rsidRPr="00E55C94" w:rsidRDefault="00567EFF" w:rsidP="00567EFF">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Semestral</w:t>
            </w:r>
          </w:p>
        </w:tc>
        <w:tc>
          <w:tcPr>
            <w:tcW w:w="1849" w:type="dxa"/>
          </w:tcPr>
          <w:p w14:paraId="0F1A9E94" w14:textId="77777777" w:rsidR="00567EFF" w:rsidRPr="00E55C94" w:rsidRDefault="00567EFF" w:rsidP="00567EFF">
            <w:pPr>
              <w:pStyle w:val="Default"/>
              <w:rPr>
                <w:rFonts w:ascii="Arial" w:hAnsi="Arial" w:cs="Arial"/>
                <w:sz w:val="18"/>
                <w:szCs w:val="18"/>
                <w:lang w:val="es-ES"/>
              </w:rPr>
            </w:pPr>
            <w:r w:rsidRPr="00E55C94">
              <w:rPr>
                <w:rFonts w:ascii="Arial" w:hAnsi="Arial" w:cs="Arial"/>
                <w:sz w:val="18"/>
                <w:szCs w:val="18"/>
                <w:lang w:val="es-ES"/>
              </w:rPr>
              <w:t>Informes Semestrales de la UCP</w:t>
            </w:r>
            <w:r w:rsidRPr="00E55C94">
              <w:rPr>
                <w:rFonts w:ascii="Arial" w:hAnsi="Arial" w:cs="Arial"/>
                <w:color w:val="auto"/>
                <w:sz w:val="18"/>
                <w:szCs w:val="20"/>
                <w:lang w:val="es-AR"/>
              </w:rPr>
              <w:t xml:space="preserve"> </w:t>
            </w:r>
          </w:p>
        </w:tc>
      </w:tr>
      <w:tr w:rsidR="00966D92" w:rsidRPr="00567EFF" w14:paraId="6B3B7C54" w14:textId="77777777" w:rsidTr="000A6E8E">
        <w:trPr>
          <w:jc w:val="right"/>
        </w:trPr>
        <w:tc>
          <w:tcPr>
            <w:tcW w:w="1980" w:type="dxa"/>
          </w:tcPr>
          <w:p w14:paraId="0BB6448A" w14:textId="77777777" w:rsidR="00966D92" w:rsidRDefault="00DC561E" w:rsidP="00966D92">
            <w:pPr>
              <w:pStyle w:val="Default"/>
              <w:rPr>
                <w:rFonts w:ascii="Arial" w:hAnsi="Arial" w:cs="Arial"/>
                <w:sz w:val="18"/>
                <w:szCs w:val="18"/>
                <w:lang w:val="es-ES_tradnl"/>
              </w:rPr>
            </w:pPr>
            <w:r w:rsidRPr="00C842D7">
              <w:rPr>
                <w:rFonts w:ascii="Arial" w:hAnsi="Arial" w:cs="Arial"/>
                <w:sz w:val="18"/>
                <w:szCs w:val="18"/>
                <w:lang w:val="es-ES"/>
              </w:rPr>
              <w:t>Número de MyPE que acceden a cr</w:t>
            </w:r>
            <w:r>
              <w:rPr>
                <w:rFonts w:ascii="Arial" w:hAnsi="Arial" w:cs="Arial"/>
                <w:sz w:val="18"/>
                <w:szCs w:val="18"/>
                <w:lang w:val="es-ES"/>
              </w:rPr>
              <w:t>édito a través del fondeo a IMF</w:t>
            </w:r>
          </w:p>
        </w:tc>
        <w:tc>
          <w:tcPr>
            <w:tcW w:w="2880" w:type="dxa"/>
          </w:tcPr>
          <w:p w14:paraId="6A701D40" w14:textId="77777777" w:rsidR="00966D92" w:rsidRPr="00E55C94" w:rsidRDefault="00966D92" w:rsidP="00966D92">
            <w:pPr>
              <w:spacing w:before="60" w:after="60"/>
              <w:rPr>
                <w:rFonts w:ascii="Arial" w:hAnsi="Arial" w:cs="Arial"/>
                <w:sz w:val="18"/>
                <w:lang w:val="es-ES_tradnl"/>
              </w:rPr>
            </w:pPr>
            <w:r w:rsidRPr="00567EFF">
              <w:rPr>
                <w:rFonts w:ascii="Arial" w:hAnsi="Arial" w:cs="Arial"/>
                <w:sz w:val="18"/>
                <w:lang w:val="es-ES_tradnl"/>
              </w:rPr>
              <w:t>Se considera un crédito promedio de US$1,200, equivalente a $20,000 pesos argentinos.</w:t>
            </w:r>
          </w:p>
        </w:tc>
        <w:tc>
          <w:tcPr>
            <w:tcW w:w="1350" w:type="dxa"/>
          </w:tcPr>
          <w:p w14:paraId="6A1F0626" w14:textId="77777777" w:rsidR="00966D92" w:rsidRPr="00E55C94" w:rsidRDefault="00966D92" w:rsidP="00966D92">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Semestral</w:t>
            </w:r>
          </w:p>
        </w:tc>
        <w:tc>
          <w:tcPr>
            <w:tcW w:w="1849" w:type="dxa"/>
          </w:tcPr>
          <w:p w14:paraId="433BE135" w14:textId="77777777" w:rsidR="00966D92" w:rsidRPr="00E55C94" w:rsidRDefault="00966D92" w:rsidP="00966D92">
            <w:pPr>
              <w:pStyle w:val="Default"/>
              <w:rPr>
                <w:rFonts w:ascii="Arial" w:hAnsi="Arial" w:cs="Arial"/>
                <w:sz w:val="18"/>
                <w:szCs w:val="18"/>
                <w:lang w:val="es-ES"/>
              </w:rPr>
            </w:pPr>
            <w:r w:rsidRPr="00E55C94">
              <w:rPr>
                <w:rFonts w:ascii="Arial" w:hAnsi="Arial" w:cs="Arial"/>
                <w:sz w:val="18"/>
                <w:szCs w:val="18"/>
                <w:lang w:val="es-ES"/>
              </w:rPr>
              <w:t>Informes Semestrales de FONCAP</w:t>
            </w:r>
          </w:p>
        </w:tc>
      </w:tr>
      <w:tr w:rsidR="00966D92" w:rsidRPr="0065263C" w14:paraId="104FDB1E" w14:textId="77777777" w:rsidTr="000A6E8E">
        <w:trPr>
          <w:jc w:val="right"/>
        </w:trPr>
        <w:tc>
          <w:tcPr>
            <w:tcW w:w="1980" w:type="dxa"/>
          </w:tcPr>
          <w:p w14:paraId="641D86B1" w14:textId="77777777" w:rsidR="00966D92" w:rsidRDefault="00DC561E" w:rsidP="00966D92">
            <w:pPr>
              <w:pStyle w:val="Default"/>
              <w:rPr>
                <w:rFonts w:ascii="Arial" w:hAnsi="Arial" w:cs="Arial"/>
                <w:sz w:val="18"/>
                <w:szCs w:val="18"/>
                <w:lang w:val="es-ES_tradnl"/>
              </w:rPr>
            </w:pPr>
            <w:r w:rsidRPr="00C842D7">
              <w:rPr>
                <w:rFonts w:ascii="Arial" w:hAnsi="Arial" w:cs="Arial"/>
                <w:sz w:val="18"/>
                <w:szCs w:val="18"/>
                <w:lang w:val="es-ES_tradnl"/>
              </w:rPr>
              <w:t>Número de IMF apoyadas con recursos para fortalecimiento institucional</w:t>
            </w:r>
          </w:p>
        </w:tc>
        <w:tc>
          <w:tcPr>
            <w:tcW w:w="2880" w:type="dxa"/>
          </w:tcPr>
          <w:p w14:paraId="5BC52EF5" w14:textId="77777777" w:rsidR="00966D92" w:rsidRPr="00E55C94" w:rsidRDefault="00966D92" w:rsidP="00966D92">
            <w:pPr>
              <w:spacing w:before="60" w:after="60"/>
              <w:rPr>
                <w:rFonts w:ascii="Arial" w:hAnsi="Arial" w:cs="Arial"/>
                <w:sz w:val="18"/>
                <w:lang w:val="es-ES_tradnl"/>
              </w:rPr>
            </w:pPr>
          </w:p>
        </w:tc>
        <w:tc>
          <w:tcPr>
            <w:tcW w:w="1350" w:type="dxa"/>
          </w:tcPr>
          <w:p w14:paraId="36A7541B" w14:textId="77777777" w:rsidR="00966D92" w:rsidRPr="00E55C94" w:rsidRDefault="00966D92" w:rsidP="00966D92">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Semestral</w:t>
            </w:r>
          </w:p>
        </w:tc>
        <w:tc>
          <w:tcPr>
            <w:tcW w:w="1849" w:type="dxa"/>
          </w:tcPr>
          <w:p w14:paraId="4C526740" w14:textId="77777777" w:rsidR="00966D92" w:rsidRPr="00E55C94" w:rsidRDefault="00966D92" w:rsidP="00966D92">
            <w:pPr>
              <w:pStyle w:val="Default"/>
              <w:rPr>
                <w:rFonts w:ascii="Arial" w:hAnsi="Arial" w:cs="Arial"/>
                <w:sz w:val="18"/>
                <w:szCs w:val="18"/>
                <w:lang w:val="es-ES"/>
              </w:rPr>
            </w:pPr>
            <w:r w:rsidRPr="00E55C94">
              <w:rPr>
                <w:rFonts w:ascii="Arial" w:hAnsi="Arial" w:cs="Arial"/>
                <w:sz w:val="18"/>
                <w:szCs w:val="18"/>
                <w:lang w:val="es-ES"/>
              </w:rPr>
              <w:t>Informes Semestrales de FONCAP</w:t>
            </w:r>
          </w:p>
        </w:tc>
      </w:tr>
      <w:tr w:rsidR="00966D92" w:rsidRPr="00E55C94" w14:paraId="289AF55B" w14:textId="77777777" w:rsidTr="000A6E8E">
        <w:trPr>
          <w:trHeight w:val="296"/>
          <w:jc w:val="right"/>
        </w:trPr>
        <w:tc>
          <w:tcPr>
            <w:tcW w:w="8059" w:type="dxa"/>
            <w:gridSpan w:val="4"/>
          </w:tcPr>
          <w:p w14:paraId="6295D1B5" w14:textId="77777777" w:rsidR="00966D92" w:rsidRPr="00E55C94" w:rsidRDefault="00966D92" w:rsidP="00966D92">
            <w:pPr>
              <w:pStyle w:val="Default"/>
              <w:jc w:val="center"/>
              <w:rPr>
                <w:rFonts w:ascii="Arial" w:hAnsi="Arial" w:cs="Arial"/>
                <w:color w:val="auto"/>
                <w:sz w:val="18"/>
                <w:szCs w:val="20"/>
                <w:lang w:val="es-AR"/>
              </w:rPr>
            </w:pPr>
            <w:r w:rsidRPr="00E55C94">
              <w:rPr>
                <w:rFonts w:ascii="Arial" w:hAnsi="Arial" w:cs="Arial"/>
                <w:b/>
                <w:color w:val="auto"/>
                <w:sz w:val="18"/>
                <w:szCs w:val="20"/>
                <w:lang w:val="es-AR"/>
              </w:rPr>
              <w:t>Indicadores de Resultado</w:t>
            </w:r>
          </w:p>
        </w:tc>
      </w:tr>
      <w:tr w:rsidR="00DC561E" w:rsidRPr="00764557" w14:paraId="088833E4" w14:textId="77777777" w:rsidTr="000A6E8E">
        <w:trPr>
          <w:trHeight w:val="1160"/>
          <w:jc w:val="right"/>
        </w:trPr>
        <w:tc>
          <w:tcPr>
            <w:tcW w:w="1980" w:type="dxa"/>
          </w:tcPr>
          <w:p w14:paraId="5BC36D69" w14:textId="77777777" w:rsidR="00DC561E" w:rsidRPr="008E445B" w:rsidRDefault="00DC561E" w:rsidP="00DC561E">
            <w:pPr>
              <w:spacing w:after="60" w:line="240" w:lineRule="auto"/>
              <w:rPr>
                <w:rFonts w:ascii="Arial" w:hAnsi="Arial" w:cs="Arial"/>
                <w:sz w:val="18"/>
                <w:szCs w:val="18"/>
                <w:lang w:val="es-ES_tradnl"/>
              </w:rPr>
            </w:pPr>
            <w:r>
              <w:rPr>
                <w:rFonts w:ascii="Arial" w:hAnsi="Arial" w:cs="Arial"/>
                <w:sz w:val="18"/>
                <w:szCs w:val="18"/>
                <w:lang w:val="es-ES"/>
              </w:rPr>
              <w:t>Cuentas abiertas en el año por clientes nuevos al sistema relativo al acervo de cuentas al cierre de año (promedio para las entidades financieras ganadoras)</w:t>
            </w:r>
          </w:p>
          <w:p w14:paraId="73494EAD" w14:textId="77777777" w:rsidR="00DC561E" w:rsidRPr="00E55C94" w:rsidRDefault="00DC561E" w:rsidP="00DC561E">
            <w:pPr>
              <w:spacing w:before="120" w:after="60"/>
              <w:rPr>
                <w:rFonts w:ascii="Arial" w:eastAsia="Arial Unicode MS" w:hAnsi="Arial" w:cs="Arial"/>
                <w:sz w:val="18"/>
                <w:szCs w:val="24"/>
                <w:lang w:val="es-ES_tradnl"/>
              </w:rPr>
            </w:pPr>
          </w:p>
        </w:tc>
        <w:tc>
          <w:tcPr>
            <w:tcW w:w="2880" w:type="dxa"/>
          </w:tcPr>
          <w:p w14:paraId="5E5C3483" w14:textId="77777777" w:rsidR="00DC561E" w:rsidRPr="00C842D7" w:rsidRDefault="00DC561E" w:rsidP="00DC561E">
            <w:pPr>
              <w:autoSpaceDE w:val="0"/>
              <w:autoSpaceDN w:val="0"/>
              <w:adjustRightInd w:val="0"/>
              <w:spacing w:after="0" w:line="240" w:lineRule="auto"/>
              <w:rPr>
                <w:rFonts w:ascii="Arial" w:hAnsi="Arial" w:cs="Arial"/>
                <w:sz w:val="18"/>
                <w:szCs w:val="18"/>
                <w:lang w:val="es-ES"/>
              </w:rPr>
            </w:pPr>
            <w:r w:rsidRPr="00C842D7">
              <w:rPr>
                <w:rFonts w:ascii="Arial" w:hAnsi="Arial" w:cs="Arial"/>
                <w:sz w:val="18"/>
                <w:szCs w:val="18"/>
                <w:lang w:val="es-ES"/>
              </w:rPr>
              <w:t xml:space="preserve">Es una medida de </w:t>
            </w:r>
            <w:r w:rsidRPr="00C842D7">
              <w:rPr>
                <w:rFonts w:ascii="Arial" w:hAnsi="Arial" w:cs="Arial"/>
                <w:i/>
                <w:sz w:val="18"/>
                <w:szCs w:val="18"/>
                <w:lang w:val="es-ES"/>
              </w:rPr>
              <w:t>acceso</w:t>
            </w:r>
            <w:r w:rsidRPr="00C842D7">
              <w:rPr>
                <w:rFonts w:ascii="Arial" w:hAnsi="Arial" w:cs="Arial"/>
                <w:sz w:val="18"/>
                <w:szCs w:val="18"/>
                <w:lang w:val="es-ES"/>
              </w:rPr>
              <w:t xml:space="preserve"> a por lo menos un servicio o producto dentro del sistema financiero. Nuevos usuarios se refieren a personas previamente excluidas del sistema, </w:t>
            </w:r>
            <w:r>
              <w:rPr>
                <w:rFonts w:ascii="Arial" w:hAnsi="Arial" w:cs="Arial"/>
                <w:sz w:val="18"/>
                <w:szCs w:val="18"/>
                <w:lang w:val="es-ES"/>
              </w:rPr>
              <w:t xml:space="preserve">definida como que </w:t>
            </w:r>
            <w:r w:rsidRPr="00DF29F0">
              <w:rPr>
                <w:rFonts w:ascii="Arial" w:hAnsi="Arial" w:cs="Arial"/>
                <w:sz w:val="18"/>
                <w:szCs w:val="18"/>
                <w:lang w:val="es-ES_tradnl"/>
              </w:rPr>
              <w:t xml:space="preserve">no ha tenido acceso </w:t>
            </w:r>
            <w:r w:rsidRPr="00DF29F0">
              <w:rPr>
                <w:rFonts w:ascii="Arial" w:hAnsi="Arial" w:cs="Arial"/>
                <w:sz w:val="18"/>
                <w:szCs w:val="18"/>
                <w:lang w:val="es-ES"/>
              </w:rPr>
              <w:t>a por lo menos un servicio financiero</w:t>
            </w:r>
            <w:r w:rsidRPr="00DF29F0">
              <w:rPr>
                <w:rFonts w:ascii="Arial" w:hAnsi="Arial" w:cs="Arial"/>
                <w:sz w:val="18"/>
                <w:szCs w:val="18"/>
                <w:lang w:val="es-ES_tradnl"/>
              </w:rPr>
              <w:t xml:space="preserve"> en el último año</w:t>
            </w:r>
            <w:r w:rsidRPr="00F238E5">
              <w:rPr>
                <w:rFonts w:ascii="Arial" w:hAnsi="Arial" w:cs="Arial"/>
                <w:sz w:val="18"/>
                <w:szCs w:val="18"/>
                <w:lang w:val="es-ES_tradnl"/>
              </w:rPr>
              <w:t xml:space="preserve"> </w:t>
            </w:r>
            <w:r>
              <w:rPr>
                <w:rFonts w:ascii="Arial" w:hAnsi="Arial" w:cs="Arial"/>
                <w:sz w:val="18"/>
                <w:szCs w:val="18"/>
                <w:lang w:val="es-ES_tradnl"/>
              </w:rPr>
              <w:t>(p</w:t>
            </w:r>
            <w:r w:rsidRPr="00F238E5">
              <w:rPr>
                <w:rFonts w:ascii="Arial" w:hAnsi="Arial" w:cs="Arial"/>
                <w:sz w:val="18"/>
                <w:szCs w:val="18"/>
                <w:lang w:val="es-ES_tradnl"/>
              </w:rPr>
              <w:t>articularmente, una caja de ahorro)</w:t>
            </w:r>
            <w:r>
              <w:rPr>
                <w:rFonts w:ascii="Arial" w:hAnsi="Arial" w:cs="Arial"/>
                <w:sz w:val="18"/>
                <w:szCs w:val="18"/>
                <w:lang w:val="es-ES_tradnl"/>
              </w:rPr>
              <w:t>,</w:t>
            </w:r>
            <w:r w:rsidRPr="00DF29F0">
              <w:rPr>
                <w:rFonts w:ascii="Arial" w:hAnsi="Arial" w:cs="Arial"/>
                <w:sz w:val="18"/>
                <w:szCs w:val="18"/>
                <w:lang w:val="es-ES"/>
              </w:rPr>
              <w:t xml:space="preserve"> </w:t>
            </w:r>
            <w:r w:rsidRPr="00C842D7">
              <w:rPr>
                <w:rFonts w:ascii="Arial" w:hAnsi="Arial" w:cs="Arial"/>
                <w:sz w:val="18"/>
                <w:szCs w:val="18"/>
                <w:lang w:val="es-ES"/>
              </w:rPr>
              <w:t xml:space="preserve">con un enfoque en segmento de ingresos informales y de bajos ingresos. </w:t>
            </w:r>
          </w:p>
          <w:p w14:paraId="12577490" w14:textId="77777777" w:rsidR="00DC561E" w:rsidRPr="00F238E5" w:rsidRDefault="00DC561E" w:rsidP="00DC561E">
            <w:pPr>
              <w:autoSpaceDE w:val="0"/>
              <w:autoSpaceDN w:val="0"/>
              <w:adjustRightInd w:val="0"/>
              <w:spacing w:after="0" w:line="240" w:lineRule="auto"/>
              <w:rPr>
                <w:rFonts w:ascii="Arial" w:hAnsi="Arial" w:cs="Arial"/>
                <w:sz w:val="18"/>
                <w:szCs w:val="18"/>
                <w:lang w:val="es-ES_tradnl"/>
              </w:rPr>
            </w:pPr>
            <w:r>
              <w:rPr>
                <w:rFonts w:ascii="Arial" w:hAnsi="Arial" w:cs="Arial"/>
                <w:sz w:val="18"/>
                <w:szCs w:val="18"/>
                <w:lang w:val="es-ES"/>
              </w:rPr>
              <w:t>De esta forma, s</w:t>
            </w:r>
            <w:r w:rsidRPr="009104ED">
              <w:rPr>
                <w:rFonts w:ascii="Arial" w:hAnsi="Arial" w:cs="Arial"/>
                <w:sz w:val="18"/>
                <w:szCs w:val="18"/>
                <w:lang w:val="es-ES"/>
              </w:rPr>
              <w:t xml:space="preserve">e excluyen cuentas sueldos, </w:t>
            </w:r>
            <w:r>
              <w:rPr>
                <w:rFonts w:ascii="Arial" w:hAnsi="Arial" w:cs="Arial"/>
                <w:sz w:val="18"/>
                <w:szCs w:val="18"/>
                <w:lang w:val="es-ES"/>
              </w:rPr>
              <w:t xml:space="preserve">así como cuentas relacionadas a pagos de </w:t>
            </w:r>
            <w:r w:rsidRPr="009104ED">
              <w:rPr>
                <w:rFonts w:ascii="Arial" w:hAnsi="Arial" w:cs="Arial"/>
                <w:sz w:val="18"/>
                <w:szCs w:val="18"/>
                <w:lang w:val="es-ES"/>
              </w:rPr>
              <w:t>subsidios, pensiones y jubilaciones</w:t>
            </w:r>
            <w:r>
              <w:rPr>
                <w:rFonts w:ascii="Arial" w:hAnsi="Arial" w:cs="Arial"/>
                <w:sz w:val="18"/>
                <w:szCs w:val="18"/>
                <w:lang w:val="es-ES"/>
              </w:rPr>
              <w:t>.</w:t>
            </w:r>
            <w:r w:rsidRPr="009104ED">
              <w:rPr>
                <w:rFonts w:ascii="Arial" w:hAnsi="Arial" w:cs="Arial"/>
                <w:sz w:val="18"/>
                <w:szCs w:val="18"/>
                <w:lang w:val="es-ES"/>
              </w:rPr>
              <w:t xml:space="preserve"> </w:t>
            </w:r>
          </w:p>
          <w:p w14:paraId="401F6C2A" w14:textId="77777777" w:rsidR="00DC561E" w:rsidRPr="00C842D7" w:rsidRDefault="00DC561E" w:rsidP="00DC561E">
            <w:pPr>
              <w:autoSpaceDE w:val="0"/>
              <w:autoSpaceDN w:val="0"/>
              <w:adjustRightInd w:val="0"/>
              <w:spacing w:after="0" w:line="240" w:lineRule="auto"/>
              <w:rPr>
                <w:rFonts w:ascii="Arial" w:hAnsi="Arial" w:cs="Arial"/>
                <w:sz w:val="18"/>
                <w:szCs w:val="18"/>
                <w:lang w:val="es-ES"/>
              </w:rPr>
            </w:pPr>
          </w:p>
          <w:p w14:paraId="10855569" w14:textId="77777777" w:rsidR="00DC561E" w:rsidRPr="00C842D7" w:rsidRDefault="00DC561E" w:rsidP="00DC561E">
            <w:pPr>
              <w:autoSpaceDE w:val="0"/>
              <w:autoSpaceDN w:val="0"/>
              <w:adjustRightInd w:val="0"/>
              <w:spacing w:after="0" w:line="240" w:lineRule="auto"/>
              <w:rPr>
                <w:rFonts w:ascii="Arial" w:hAnsi="Arial" w:cs="Arial"/>
                <w:sz w:val="18"/>
                <w:szCs w:val="18"/>
                <w:lang w:val="es-ES"/>
              </w:rPr>
            </w:pPr>
            <w:r w:rsidRPr="00C842D7">
              <w:rPr>
                <w:rFonts w:ascii="Arial" w:hAnsi="Arial" w:cs="Arial"/>
                <w:sz w:val="18"/>
                <w:szCs w:val="18"/>
                <w:lang w:val="es-ES_tradnl" w:eastAsia="zh-CN"/>
              </w:rPr>
              <w:t xml:space="preserve">La línea base </w:t>
            </w:r>
            <w:r>
              <w:rPr>
                <w:rFonts w:ascii="Arial" w:hAnsi="Arial" w:cs="Arial"/>
                <w:sz w:val="18"/>
                <w:szCs w:val="18"/>
                <w:lang w:val="es-ES_tradnl" w:eastAsia="zh-CN"/>
              </w:rPr>
              <w:t xml:space="preserve">no está disponible </w:t>
            </w:r>
            <w:r w:rsidRPr="00C842D7">
              <w:rPr>
                <w:rFonts w:ascii="Arial" w:hAnsi="Arial" w:cs="Arial"/>
                <w:sz w:val="18"/>
                <w:szCs w:val="18"/>
                <w:lang w:val="es-ES_tradnl" w:eastAsia="zh-CN"/>
              </w:rPr>
              <w:t>dado que no se sabrá hasta realizarse cada concurso, cuál es</w:t>
            </w:r>
            <w:r>
              <w:rPr>
                <w:rFonts w:ascii="Arial" w:hAnsi="Arial" w:cs="Arial"/>
                <w:sz w:val="18"/>
                <w:szCs w:val="18"/>
                <w:lang w:val="es-ES"/>
              </w:rPr>
              <w:t xml:space="preserve"> el acervo de cuentas al cierre de año de los ganadores ni cuantas cuentas son abiertas por clientes nuevos al sistema</w:t>
            </w:r>
            <w:r w:rsidRPr="00C842D7">
              <w:rPr>
                <w:rFonts w:ascii="Arial" w:hAnsi="Arial" w:cs="Arial"/>
                <w:sz w:val="18"/>
                <w:szCs w:val="18"/>
                <w:lang w:val="es-ES_tradnl" w:eastAsia="zh-CN"/>
              </w:rPr>
              <w:t>. Será condición para concursar el que las entidades aporten dich</w:t>
            </w:r>
            <w:r>
              <w:rPr>
                <w:rFonts w:ascii="Arial" w:hAnsi="Arial" w:cs="Arial"/>
                <w:sz w:val="18"/>
                <w:szCs w:val="18"/>
                <w:lang w:val="es-ES_tradnl" w:eastAsia="zh-CN"/>
              </w:rPr>
              <w:t>a</w:t>
            </w:r>
            <w:r w:rsidRPr="00C842D7">
              <w:rPr>
                <w:rFonts w:ascii="Arial" w:hAnsi="Arial" w:cs="Arial"/>
                <w:sz w:val="18"/>
                <w:szCs w:val="18"/>
                <w:lang w:val="es-ES_tradnl" w:eastAsia="zh-CN"/>
              </w:rPr>
              <w:t xml:space="preserve"> </w:t>
            </w:r>
            <w:r>
              <w:rPr>
                <w:rFonts w:ascii="Arial" w:hAnsi="Arial" w:cs="Arial"/>
                <w:sz w:val="18"/>
                <w:szCs w:val="18"/>
                <w:lang w:val="es-ES_tradnl" w:eastAsia="zh-CN"/>
              </w:rPr>
              <w:t>información</w:t>
            </w:r>
            <w:r w:rsidRPr="00C842D7">
              <w:rPr>
                <w:rFonts w:ascii="Arial" w:hAnsi="Arial" w:cs="Arial"/>
                <w:sz w:val="18"/>
                <w:szCs w:val="18"/>
                <w:lang w:val="es-ES_tradnl" w:eastAsia="zh-CN"/>
              </w:rPr>
              <w:t>,</w:t>
            </w:r>
            <w:r>
              <w:rPr>
                <w:rFonts w:ascii="Arial" w:hAnsi="Arial" w:cs="Arial"/>
                <w:sz w:val="18"/>
                <w:szCs w:val="18"/>
                <w:lang w:val="es-ES"/>
              </w:rPr>
              <w:t xml:space="preserve"> incluyendo sobre el acceso a otras cuentas de sus beneficiarias,</w:t>
            </w:r>
            <w:r w:rsidRPr="00C842D7">
              <w:rPr>
                <w:rFonts w:ascii="Arial" w:hAnsi="Arial" w:cs="Arial"/>
                <w:sz w:val="18"/>
                <w:szCs w:val="18"/>
                <w:lang w:val="es-ES_tradnl" w:eastAsia="zh-CN"/>
              </w:rPr>
              <w:t xml:space="preserve"> mismo que se incluirá en el ROP</w:t>
            </w:r>
            <w:r>
              <w:rPr>
                <w:rFonts w:ascii="Arial" w:hAnsi="Arial" w:cs="Arial"/>
                <w:sz w:val="18"/>
                <w:szCs w:val="18"/>
                <w:lang w:val="es-ES_tradnl" w:eastAsia="zh-CN"/>
              </w:rPr>
              <w:t xml:space="preserve">. Sin embargo, se estima que puede ser menos de 2%. Se supone que habría 3 concursantes ganadores.  </w:t>
            </w:r>
          </w:p>
          <w:p w14:paraId="662A61ED" w14:textId="77777777" w:rsidR="00DC561E" w:rsidRPr="00F238E5" w:rsidRDefault="00DC561E" w:rsidP="00DC561E">
            <w:pPr>
              <w:autoSpaceDE w:val="0"/>
              <w:autoSpaceDN w:val="0"/>
              <w:adjustRightInd w:val="0"/>
              <w:spacing w:after="0" w:line="240" w:lineRule="auto"/>
              <w:rPr>
                <w:rFonts w:ascii="Arial" w:hAnsi="Arial" w:cs="Arial"/>
                <w:sz w:val="18"/>
                <w:szCs w:val="18"/>
                <w:lang w:val="es-ES" w:eastAsia="zh-CN"/>
              </w:rPr>
            </w:pPr>
          </w:p>
          <w:p w14:paraId="02FBB790" w14:textId="77777777" w:rsidR="00DC561E" w:rsidRPr="00E55C94" w:rsidRDefault="00DC561E" w:rsidP="00DC561E">
            <w:pPr>
              <w:autoSpaceDE w:val="0"/>
              <w:autoSpaceDN w:val="0"/>
              <w:adjustRightInd w:val="0"/>
              <w:spacing w:after="0" w:line="240" w:lineRule="auto"/>
              <w:rPr>
                <w:rFonts w:ascii="Arial" w:eastAsia="Arial Unicode MS" w:hAnsi="Arial" w:cs="Arial"/>
                <w:sz w:val="18"/>
                <w:lang w:val="es-ES_tradnl"/>
              </w:rPr>
            </w:pPr>
            <w:r w:rsidRPr="00C842D7">
              <w:rPr>
                <w:rFonts w:ascii="Arial" w:hAnsi="Arial" w:cs="Arial"/>
                <w:sz w:val="18"/>
                <w:szCs w:val="18"/>
                <w:lang w:val="es-ES"/>
              </w:rPr>
              <w:t xml:space="preserve">Relacionado al objetivo ENIF: </w:t>
            </w:r>
            <w:r w:rsidRPr="00C842D7">
              <w:rPr>
                <w:rFonts w:ascii="Arial" w:hAnsi="Arial" w:cs="Arial"/>
                <w:bCs/>
                <w:sz w:val="18"/>
                <w:szCs w:val="18"/>
                <w:lang w:val="es-MX"/>
              </w:rPr>
              <w:t>(iii) mejorar el acceso de los hogares y MiPyME a cajas de ahorro; (iv) mejorar el acceso al crédito de los hogares, de forma responsable y sostenible.</w:t>
            </w:r>
          </w:p>
        </w:tc>
        <w:tc>
          <w:tcPr>
            <w:tcW w:w="1350" w:type="dxa"/>
          </w:tcPr>
          <w:p w14:paraId="0DBDC976" w14:textId="77777777" w:rsidR="00DC561E" w:rsidRPr="00E55C94" w:rsidRDefault="00DC561E" w:rsidP="00DC561E">
            <w:pPr>
              <w:pStyle w:val="Default"/>
              <w:jc w:val="center"/>
              <w:rPr>
                <w:rFonts w:ascii="Arial" w:eastAsia="Arial Unicode MS" w:hAnsi="Arial" w:cs="Arial"/>
                <w:color w:val="auto"/>
                <w:sz w:val="18"/>
                <w:lang w:val="es-ES_tradnl"/>
              </w:rPr>
            </w:pPr>
            <w:r w:rsidRPr="00E55C94">
              <w:rPr>
                <w:rFonts w:ascii="Arial" w:hAnsi="Arial" w:cs="Arial"/>
                <w:color w:val="auto"/>
                <w:sz w:val="18"/>
                <w:szCs w:val="20"/>
                <w:lang w:val="es-AR"/>
              </w:rPr>
              <w:t>Línea de Base, y final del periodo</w:t>
            </w:r>
          </w:p>
        </w:tc>
        <w:tc>
          <w:tcPr>
            <w:tcW w:w="1849" w:type="dxa"/>
          </w:tcPr>
          <w:p w14:paraId="44E6658C" w14:textId="77777777" w:rsidR="00DC561E" w:rsidRPr="00E55C94" w:rsidRDefault="00DC561E" w:rsidP="00DC561E">
            <w:pPr>
              <w:autoSpaceDE w:val="0"/>
              <w:autoSpaceDN w:val="0"/>
              <w:adjustRightInd w:val="0"/>
              <w:spacing w:after="0" w:line="240" w:lineRule="auto"/>
              <w:rPr>
                <w:rFonts w:ascii="Arial" w:hAnsi="Arial" w:cs="Arial"/>
                <w:sz w:val="18"/>
                <w:szCs w:val="18"/>
                <w:lang w:val="es-ES"/>
              </w:rPr>
            </w:pPr>
            <w:r w:rsidRPr="00E55C94">
              <w:rPr>
                <w:rFonts w:ascii="Arial" w:hAnsi="Arial" w:cs="Arial"/>
                <w:sz w:val="18"/>
                <w:szCs w:val="18"/>
                <w:lang w:val="es-ES"/>
              </w:rPr>
              <w:t>Sistema de monitoreo del programa.</w:t>
            </w:r>
          </w:p>
          <w:p w14:paraId="55D286BF" w14:textId="77777777" w:rsidR="00DC561E" w:rsidRPr="00E55C94" w:rsidRDefault="00DC561E" w:rsidP="00DC561E">
            <w:pPr>
              <w:pStyle w:val="Default"/>
              <w:rPr>
                <w:rFonts w:ascii="Arial" w:eastAsia="Arial Unicode MS" w:hAnsi="Arial" w:cs="Arial"/>
                <w:color w:val="auto"/>
                <w:sz w:val="18"/>
                <w:lang w:val="es-ES_tradnl"/>
              </w:rPr>
            </w:pPr>
          </w:p>
        </w:tc>
      </w:tr>
      <w:tr w:rsidR="00174759" w:rsidRPr="00764557" w14:paraId="0CDE731E" w14:textId="77777777" w:rsidTr="000A6E8E">
        <w:trPr>
          <w:trHeight w:val="1160"/>
          <w:jc w:val="right"/>
        </w:trPr>
        <w:tc>
          <w:tcPr>
            <w:tcW w:w="1980" w:type="dxa"/>
          </w:tcPr>
          <w:p w14:paraId="6C3B77E2" w14:textId="77777777" w:rsidR="00174759" w:rsidRPr="00174759" w:rsidRDefault="00174759" w:rsidP="00174759">
            <w:pPr>
              <w:spacing w:after="60" w:line="240" w:lineRule="auto"/>
              <w:rPr>
                <w:rFonts w:ascii="Arial" w:hAnsi="Arial" w:cs="Arial"/>
                <w:sz w:val="18"/>
                <w:szCs w:val="18"/>
                <w:lang w:val="es-ES"/>
              </w:rPr>
            </w:pPr>
            <w:r w:rsidRPr="00174759">
              <w:rPr>
                <w:rFonts w:ascii="Arial" w:hAnsi="Arial" w:cs="Arial"/>
                <w:sz w:val="18"/>
                <w:szCs w:val="18"/>
                <w:lang w:val="es-ES_tradnl"/>
              </w:rPr>
              <w:lastRenderedPageBreak/>
              <w:t>Numero de personas con al menos 3 transacciones digitales</w:t>
            </w:r>
            <w:r w:rsidRPr="00174759">
              <w:rPr>
                <w:rFonts w:ascii="Arial" w:hAnsi="Arial" w:cs="Arial"/>
                <w:sz w:val="18"/>
                <w:szCs w:val="18"/>
                <w:vertAlign w:val="superscript"/>
                <w:lang w:val="es-ES"/>
              </w:rPr>
              <w:footnoteReference w:id="7"/>
            </w:r>
            <w:r w:rsidRPr="00174759">
              <w:rPr>
                <w:rFonts w:ascii="Arial" w:hAnsi="Arial" w:cs="Arial"/>
                <w:sz w:val="18"/>
                <w:szCs w:val="18"/>
                <w:lang w:val="es-ES_tradnl"/>
              </w:rPr>
              <w:t xml:space="preserve"> al mes sobre el total de clientes de la entidad ganadora </w:t>
            </w:r>
          </w:p>
          <w:p w14:paraId="407312EF" w14:textId="77777777" w:rsidR="00174759" w:rsidRDefault="00174759" w:rsidP="00174759">
            <w:pPr>
              <w:spacing w:after="60" w:line="240" w:lineRule="auto"/>
              <w:rPr>
                <w:rFonts w:ascii="Arial" w:hAnsi="Arial" w:cs="Arial"/>
                <w:sz w:val="18"/>
                <w:szCs w:val="18"/>
                <w:lang w:val="es-ES"/>
              </w:rPr>
            </w:pPr>
            <w:r w:rsidRPr="00174759">
              <w:rPr>
                <w:rFonts w:ascii="Arial" w:hAnsi="Arial" w:cs="Arial"/>
                <w:sz w:val="18"/>
                <w:szCs w:val="18"/>
                <w:lang w:val="es-ES"/>
              </w:rPr>
              <w:t>(promedio de los últimos seis meses</w:t>
            </w:r>
            <w:r>
              <w:rPr>
                <w:rFonts w:ascii="Arial" w:hAnsi="Arial" w:cs="Arial"/>
                <w:sz w:val="18"/>
                <w:szCs w:val="18"/>
                <w:lang w:val="es-ES"/>
              </w:rPr>
              <w:t>)</w:t>
            </w:r>
          </w:p>
          <w:p w14:paraId="19AA4227" w14:textId="77777777" w:rsidR="00174759" w:rsidRPr="008E445B" w:rsidRDefault="00174759" w:rsidP="00174759">
            <w:pPr>
              <w:rPr>
                <w:rFonts w:ascii="Arial" w:eastAsia="Arial Unicode MS" w:hAnsi="Arial" w:cs="Arial"/>
                <w:sz w:val="18"/>
                <w:szCs w:val="24"/>
                <w:lang w:val="es-ES"/>
              </w:rPr>
            </w:pPr>
          </w:p>
        </w:tc>
        <w:tc>
          <w:tcPr>
            <w:tcW w:w="2880" w:type="dxa"/>
          </w:tcPr>
          <w:p w14:paraId="33B89827" w14:textId="77777777" w:rsidR="00174759" w:rsidRPr="00C842D7" w:rsidRDefault="00174759" w:rsidP="00174759">
            <w:pPr>
              <w:autoSpaceDE w:val="0"/>
              <w:autoSpaceDN w:val="0"/>
              <w:adjustRightInd w:val="0"/>
              <w:spacing w:after="0" w:line="240" w:lineRule="auto"/>
              <w:rPr>
                <w:rFonts w:ascii="Arial" w:hAnsi="Arial" w:cs="Arial"/>
                <w:sz w:val="18"/>
                <w:szCs w:val="18"/>
                <w:lang w:val="es-ES"/>
              </w:rPr>
            </w:pPr>
            <w:r w:rsidRPr="00C842D7">
              <w:rPr>
                <w:rFonts w:ascii="Arial" w:hAnsi="Arial" w:cs="Arial"/>
                <w:sz w:val="18"/>
                <w:szCs w:val="18"/>
                <w:lang w:val="es-ES"/>
              </w:rPr>
              <w:t>Es una medida de</w:t>
            </w:r>
            <w:r w:rsidRPr="004E59D3">
              <w:rPr>
                <w:rFonts w:ascii="Arial" w:hAnsi="Arial" w:cs="Arial"/>
                <w:sz w:val="18"/>
                <w:szCs w:val="18"/>
                <w:lang w:val="es-ES"/>
              </w:rPr>
              <w:t xml:space="preserve"> uso</w:t>
            </w:r>
            <w:r w:rsidRPr="00C842D7">
              <w:rPr>
                <w:rFonts w:ascii="Arial" w:hAnsi="Arial" w:cs="Arial"/>
                <w:i/>
                <w:sz w:val="18"/>
                <w:szCs w:val="18"/>
                <w:lang w:val="es-ES"/>
              </w:rPr>
              <w:t xml:space="preserve"> </w:t>
            </w:r>
            <w:r w:rsidRPr="00C842D7">
              <w:rPr>
                <w:rFonts w:ascii="Arial" w:hAnsi="Arial" w:cs="Arial"/>
                <w:sz w:val="18"/>
                <w:szCs w:val="18"/>
                <w:lang w:val="es-ES"/>
              </w:rPr>
              <w:t>de servicios financieros</w:t>
            </w:r>
            <w:r>
              <w:rPr>
                <w:rFonts w:ascii="Arial" w:hAnsi="Arial" w:cs="Arial"/>
                <w:sz w:val="18"/>
                <w:szCs w:val="18"/>
                <w:lang w:val="es-ES"/>
              </w:rPr>
              <w:t>.</w:t>
            </w:r>
            <w:r w:rsidRPr="00C842D7">
              <w:rPr>
                <w:rFonts w:ascii="Arial" w:hAnsi="Arial" w:cs="Arial"/>
                <w:sz w:val="18"/>
                <w:szCs w:val="18"/>
                <w:lang w:val="es-ES"/>
              </w:rPr>
              <w:t xml:space="preserve"> </w:t>
            </w:r>
          </w:p>
          <w:p w14:paraId="4BB1DCAB" w14:textId="77777777" w:rsidR="00174759" w:rsidRPr="00C842D7" w:rsidRDefault="00174759" w:rsidP="00174759">
            <w:pPr>
              <w:autoSpaceDE w:val="0"/>
              <w:autoSpaceDN w:val="0"/>
              <w:adjustRightInd w:val="0"/>
              <w:spacing w:after="0" w:line="240" w:lineRule="auto"/>
              <w:rPr>
                <w:rFonts w:ascii="Arial" w:hAnsi="Arial" w:cs="Arial"/>
                <w:sz w:val="18"/>
                <w:szCs w:val="18"/>
                <w:lang w:val="es-ES"/>
              </w:rPr>
            </w:pPr>
            <w:bookmarkStart w:id="11" w:name="_Hlk494805424"/>
            <w:r w:rsidRPr="00C842D7">
              <w:rPr>
                <w:rFonts w:ascii="Arial" w:hAnsi="Arial" w:cs="Arial"/>
                <w:sz w:val="18"/>
                <w:szCs w:val="18"/>
                <w:lang w:val="es-ES"/>
              </w:rPr>
              <w:t>Incluye medidas tendientes a incrementar puntos de acceso</w:t>
            </w:r>
            <w:r w:rsidRPr="00C842D7">
              <w:rPr>
                <w:rStyle w:val="FootnoteReference"/>
                <w:rFonts w:ascii="Arial" w:hAnsi="Arial" w:cs="Arial"/>
                <w:sz w:val="18"/>
                <w:szCs w:val="18"/>
                <w:lang w:val="es-ES"/>
              </w:rPr>
              <w:footnoteReference w:id="8"/>
            </w:r>
            <w:r w:rsidRPr="00C842D7">
              <w:rPr>
                <w:rFonts w:ascii="Arial" w:hAnsi="Arial" w:cs="Arial"/>
                <w:sz w:val="18"/>
                <w:szCs w:val="18"/>
                <w:lang w:val="es-ES"/>
              </w:rPr>
              <w:t xml:space="preserve"> como nuevos productos y servicios</w:t>
            </w:r>
            <w:bookmarkEnd w:id="11"/>
            <w:r w:rsidRPr="00C842D7">
              <w:rPr>
                <w:rFonts w:ascii="Arial" w:hAnsi="Arial" w:cs="Arial"/>
                <w:sz w:val="18"/>
                <w:szCs w:val="18"/>
                <w:lang w:val="es-ES"/>
              </w:rPr>
              <w:t xml:space="preserve">, </w:t>
            </w:r>
            <w:bookmarkStart w:id="12" w:name="_Hlk493852808"/>
            <w:r w:rsidRPr="00C842D7">
              <w:rPr>
                <w:rFonts w:ascii="Arial" w:hAnsi="Arial" w:cs="Arial"/>
                <w:sz w:val="18"/>
                <w:szCs w:val="18"/>
                <w:lang w:val="es-ES"/>
              </w:rPr>
              <w:t>específicamente transferencias y pagos digitales</w:t>
            </w:r>
            <w:bookmarkEnd w:id="12"/>
            <w:r w:rsidRPr="00C842D7">
              <w:rPr>
                <w:rFonts w:ascii="Arial" w:hAnsi="Arial" w:cs="Arial"/>
                <w:sz w:val="18"/>
                <w:szCs w:val="18"/>
                <w:lang w:val="es-ES"/>
              </w:rPr>
              <w:t>. El uso debe abarcar al menos 3 transacciones promedio al mes por usuario</w:t>
            </w:r>
            <w:r w:rsidRPr="00134634">
              <w:rPr>
                <w:rFonts w:ascii="Arial" w:hAnsi="Arial" w:cs="Arial"/>
                <w:sz w:val="18"/>
                <w:szCs w:val="18"/>
                <w:lang w:val="es-ES_tradnl"/>
              </w:rPr>
              <w:t xml:space="preserve"> </w:t>
            </w:r>
            <w:r>
              <w:rPr>
                <w:rFonts w:ascii="Arial" w:hAnsi="Arial" w:cs="Arial"/>
                <w:sz w:val="18"/>
                <w:szCs w:val="18"/>
                <w:lang w:val="es-ES_tradnl"/>
              </w:rPr>
              <w:t xml:space="preserve">ya sea </w:t>
            </w:r>
            <w:r w:rsidRPr="00134634">
              <w:rPr>
                <w:rFonts w:ascii="Arial" w:hAnsi="Arial" w:cs="Arial"/>
                <w:sz w:val="18"/>
                <w:szCs w:val="18"/>
                <w:lang w:val="es-ES_tradnl"/>
              </w:rPr>
              <w:t>TEF, el débito directo, tarjeta débito y tarjeta de crédito</w:t>
            </w:r>
            <w:r w:rsidRPr="00C842D7">
              <w:rPr>
                <w:rFonts w:ascii="Arial" w:hAnsi="Arial" w:cs="Arial"/>
                <w:sz w:val="18"/>
                <w:szCs w:val="18"/>
                <w:lang w:val="es-ES"/>
              </w:rPr>
              <w:t xml:space="preserve">. </w:t>
            </w:r>
          </w:p>
          <w:p w14:paraId="016B776C" w14:textId="77777777" w:rsidR="00174759" w:rsidRPr="00C842D7" w:rsidRDefault="00174759" w:rsidP="00174759">
            <w:pPr>
              <w:autoSpaceDE w:val="0"/>
              <w:autoSpaceDN w:val="0"/>
              <w:adjustRightInd w:val="0"/>
              <w:spacing w:after="0" w:line="240" w:lineRule="auto"/>
              <w:rPr>
                <w:rFonts w:ascii="Arial" w:hAnsi="Arial" w:cs="Arial"/>
                <w:sz w:val="18"/>
                <w:szCs w:val="18"/>
                <w:lang w:val="es-ES"/>
              </w:rPr>
            </w:pPr>
          </w:p>
          <w:p w14:paraId="12D121E9" w14:textId="77777777" w:rsidR="00174759" w:rsidRPr="00C842D7" w:rsidRDefault="00174759" w:rsidP="00174759">
            <w:pPr>
              <w:autoSpaceDE w:val="0"/>
              <w:autoSpaceDN w:val="0"/>
              <w:adjustRightInd w:val="0"/>
              <w:spacing w:after="0" w:line="240" w:lineRule="auto"/>
              <w:rPr>
                <w:rFonts w:ascii="Arial" w:hAnsi="Arial" w:cs="Arial"/>
                <w:sz w:val="18"/>
                <w:szCs w:val="18"/>
                <w:lang w:val="es-ES"/>
              </w:rPr>
            </w:pPr>
            <w:r w:rsidRPr="008E445B">
              <w:rPr>
                <w:rFonts w:ascii="Arial" w:hAnsi="Arial" w:cs="Arial"/>
                <w:sz w:val="18"/>
                <w:szCs w:val="18"/>
                <w:lang w:val="es-ES_tradnl" w:eastAsia="zh-CN"/>
              </w:rPr>
              <w:t>La línea base señalada es tentativa dado que no se sabrá hasta realizarse</w:t>
            </w:r>
            <w:r w:rsidRPr="00174759">
              <w:rPr>
                <w:rFonts w:ascii="Arial" w:hAnsi="Arial" w:cs="Arial"/>
                <w:sz w:val="18"/>
                <w:szCs w:val="18"/>
                <w:lang w:val="es-ES_tradnl" w:eastAsia="zh-CN"/>
              </w:rPr>
              <w:t xml:space="preserve"> cada concurso, cuál es el crecimiento</w:t>
            </w:r>
            <w:r w:rsidRPr="00C842D7">
              <w:rPr>
                <w:rFonts w:ascii="Arial" w:hAnsi="Arial" w:cs="Arial"/>
                <w:sz w:val="18"/>
                <w:szCs w:val="18"/>
                <w:lang w:val="es-ES_tradnl" w:eastAsia="zh-CN"/>
              </w:rPr>
              <w:t xml:space="preserve"> tendencial del indicador. </w:t>
            </w:r>
            <w:r>
              <w:rPr>
                <w:rFonts w:ascii="Arial" w:hAnsi="Arial" w:cs="Arial"/>
                <w:sz w:val="18"/>
                <w:szCs w:val="18"/>
                <w:lang w:val="es-ES_tradnl" w:eastAsia="zh-CN"/>
              </w:rPr>
              <w:t>Esta informació</w:t>
            </w:r>
            <w:r w:rsidRPr="00A02A33">
              <w:rPr>
                <w:rFonts w:ascii="Arial" w:hAnsi="Arial" w:cs="Arial"/>
                <w:sz w:val="18"/>
                <w:szCs w:val="18"/>
                <w:lang w:val="es-ES_tradnl" w:eastAsia="zh-CN"/>
              </w:rPr>
              <w:t xml:space="preserve">n </w:t>
            </w:r>
            <w:r>
              <w:rPr>
                <w:rFonts w:ascii="Arial" w:hAnsi="Arial" w:cs="Arial"/>
                <w:sz w:val="18"/>
                <w:szCs w:val="18"/>
                <w:lang w:val="es-ES_tradnl" w:eastAsia="zh-CN"/>
              </w:rPr>
              <w:t xml:space="preserve">y de las metas logradas </w:t>
            </w:r>
            <w:r w:rsidRPr="00A02A33">
              <w:rPr>
                <w:rFonts w:ascii="Arial" w:hAnsi="Arial" w:cs="Arial"/>
                <w:sz w:val="18"/>
                <w:szCs w:val="18"/>
                <w:lang w:val="es-ES_tradnl" w:eastAsia="zh-CN"/>
              </w:rPr>
              <w:t xml:space="preserve">se obtendrá de los concursantes ganadores. </w:t>
            </w:r>
            <w:r w:rsidRPr="00C842D7">
              <w:rPr>
                <w:rFonts w:ascii="Arial" w:hAnsi="Arial" w:cs="Arial"/>
                <w:sz w:val="18"/>
                <w:szCs w:val="18"/>
                <w:lang w:val="es-ES_tradnl" w:eastAsia="zh-CN"/>
              </w:rPr>
              <w:t>Será condición para concursar el que las entidades aporten dich</w:t>
            </w:r>
            <w:r>
              <w:rPr>
                <w:rFonts w:ascii="Arial" w:hAnsi="Arial" w:cs="Arial"/>
                <w:sz w:val="18"/>
                <w:szCs w:val="18"/>
                <w:lang w:val="es-ES_tradnl" w:eastAsia="zh-CN"/>
              </w:rPr>
              <w:t>a</w:t>
            </w:r>
            <w:r w:rsidRPr="00C842D7">
              <w:rPr>
                <w:rFonts w:ascii="Arial" w:hAnsi="Arial" w:cs="Arial"/>
                <w:sz w:val="18"/>
                <w:szCs w:val="18"/>
                <w:lang w:val="es-ES_tradnl" w:eastAsia="zh-CN"/>
              </w:rPr>
              <w:t xml:space="preserve"> </w:t>
            </w:r>
            <w:r>
              <w:rPr>
                <w:rFonts w:ascii="Arial" w:hAnsi="Arial" w:cs="Arial"/>
                <w:sz w:val="18"/>
                <w:szCs w:val="18"/>
                <w:lang w:val="es-ES_tradnl" w:eastAsia="zh-CN"/>
              </w:rPr>
              <w:t>información</w:t>
            </w:r>
            <w:r w:rsidRPr="00C842D7">
              <w:rPr>
                <w:rFonts w:ascii="Arial" w:hAnsi="Arial" w:cs="Arial"/>
                <w:sz w:val="18"/>
                <w:szCs w:val="18"/>
                <w:lang w:val="es-ES_tradnl" w:eastAsia="zh-CN"/>
              </w:rPr>
              <w:t>, mismo que se incluirá en el ROP.</w:t>
            </w:r>
            <w:r>
              <w:rPr>
                <w:rFonts w:ascii="Arial" w:hAnsi="Arial" w:cs="Arial"/>
                <w:sz w:val="18"/>
                <w:szCs w:val="18"/>
                <w:lang w:val="es-ES_tradnl" w:eastAsia="zh-CN"/>
              </w:rPr>
              <w:t xml:space="preserve"> Se supone que habría 3 concursantes ganadores.</w:t>
            </w:r>
            <w:r w:rsidDel="00CD4EF7">
              <w:rPr>
                <w:rFonts w:ascii="Arial" w:hAnsi="Arial" w:cs="Arial"/>
                <w:sz w:val="18"/>
                <w:szCs w:val="18"/>
                <w:lang w:val="es-ES_tradnl" w:eastAsia="zh-CN"/>
              </w:rPr>
              <w:t xml:space="preserve"> </w:t>
            </w:r>
          </w:p>
          <w:p w14:paraId="7C0E998B" w14:textId="77777777" w:rsidR="00174759" w:rsidRPr="00C842D7" w:rsidRDefault="00174759" w:rsidP="00174759">
            <w:pPr>
              <w:autoSpaceDE w:val="0"/>
              <w:autoSpaceDN w:val="0"/>
              <w:adjustRightInd w:val="0"/>
              <w:spacing w:after="0" w:line="240" w:lineRule="auto"/>
              <w:rPr>
                <w:rFonts w:ascii="Arial" w:hAnsi="Arial" w:cs="Arial"/>
                <w:sz w:val="18"/>
                <w:szCs w:val="18"/>
                <w:lang w:val="es-ES"/>
              </w:rPr>
            </w:pPr>
          </w:p>
          <w:p w14:paraId="57257426" w14:textId="77777777" w:rsidR="00174759" w:rsidRPr="00E55C94" w:rsidRDefault="00174759" w:rsidP="00174759">
            <w:pPr>
              <w:autoSpaceDE w:val="0"/>
              <w:autoSpaceDN w:val="0"/>
              <w:adjustRightInd w:val="0"/>
              <w:spacing w:after="0" w:line="240" w:lineRule="auto"/>
              <w:rPr>
                <w:rFonts w:ascii="Arial" w:eastAsia="Arial Unicode MS" w:hAnsi="Arial" w:cs="Arial"/>
                <w:sz w:val="18"/>
                <w:lang w:val="es-ES_tradnl"/>
              </w:rPr>
            </w:pPr>
            <w:r w:rsidRPr="00C842D7">
              <w:rPr>
                <w:rFonts w:ascii="Arial" w:hAnsi="Arial" w:cs="Arial"/>
                <w:sz w:val="18"/>
                <w:szCs w:val="18"/>
                <w:lang w:val="es-ES"/>
              </w:rPr>
              <w:t xml:space="preserve">Relacionado al objetivo ENIF: </w:t>
            </w:r>
            <w:r w:rsidRPr="00C842D7">
              <w:rPr>
                <w:rFonts w:ascii="Arial" w:hAnsi="Arial" w:cs="Arial"/>
                <w:bCs/>
                <w:sz w:val="18"/>
                <w:szCs w:val="18"/>
                <w:lang w:val="es-MX"/>
              </w:rPr>
              <w:t>(i) incrementar el uso de servicios financieros y de medios electrónicos de pagos; y (ii) promover la oferta de servicios financieros digitales.</w:t>
            </w:r>
          </w:p>
        </w:tc>
        <w:tc>
          <w:tcPr>
            <w:tcW w:w="1350" w:type="dxa"/>
          </w:tcPr>
          <w:p w14:paraId="52E5C7C5" w14:textId="77777777" w:rsidR="00174759" w:rsidRPr="00E55C94" w:rsidRDefault="00174759" w:rsidP="00174759">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Línea de Base y final del período</w:t>
            </w:r>
          </w:p>
        </w:tc>
        <w:tc>
          <w:tcPr>
            <w:tcW w:w="1849" w:type="dxa"/>
          </w:tcPr>
          <w:p w14:paraId="542DB4F8" w14:textId="77777777" w:rsidR="00174759" w:rsidRPr="00E55C94" w:rsidRDefault="00174759" w:rsidP="00174759">
            <w:pPr>
              <w:autoSpaceDE w:val="0"/>
              <w:autoSpaceDN w:val="0"/>
              <w:adjustRightInd w:val="0"/>
              <w:spacing w:after="0" w:line="240" w:lineRule="auto"/>
              <w:rPr>
                <w:rFonts w:ascii="Arial" w:hAnsi="Arial" w:cs="Arial"/>
                <w:sz w:val="18"/>
                <w:szCs w:val="18"/>
                <w:lang w:val="es-ES"/>
              </w:rPr>
            </w:pPr>
            <w:r w:rsidRPr="00E55C94">
              <w:rPr>
                <w:rFonts w:ascii="Arial" w:hAnsi="Arial" w:cs="Arial"/>
                <w:sz w:val="18"/>
                <w:szCs w:val="18"/>
                <w:lang w:val="es-ES"/>
              </w:rPr>
              <w:t>Sistema de monitoreo del programa.</w:t>
            </w:r>
          </w:p>
          <w:p w14:paraId="78847737" w14:textId="77777777" w:rsidR="00174759" w:rsidRPr="00E55C94" w:rsidRDefault="00174759" w:rsidP="00174759">
            <w:pPr>
              <w:pStyle w:val="Default"/>
              <w:rPr>
                <w:rFonts w:ascii="Arial" w:hAnsi="Arial" w:cs="Arial"/>
                <w:color w:val="auto"/>
                <w:sz w:val="18"/>
                <w:szCs w:val="20"/>
                <w:lang w:val="es-AR"/>
              </w:rPr>
            </w:pPr>
          </w:p>
        </w:tc>
      </w:tr>
      <w:tr w:rsidR="00DC561E" w:rsidRPr="00764557" w14:paraId="644968CC" w14:textId="77777777" w:rsidTr="000A6E8E">
        <w:trPr>
          <w:trHeight w:val="1160"/>
          <w:jc w:val="right"/>
        </w:trPr>
        <w:tc>
          <w:tcPr>
            <w:tcW w:w="1980" w:type="dxa"/>
          </w:tcPr>
          <w:p w14:paraId="4CF2FC5F" w14:textId="77777777" w:rsidR="00DC561E" w:rsidRPr="00E55C94" w:rsidRDefault="00DC561E" w:rsidP="00DC561E">
            <w:pPr>
              <w:rPr>
                <w:rFonts w:ascii="Arial" w:eastAsia="Arial Unicode MS" w:hAnsi="Arial" w:cs="Arial"/>
                <w:sz w:val="18"/>
                <w:szCs w:val="24"/>
                <w:lang w:val="es-ES_tradnl"/>
              </w:rPr>
            </w:pPr>
            <w:r w:rsidRPr="00D73F04">
              <w:rPr>
                <w:rFonts w:ascii="Arial" w:hAnsi="Arial" w:cs="Arial"/>
                <w:sz w:val="18"/>
                <w:szCs w:val="18"/>
                <w:lang w:val="es-ES"/>
              </w:rPr>
              <w:t>Porcentaje de créditos otorgados a nuevos clientes MyPE, del total de créditos otorgados a MyPE por las IMF beneficiarias del programa durante el año</w:t>
            </w:r>
          </w:p>
        </w:tc>
        <w:tc>
          <w:tcPr>
            <w:tcW w:w="2880" w:type="dxa"/>
          </w:tcPr>
          <w:p w14:paraId="20C8A460" w14:textId="77777777" w:rsidR="00DC561E" w:rsidRPr="00C842D7" w:rsidRDefault="00DC561E" w:rsidP="00DC561E">
            <w:pPr>
              <w:spacing w:after="120" w:line="240" w:lineRule="auto"/>
              <w:rPr>
                <w:rFonts w:ascii="Arial" w:hAnsi="Arial" w:cs="Arial"/>
                <w:iCs/>
                <w:sz w:val="18"/>
                <w:szCs w:val="18"/>
                <w:lang w:val="es-ES_tradnl"/>
              </w:rPr>
            </w:pPr>
            <w:r w:rsidRPr="00C842D7">
              <w:rPr>
                <w:rFonts w:ascii="Arial" w:hAnsi="Arial" w:cs="Arial"/>
                <w:iCs/>
                <w:sz w:val="18"/>
                <w:szCs w:val="18"/>
                <w:lang w:val="es-ES_tradnl"/>
              </w:rPr>
              <w:t>Clientes nuevos de IMF fondeadas por FONCAP</w:t>
            </w:r>
            <w:r>
              <w:rPr>
                <w:rFonts w:ascii="Arial" w:hAnsi="Arial" w:cs="Arial"/>
                <w:iCs/>
                <w:sz w:val="18"/>
                <w:szCs w:val="18"/>
                <w:lang w:val="es-ES_tradnl"/>
              </w:rPr>
              <w:t>,</w:t>
            </w:r>
            <w:r w:rsidRPr="005C6BD4">
              <w:rPr>
                <w:rFonts w:ascii="Arial" w:hAnsi="Arial" w:cs="Arial"/>
                <w:lang w:val="es-ES"/>
              </w:rPr>
              <w:t xml:space="preserve"> </w:t>
            </w:r>
            <w:r w:rsidRPr="005C6BD4">
              <w:rPr>
                <w:rFonts w:ascii="Arial" w:hAnsi="Arial" w:cs="Arial"/>
                <w:iCs/>
                <w:sz w:val="18"/>
                <w:szCs w:val="18"/>
                <w:lang w:val="es-ES"/>
              </w:rPr>
              <w:t>en</w:t>
            </w:r>
            <w:r>
              <w:rPr>
                <w:rFonts w:ascii="Arial" w:hAnsi="Arial" w:cs="Arial"/>
                <w:iCs/>
                <w:sz w:val="18"/>
                <w:szCs w:val="18"/>
                <w:lang w:val="es-ES"/>
              </w:rPr>
              <w:t>tendido como</w:t>
            </w:r>
            <w:r w:rsidRPr="005C6BD4">
              <w:rPr>
                <w:rFonts w:ascii="Arial" w:hAnsi="Arial" w:cs="Arial"/>
                <w:iCs/>
                <w:sz w:val="18"/>
                <w:szCs w:val="18"/>
                <w:lang w:val="es-ES"/>
              </w:rPr>
              <w:t xml:space="preserve"> aquellas que no hayan tenido un crédito en el último año por alguna IMF apoyada por FONCAP</w:t>
            </w:r>
            <w:r w:rsidRPr="00C842D7">
              <w:rPr>
                <w:rFonts w:ascii="Arial" w:hAnsi="Arial" w:cs="Arial"/>
                <w:iCs/>
                <w:sz w:val="18"/>
                <w:szCs w:val="18"/>
                <w:lang w:val="es-ES_tradnl"/>
              </w:rPr>
              <w:t xml:space="preserve">. </w:t>
            </w:r>
          </w:p>
          <w:p w14:paraId="4C56C4E0" w14:textId="77777777" w:rsidR="00DC561E" w:rsidRPr="00E55C94" w:rsidRDefault="00DC561E" w:rsidP="00DC561E">
            <w:pPr>
              <w:rPr>
                <w:rFonts w:ascii="Arial" w:eastAsia="Arial Unicode MS" w:hAnsi="Arial" w:cs="Arial"/>
                <w:sz w:val="18"/>
                <w:szCs w:val="24"/>
                <w:lang w:val="es-ES_tradnl"/>
              </w:rPr>
            </w:pPr>
            <w:r w:rsidRPr="00C842D7">
              <w:rPr>
                <w:rFonts w:ascii="Arial" w:hAnsi="Arial" w:cs="Arial"/>
                <w:sz w:val="18"/>
                <w:szCs w:val="18"/>
                <w:lang w:val="es-ES"/>
              </w:rPr>
              <w:t>Relacionado al objetivo ENIF:</w:t>
            </w:r>
            <w:r w:rsidRPr="00C842D7">
              <w:rPr>
                <w:rFonts w:ascii="Arial" w:hAnsi="Arial" w:cs="Arial"/>
                <w:bCs/>
                <w:sz w:val="18"/>
                <w:szCs w:val="18"/>
                <w:lang w:val="es-MX"/>
              </w:rPr>
              <w:t xml:space="preserve"> (v) mejorar el acceso de MiPyME al crédito en condiciones sostenibles.</w:t>
            </w:r>
          </w:p>
        </w:tc>
        <w:tc>
          <w:tcPr>
            <w:tcW w:w="1350" w:type="dxa"/>
          </w:tcPr>
          <w:p w14:paraId="37CBA296" w14:textId="77777777" w:rsidR="00DC561E" w:rsidRPr="00E55C94" w:rsidRDefault="00DC561E" w:rsidP="00DC561E">
            <w:pPr>
              <w:pStyle w:val="Default"/>
              <w:jc w:val="center"/>
              <w:rPr>
                <w:rFonts w:ascii="Arial" w:hAnsi="Arial" w:cs="Arial"/>
                <w:color w:val="auto"/>
                <w:sz w:val="18"/>
                <w:szCs w:val="20"/>
                <w:lang w:val="es-AR"/>
              </w:rPr>
            </w:pPr>
            <w:r w:rsidRPr="00E55C94">
              <w:rPr>
                <w:rFonts w:ascii="Arial" w:hAnsi="Arial" w:cs="Arial"/>
                <w:color w:val="auto"/>
                <w:sz w:val="18"/>
                <w:szCs w:val="20"/>
                <w:lang w:val="es-AR"/>
              </w:rPr>
              <w:t>Línea de Base y final del período</w:t>
            </w:r>
          </w:p>
        </w:tc>
        <w:tc>
          <w:tcPr>
            <w:tcW w:w="1849" w:type="dxa"/>
          </w:tcPr>
          <w:p w14:paraId="1A292CD6" w14:textId="77777777" w:rsidR="00DC561E" w:rsidRPr="00E55C94" w:rsidRDefault="00DC561E" w:rsidP="00DC561E">
            <w:pPr>
              <w:autoSpaceDE w:val="0"/>
              <w:autoSpaceDN w:val="0"/>
              <w:adjustRightInd w:val="0"/>
              <w:spacing w:after="0" w:line="240" w:lineRule="auto"/>
              <w:rPr>
                <w:rFonts w:ascii="Arial" w:hAnsi="Arial" w:cs="Arial"/>
                <w:sz w:val="18"/>
                <w:szCs w:val="18"/>
                <w:lang w:val="es-AR"/>
              </w:rPr>
            </w:pPr>
            <w:r w:rsidRPr="00E55C94">
              <w:rPr>
                <w:rFonts w:ascii="Arial" w:hAnsi="Arial" w:cs="Arial"/>
                <w:sz w:val="18"/>
                <w:szCs w:val="18"/>
                <w:lang w:val="es-AR"/>
              </w:rPr>
              <w:t>Informes y rendiciones de cuentas del FONCAP a la UCP.</w:t>
            </w:r>
          </w:p>
          <w:p w14:paraId="38A9C723" w14:textId="77777777" w:rsidR="00DC561E" w:rsidRPr="00E55C94" w:rsidRDefault="00DC561E" w:rsidP="00DC561E">
            <w:pPr>
              <w:pStyle w:val="Default"/>
              <w:rPr>
                <w:rFonts w:ascii="Arial" w:eastAsia="Arial Unicode MS" w:hAnsi="Arial" w:cs="Arial"/>
                <w:color w:val="auto"/>
                <w:sz w:val="18"/>
                <w:lang w:val="es-ES_tradnl"/>
              </w:rPr>
            </w:pPr>
          </w:p>
        </w:tc>
      </w:tr>
    </w:tbl>
    <w:p w14:paraId="6F464734" w14:textId="77777777" w:rsidR="006D5A9A" w:rsidRPr="00F436E1" w:rsidRDefault="00FD284D" w:rsidP="00F436E1">
      <w:pPr>
        <w:pStyle w:val="SecHeading"/>
        <w:numPr>
          <w:ilvl w:val="0"/>
          <w:numId w:val="0"/>
        </w:numPr>
        <w:spacing w:before="240"/>
        <w:jc w:val="center"/>
        <w:rPr>
          <w:rFonts w:ascii="Arial" w:hAnsi="Arial" w:cs="Arial"/>
          <w:color w:val="auto"/>
          <w:sz w:val="20"/>
          <w:szCs w:val="22"/>
        </w:rPr>
      </w:pPr>
      <w:r w:rsidRPr="00F436E1">
        <w:rPr>
          <w:rFonts w:ascii="Arial" w:hAnsi="Arial" w:cs="Arial"/>
          <w:color w:val="auto"/>
          <w:sz w:val="20"/>
          <w:szCs w:val="22"/>
        </w:rPr>
        <w:lastRenderedPageBreak/>
        <w:t>Cuadro 1.1 Costos asociados a Productos</w:t>
      </w:r>
    </w:p>
    <w:tbl>
      <w:tblPr>
        <w:tblStyle w:val="TableGrid"/>
        <w:tblW w:w="0" w:type="auto"/>
        <w:jc w:val="center"/>
        <w:tblLook w:val="04A0" w:firstRow="1" w:lastRow="0" w:firstColumn="1" w:lastColumn="0" w:noHBand="0" w:noVBand="1"/>
      </w:tblPr>
      <w:tblGrid>
        <w:gridCol w:w="6835"/>
        <w:gridCol w:w="1715"/>
      </w:tblGrid>
      <w:tr w:rsidR="00FD284D" w:rsidRPr="00FD284D" w14:paraId="600A7B67" w14:textId="77777777" w:rsidTr="008E445B">
        <w:trPr>
          <w:trHeight w:hRule="exact" w:val="388"/>
          <w:jc w:val="center"/>
        </w:trPr>
        <w:tc>
          <w:tcPr>
            <w:tcW w:w="6835" w:type="dxa"/>
          </w:tcPr>
          <w:p w14:paraId="762681B6" w14:textId="77777777" w:rsidR="009A13A6" w:rsidRPr="00F436E1" w:rsidRDefault="009A13A6" w:rsidP="00F436E1">
            <w:pPr>
              <w:pStyle w:val="Chapter"/>
              <w:numPr>
                <w:ilvl w:val="0"/>
                <w:numId w:val="0"/>
              </w:numPr>
              <w:spacing w:before="120" w:after="0"/>
              <w:rPr>
                <w:rFonts w:ascii="Arial" w:eastAsiaTheme="minorEastAsia" w:hAnsi="Arial" w:cs="Arial"/>
                <w:bCs/>
                <w:smallCaps w:val="0"/>
                <w:sz w:val="18"/>
                <w:szCs w:val="18"/>
                <w:lang w:val="es-MX"/>
              </w:rPr>
            </w:pPr>
            <w:r w:rsidRPr="00F436E1">
              <w:rPr>
                <w:rFonts w:ascii="Arial" w:eastAsiaTheme="minorEastAsia" w:hAnsi="Arial" w:cs="Arial"/>
                <w:bCs/>
                <w:smallCaps w:val="0"/>
                <w:sz w:val="18"/>
                <w:szCs w:val="18"/>
                <w:lang w:val="es-MX"/>
              </w:rPr>
              <w:t>Producto</w:t>
            </w:r>
          </w:p>
        </w:tc>
        <w:tc>
          <w:tcPr>
            <w:tcW w:w="1715" w:type="dxa"/>
          </w:tcPr>
          <w:p w14:paraId="3E4B0BA5" w14:textId="77777777" w:rsidR="009A13A6" w:rsidRPr="00F436E1" w:rsidRDefault="009A13A6" w:rsidP="00F436E1">
            <w:pPr>
              <w:pStyle w:val="Chapter"/>
              <w:numPr>
                <w:ilvl w:val="0"/>
                <w:numId w:val="0"/>
              </w:numPr>
              <w:spacing w:before="120" w:after="0"/>
              <w:rPr>
                <w:rFonts w:ascii="Arial" w:eastAsiaTheme="minorEastAsia" w:hAnsi="Arial" w:cs="Arial"/>
                <w:bCs/>
                <w:smallCaps w:val="0"/>
                <w:sz w:val="18"/>
                <w:szCs w:val="18"/>
                <w:lang w:val="es-MX"/>
              </w:rPr>
            </w:pPr>
            <w:r w:rsidRPr="00F436E1">
              <w:rPr>
                <w:rFonts w:ascii="Arial" w:eastAsiaTheme="minorEastAsia" w:hAnsi="Arial" w:cs="Arial"/>
                <w:bCs/>
                <w:smallCaps w:val="0"/>
                <w:sz w:val="18"/>
                <w:szCs w:val="18"/>
                <w:lang w:val="es-MX"/>
              </w:rPr>
              <w:t>Costo</w:t>
            </w:r>
            <w:r w:rsidRPr="00FD284D">
              <w:rPr>
                <w:rFonts w:ascii="Arial" w:eastAsiaTheme="minorEastAsia" w:hAnsi="Arial" w:cs="Arial"/>
                <w:bCs/>
                <w:smallCaps w:val="0"/>
                <w:sz w:val="18"/>
                <w:szCs w:val="18"/>
                <w:lang w:val="es-MX"/>
              </w:rPr>
              <w:t xml:space="preserve"> (US$)</w:t>
            </w:r>
          </w:p>
        </w:tc>
      </w:tr>
      <w:tr w:rsidR="009A13A6" w:rsidRPr="00764557" w14:paraId="11E66605" w14:textId="77777777" w:rsidTr="008E445B">
        <w:trPr>
          <w:trHeight w:hRule="exact" w:val="766"/>
          <w:jc w:val="center"/>
        </w:trPr>
        <w:tc>
          <w:tcPr>
            <w:tcW w:w="8550" w:type="dxa"/>
            <w:gridSpan w:val="2"/>
            <w:shd w:val="clear" w:color="auto" w:fill="D9D9D9" w:themeFill="background1" w:themeFillShade="D9"/>
          </w:tcPr>
          <w:p w14:paraId="0D2CFCAE"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u w:val="single"/>
                <w:lang w:val="es-MX"/>
              </w:rPr>
            </w:pPr>
            <w:r w:rsidRPr="00F436E1">
              <w:rPr>
                <w:rFonts w:ascii="Arial" w:eastAsiaTheme="minorEastAsia" w:hAnsi="Arial" w:cs="Arial"/>
                <w:b w:val="0"/>
                <w:bCs/>
                <w:smallCaps w:val="0"/>
                <w:sz w:val="18"/>
                <w:szCs w:val="18"/>
                <w:u w:val="single"/>
                <w:lang w:val="es-MX"/>
              </w:rPr>
              <w:t>Componente 1: Implementación de la Estrategia Nacional Para la Inclusión Financiera</w:t>
            </w:r>
            <w:r w:rsidR="00FD284D">
              <w:rPr>
                <w:rFonts w:ascii="Arial" w:eastAsiaTheme="minorEastAsia" w:hAnsi="Arial" w:cs="Arial"/>
                <w:b w:val="0"/>
                <w:bCs/>
                <w:smallCaps w:val="0"/>
                <w:sz w:val="18"/>
                <w:szCs w:val="18"/>
                <w:u w:val="single"/>
                <w:lang w:val="es-MX"/>
              </w:rPr>
              <w:t xml:space="preserve"> (total US$ 13.5 millones)</w:t>
            </w:r>
          </w:p>
        </w:tc>
      </w:tr>
      <w:tr w:rsidR="009A13A6" w:rsidRPr="00764557" w14:paraId="13258C15" w14:textId="77777777" w:rsidTr="008E445B">
        <w:trPr>
          <w:jc w:val="center"/>
        </w:trPr>
        <w:tc>
          <w:tcPr>
            <w:tcW w:w="6835" w:type="dxa"/>
          </w:tcPr>
          <w:p w14:paraId="4EE49A3E" w14:textId="77777777" w:rsidR="009A13A6" w:rsidRPr="00F436E1" w:rsidRDefault="009A13A6" w:rsidP="00476A9D">
            <w:pPr>
              <w:pStyle w:val="Chapter"/>
              <w:numPr>
                <w:ilvl w:val="0"/>
                <w:numId w:val="0"/>
              </w:numPr>
              <w:spacing w:before="0" w:after="0"/>
              <w:jc w:val="left"/>
              <w:rPr>
                <w:rFonts w:ascii="Arial" w:eastAsiaTheme="minorEastAsia" w:hAnsi="Arial" w:cs="Arial"/>
                <w:b w:val="0"/>
                <w:bCs/>
                <w:smallCaps w:val="0"/>
                <w:sz w:val="18"/>
                <w:szCs w:val="18"/>
                <w:lang w:val="es-MX"/>
              </w:rPr>
            </w:pPr>
            <w:r w:rsidRPr="00F436E1">
              <w:rPr>
                <w:rFonts w:ascii="Arial" w:eastAsiaTheme="minorEastAsia" w:hAnsi="Arial" w:cs="Arial"/>
                <w:b w:val="0"/>
                <w:bCs/>
                <w:smallCaps w:val="0"/>
                <w:sz w:val="18"/>
                <w:szCs w:val="18"/>
                <w:lang w:val="es-MX"/>
              </w:rPr>
              <w:t>Número de concursos del Fondo Concursable que buscan desarrollar nuevos productos y servicios para la IF.</w:t>
            </w:r>
          </w:p>
        </w:tc>
        <w:tc>
          <w:tcPr>
            <w:tcW w:w="1715" w:type="dxa"/>
            <w:shd w:val="clear" w:color="auto" w:fill="auto"/>
          </w:tcPr>
          <w:p w14:paraId="32FE20DB"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1:</w:t>
            </w:r>
            <w:r w:rsidR="00526528">
              <w:rPr>
                <w:rFonts w:ascii="Arial" w:hAnsi="Arial" w:cs="Arial"/>
                <w:bCs/>
                <w:smallCaps/>
                <w:sz w:val="18"/>
                <w:szCs w:val="18"/>
                <w:lang w:val="es-MX"/>
              </w:rPr>
              <w:t xml:space="preserve"> </w:t>
            </w:r>
            <w:r w:rsidR="00E82B27">
              <w:rPr>
                <w:rFonts w:ascii="Arial" w:hAnsi="Arial" w:cs="Arial"/>
                <w:bCs/>
                <w:smallCaps/>
                <w:sz w:val="18"/>
                <w:szCs w:val="18"/>
                <w:lang w:val="es-MX"/>
              </w:rPr>
              <w:t>0</w:t>
            </w:r>
          </w:p>
          <w:p w14:paraId="5A3F2D5A"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2:</w:t>
            </w:r>
            <w:r w:rsidR="00526528">
              <w:rPr>
                <w:rFonts w:ascii="Arial" w:hAnsi="Arial" w:cs="Arial"/>
                <w:bCs/>
                <w:smallCaps/>
                <w:sz w:val="18"/>
                <w:szCs w:val="18"/>
                <w:lang w:val="es-MX"/>
              </w:rPr>
              <w:t xml:space="preserve"> </w:t>
            </w:r>
            <w:r w:rsidR="007A74DC">
              <w:rPr>
                <w:rFonts w:ascii="Arial" w:hAnsi="Arial" w:cs="Arial"/>
                <w:bCs/>
                <w:smallCaps/>
                <w:sz w:val="18"/>
                <w:szCs w:val="18"/>
                <w:lang w:val="es-MX"/>
              </w:rPr>
              <w:t>6</w:t>
            </w:r>
            <w:r w:rsidR="003954C5">
              <w:rPr>
                <w:rFonts w:ascii="Arial" w:hAnsi="Arial" w:cs="Arial"/>
                <w:bCs/>
                <w:smallCaps/>
                <w:sz w:val="18"/>
                <w:szCs w:val="18"/>
                <w:lang w:val="es-MX"/>
              </w:rPr>
              <w:t>,</w:t>
            </w:r>
            <w:r w:rsidR="007A74DC">
              <w:rPr>
                <w:rFonts w:ascii="Arial" w:hAnsi="Arial" w:cs="Arial"/>
                <w:bCs/>
                <w:smallCaps/>
                <w:sz w:val="18"/>
                <w:szCs w:val="18"/>
                <w:lang w:val="es-MX"/>
              </w:rPr>
              <w:t>5</w:t>
            </w:r>
            <w:r w:rsidR="003954C5">
              <w:rPr>
                <w:rFonts w:ascii="Arial" w:hAnsi="Arial" w:cs="Arial"/>
                <w:bCs/>
                <w:smallCaps/>
                <w:sz w:val="18"/>
                <w:szCs w:val="18"/>
                <w:lang w:val="es-MX"/>
              </w:rPr>
              <w:t>00,000</w:t>
            </w:r>
          </w:p>
          <w:p w14:paraId="44BBAD96"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3:</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3,500,000</w:t>
            </w:r>
          </w:p>
          <w:p w14:paraId="6EFF2FCD"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4:</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0</w:t>
            </w:r>
          </w:p>
          <w:p w14:paraId="4ED9C348" w14:textId="77777777" w:rsidR="009A13A6"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Total:</w:t>
            </w:r>
            <w:r w:rsidR="00526528">
              <w:rPr>
                <w:rFonts w:ascii="Arial" w:hAnsi="Arial" w:cs="Arial"/>
                <w:bCs/>
                <w:smallCaps/>
                <w:sz w:val="18"/>
                <w:szCs w:val="18"/>
                <w:lang w:val="es-MX"/>
              </w:rPr>
              <w:t xml:space="preserve"> </w:t>
            </w:r>
            <w:r w:rsidR="009A13A6" w:rsidRPr="00040F65">
              <w:rPr>
                <w:rFonts w:ascii="Arial" w:hAnsi="Arial" w:cs="Arial"/>
                <w:bCs/>
                <w:smallCaps/>
                <w:sz w:val="18"/>
                <w:szCs w:val="18"/>
                <w:lang w:val="es-MX"/>
              </w:rPr>
              <w:t>10,000,000</w:t>
            </w:r>
          </w:p>
        </w:tc>
      </w:tr>
      <w:tr w:rsidR="009A13A6" w:rsidRPr="00764557" w14:paraId="137D3FF8" w14:textId="77777777" w:rsidTr="008E445B">
        <w:trPr>
          <w:jc w:val="center"/>
        </w:trPr>
        <w:tc>
          <w:tcPr>
            <w:tcW w:w="6835" w:type="dxa"/>
          </w:tcPr>
          <w:p w14:paraId="227BBCD3"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lang w:val="es-MX"/>
              </w:rPr>
            </w:pPr>
            <w:r w:rsidRPr="00F436E1">
              <w:rPr>
                <w:rFonts w:ascii="Arial" w:eastAsiaTheme="minorEastAsia" w:hAnsi="Arial" w:cs="Arial"/>
                <w:b w:val="0"/>
                <w:bCs/>
                <w:smallCaps w:val="0"/>
                <w:sz w:val="18"/>
                <w:szCs w:val="18"/>
                <w:lang w:val="es-MX"/>
              </w:rPr>
              <w:t>Número de estudios que conduzcan a propuestas de reformas normativas</w:t>
            </w:r>
          </w:p>
        </w:tc>
        <w:tc>
          <w:tcPr>
            <w:tcW w:w="1715" w:type="dxa"/>
            <w:shd w:val="clear" w:color="auto" w:fill="auto"/>
          </w:tcPr>
          <w:p w14:paraId="0007B12A"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1:</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0</w:t>
            </w:r>
          </w:p>
          <w:p w14:paraId="422448D0"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2:</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166,666</w:t>
            </w:r>
          </w:p>
          <w:p w14:paraId="050A2205"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3:</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166,666</w:t>
            </w:r>
          </w:p>
          <w:p w14:paraId="70C7BB62" w14:textId="77777777" w:rsidR="00040F65" w:rsidRPr="00476A9D"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4:</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166,666</w:t>
            </w:r>
          </w:p>
          <w:p w14:paraId="396C86D4" w14:textId="77777777" w:rsidR="009A13A6" w:rsidRPr="00476A9D" w:rsidRDefault="00476A9D" w:rsidP="00476A9D">
            <w:pPr>
              <w:pStyle w:val="Chapter"/>
              <w:numPr>
                <w:ilvl w:val="0"/>
                <w:numId w:val="0"/>
              </w:numPr>
              <w:spacing w:before="100" w:after="0"/>
              <w:rPr>
                <w:rFonts w:ascii="Arial" w:eastAsiaTheme="minorEastAsia" w:hAnsi="Arial" w:cs="Arial"/>
                <w:b w:val="0"/>
                <w:bCs/>
                <w:sz w:val="18"/>
                <w:szCs w:val="18"/>
                <w:lang w:val="es-MX"/>
              </w:rPr>
            </w:pPr>
            <w:r>
              <w:rPr>
                <w:rFonts w:ascii="Arial" w:eastAsiaTheme="minorEastAsia" w:hAnsi="Arial" w:cs="Arial"/>
                <w:b w:val="0"/>
                <w:bCs/>
                <w:sz w:val="18"/>
                <w:szCs w:val="18"/>
                <w:lang w:val="es-MX"/>
              </w:rPr>
              <w:t>Total:</w:t>
            </w:r>
            <w:r w:rsidR="00526528">
              <w:rPr>
                <w:rFonts w:ascii="Arial" w:eastAsiaTheme="minorEastAsia" w:hAnsi="Arial" w:cs="Arial"/>
                <w:b w:val="0"/>
                <w:bCs/>
                <w:sz w:val="18"/>
                <w:szCs w:val="18"/>
                <w:lang w:val="es-MX"/>
              </w:rPr>
              <w:t xml:space="preserve"> </w:t>
            </w:r>
            <w:r>
              <w:rPr>
                <w:rFonts w:ascii="Arial" w:eastAsiaTheme="minorEastAsia" w:hAnsi="Arial" w:cs="Arial"/>
                <w:b w:val="0"/>
                <w:bCs/>
                <w:sz w:val="18"/>
                <w:szCs w:val="18"/>
                <w:lang w:val="es-MX"/>
              </w:rPr>
              <w:t xml:space="preserve"> </w:t>
            </w:r>
            <w:r w:rsidR="00D22841" w:rsidRPr="00476A9D">
              <w:rPr>
                <w:rFonts w:ascii="Arial" w:eastAsiaTheme="minorEastAsia" w:hAnsi="Arial" w:cs="Arial"/>
                <w:b w:val="0"/>
                <w:bCs/>
                <w:sz w:val="18"/>
                <w:szCs w:val="18"/>
                <w:lang w:val="es-MX"/>
              </w:rPr>
              <w:t>500,000</w:t>
            </w:r>
          </w:p>
        </w:tc>
      </w:tr>
      <w:tr w:rsidR="009A13A6" w:rsidRPr="00764557" w14:paraId="31A01DBF" w14:textId="77777777" w:rsidTr="008E445B">
        <w:trPr>
          <w:jc w:val="center"/>
        </w:trPr>
        <w:tc>
          <w:tcPr>
            <w:tcW w:w="6835" w:type="dxa"/>
          </w:tcPr>
          <w:p w14:paraId="470BD579"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lang w:val="es-MX"/>
              </w:rPr>
            </w:pPr>
            <w:r w:rsidRPr="00F436E1">
              <w:rPr>
                <w:rFonts w:ascii="Arial" w:eastAsiaTheme="minorEastAsia" w:hAnsi="Arial" w:cs="Arial"/>
                <w:b w:val="0"/>
                <w:bCs/>
                <w:smallCaps w:val="0"/>
                <w:sz w:val="18"/>
                <w:szCs w:val="18"/>
                <w:lang w:val="es-MX"/>
              </w:rPr>
              <w:t>Número de encuestas sobre características de la demanda de servicios formales, incluyendo un módulo específico para el tema de género</w:t>
            </w:r>
          </w:p>
        </w:tc>
        <w:tc>
          <w:tcPr>
            <w:tcW w:w="1715" w:type="dxa"/>
            <w:shd w:val="clear" w:color="auto" w:fill="auto"/>
          </w:tcPr>
          <w:p w14:paraId="2C096EA1"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1:</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0</w:t>
            </w:r>
          </w:p>
          <w:p w14:paraId="00E5F101"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2:</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0</w:t>
            </w:r>
          </w:p>
          <w:p w14:paraId="105B7707"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3:</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500,000</w:t>
            </w:r>
          </w:p>
          <w:p w14:paraId="1FF1FBD9" w14:textId="77777777" w:rsidR="00040F65" w:rsidRPr="00476A9D"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4:</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0</w:t>
            </w:r>
          </w:p>
          <w:p w14:paraId="21576A92" w14:textId="77777777" w:rsidR="009A13A6" w:rsidRPr="00476A9D" w:rsidRDefault="00476A9D" w:rsidP="00476A9D">
            <w:pPr>
              <w:pStyle w:val="Chapter"/>
              <w:numPr>
                <w:ilvl w:val="0"/>
                <w:numId w:val="0"/>
              </w:numPr>
              <w:spacing w:before="100" w:after="0"/>
              <w:jc w:val="left"/>
              <w:rPr>
                <w:rFonts w:ascii="Arial" w:eastAsiaTheme="minorEastAsia" w:hAnsi="Arial" w:cs="Arial"/>
                <w:b w:val="0"/>
                <w:bCs/>
                <w:sz w:val="18"/>
                <w:szCs w:val="18"/>
                <w:lang w:val="es-MX"/>
              </w:rPr>
            </w:pPr>
            <w:r w:rsidRPr="00476A9D">
              <w:rPr>
                <w:rFonts w:ascii="Arial" w:eastAsiaTheme="minorEastAsia" w:hAnsi="Arial" w:cs="Arial"/>
                <w:b w:val="0"/>
                <w:bCs/>
                <w:sz w:val="18"/>
                <w:szCs w:val="18"/>
                <w:lang w:val="es-MX"/>
              </w:rPr>
              <w:t xml:space="preserve">Total </w:t>
            </w:r>
            <w:r>
              <w:rPr>
                <w:rFonts w:ascii="Arial" w:eastAsiaTheme="minorEastAsia" w:hAnsi="Arial" w:cs="Arial"/>
                <w:b w:val="0"/>
                <w:bCs/>
                <w:sz w:val="18"/>
                <w:szCs w:val="18"/>
                <w:lang w:val="es-MX"/>
              </w:rPr>
              <w:t>:</w:t>
            </w:r>
            <w:r w:rsidR="00526528">
              <w:rPr>
                <w:rFonts w:ascii="Arial" w:eastAsiaTheme="minorEastAsia" w:hAnsi="Arial" w:cs="Arial"/>
                <w:b w:val="0"/>
                <w:bCs/>
                <w:sz w:val="18"/>
                <w:szCs w:val="18"/>
                <w:lang w:val="es-MX"/>
              </w:rPr>
              <w:t xml:space="preserve"> </w:t>
            </w:r>
            <w:r>
              <w:rPr>
                <w:rFonts w:ascii="Arial" w:eastAsiaTheme="minorEastAsia" w:hAnsi="Arial" w:cs="Arial"/>
                <w:b w:val="0"/>
                <w:bCs/>
                <w:sz w:val="18"/>
                <w:szCs w:val="18"/>
                <w:lang w:val="es-MX"/>
              </w:rPr>
              <w:t xml:space="preserve"> </w:t>
            </w:r>
            <w:r w:rsidR="004D114B" w:rsidRPr="00476A9D">
              <w:rPr>
                <w:rFonts w:ascii="Arial" w:eastAsiaTheme="minorEastAsia" w:hAnsi="Arial" w:cs="Arial"/>
                <w:b w:val="0"/>
                <w:bCs/>
                <w:sz w:val="18"/>
                <w:szCs w:val="18"/>
                <w:lang w:val="es-MX"/>
              </w:rPr>
              <w:t>500,000</w:t>
            </w:r>
          </w:p>
        </w:tc>
      </w:tr>
      <w:tr w:rsidR="009A13A6" w:rsidRPr="00764557" w14:paraId="47BB65C7" w14:textId="77777777" w:rsidTr="008E445B">
        <w:trPr>
          <w:jc w:val="center"/>
        </w:trPr>
        <w:tc>
          <w:tcPr>
            <w:tcW w:w="6835" w:type="dxa"/>
          </w:tcPr>
          <w:p w14:paraId="66A1FB25"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lang w:val="es-MX"/>
              </w:rPr>
            </w:pPr>
            <w:r w:rsidRPr="00F436E1">
              <w:rPr>
                <w:rFonts w:ascii="Arial" w:eastAsiaTheme="minorEastAsia" w:hAnsi="Arial" w:cs="Arial"/>
                <w:b w:val="0"/>
                <w:bCs/>
                <w:smallCaps w:val="0"/>
                <w:sz w:val="18"/>
                <w:szCs w:val="18"/>
                <w:lang w:val="es-MX"/>
              </w:rPr>
              <w:t>Campañas de comunicación y de educación para la implementación de la ENIF</w:t>
            </w:r>
          </w:p>
        </w:tc>
        <w:tc>
          <w:tcPr>
            <w:tcW w:w="1715" w:type="dxa"/>
            <w:shd w:val="clear" w:color="auto" w:fill="auto"/>
          </w:tcPr>
          <w:p w14:paraId="6F2C98F6"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1:</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533,000</w:t>
            </w:r>
          </w:p>
          <w:p w14:paraId="1CF507B6"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2:</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0</w:t>
            </w:r>
          </w:p>
          <w:p w14:paraId="7F358BC8"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3:</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533,000</w:t>
            </w:r>
          </w:p>
          <w:p w14:paraId="4440807A" w14:textId="77777777" w:rsidR="00040F65" w:rsidRPr="00476A9D"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4:</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534,000</w:t>
            </w:r>
          </w:p>
          <w:p w14:paraId="798D95DE" w14:textId="77777777" w:rsidR="009A13A6" w:rsidRPr="00476A9D" w:rsidRDefault="00476A9D" w:rsidP="00476A9D">
            <w:pPr>
              <w:pStyle w:val="Chapter"/>
              <w:numPr>
                <w:ilvl w:val="0"/>
                <w:numId w:val="0"/>
              </w:numPr>
              <w:spacing w:before="100" w:after="0"/>
              <w:rPr>
                <w:rFonts w:ascii="Arial" w:eastAsiaTheme="minorEastAsia" w:hAnsi="Arial" w:cs="Arial"/>
                <w:b w:val="0"/>
                <w:bCs/>
                <w:sz w:val="18"/>
                <w:szCs w:val="18"/>
                <w:lang w:val="es-MX"/>
              </w:rPr>
            </w:pPr>
            <w:r>
              <w:rPr>
                <w:rFonts w:ascii="Arial" w:eastAsiaTheme="minorEastAsia" w:hAnsi="Arial" w:cs="Arial"/>
                <w:b w:val="0"/>
                <w:bCs/>
                <w:sz w:val="18"/>
                <w:szCs w:val="18"/>
                <w:lang w:val="es-MX"/>
              </w:rPr>
              <w:t>Total:</w:t>
            </w:r>
            <w:r w:rsidR="00526528">
              <w:rPr>
                <w:rFonts w:ascii="Arial" w:eastAsiaTheme="minorEastAsia" w:hAnsi="Arial" w:cs="Arial"/>
                <w:b w:val="0"/>
                <w:bCs/>
                <w:sz w:val="18"/>
                <w:szCs w:val="18"/>
                <w:lang w:val="es-MX"/>
              </w:rPr>
              <w:t xml:space="preserve"> </w:t>
            </w:r>
            <w:r w:rsidR="004D114B" w:rsidRPr="00476A9D">
              <w:rPr>
                <w:rFonts w:ascii="Arial" w:eastAsiaTheme="minorEastAsia" w:hAnsi="Arial" w:cs="Arial"/>
                <w:b w:val="0"/>
                <w:bCs/>
                <w:sz w:val="18"/>
                <w:szCs w:val="18"/>
                <w:lang w:val="es-MX"/>
              </w:rPr>
              <w:t>1,600,000</w:t>
            </w:r>
          </w:p>
        </w:tc>
      </w:tr>
      <w:tr w:rsidR="009A13A6" w:rsidRPr="00764557" w14:paraId="538ECCE3" w14:textId="77777777" w:rsidTr="008E445B">
        <w:trPr>
          <w:trHeight w:val="566"/>
          <w:jc w:val="center"/>
        </w:trPr>
        <w:tc>
          <w:tcPr>
            <w:tcW w:w="8550" w:type="dxa"/>
            <w:gridSpan w:val="2"/>
            <w:shd w:val="clear" w:color="auto" w:fill="D9D9D9" w:themeFill="background1" w:themeFillShade="D9"/>
          </w:tcPr>
          <w:p w14:paraId="7B3C4E25"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u w:val="single"/>
                <w:lang w:val="es-MX"/>
              </w:rPr>
            </w:pPr>
            <w:r w:rsidRPr="00F436E1">
              <w:rPr>
                <w:rFonts w:ascii="Arial" w:eastAsiaTheme="minorEastAsia" w:hAnsi="Arial" w:cs="Arial"/>
                <w:b w:val="0"/>
                <w:bCs/>
                <w:smallCaps w:val="0"/>
                <w:sz w:val="18"/>
                <w:szCs w:val="18"/>
                <w:u w:val="single"/>
                <w:lang w:val="es-MX"/>
              </w:rPr>
              <w:t>Componente 2: Acceso a crédito de las MyPE</w:t>
            </w:r>
            <w:r w:rsidR="00FD284D">
              <w:rPr>
                <w:rFonts w:ascii="Arial" w:eastAsiaTheme="minorEastAsia" w:hAnsi="Arial" w:cs="Arial"/>
                <w:b w:val="0"/>
                <w:bCs/>
                <w:smallCaps w:val="0"/>
                <w:sz w:val="18"/>
                <w:szCs w:val="18"/>
                <w:u w:val="single"/>
                <w:lang w:val="es-MX"/>
              </w:rPr>
              <w:t xml:space="preserve"> (total US$ 6.5)</w:t>
            </w:r>
          </w:p>
        </w:tc>
      </w:tr>
      <w:tr w:rsidR="009A13A6" w:rsidRPr="00764557" w14:paraId="49FDFF8D" w14:textId="77777777" w:rsidTr="008E445B">
        <w:trPr>
          <w:jc w:val="center"/>
        </w:trPr>
        <w:tc>
          <w:tcPr>
            <w:tcW w:w="6835" w:type="dxa"/>
          </w:tcPr>
          <w:p w14:paraId="28570C97"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lang w:val="es-MX"/>
              </w:rPr>
            </w:pPr>
            <w:r w:rsidRPr="00F436E1">
              <w:rPr>
                <w:rFonts w:ascii="Arial" w:eastAsiaTheme="minorEastAsia" w:hAnsi="Arial" w:cs="Arial"/>
                <w:b w:val="0"/>
                <w:bCs/>
                <w:smallCaps w:val="0"/>
                <w:sz w:val="18"/>
                <w:szCs w:val="18"/>
                <w:lang w:val="es-MX"/>
              </w:rPr>
              <w:t>Número de MyPE que acceden a crédito a través del fondeo a IMF.</w:t>
            </w:r>
          </w:p>
        </w:tc>
        <w:tc>
          <w:tcPr>
            <w:tcW w:w="1715" w:type="dxa"/>
            <w:shd w:val="clear" w:color="auto" w:fill="auto"/>
          </w:tcPr>
          <w:p w14:paraId="2E8AB474"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1:</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1,500,000</w:t>
            </w:r>
          </w:p>
          <w:p w14:paraId="1A399771"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2:</w:t>
            </w:r>
            <w:r w:rsidR="00526528">
              <w:rPr>
                <w:rFonts w:ascii="Arial" w:hAnsi="Arial" w:cs="Arial"/>
                <w:bCs/>
                <w:smallCaps/>
                <w:sz w:val="18"/>
                <w:szCs w:val="18"/>
                <w:lang w:val="es-MX"/>
              </w:rPr>
              <w:t xml:space="preserve"> </w:t>
            </w:r>
            <w:r w:rsidR="003954C5">
              <w:rPr>
                <w:rFonts w:ascii="Arial" w:hAnsi="Arial" w:cs="Arial"/>
                <w:bCs/>
                <w:smallCaps/>
                <w:sz w:val="18"/>
                <w:szCs w:val="18"/>
                <w:lang w:val="es-MX"/>
              </w:rPr>
              <w:t>3,000,000</w:t>
            </w:r>
          </w:p>
          <w:p w14:paraId="2E73809A"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3:</w:t>
            </w:r>
            <w:r w:rsidR="00526528">
              <w:rPr>
                <w:rFonts w:ascii="Arial" w:hAnsi="Arial" w:cs="Arial"/>
                <w:bCs/>
                <w:smallCaps/>
                <w:sz w:val="18"/>
                <w:szCs w:val="18"/>
                <w:lang w:val="es-MX"/>
              </w:rPr>
              <w:t xml:space="preserve"> 1,000,000</w:t>
            </w:r>
          </w:p>
          <w:p w14:paraId="2019506A" w14:textId="77777777" w:rsidR="00040F65" w:rsidRPr="00476A9D"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4:</w:t>
            </w:r>
            <w:r w:rsidR="00526528">
              <w:rPr>
                <w:rFonts w:ascii="Arial" w:hAnsi="Arial" w:cs="Arial"/>
                <w:bCs/>
                <w:smallCaps/>
                <w:sz w:val="18"/>
                <w:szCs w:val="18"/>
                <w:lang w:val="es-MX"/>
              </w:rPr>
              <w:t xml:space="preserve"> 0</w:t>
            </w:r>
          </w:p>
          <w:p w14:paraId="062EBC64" w14:textId="77777777" w:rsidR="009A13A6" w:rsidRPr="00476A9D" w:rsidRDefault="00476A9D" w:rsidP="00476A9D">
            <w:pPr>
              <w:pStyle w:val="Chapter"/>
              <w:numPr>
                <w:ilvl w:val="0"/>
                <w:numId w:val="0"/>
              </w:numPr>
              <w:spacing w:before="100" w:after="0"/>
              <w:rPr>
                <w:rFonts w:ascii="Arial" w:eastAsiaTheme="minorEastAsia" w:hAnsi="Arial" w:cs="Arial"/>
                <w:b w:val="0"/>
                <w:bCs/>
                <w:sz w:val="18"/>
                <w:szCs w:val="18"/>
                <w:lang w:val="es-MX"/>
              </w:rPr>
            </w:pPr>
            <w:r>
              <w:rPr>
                <w:rFonts w:ascii="Arial" w:eastAsiaTheme="minorEastAsia" w:hAnsi="Arial" w:cs="Arial"/>
                <w:b w:val="0"/>
                <w:bCs/>
                <w:sz w:val="18"/>
                <w:szCs w:val="18"/>
                <w:lang w:val="es-MX"/>
              </w:rPr>
              <w:t>Total:</w:t>
            </w:r>
            <w:r w:rsidR="00526528">
              <w:rPr>
                <w:rFonts w:ascii="Arial" w:eastAsiaTheme="minorEastAsia" w:hAnsi="Arial" w:cs="Arial"/>
                <w:b w:val="0"/>
                <w:bCs/>
                <w:sz w:val="18"/>
                <w:szCs w:val="18"/>
                <w:lang w:val="es-MX"/>
              </w:rPr>
              <w:t xml:space="preserve"> </w:t>
            </w:r>
            <w:r w:rsidR="009A13A6" w:rsidRPr="00476A9D">
              <w:rPr>
                <w:rFonts w:ascii="Arial" w:eastAsiaTheme="minorEastAsia" w:hAnsi="Arial" w:cs="Arial"/>
                <w:b w:val="0"/>
                <w:bCs/>
                <w:sz w:val="18"/>
                <w:szCs w:val="18"/>
                <w:lang w:val="es-MX"/>
              </w:rPr>
              <w:t>5,500,000</w:t>
            </w:r>
          </w:p>
        </w:tc>
      </w:tr>
      <w:tr w:rsidR="009A13A6" w:rsidRPr="00764557" w14:paraId="5A8A2D88" w14:textId="77777777" w:rsidTr="008E445B">
        <w:trPr>
          <w:jc w:val="center"/>
        </w:trPr>
        <w:tc>
          <w:tcPr>
            <w:tcW w:w="6835" w:type="dxa"/>
          </w:tcPr>
          <w:p w14:paraId="3041990B" w14:textId="77777777" w:rsidR="009A13A6" w:rsidRPr="00F436E1" w:rsidRDefault="009A13A6" w:rsidP="00F436E1">
            <w:pPr>
              <w:pStyle w:val="Chapter"/>
              <w:numPr>
                <w:ilvl w:val="0"/>
                <w:numId w:val="0"/>
              </w:numPr>
              <w:spacing w:before="100" w:after="100"/>
              <w:jc w:val="left"/>
              <w:rPr>
                <w:rFonts w:ascii="Arial" w:eastAsiaTheme="minorEastAsia" w:hAnsi="Arial" w:cs="Arial"/>
                <w:b w:val="0"/>
                <w:bCs/>
                <w:smallCaps w:val="0"/>
                <w:sz w:val="18"/>
                <w:szCs w:val="18"/>
                <w:lang w:val="es-MX"/>
              </w:rPr>
            </w:pPr>
            <w:r w:rsidRPr="00F436E1">
              <w:rPr>
                <w:rFonts w:ascii="Arial" w:eastAsiaTheme="minorEastAsia" w:hAnsi="Arial" w:cs="Arial"/>
                <w:b w:val="0"/>
                <w:bCs/>
                <w:smallCaps w:val="0"/>
                <w:sz w:val="18"/>
                <w:szCs w:val="18"/>
                <w:lang w:val="es-MX"/>
              </w:rPr>
              <w:t>Número de IMF apoyadas con recursos para fortalecimiento institucional</w:t>
            </w:r>
          </w:p>
        </w:tc>
        <w:tc>
          <w:tcPr>
            <w:tcW w:w="1715" w:type="dxa"/>
            <w:shd w:val="clear" w:color="auto" w:fill="auto"/>
          </w:tcPr>
          <w:p w14:paraId="5F990626"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1:</w:t>
            </w:r>
            <w:r w:rsidR="00526528">
              <w:rPr>
                <w:rFonts w:ascii="Arial" w:hAnsi="Arial" w:cs="Arial"/>
                <w:bCs/>
                <w:smallCaps/>
                <w:sz w:val="18"/>
                <w:szCs w:val="18"/>
                <w:lang w:val="es-MX"/>
              </w:rPr>
              <w:t xml:space="preserve"> 0</w:t>
            </w:r>
          </w:p>
          <w:p w14:paraId="0C8DC0C4"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2:</w:t>
            </w:r>
            <w:r w:rsidR="00526528">
              <w:rPr>
                <w:rFonts w:ascii="Arial" w:hAnsi="Arial" w:cs="Arial"/>
                <w:bCs/>
                <w:smallCaps/>
                <w:sz w:val="18"/>
                <w:szCs w:val="18"/>
                <w:lang w:val="es-MX"/>
              </w:rPr>
              <w:t xml:space="preserve"> 500,000</w:t>
            </w:r>
          </w:p>
          <w:p w14:paraId="3528D454"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3:</w:t>
            </w:r>
            <w:r w:rsidR="00526528">
              <w:rPr>
                <w:rFonts w:ascii="Arial" w:hAnsi="Arial" w:cs="Arial"/>
                <w:bCs/>
                <w:smallCaps/>
                <w:sz w:val="18"/>
                <w:szCs w:val="18"/>
                <w:lang w:val="es-MX"/>
              </w:rPr>
              <w:t xml:space="preserve"> 500,000</w:t>
            </w:r>
          </w:p>
          <w:p w14:paraId="7A666C09" w14:textId="77777777" w:rsidR="00040F65" w:rsidRPr="00040F65" w:rsidRDefault="00040F65" w:rsidP="00476A9D">
            <w:pPr>
              <w:spacing w:after="0" w:line="240" w:lineRule="auto"/>
              <w:rPr>
                <w:rFonts w:ascii="Arial" w:hAnsi="Arial" w:cs="Arial"/>
                <w:bCs/>
                <w:smallCaps/>
                <w:sz w:val="18"/>
                <w:szCs w:val="18"/>
                <w:lang w:val="es-MX"/>
              </w:rPr>
            </w:pPr>
            <w:r w:rsidRPr="00040F65">
              <w:rPr>
                <w:rFonts w:ascii="Arial" w:hAnsi="Arial" w:cs="Arial"/>
                <w:bCs/>
                <w:smallCaps/>
                <w:sz w:val="18"/>
                <w:szCs w:val="18"/>
                <w:lang w:val="es-MX"/>
              </w:rPr>
              <w:t>Año 4:</w:t>
            </w:r>
            <w:r w:rsidR="00526528">
              <w:rPr>
                <w:rFonts w:ascii="Arial" w:hAnsi="Arial" w:cs="Arial"/>
                <w:bCs/>
                <w:smallCaps/>
                <w:sz w:val="18"/>
                <w:szCs w:val="18"/>
                <w:lang w:val="es-MX"/>
              </w:rPr>
              <w:t xml:space="preserve"> 0</w:t>
            </w:r>
          </w:p>
          <w:p w14:paraId="464B8716" w14:textId="77777777" w:rsidR="009A13A6" w:rsidRPr="00476A9D" w:rsidRDefault="00476A9D" w:rsidP="00476A9D">
            <w:pPr>
              <w:pStyle w:val="Chapter"/>
              <w:numPr>
                <w:ilvl w:val="0"/>
                <w:numId w:val="0"/>
              </w:numPr>
              <w:spacing w:before="100" w:after="0"/>
              <w:rPr>
                <w:rFonts w:ascii="Arial" w:eastAsiaTheme="minorEastAsia" w:hAnsi="Arial" w:cs="Arial"/>
                <w:b w:val="0"/>
                <w:bCs/>
                <w:sz w:val="18"/>
                <w:szCs w:val="18"/>
                <w:lang w:val="es-MX"/>
              </w:rPr>
            </w:pPr>
            <w:r>
              <w:rPr>
                <w:rFonts w:ascii="Arial" w:eastAsiaTheme="minorEastAsia" w:hAnsi="Arial" w:cs="Arial"/>
                <w:b w:val="0"/>
                <w:bCs/>
                <w:sz w:val="18"/>
                <w:szCs w:val="18"/>
                <w:lang w:val="es-MX"/>
              </w:rPr>
              <w:t>Total:</w:t>
            </w:r>
            <w:r w:rsidR="009A13A6" w:rsidRPr="00476A9D">
              <w:rPr>
                <w:rFonts w:ascii="Arial" w:eastAsiaTheme="minorEastAsia" w:hAnsi="Arial" w:cs="Arial"/>
                <w:b w:val="0"/>
                <w:bCs/>
                <w:sz w:val="18"/>
                <w:szCs w:val="18"/>
                <w:lang w:val="es-MX"/>
              </w:rPr>
              <w:t>1,000,000</w:t>
            </w:r>
          </w:p>
        </w:tc>
      </w:tr>
      <w:tr w:rsidR="00F5492C" w:rsidRPr="00476A9D" w14:paraId="3B77CED7" w14:textId="77777777" w:rsidTr="008E445B">
        <w:trPr>
          <w:jc w:val="center"/>
        </w:trPr>
        <w:tc>
          <w:tcPr>
            <w:tcW w:w="6835" w:type="dxa"/>
            <w:shd w:val="clear" w:color="auto" w:fill="D9D9D9" w:themeFill="background1" w:themeFillShade="D9"/>
          </w:tcPr>
          <w:p w14:paraId="0201B2BF" w14:textId="77777777" w:rsidR="00F5492C" w:rsidRPr="008E445B" w:rsidRDefault="00F5492C" w:rsidP="00F436E1">
            <w:pPr>
              <w:pStyle w:val="Chapter"/>
              <w:numPr>
                <w:ilvl w:val="0"/>
                <w:numId w:val="0"/>
              </w:numPr>
              <w:spacing w:before="100" w:after="100"/>
              <w:jc w:val="left"/>
              <w:rPr>
                <w:rFonts w:ascii="Arial" w:eastAsiaTheme="minorEastAsia" w:hAnsi="Arial" w:cs="Arial"/>
                <w:b w:val="0"/>
                <w:bCs/>
                <w:smallCaps w:val="0"/>
                <w:sz w:val="18"/>
                <w:szCs w:val="18"/>
                <w:u w:val="single"/>
                <w:lang w:val="es-MX"/>
              </w:rPr>
            </w:pPr>
            <w:r w:rsidRPr="008E445B">
              <w:rPr>
                <w:rFonts w:ascii="Arial" w:eastAsiaTheme="minorEastAsia" w:hAnsi="Arial" w:cs="Arial"/>
                <w:b w:val="0"/>
                <w:bCs/>
                <w:smallCaps w:val="0"/>
                <w:sz w:val="18"/>
                <w:szCs w:val="18"/>
                <w:u w:val="single"/>
                <w:lang w:val="es-MX"/>
              </w:rPr>
              <w:t>Adicional: Contrapartida del Programa por parte del gobierno</w:t>
            </w:r>
            <w:r>
              <w:rPr>
                <w:rFonts w:ascii="Arial" w:eastAsiaTheme="minorEastAsia" w:hAnsi="Arial" w:cs="Arial"/>
                <w:b w:val="0"/>
                <w:bCs/>
                <w:smallCaps w:val="0"/>
                <w:sz w:val="18"/>
                <w:szCs w:val="18"/>
                <w:u w:val="single"/>
                <w:lang w:val="es-MX"/>
              </w:rPr>
              <w:t xml:space="preserve"> (gastos de administración, operación, monitoreo, evaluación y fortalecimiento institucional)</w:t>
            </w:r>
            <w:r>
              <w:rPr>
                <w:rStyle w:val="FootnoteReference"/>
                <w:rFonts w:ascii="Arial" w:eastAsiaTheme="minorEastAsia" w:hAnsi="Arial" w:cs="Arial"/>
                <w:b w:val="0"/>
                <w:bCs/>
                <w:smallCaps w:val="0"/>
                <w:sz w:val="18"/>
                <w:szCs w:val="18"/>
                <w:u w:val="single"/>
                <w:lang w:val="es-MX"/>
              </w:rPr>
              <w:footnoteReference w:id="9"/>
            </w:r>
            <w:r w:rsidRPr="008E445B">
              <w:rPr>
                <w:rFonts w:ascii="Arial" w:eastAsiaTheme="minorEastAsia" w:hAnsi="Arial" w:cs="Arial"/>
                <w:b w:val="0"/>
                <w:bCs/>
                <w:smallCaps w:val="0"/>
                <w:sz w:val="18"/>
                <w:szCs w:val="18"/>
                <w:u w:val="single"/>
                <w:lang w:val="es-MX"/>
              </w:rPr>
              <w:t xml:space="preserve">. </w:t>
            </w:r>
          </w:p>
        </w:tc>
        <w:tc>
          <w:tcPr>
            <w:tcW w:w="1715" w:type="dxa"/>
            <w:shd w:val="clear" w:color="auto" w:fill="BFBFBF" w:themeFill="background1" w:themeFillShade="BF"/>
          </w:tcPr>
          <w:p w14:paraId="1632F1ED" w14:textId="77777777" w:rsidR="00F5492C" w:rsidRPr="00040F65" w:rsidRDefault="00F5492C" w:rsidP="00476A9D">
            <w:pPr>
              <w:spacing w:after="0" w:line="240" w:lineRule="auto"/>
              <w:rPr>
                <w:rFonts w:ascii="Arial" w:hAnsi="Arial" w:cs="Arial"/>
                <w:bCs/>
                <w:smallCaps/>
                <w:sz w:val="18"/>
                <w:szCs w:val="18"/>
                <w:lang w:val="es-MX"/>
              </w:rPr>
            </w:pPr>
            <w:r>
              <w:rPr>
                <w:rFonts w:ascii="Arial" w:hAnsi="Arial" w:cs="Arial"/>
                <w:bCs/>
                <w:smallCaps/>
                <w:sz w:val="18"/>
                <w:szCs w:val="18"/>
                <w:lang w:val="es-MX"/>
              </w:rPr>
              <w:t>1,000,000</w:t>
            </w:r>
          </w:p>
        </w:tc>
      </w:tr>
    </w:tbl>
    <w:p w14:paraId="7E46F25B" w14:textId="77777777" w:rsidR="00101410" w:rsidRPr="00F436E1" w:rsidRDefault="009A13A6" w:rsidP="00F436E1">
      <w:pPr>
        <w:pStyle w:val="Chapter"/>
        <w:numPr>
          <w:ilvl w:val="0"/>
          <w:numId w:val="0"/>
        </w:numPr>
        <w:ind w:left="288"/>
        <w:jc w:val="left"/>
        <w:rPr>
          <w:rFonts w:ascii="Arial" w:hAnsi="Arial" w:cs="Arial"/>
          <w:b w:val="0"/>
          <w:sz w:val="18"/>
          <w:szCs w:val="22"/>
          <w:lang w:val="es-ES_tradnl"/>
        </w:rPr>
      </w:pPr>
      <w:r w:rsidRPr="00F436E1">
        <w:rPr>
          <w:rFonts w:ascii="Arial" w:hAnsi="Arial" w:cs="Arial"/>
          <w:b w:val="0"/>
          <w:smallCaps w:val="0"/>
          <w:sz w:val="18"/>
          <w:szCs w:val="22"/>
          <w:lang w:val="es-ES_tradnl"/>
        </w:rPr>
        <w:t xml:space="preserve">Nota: </w:t>
      </w:r>
      <w:r w:rsidR="004D114B" w:rsidRPr="00F436E1">
        <w:rPr>
          <w:rFonts w:ascii="Arial" w:hAnsi="Arial" w:cs="Arial"/>
          <w:b w:val="0"/>
          <w:smallCaps w:val="0"/>
          <w:sz w:val="18"/>
          <w:szCs w:val="22"/>
          <w:lang w:val="es-ES_tradnl"/>
        </w:rPr>
        <w:t xml:space="preserve">Los restantes </w:t>
      </w:r>
      <w:r w:rsidR="00526528">
        <w:rPr>
          <w:rFonts w:ascii="Arial" w:hAnsi="Arial" w:cs="Arial"/>
          <w:b w:val="0"/>
          <w:smallCaps w:val="0"/>
          <w:sz w:val="18"/>
          <w:szCs w:val="22"/>
          <w:lang w:val="es-ES_tradnl"/>
        </w:rPr>
        <w:t>US$ 900,000 se dividen en :</w:t>
      </w:r>
      <w:r w:rsidR="004D114B" w:rsidRPr="00F436E1">
        <w:rPr>
          <w:rFonts w:ascii="Arial" w:hAnsi="Arial" w:cs="Arial"/>
          <w:b w:val="0"/>
          <w:smallCaps w:val="0"/>
          <w:sz w:val="18"/>
          <w:szCs w:val="22"/>
          <w:lang w:val="es-ES_tradnl"/>
        </w:rPr>
        <w:t>US$ 300,000</w:t>
      </w:r>
      <w:r w:rsidR="00FD284D" w:rsidRPr="00F436E1">
        <w:rPr>
          <w:rFonts w:ascii="Arial" w:hAnsi="Arial" w:cs="Arial"/>
          <w:b w:val="0"/>
          <w:smallCaps w:val="0"/>
          <w:sz w:val="18"/>
          <w:szCs w:val="22"/>
          <w:lang w:val="es-ES_tradnl"/>
        </w:rPr>
        <w:t xml:space="preserve"> </w:t>
      </w:r>
      <w:r w:rsidR="00F436E1">
        <w:rPr>
          <w:rFonts w:ascii="Arial" w:hAnsi="Arial" w:cs="Arial"/>
          <w:b w:val="0"/>
          <w:smallCaps w:val="0"/>
          <w:sz w:val="18"/>
          <w:szCs w:val="22"/>
          <w:lang w:val="es-ES_tradnl"/>
        </w:rPr>
        <w:t xml:space="preserve">del primer componente </w:t>
      </w:r>
      <w:r w:rsidR="00FD284D" w:rsidRPr="00F436E1">
        <w:rPr>
          <w:rFonts w:ascii="Arial" w:hAnsi="Arial" w:cs="Arial"/>
          <w:b w:val="0"/>
          <w:smallCaps w:val="0"/>
          <w:sz w:val="18"/>
          <w:szCs w:val="22"/>
          <w:lang w:val="es-ES_tradnl"/>
        </w:rPr>
        <w:t>se destinar</w:t>
      </w:r>
      <w:r w:rsidR="00F436E1">
        <w:rPr>
          <w:rFonts w:ascii="Arial" w:hAnsi="Arial" w:cs="Arial"/>
          <w:b w:val="0"/>
          <w:smallCaps w:val="0"/>
          <w:sz w:val="18"/>
          <w:szCs w:val="22"/>
          <w:lang w:val="es-ES_tradnl"/>
        </w:rPr>
        <w:t>án</w:t>
      </w:r>
      <w:r w:rsidR="00FD284D" w:rsidRPr="00F436E1">
        <w:rPr>
          <w:rFonts w:ascii="Arial" w:hAnsi="Arial" w:cs="Arial"/>
          <w:b w:val="0"/>
          <w:smallCaps w:val="0"/>
          <w:sz w:val="18"/>
          <w:szCs w:val="22"/>
          <w:lang w:val="es-ES_tradnl"/>
        </w:rPr>
        <w:t xml:space="preserve"> a </w:t>
      </w:r>
      <w:r w:rsidR="004D114B" w:rsidRPr="00F436E1">
        <w:rPr>
          <w:rFonts w:ascii="Arial" w:hAnsi="Arial" w:cs="Arial"/>
          <w:b w:val="0"/>
          <w:smallCaps w:val="0"/>
          <w:sz w:val="18"/>
          <w:szCs w:val="22"/>
          <w:lang w:val="es-ES_tradnl"/>
        </w:rPr>
        <w:t>consultorías de asistencia técnica para la gestión de la estrategia</w:t>
      </w:r>
      <w:r w:rsidR="00526528">
        <w:rPr>
          <w:rFonts w:ascii="Arial" w:hAnsi="Arial" w:cs="Arial"/>
          <w:b w:val="0"/>
          <w:smallCaps w:val="0"/>
          <w:sz w:val="18"/>
          <w:szCs w:val="22"/>
          <w:lang w:val="es-ES_tradnl"/>
        </w:rPr>
        <w:t xml:space="preserve"> y US$ 600,000 para </w:t>
      </w:r>
      <w:r w:rsidR="00526528">
        <w:rPr>
          <w:rFonts w:ascii="Arial" w:eastAsiaTheme="minorEastAsia" w:hAnsi="Arial" w:cs="Arial"/>
          <w:b w:val="0"/>
          <w:bCs/>
          <w:smallCaps w:val="0"/>
          <w:sz w:val="18"/>
          <w:szCs w:val="18"/>
          <w:lang w:val="es-MX"/>
        </w:rPr>
        <w:t>un s</w:t>
      </w:r>
      <w:r w:rsidR="00526528" w:rsidRPr="00F436E1">
        <w:rPr>
          <w:rFonts w:ascii="Arial" w:eastAsiaTheme="minorEastAsia" w:hAnsi="Arial" w:cs="Arial"/>
          <w:b w:val="0"/>
          <w:bCs/>
          <w:smallCaps w:val="0"/>
          <w:sz w:val="18"/>
          <w:szCs w:val="18"/>
          <w:lang w:val="es-MX"/>
        </w:rPr>
        <w:t>istema de información para el monitoreo de la implementación de la ENIF</w:t>
      </w:r>
      <w:r w:rsidR="00526528">
        <w:rPr>
          <w:rFonts w:ascii="Arial" w:eastAsiaTheme="minorEastAsia" w:hAnsi="Arial" w:cs="Arial"/>
          <w:b w:val="0"/>
          <w:bCs/>
          <w:smallCaps w:val="0"/>
          <w:sz w:val="18"/>
          <w:szCs w:val="18"/>
          <w:lang w:val="es-MX"/>
        </w:rPr>
        <w:t>.</w:t>
      </w:r>
    </w:p>
    <w:p w14:paraId="02CC8E9D" w14:textId="77777777" w:rsidR="00062D0D" w:rsidRPr="0059691C" w:rsidRDefault="00062D0D" w:rsidP="0081242F">
      <w:pPr>
        <w:pStyle w:val="SecHeading"/>
        <w:tabs>
          <w:tab w:val="clear" w:pos="5400"/>
          <w:tab w:val="num" w:pos="1260"/>
        </w:tabs>
        <w:ind w:hanging="4680"/>
        <w:rPr>
          <w:rFonts w:ascii="Arial" w:hAnsi="Arial" w:cs="Arial"/>
          <w:color w:val="auto"/>
          <w:sz w:val="22"/>
          <w:szCs w:val="22"/>
        </w:rPr>
      </w:pPr>
      <w:bookmarkStart w:id="13" w:name="_Toc491884242"/>
      <w:r w:rsidRPr="0059691C">
        <w:rPr>
          <w:rFonts w:ascii="Arial" w:hAnsi="Arial" w:cs="Arial"/>
          <w:color w:val="auto"/>
          <w:sz w:val="22"/>
          <w:szCs w:val="22"/>
        </w:rPr>
        <w:t>Recolección de Información e Instrumentos</w:t>
      </w:r>
      <w:bookmarkEnd w:id="8"/>
      <w:bookmarkEnd w:id="13"/>
    </w:p>
    <w:p w14:paraId="7C87D2C1" w14:textId="77777777" w:rsidR="00062D0D" w:rsidRPr="005028EC" w:rsidRDefault="008A2E34">
      <w:pPr>
        <w:pStyle w:val="Paragraph"/>
        <w:tabs>
          <w:tab w:val="clear" w:pos="2736"/>
        </w:tabs>
        <w:ind w:left="720" w:hanging="720"/>
        <w:rPr>
          <w:rFonts w:ascii="Arial" w:hAnsi="Arial" w:cs="Arial"/>
          <w:sz w:val="22"/>
          <w:szCs w:val="22"/>
          <w:lang w:val="es-ES_tradnl"/>
        </w:rPr>
      </w:pPr>
      <w:r w:rsidRPr="005028EC">
        <w:rPr>
          <w:rFonts w:ascii="Arial" w:hAnsi="Arial" w:cs="Arial"/>
          <w:b/>
          <w:sz w:val="22"/>
          <w:szCs w:val="22"/>
          <w:lang w:val="es-ES_tradnl"/>
        </w:rPr>
        <w:t xml:space="preserve">Sistema de Información. </w:t>
      </w:r>
      <w:r w:rsidR="00E064D1" w:rsidRPr="005028EC">
        <w:rPr>
          <w:rFonts w:ascii="Arial" w:hAnsi="Arial" w:cs="Arial"/>
          <w:sz w:val="22"/>
          <w:szCs w:val="22"/>
          <w:lang w:val="es-ES_tradnl"/>
        </w:rPr>
        <w:t xml:space="preserve">El sistema de información de </w:t>
      </w:r>
      <w:r w:rsidR="00DD65D6" w:rsidRPr="005028EC">
        <w:rPr>
          <w:rFonts w:ascii="Arial" w:hAnsi="Arial" w:cs="Arial"/>
          <w:sz w:val="22"/>
          <w:szCs w:val="22"/>
          <w:lang w:val="es-ES_tradnl"/>
        </w:rPr>
        <w:t>la UCP</w:t>
      </w:r>
      <w:r w:rsidR="00E064D1" w:rsidRPr="005028EC">
        <w:rPr>
          <w:rFonts w:ascii="Arial" w:hAnsi="Arial" w:cs="Arial"/>
          <w:sz w:val="22"/>
          <w:szCs w:val="22"/>
          <w:lang w:val="es-ES_tradnl"/>
        </w:rPr>
        <w:t xml:space="preserve"> contendrá registros e información administrativa sobre el financiamiento generado por el programa</w:t>
      </w:r>
      <w:r w:rsidR="00DD65D6" w:rsidRPr="005028EC">
        <w:rPr>
          <w:rFonts w:ascii="Arial" w:hAnsi="Arial" w:cs="Arial"/>
          <w:sz w:val="22"/>
          <w:szCs w:val="22"/>
          <w:lang w:val="es-ES_tradnl"/>
        </w:rPr>
        <w:t>. Para el fondo concursable, la información incluirá</w:t>
      </w:r>
      <w:r w:rsidR="00E064D1" w:rsidRPr="005028EC">
        <w:rPr>
          <w:rFonts w:ascii="Arial" w:hAnsi="Arial" w:cs="Arial"/>
          <w:sz w:val="22"/>
          <w:szCs w:val="22"/>
          <w:lang w:val="es-ES_tradnl"/>
        </w:rPr>
        <w:t xml:space="preserve"> el número </w:t>
      </w:r>
      <w:r w:rsidR="00DD65D6" w:rsidRPr="005028EC">
        <w:rPr>
          <w:rFonts w:ascii="Arial" w:hAnsi="Arial" w:cs="Arial"/>
          <w:sz w:val="22"/>
          <w:szCs w:val="22"/>
          <w:lang w:val="es-ES_tradnl"/>
        </w:rPr>
        <w:t xml:space="preserve">de concursos convocados, número de </w:t>
      </w:r>
      <w:r w:rsidR="008F00F4" w:rsidRPr="005028EC">
        <w:rPr>
          <w:rFonts w:ascii="Arial" w:hAnsi="Arial" w:cs="Arial"/>
          <w:sz w:val="22"/>
          <w:szCs w:val="22"/>
          <w:lang w:val="es-ES_tradnl"/>
        </w:rPr>
        <w:t>entidades financieras (</w:t>
      </w:r>
      <w:r w:rsidR="00DD65D6" w:rsidRPr="005028EC">
        <w:rPr>
          <w:rFonts w:ascii="Arial" w:hAnsi="Arial" w:cs="Arial"/>
          <w:sz w:val="22"/>
          <w:szCs w:val="22"/>
          <w:lang w:val="es-ES_tradnl"/>
        </w:rPr>
        <w:t>IFI</w:t>
      </w:r>
      <w:r w:rsidR="008F00F4" w:rsidRPr="005028EC">
        <w:rPr>
          <w:rFonts w:ascii="Arial" w:hAnsi="Arial" w:cs="Arial"/>
          <w:sz w:val="22"/>
          <w:szCs w:val="22"/>
          <w:lang w:val="es-ES_tradnl"/>
        </w:rPr>
        <w:t>)</w:t>
      </w:r>
      <w:r w:rsidR="00DD65D6" w:rsidRPr="005028EC">
        <w:rPr>
          <w:rFonts w:ascii="Arial" w:hAnsi="Arial" w:cs="Arial"/>
          <w:sz w:val="22"/>
          <w:szCs w:val="22"/>
          <w:lang w:val="es-ES_tradnl"/>
        </w:rPr>
        <w:t xml:space="preserve"> beneficiadas, </w:t>
      </w:r>
      <w:r w:rsidR="00DD65D6" w:rsidRPr="005028EC">
        <w:rPr>
          <w:rFonts w:ascii="Arial" w:hAnsi="Arial" w:cs="Arial"/>
          <w:sz w:val="22"/>
          <w:szCs w:val="22"/>
          <w:lang w:val="es-ES_tradnl"/>
        </w:rPr>
        <w:lastRenderedPageBreak/>
        <w:t xml:space="preserve">número y tipo </w:t>
      </w:r>
      <w:r w:rsidR="00E064D1" w:rsidRPr="005028EC">
        <w:rPr>
          <w:rFonts w:ascii="Arial" w:hAnsi="Arial" w:cs="Arial"/>
          <w:sz w:val="22"/>
          <w:szCs w:val="22"/>
          <w:lang w:val="es-ES_tradnl"/>
        </w:rPr>
        <w:t xml:space="preserve">de </w:t>
      </w:r>
      <w:r w:rsidR="00DD65D6" w:rsidRPr="005028EC">
        <w:rPr>
          <w:rFonts w:ascii="Arial" w:hAnsi="Arial" w:cs="Arial"/>
          <w:sz w:val="22"/>
          <w:szCs w:val="22"/>
          <w:lang w:val="es-ES_tradnl"/>
        </w:rPr>
        <w:t>actividades y productos financiados</w:t>
      </w:r>
      <w:r w:rsidR="00E064D1" w:rsidRPr="005028EC">
        <w:rPr>
          <w:rFonts w:ascii="Arial" w:hAnsi="Arial" w:cs="Arial"/>
          <w:sz w:val="22"/>
          <w:szCs w:val="22"/>
          <w:lang w:val="es-ES_tradnl"/>
        </w:rPr>
        <w:t>,</w:t>
      </w:r>
      <w:r w:rsidR="002C60F1" w:rsidRPr="005028EC">
        <w:rPr>
          <w:rFonts w:ascii="Arial" w:hAnsi="Arial" w:cs="Arial"/>
          <w:sz w:val="22"/>
          <w:szCs w:val="22"/>
          <w:lang w:val="es-ES_tradnl"/>
        </w:rPr>
        <w:t xml:space="preserve"> destino de </w:t>
      </w:r>
      <w:r w:rsidR="00DD65D6" w:rsidRPr="005028EC">
        <w:rPr>
          <w:rFonts w:ascii="Arial" w:hAnsi="Arial" w:cs="Arial"/>
          <w:sz w:val="22"/>
          <w:szCs w:val="22"/>
          <w:lang w:val="es-ES_tradnl"/>
        </w:rPr>
        <w:t>estos</w:t>
      </w:r>
      <w:r w:rsidR="002C60F1" w:rsidRPr="005028EC">
        <w:rPr>
          <w:rFonts w:ascii="Arial" w:hAnsi="Arial" w:cs="Arial"/>
          <w:sz w:val="22"/>
          <w:szCs w:val="22"/>
          <w:lang w:val="es-ES_tradnl"/>
        </w:rPr>
        <w:t xml:space="preserve"> fondos,</w:t>
      </w:r>
      <w:r w:rsidR="00DD65D6" w:rsidRPr="005028EC">
        <w:rPr>
          <w:rFonts w:ascii="Arial" w:hAnsi="Arial" w:cs="Arial"/>
          <w:sz w:val="22"/>
          <w:szCs w:val="22"/>
          <w:lang w:val="es-ES_tradnl"/>
        </w:rPr>
        <w:t xml:space="preserve"> número de beneficiarios finales atendidos por las IFI</w:t>
      </w:r>
      <w:r w:rsidR="002C60F1" w:rsidRPr="005028EC">
        <w:rPr>
          <w:rFonts w:ascii="Arial" w:hAnsi="Arial" w:cs="Arial"/>
          <w:sz w:val="22"/>
          <w:szCs w:val="22"/>
          <w:lang w:val="es-ES_tradnl"/>
        </w:rPr>
        <w:t>,</w:t>
      </w:r>
      <w:r w:rsidR="00DD65D6" w:rsidRPr="005028EC">
        <w:rPr>
          <w:rFonts w:ascii="Arial" w:hAnsi="Arial" w:cs="Arial"/>
          <w:sz w:val="22"/>
          <w:szCs w:val="22"/>
          <w:lang w:val="es-ES_tradnl"/>
        </w:rPr>
        <w:t xml:space="preserve"> información de uso de servicios financieros digitales, entre otros.</w:t>
      </w:r>
      <w:r w:rsidR="00E064D1" w:rsidRPr="005028EC">
        <w:rPr>
          <w:rFonts w:ascii="Arial" w:hAnsi="Arial" w:cs="Arial"/>
          <w:sz w:val="22"/>
          <w:szCs w:val="22"/>
          <w:lang w:val="es-ES_tradnl"/>
        </w:rPr>
        <w:t xml:space="preserve"> </w:t>
      </w:r>
      <w:r w:rsidR="002C60F1" w:rsidRPr="005028EC">
        <w:rPr>
          <w:rFonts w:ascii="Arial" w:hAnsi="Arial" w:cs="Arial"/>
          <w:sz w:val="22"/>
          <w:szCs w:val="22"/>
          <w:lang w:val="es-ES_tradnl"/>
        </w:rPr>
        <w:t xml:space="preserve">Está información provendrá de los cuestionarios que las IFI </w:t>
      </w:r>
      <w:r w:rsidR="00DD65D6" w:rsidRPr="005028EC">
        <w:rPr>
          <w:rFonts w:ascii="Arial" w:hAnsi="Arial" w:cs="Arial"/>
          <w:sz w:val="22"/>
          <w:szCs w:val="22"/>
          <w:lang w:val="es-ES_tradnl"/>
        </w:rPr>
        <w:t>presentarán al concurso, así como de la información administrativa de seguimiento que estas deberán reportar a la UCP.</w:t>
      </w:r>
      <w:r w:rsidR="002C60F1" w:rsidRPr="005028EC">
        <w:rPr>
          <w:rFonts w:ascii="Arial" w:hAnsi="Arial" w:cs="Arial"/>
          <w:sz w:val="22"/>
          <w:szCs w:val="22"/>
          <w:lang w:val="es-ES_tradnl"/>
        </w:rPr>
        <w:t xml:space="preserve"> </w:t>
      </w:r>
      <w:r w:rsidR="005028EC">
        <w:rPr>
          <w:rFonts w:ascii="Arial" w:hAnsi="Arial" w:cs="Arial"/>
          <w:sz w:val="22"/>
          <w:szCs w:val="22"/>
          <w:lang w:val="es-ES_tradnl"/>
        </w:rPr>
        <w:t>A</w:t>
      </w:r>
      <w:r w:rsidR="005028EC" w:rsidRPr="008E445B">
        <w:rPr>
          <w:rFonts w:ascii="Arial" w:hAnsi="Arial" w:cs="Arial"/>
          <w:sz w:val="22"/>
          <w:szCs w:val="22"/>
          <w:lang w:val="es-ES_tradnl"/>
        </w:rPr>
        <w:t xml:space="preserve"> las IFI se les entregará un instrumento de recolección de informaci</w:t>
      </w:r>
      <w:r w:rsidR="005028EC">
        <w:rPr>
          <w:rFonts w:ascii="Arial" w:hAnsi="Arial" w:cs="Arial"/>
          <w:sz w:val="22"/>
          <w:szCs w:val="22"/>
          <w:lang w:val="es-ES_tradnl"/>
        </w:rPr>
        <w:t>ó</w:t>
      </w:r>
      <w:r w:rsidR="005028EC" w:rsidRPr="008E445B">
        <w:rPr>
          <w:rFonts w:ascii="Arial" w:hAnsi="Arial" w:cs="Arial"/>
          <w:sz w:val="22"/>
          <w:szCs w:val="22"/>
          <w:lang w:val="es-ES_tradnl"/>
        </w:rPr>
        <w:t xml:space="preserve">n que describa como deberán reportar la información y datos para el monitoreo, lo cual ayudará a que sea comparable y consistente. </w:t>
      </w:r>
      <w:r w:rsidR="004A187D" w:rsidRPr="005028EC">
        <w:rPr>
          <w:rFonts w:ascii="Arial" w:hAnsi="Arial" w:cs="Arial"/>
          <w:sz w:val="22"/>
          <w:szCs w:val="22"/>
          <w:lang w:val="es-ES_tradnl"/>
        </w:rPr>
        <w:t xml:space="preserve">Para el componente de microcrédito, la UCP recopilará la información recogida por FONCAP. Esta incluirá la información de número de microcréditos otorgados, tasas, plazos, destinos, etc. Además, se </w:t>
      </w:r>
      <w:r w:rsidR="00121364" w:rsidRPr="005028EC">
        <w:rPr>
          <w:rFonts w:ascii="Arial" w:hAnsi="Arial" w:cs="Arial"/>
          <w:sz w:val="22"/>
          <w:szCs w:val="22"/>
          <w:lang w:val="es-ES_tradnl"/>
        </w:rPr>
        <w:t xml:space="preserve">buscará que FONCAP pueda recoger </w:t>
      </w:r>
      <w:r w:rsidR="004A187D" w:rsidRPr="005028EC">
        <w:rPr>
          <w:rFonts w:ascii="Arial" w:hAnsi="Arial" w:cs="Arial"/>
          <w:sz w:val="22"/>
          <w:szCs w:val="22"/>
          <w:lang w:val="es-ES_tradnl"/>
        </w:rPr>
        <w:t xml:space="preserve">la información provista por los beneficiaros finales a través de las solicitudes de crédito hechas a las </w:t>
      </w:r>
      <w:r w:rsidR="000A1AEB" w:rsidRPr="005028EC">
        <w:rPr>
          <w:rFonts w:ascii="Arial" w:hAnsi="Arial" w:cs="Arial"/>
          <w:sz w:val="22"/>
          <w:szCs w:val="22"/>
          <w:lang w:val="es-ES_tradnl"/>
        </w:rPr>
        <w:t>instituciones de microfinanzas (</w:t>
      </w:r>
      <w:r w:rsidR="004A187D" w:rsidRPr="005028EC">
        <w:rPr>
          <w:rFonts w:ascii="Arial" w:hAnsi="Arial" w:cs="Arial"/>
          <w:sz w:val="22"/>
          <w:szCs w:val="22"/>
          <w:lang w:val="es-ES_tradnl"/>
        </w:rPr>
        <w:t>IMF</w:t>
      </w:r>
      <w:r w:rsidR="000A1AEB" w:rsidRPr="005028EC">
        <w:rPr>
          <w:rFonts w:ascii="Arial" w:hAnsi="Arial" w:cs="Arial"/>
          <w:sz w:val="22"/>
          <w:szCs w:val="22"/>
          <w:lang w:val="es-ES_tradnl"/>
        </w:rPr>
        <w:t>)</w:t>
      </w:r>
      <w:r w:rsidR="004A187D" w:rsidRPr="005028EC">
        <w:rPr>
          <w:rFonts w:ascii="Arial" w:hAnsi="Arial" w:cs="Arial"/>
          <w:sz w:val="22"/>
          <w:szCs w:val="22"/>
          <w:lang w:val="es-ES_tradnl"/>
        </w:rPr>
        <w:t>. Se espera</w:t>
      </w:r>
      <w:r w:rsidR="00121364" w:rsidRPr="005028EC">
        <w:rPr>
          <w:rFonts w:ascii="Arial" w:hAnsi="Arial" w:cs="Arial"/>
          <w:sz w:val="22"/>
          <w:szCs w:val="22"/>
          <w:lang w:val="es-ES_tradnl"/>
        </w:rPr>
        <w:t>ría</w:t>
      </w:r>
      <w:r w:rsidR="004A187D" w:rsidRPr="005028EC">
        <w:rPr>
          <w:rFonts w:ascii="Arial" w:hAnsi="Arial" w:cs="Arial"/>
          <w:sz w:val="22"/>
          <w:szCs w:val="22"/>
          <w:lang w:val="es-ES_tradnl"/>
        </w:rPr>
        <w:t xml:space="preserve"> que estos cuestionarios brinden información de la actividad económica de los solicitantes, incluidas ventas, activos, otros ingresos, etc</w:t>
      </w:r>
      <w:r w:rsidR="00E064D1" w:rsidRPr="005028EC">
        <w:rPr>
          <w:rFonts w:ascii="Arial" w:hAnsi="Arial" w:cs="Arial"/>
          <w:sz w:val="22"/>
          <w:szCs w:val="22"/>
          <w:lang w:val="es-ES_tradnl"/>
        </w:rPr>
        <w:t>.</w:t>
      </w:r>
      <w:r w:rsidR="004A187D" w:rsidRPr="005028EC">
        <w:rPr>
          <w:rFonts w:ascii="Arial" w:hAnsi="Arial" w:cs="Arial"/>
          <w:sz w:val="22"/>
          <w:szCs w:val="22"/>
          <w:lang w:val="es-ES_tradnl"/>
        </w:rPr>
        <w:t xml:space="preserve"> </w:t>
      </w:r>
      <w:r w:rsidR="00E064D1" w:rsidRPr="005028EC">
        <w:rPr>
          <w:rFonts w:ascii="Arial" w:hAnsi="Arial" w:cs="Arial"/>
          <w:sz w:val="22"/>
          <w:szCs w:val="22"/>
          <w:lang w:val="es-ES_tradnl"/>
        </w:rPr>
        <w:t xml:space="preserve"> </w:t>
      </w:r>
      <w:r w:rsidR="004A187D" w:rsidRPr="005028EC">
        <w:rPr>
          <w:rFonts w:ascii="Arial" w:hAnsi="Arial" w:cs="Arial"/>
          <w:sz w:val="22"/>
          <w:szCs w:val="22"/>
          <w:lang w:val="es-ES_tradnl"/>
        </w:rPr>
        <w:t xml:space="preserve">Finalmente, se espera que el </w:t>
      </w:r>
      <w:r w:rsidR="0005509D" w:rsidRPr="005028EC">
        <w:rPr>
          <w:rFonts w:ascii="Arial" w:hAnsi="Arial" w:cs="Arial"/>
          <w:sz w:val="22"/>
          <w:szCs w:val="22"/>
          <w:lang w:val="es-ES_tradnl"/>
        </w:rPr>
        <w:t>C</w:t>
      </w:r>
      <w:r w:rsidR="004A187D" w:rsidRPr="005028EC">
        <w:rPr>
          <w:rFonts w:ascii="Arial" w:hAnsi="Arial" w:cs="Arial"/>
          <w:sz w:val="22"/>
          <w:szCs w:val="22"/>
          <w:lang w:val="es-ES_tradnl"/>
        </w:rPr>
        <w:t>omponente</w:t>
      </w:r>
      <w:r w:rsidR="0005509D" w:rsidRPr="005028EC">
        <w:rPr>
          <w:rFonts w:ascii="Arial" w:hAnsi="Arial" w:cs="Arial"/>
          <w:sz w:val="22"/>
          <w:szCs w:val="22"/>
          <w:lang w:val="es-ES_tradnl"/>
        </w:rPr>
        <w:t xml:space="preserve"> 1</w:t>
      </w:r>
      <w:r w:rsidR="004A187D" w:rsidRPr="005028EC">
        <w:rPr>
          <w:rFonts w:ascii="Arial" w:hAnsi="Arial" w:cs="Arial"/>
          <w:sz w:val="22"/>
          <w:szCs w:val="22"/>
          <w:lang w:val="es-ES_tradnl"/>
        </w:rPr>
        <w:t xml:space="preserve"> del programa financie una encuesta nacional a hogares sobre inclusión financiera. Se espera que la información generada por esta encuesta sea un insumo de utilidad para las actividades de evaluación.</w:t>
      </w:r>
    </w:p>
    <w:p w14:paraId="01AD3F63" w14:textId="77777777" w:rsidR="00D20F05" w:rsidRPr="004A187D" w:rsidRDefault="00730402" w:rsidP="002C6B47">
      <w:pPr>
        <w:pStyle w:val="Paragraph"/>
        <w:tabs>
          <w:tab w:val="clear" w:pos="2736"/>
        </w:tabs>
        <w:ind w:left="720" w:hanging="720"/>
        <w:rPr>
          <w:rFonts w:ascii="Arial" w:hAnsi="Arial" w:cs="Arial"/>
          <w:sz w:val="22"/>
          <w:szCs w:val="22"/>
          <w:lang w:val="es-ES_tradnl"/>
        </w:rPr>
      </w:pPr>
      <w:r w:rsidRPr="004A187D">
        <w:rPr>
          <w:rFonts w:ascii="Arial" w:hAnsi="Arial" w:cs="Arial"/>
          <w:b/>
          <w:sz w:val="22"/>
          <w:szCs w:val="22"/>
          <w:lang w:val="es-ES_tradnl"/>
        </w:rPr>
        <w:t xml:space="preserve">Usuarios. </w:t>
      </w:r>
      <w:r w:rsidR="00D20F05" w:rsidRPr="004A187D">
        <w:rPr>
          <w:rFonts w:ascii="Arial" w:hAnsi="Arial" w:cs="Arial"/>
          <w:sz w:val="22"/>
          <w:szCs w:val="22"/>
          <w:lang w:val="es-ES_tradnl"/>
        </w:rPr>
        <w:t>Los usuarios de los informes semestrales de seguimiento será</w:t>
      </w:r>
      <w:r w:rsidRPr="004A187D">
        <w:rPr>
          <w:rFonts w:ascii="Arial" w:hAnsi="Arial" w:cs="Arial"/>
          <w:sz w:val="22"/>
          <w:szCs w:val="22"/>
          <w:lang w:val="es-ES_tradnl"/>
        </w:rPr>
        <w:t>n</w:t>
      </w:r>
      <w:r w:rsidR="00D20F05" w:rsidRPr="004A187D">
        <w:rPr>
          <w:rFonts w:ascii="Arial" w:hAnsi="Arial" w:cs="Arial"/>
          <w:sz w:val="22"/>
          <w:szCs w:val="22"/>
          <w:lang w:val="es-ES_tradnl"/>
        </w:rPr>
        <w:t xml:space="preserve"> el organismo financiador del </w:t>
      </w:r>
      <w:r w:rsidR="00A553CA" w:rsidRPr="004A187D">
        <w:rPr>
          <w:rFonts w:ascii="Arial" w:hAnsi="Arial" w:cs="Arial"/>
          <w:sz w:val="22"/>
          <w:szCs w:val="22"/>
          <w:lang w:val="es-ES_tradnl"/>
        </w:rPr>
        <w:t>p</w:t>
      </w:r>
      <w:r w:rsidR="00D20F05" w:rsidRPr="004A187D">
        <w:rPr>
          <w:rFonts w:ascii="Arial" w:hAnsi="Arial" w:cs="Arial"/>
          <w:sz w:val="22"/>
          <w:szCs w:val="22"/>
          <w:lang w:val="es-ES_tradnl"/>
        </w:rPr>
        <w:t xml:space="preserve">rograma (BID), más concretamente la División de </w:t>
      </w:r>
      <w:r w:rsidR="004A187D">
        <w:rPr>
          <w:rFonts w:ascii="Arial" w:hAnsi="Arial" w:cs="Arial"/>
          <w:sz w:val="22"/>
          <w:szCs w:val="22"/>
          <w:lang w:val="es-ES_tradnl"/>
        </w:rPr>
        <w:t>Conectividad, Mercados y Finanzas</w:t>
      </w:r>
      <w:r w:rsidR="00D20F05" w:rsidRPr="004A187D">
        <w:rPr>
          <w:rFonts w:ascii="Arial" w:hAnsi="Arial" w:cs="Arial"/>
          <w:sz w:val="22"/>
          <w:szCs w:val="22"/>
          <w:lang w:val="es-ES_tradnl"/>
        </w:rPr>
        <w:t xml:space="preserve"> (IFD/CMF), </w:t>
      </w:r>
      <w:r w:rsidR="00104C93" w:rsidRPr="004A187D">
        <w:rPr>
          <w:rFonts w:ascii="Arial" w:hAnsi="Arial" w:cs="Arial"/>
          <w:sz w:val="22"/>
          <w:szCs w:val="22"/>
          <w:lang w:val="es-ES_tradnl"/>
        </w:rPr>
        <w:t xml:space="preserve">el Ministerio de </w:t>
      </w:r>
      <w:r w:rsidR="004A187D" w:rsidRPr="004A187D">
        <w:rPr>
          <w:rFonts w:ascii="Arial" w:hAnsi="Arial" w:cs="Arial"/>
          <w:sz w:val="22"/>
          <w:szCs w:val="22"/>
          <w:lang w:val="es-ES_tradnl"/>
        </w:rPr>
        <w:t>Economía y Finanzas</w:t>
      </w:r>
      <w:r w:rsidR="00D20F05" w:rsidRPr="004A187D">
        <w:rPr>
          <w:rFonts w:ascii="Arial" w:hAnsi="Arial" w:cs="Arial"/>
          <w:sz w:val="22"/>
          <w:szCs w:val="22"/>
          <w:lang w:val="es-ES_tradnl"/>
        </w:rPr>
        <w:t>,</w:t>
      </w:r>
      <w:r w:rsidR="004A187D" w:rsidRPr="004A187D">
        <w:rPr>
          <w:rFonts w:ascii="Arial" w:hAnsi="Arial" w:cs="Arial"/>
          <w:sz w:val="22"/>
          <w:szCs w:val="22"/>
          <w:lang w:val="es-ES_tradnl"/>
        </w:rPr>
        <w:t xml:space="preserve"> FONCAP</w:t>
      </w:r>
      <w:r w:rsidR="00D20F05" w:rsidRPr="004A187D">
        <w:rPr>
          <w:rFonts w:ascii="Arial" w:hAnsi="Arial" w:cs="Arial"/>
          <w:sz w:val="22"/>
          <w:szCs w:val="22"/>
          <w:lang w:val="es-ES_tradnl"/>
        </w:rPr>
        <w:t xml:space="preserve"> y las auditorías que trabajen en la supervisión del </w:t>
      </w:r>
      <w:r w:rsidR="007C5843" w:rsidRPr="004A187D">
        <w:rPr>
          <w:rFonts w:ascii="Arial" w:hAnsi="Arial" w:cs="Arial"/>
          <w:sz w:val="22"/>
          <w:szCs w:val="22"/>
          <w:lang w:val="es-ES_tradnl"/>
        </w:rPr>
        <w:t>p</w:t>
      </w:r>
      <w:r w:rsidR="00D20F05" w:rsidRPr="004A187D">
        <w:rPr>
          <w:rFonts w:ascii="Arial" w:hAnsi="Arial" w:cs="Arial"/>
          <w:sz w:val="22"/>
          <w:szCs w:val="22"/>
          <w:lang w:val="es-ES_tradnl"/>
        </w:rPr>
        <w:t xml:space="preserve">rograma. </w:t>
      </w:r>
    </w:p>
    <w:p w14:paraId="6E657A86" w14:textId="77777777" w:rsidR="00062D0D" w:rsidRPr="00BC3C67" w:rsidRDefault="0068441B" w:rsidP="0081242F">
      <w:pPr>
        <w:pStyle w:val="SecHeading"/>
        <w:tabs>
          <w:tab w:val="clear" w:pos="5400"/>
          <w:tab w:val="num" w:pos="1260"/>
        </w:tabs>
        <w:ind w:hanging="4680"/>
        <w:rPr>
          <w:rFonts w:ascii="Arial" w:hAnsi="Arial" w:cs="Arial"/>
          <w:color w:val="auto"/>
          <w:sz w:val="22"/>
          <w:szCs w:val="22"/>
        </w:rPr>
      </w:pPr>
      <w:bookmarkStart w:id="14" w:name="_Toc352756755"/>
      <w:bookmarkStart w:id="15" w:name="_Toc491884243"/>
      <w:r w:rsidRPr="00BC3C67">
        <w:rPr>
          <w:rFonts w:ascii="Arial" w:hAnsi="Arial" w:cs="Arial"/>
          <w:color w:val="auto"/>
          <w:sz w:val="22"/>
          <w:szCs w:val="22"/>
        </w:rPr>
        <w:t xml:space="preserve">Presentación de </w:t>
      </w:r>
      <w:bookmarkEnd w:id="14"/>
      <w:r w:rsidRPr="00BC3C67">
        <w:rPr>
          <w:rFonts w:ascii="Arial" w:hAnsi="Arial" w:cs="Arial"/>
          <w:color w:val="auto"/>
          <w:sz w:val="22"/>
          <w:szCs w:val="22"/>
        </w:rPr>
        <w:t>Informes</w:t>
      </w:r>
      <w:bookmarkEnd w:id="15"/>
      <w:r w:rsidR="00062D0D" w:rsidRPr="00BC3C67">
        <w:rPr>
          <w:rFonts w:ascii="Arial" w:hAnsi="Arial" w:cs="Arial"/>
          <w:color w:val="auto"/>
          <w:sz w:val="22"/>
          <w:szCs w:val="22"/>
        </w:rPr>
        <w:t xml:space="preserve"> </w:t>
      </w:r>
    </w:p>
    <w:p w14:paraId="461A6469" w14:textId="00D9BBD3" w:rsidR="00721673" w:rsidRPr="00E909C2" w:rsidRDefault="00721673" w:rsidP="00764557">
      <w:pPr>
        <w:pStyle w:val="Paragraph"/>
        <w:tabs>
          <w:tab w:val="clear" w:pos="2736"/>
        </w:tabs>
        <w:ind w:left="720" w:hanging="720"/>
        <w:rPr>
          <w:rFonts w:ascii="Arial" w:hAnsi="Arial" w:cs="Arial"/>
          <w:sz w:val="22"/>
          <w:szCs w:val="22"/>
          <w:lang w:val="es-ES_tradnl"/>
        </w:rPr>
      </w:pPr>
      <w:r w:rsidRPr="00E909C2">
        <w:rPr>
          <w:rFonts w:ascii="Arial" w:hAnsi="Arial" w:cs="Arial"/>
          <w:sz w:val="22"/>
          <w:szCs w:val="22"/>
          <w:lang w:val="es-ES_tradnl"/>
        </w:rPr>
        <w:t xml:space="preserve">La ejecución del programa será monitoreada a través de informes de seguimiento. Dichos informes serán preparados por </w:t>
      </w:r>
      <w:r w:rsidR="00BC3C67" w:rsidRPr="00E909C2">
        <w:rPr>
          <w:rFonts w:ascii="Arial" w:hAnsi="Arial" w:cs="Arial"/>
          <w:sz w:val="22"/>
          <w:szCs w:val="22"/>
          <w:lang w:val="es-ES_tradnl"/>
        </w:rPr>
        <w:t xml:space="preserve">la </w:t>
      </w:r>
      <w:r w:rsidR="00EB2CF3" w:rsidRPr="00E909C2">
        <w:rPr>
          <w:rFonts w:ascii="Arial" w:hAnsi="Arial" w:cs="Arial"/>
          <w:sz w:val="22"/>
          <w:szCs w:val="22"/>
          <w:lang w:val="es-ES_tradnl"/>
        </w:rPr>
        <w:t>UCP y</w:t>
      </w:r>
      <w:r w:rsidRPr="00E909C2">
        <w:rPr>
          <w:rFonts w:ascii="Arial" w:hAnsi="Arial" w:cs="Arial"/>
          <w:sz w:val="22"/>
          <w:szCs w:val="22"/>
          <w:lang w:val="es-ES_tradnl"/>
        </w:rPr>
        <w:t xml:space="preserve"> enviados al Banco en los plazos estipulados en las condiciones generales de contratación. </w:t>
      </w:r>
      <w:r w:rsidRPr="00275BBC">
        <w:rPr>
          <w:rFonts w:ascii="Arial" w:hAnsi="Arial" w:cs="Arial"/>
          <w:sz w:val="22"/>
          <w:szCs w:val="22"/>
          <w:lang w:val="es-ES_tradnl"/>
        </w:rPr>
        <w:t>Estos informes, que constituirán una fuente de información para el PMR, incluyen: (i)</w:t>
      </w:r>
      <w:r w:rsidR="007C5843" w:rsidRPr="00275BBC">
        <w:rPr>
          <w:rFonts w:ascii="Arial" w:hAnsi="Arial" w:cs="Arial"/>
          <w:sz w:val="22"/>
          <w:szCs w:val="22"/>
          <w:lang w:val="es-ES_tradnl"/>
        </w:rPr>
        <w:t> </w:t>
      </w:r>
      <w:r w:rsidRPr="00275BBC">
        <w:rPr>
          <w:rFonts w:ascii="Arial" w:hAnsi="Arial" w:cs="Arial"/>
          <w:sz w:val="22"/>
          <w:szCs w:val="22"/>
          <w:lang w:val="es-ES_tradnl"/>
        </w:rPr>
        <w:t xml:space="preserve">informes semestrales, y (ii) un informe final, </w:t>
      </w:r>
      <w:r w:rsidR="00764557" w:rsidRPr="00764557">
        <w:rPr>
          <w:rFonts w:ascii="Arial" w:hAnsi="Arial" w:cs="Arial"/>
          <w:sz w:val="22"/>
          <w:szCs w:val="22"/>
          <w:lang w:val="es-ES_tradnl"/>
        </w:rPr>
        <w:t>que deberá presentarse al</w:t>
      </w:r>
      <w:r w:rsidR="00764557" w:rsidRPr="00764557">
        <w:rPr>
          <w:rFonts w:ascii="Arial" w:hAnsi="Arial" w:cs="Arial"/>
          <w:sz w:val="22"/>
          <w:szCs w:val="22"/>
          <w:lang w:val="es-ES_tradnl"/>
        </w:rPr>
        <w:t xml:space="preserve"> </w:t>
      </w:r>
      <w:r w:rsidR="00764557" w:rsidRPr="00764557">
        <w:rPr>
          <w:rFonts w:ascii="Arial" w:hAnsi="Arial" w:cs="Arial"/>
          <w:sz w:val="22"/>
          <w:szCs w:val="22"/>
          <w:lang w:val="es-ES_tradnl"/>
        </w:rPr>
        <w:t>Banco dentro de los sesenta (60) días siguientes a la fecha del último desembolso</w:t>
      </w:r>
      <w:r w:rsidR="00764557">
        <w:rPr>
          <w:rFonts w:ascii="Arial" w:hAnsi="Arial" w:cs="Arial"/>
          <w:sz w:val="22"/>
          <w:szCs w:val="22"/>
          <w:lang w:val="es-ES_tradnl"/>
        </w:rPr>
        <w:t>.</w:t>
      </w:r>
      <w:bookmarkStart w:id="16" w:name="_GoBack"/>
      <w:bookmarkEnd w:id="16"/>
      <w:r w:rsidRPr="00275BBC">
        <w:rPr>
          <w:rFonts w:ascii="Arial" w:hAnsi="Arial" w:cs="Arial"/>
          <w:sz w:val="22"/>
          <w:szCs w:val="22"/>
          <w:lang w:val="es-ES_tradnl"/>
        </w:rPr>
        <w:t xml:space="preserve"> </w:t>
      </w:r>
      <w:r w:rsidRPr="00E909C2">
        <w:rPr>
          <w:rFonts w:ascii="Arial" w:hAnsi="Arial" w:cs="Arial"/>
          <w:sz w:val="22"/>
          <w:szCs w:val="22"/>
          <w:lang w:val="es-ES_tradnl"/>
        </w:rPr>
        <w:t xml:space="preserve">En general, estos informes proporcionarán evidencia sobre: a) el estado de ejecución de las actividades del programa, el cumplimiento de los criterios de elegibilidad, los problemas y/o riesgos de ejecución identificados y las medidas propuestas para subsanar o mitigar esos problemas o riesgos; </w:t>
      </w:r>
      <w:r w:rsidR="00BC3C67" w:rsidRPr="00E909C2">
        <w:rPr>
          <w:rFonts w:ascii="Arial" w:hAnsi="Arial" w:cs="Arial"/>
          <w:sz w:val="22"/>
          <w:szCs w:val="22"/>
          <w:lang w:val="es-ES_tradnl"/>
        </w:rPr>
        <w:t>b)</w:t>
      </w:r>
      <w:r w:rsidRPr="00E909C2">
        <w:rPr>
          <w:rFonts w:ascii="Arial" w:hAnsi="Arial" w:cs="Arial"/>
          <w:sz w:val="22"/>
          <w:szCs w:val="22"/>
          <w:lang w:val="es-ES_tradnl"/>
        </w:rPr>
        <w:t xml:space="preserve"> la medida en que se están cumpliendo las salvaguardas ambientales y sociales del programa</w:t>
      </w:r>
      <w:r w:rsidR="009D50B1" w:rsidRPr="00E909C2">
        <w:rPr>
          <w:rFonts w:ascii="Arial" w:hAnsi="Arial" w:cs="Arial"/>
          <w:sz w:val="22"/>
          <w:szCs w:val="22"/>
          <w:lang w:val="es-ES_tradnl"/>
        </w:rPr>
        <w:t>, en su caso</w:t>
      </w:r>
      <w:r w:rsidRPr="00E909C2">
        <w:rPr>
          <w:rFonts w:ascii="Arial" w:hAnsi="Arial" w:cs="Arial"/>
          <w:sz w:val="22"/>
          <w:szCs w:val="22"/>
          <w:lang w:val="es-ES_tradnl"/>
        </w:rPr>
        <w:t>; y c) el logro de los indicadores de producto y resultados esperados, en la medida en que estos se materialicen.</w:t>
      </w:r>
    </w:p>
    <w:p w14:paraId="7D8AF91E" w14:textId="77777777" w:rsidR="009C71F1" w:rsidRPr="009847F5" w:rsidRDefault="009C71F1" w:rsidP="00AF2969">
      <w:pPr>
        <w:pStyle w:val="Paragraph"/>
        <w:tabs>
          <w:tab w:val="clear" w:pos="2736"/>
        </w:tabs>
        <w:ind w:left="720" w:hanging="720"/>
        <w:rPr>
          <w:rFonts w:ascii="Arial" w:hAnsi="Arial" w:cs="Arial"/>
          <w:sz w:val="22"/>
          <w:szCs w:val="22"/>
          <w:lang w:val="es-ES_tradnl"/>
        </w:rPr>
      </w:pPr>
      <w:r w:rsidRPr="009847F5">
        <w:rPr>
          <w:rFonts w:ascii="Arial" w:hAnsi="Arial" w:cs="Arial"/>
          <w:sz w:val="22"/>
          <w:szCs w:val="22"/>
          <w:lang w:val="es-ES_tradnl"/>
        </w:rPr>
        <w:t xml:space="preserve">Los informes financieros del programa serán auditados anualmente por una firma auditora independiente aceptada por el Banco, </w:t>
      </w:r>
      <w:r w:rsidRPr="00F436E1">
        <w:rPr>
          <w:rFonts w:ascii="Arial" w:hAnsi="Arial" w:cs="Arial"/>
          <w:sz w:val="22"/>
          <w:szCs w:val="22"/>
          <w:lang w:val="es-ES_tradnl"/>
        </w:rPr>
        <w:t>contratada y pagada por el OE</w:t>
      </w:r>
      <w:r w:rsidRPr="009847F5">
        <w:rPr>
          <w:rFonts w:ascii="Arial" w:hAnsi="Arial" w:cs="Arial"/>
          <w:sz w:val="22"/>
          <w:szCs w:val="22"/>
          <w:lang w:val="es-ES_tradnl"/>
        </w:rPr>
        <w:t>. Los informes financieros auditados del programa serán remitidos al Banco no más tarde de 120 días después del cierre del año fiscal del OE.</w:t>
      </w:r>
    </w:p>
    <w:p w14:paraId="5783E018" w14:textId="77777777" w:rsidR="00062D0D" w:rsidRPr="009E0793" w:rsidRDefault="00062D0D" w:rsidP="00F03CC9">
      <w:pPr>
        <w:pStyle w:val="SecHeading"/>
        <w:tabs>
          <w:tab w:val="clear" w:pos="5400"/>
          <w:tab w:val="num" w:pos="1260"/>
        </w:tabs>
        <w:ind w:right="-82" w:hanging="4680"/>
        <w:rPr>
          <w:rFonts w:ascii="Arial" w:hAnsi="Arial" w:cs="Arial"/>
          <w:color w:val="auto"/>
          <w:sz w:val="22"/>
          <w:szCs w:val="22"/>
        </w:rPr>
      </w:pPr>
      <w:bookmarkStart w:id="17" w:name="_Toc352756756"/>
      <w:bookmarkStart w:id="18" w:name="_Toc491884244"/>
      <w:r w:rsidRPr="009E0793">
        <w:rPr>
          <w:rFonts w:ascii="Arial" w:hAnsi="Arial" w:cs="Arial"/>
          <w:color w:val="auto"/>
          <w:sz w:val="22"/>
          <w:szCs w:val="22"/>
        </w:rPr>
        <w:t>Coordinación del Monitoreo, Plan de Trabajo y</w:t>
      </w:r>
      <w:r w:rsidR="00F03CC9" w:rsidRPr="009E0793">
        <w:rPr>
          <w:rFonts w:ascii="Arial" w:hAnsi="Arial" w:cs="Arial"/>
          <w:color w:val="auto"/>
          <w:sz w:val="22"/>
          <w:szCs w:val="22"/>
        </w:rPr>
        <w:t xml:space="preserve"> </w:t>
      </w:r>
      <w:r w:rsidRPr="009E0793">
        <w:rPr>
          <w:rFonts w:ascii="Arial" w:hAnsi="Arial" w:cs="Arial"/>
          <w:color w:val="auto"/>
          <w:sz w:val="22"/>
          <w:szCs w:val="22"/>
        </w:rPr>
        <w:t>Presupuesto</w:t>
      </w:r>
      <w:bookmarkEnd w:id="17"/>
      <w:bookmarkEnd w:id="18"/>
      <w:r w:rsidRPr="009E0793">
        <w:rPr>
          <w:rFonts w:ascii="Arial" w:hAnsi="Arial" w:cs="Arial"/>
          <w:color w:val="auto"/>
          <w:sz w:val="22"/>
          <w:szCs w:val="22"/>
        </w:rPr>
        <w:t xml:space="preserve"> </w:t>
      </w:r>
    </w:p>
    <w:p w14:paraId="7938DDA5" w14:textId="77777777" w:rsidR="00062D0D" w:rsidRPr="009E0793" w:rsidRDefault="009E0793" w:rsidP="00AF2969">
      <w:pPr>
        <w:pStyle w:val="Paragraph"/>
        <w:tabs>
          <w:tab w:val="clear" w:pos="2736"/>
          <w:tab w:val="num" w:pos="720"/>
        </w:tabs>
        <w:ind w:left="720" w:hanging="720"/>
        <w:rPr>
          <w:rFonts w:ascii="Arial" w:hAnsi="Arial" w:cs="Arial"/>
          <w:sz w:val="22"/>
          <w:szCs w:val="22"/>
          <w:lang w:val="es-ES_tradnl"/>
        </w:rPr>
      </w:pPr>
      <w:bookmarkStart w:id="19" w:name="_Toc352755939"/>
      <w:bookmarkStart w:id="20" w:name="_Toc387738398"/>
      <w:r w:rsidRPr="009E0793">
        <w:rPr>
          <w:rFonts w:ascii="Arial" w:hAnsi="Arial" w:cs="Arial"/>
          <w:sz w:val="22"/>
          <w:szCs w:val="22"/>
          <w:lang w:val="es-ES_tradnl"/>
        </w:rPr>
        <w:t>La UCP</w:t>
      </w:r>
      <w:r w:rsidR="00062D0D" w:rsidRPr="009E0793">
        <w:rPr>
          <w:rFonts w:ascii="Arial" w:hAnsi="Arial" w:cs="Arial"/>
          <w:sz w:val="22"/>
          <w:szCs w:val="22"/>
          <w:lang w:val="es-ES_tradnl"/>
        </w:rPr>
        <w:t xml:space="preserve"> será responsable </w:t>
      </w:r>
      <w:r w:rsidR="00C660DE" w:rsidRPr="009E0793">
        <w:rPr>
          <w:rFonts w:ascii="Arial" w:hAnsi="Arial" w:cs="Arial"/>
          <w:sz w:val="22"/>
          <w:szCs w:val="22"/>
          <w:lang w:val="es-ES_tradnl"/>
        </w:rPr>
        <w:t>de</w:t>
      </w:r>
      <w:r w:rsidR="00062D0D" w:rsidRPr="009E0793">
        <w:rPr>
          <w:rFonts w:ascii="Arial" w:hAnsi="Arial" w:cs="Arial"/>
          <w:sz w:val="22"/>
          <w:szCs w:val="22"/>
          <w:lang w:val="es-ES_tradnl"/>
        </w:rPr>
        <w:t xml:space="preserve"> la supervisión y coordinación operacional y administrativa del programa. Sus funciones administrativas incluirán, entre otras: (i) la planificación de la ejecución del programa; (ii) sus desembolsos; (iii) sus controles internos; (iv) su auditoria; (v) el mantenimiento y continua actualización </w:t>
      </w:r>
      <w:r w:rsidR="00062D0D" w:rsidRPr="009E0793">
        <w:rPr>
          <w:rFonts w:ascii="Arial" w:hAnsi="Arial" w:cs="Arial"/>
          <w:sz w:val="22"/>
          <w:szCs w:val="22"/>
          <w:lang w:val="es-ES_tradnl"/>
        </w:rPr>
        <w:lastRenderedPageBreak/>
        <w:t>de todas las informaciones necesarias para gene</w:t>
      </w:r>
      <w:r w:rsidR="00C660DE" w:rsidRPr="009E0793">
        <w:rPr>
          <w:rFonts w:ascii="Arial" w:hAnsi="Arial" w:cs="Arial"/>
          <w:sz w:val="22"/>
          <w:szCs w:val="22"/>
          <w:lang w:val="es-ES_tradnl"/>
        </w:rPr>
        <w:t>rar los indicadores de producto y</w:t>
      </w:r>
      <w:r w:rsidR="00062D0D" w:rsidRPr="009E0793">
        <w:rPr>
          <w:rFonts w:ascii="Arial" w:hAnsi="Arial" w:cs="Arial"/>
          <w:sz w:val="22"/>
          <w:szCs w:val="22"/>
          <w:lang w:val="es-ES_tradnl"/>
        </w:rPr>
        <w:t xml:space="preserve"> resultados; </w:t>
      </w:r>
      <w:r w:rsidR="00C660DE" w:rsidRPr="009E0793">
        <w:rPr>
          <w:rFonts w:ascii="Arial" w:hAnsi="Arial" w:cs="Arial"/>
          <w:sz w:val="22"/>
          <w:szCs w:val="22"/>
          <w:lang w:val="es-ES_tradnl"/>
        </w:rPr>
        <w:t xml:space="preserve">y </w:t>
      </w:r>
      <w:r w:rsidR="001A0014" w:rsidRPr="009E0793">
        <w:rPr>
          <w:rFonts w:ascii="Arial" w:hAnsi="Arial" w:cs="Arial"/>
          <w:sz w:val="22"/>
          <w:szCs w:val="22"/>
          <w:lang w:val="es-ES_tradnl"/>
        </w:rPr>
        <w:t xml:space="preserve">(vi) </w:t>
      </w:r>
      <w:r w:rsidR="00062D0D" w:rsidRPr="009E0793">
        <w:rPr>
          <w:rFonts w:ascii="Arial" w:hAnsi="Arial" w:cs="Arial"/>
          <w:sz w:val="22"/>
          <w:szCs w:val="22"/>
          <w:lang w:val="es-ES_tradnl"/>
        </w:rPr>
        <w:t>la generación de reportes periódicos sobre su desempeño.</w:t>
      </w:r>
      <w:bookmarkEnd w:id="19"/>
      <w:bookmarkEnd w:id="20"/>
    </w:p>
    <w:p w14:paraId="159BF67C" w14:textId="77777777" w:rsidR="00C7238F" w:rsidRPr="00F436E1" w:rsidRDefault="00C7238F" w:rsidP="00AF2969">
      <w:pPr>
        <w:pStyle w:val="Paragraph"/>
        <w:tabs>
          <w:tab w:val="clear" w:pos="2736"/>
          <w:tab w:val="num" w:pos="720"/>
        </w:tabs>
        <w:ind w:left="720" w:hanging="720"/>
        <w:rPr>
          <w:rFonts w:ascii="Arial" w:hAnsi="Arial" w:cs="Arial"/>
          <w:sz w:val="22"/>
          <w:szCs w:val="22"/>
          <w:lang w:val="es-ES_tradnl"/>
        </w:rPr>
      </w:pPr>
      <w:r w:rsidRPr="00F436E1">
        <w:rPr>
          <w:rFonts w:ascii="Arial" w:hAnsi="Arial" w:cs="Arial"/>
          <w:sz w:val="22"/>
          <w:szCs w:val="22"/>
          <w:lang w:val="es-ES_tradnl"/>
        </w:rPr>
        <w:t xml:space="preserve">Los costos de </w:t>
      </w:r>
      <w:r w:rsidR="007C5843" w:rsidRPr="00F436E1">
        <w:rPr>
          <w:rFonts w:ascii="Arial" w:hAnsi="Arial" w:cs="Arial"/>
          <w:sz w:val="22"/>
          <w:szCs w:val="22"/>
          <w:lang w:val="es-ES_tradnl"/>
        </w:rPr>
        <w:t>m</w:t>
      </w:r>
      <w:r w:rsidRPr="00F436E1">
        <w:rPr>
          <w:rFonts w:ascii="Arial" w:hAnsi="Arial" w:cs="Arial"/>
          <w:sz w:val="22"/>
          <w:szCs w:val="22"/>
          <w:lang w:val="es-ES_tradnl"/>
        </w:rPr>
        <w:t xml:space="preserve">onitoreo serán cubiertos por </w:t>
      </w:r>
      <w:r w:rsidR="00602ED7" w:rsidRPr="00F436E1">
        <w:rPr>
          <w:rFonts w:ascii="Arial" w:hAnsi="Arial" w:cs="Arial"/>
          <w:sz w:val="22"/>
          <w:szCs w:val="22"/>
          <w:lang w:val="es-ES_tradnl"/>
        </w:rPr>
        <w:t>la UCP</w:t>
      </w:r>
      <w:r w:rsidRPr="00F436E1">
        <w:rPr>
          <w:rFonts w:ascii="Arial" w:hAnsi="Arial" w:cs="Arial"/>
          <w:sz w:val="22"/>
          <w:szCs w:val="22"/>
          <w:lang w:val="es-ES_tradnl"/>
        </w:rPr>
        <w:t>.</w:t>
      </w:r>
    </w:p>
    <w:p w14:paraId="1B4BAA1F" w14:textId="77777777" w:rsidR="00062D0D" w:rsidRPr="00602ED7" w:rsidRDefault="00A553CA" w:rsidP="00832D40">
      <w:pPr>
        <w:spacing w:before="120" w:after="120" w:line="240" w:lineRule="auto"/>
        <w:jc w:val="center"/>
        <w:rPr>
          <w:rFonts w:ascii="Arial" w:hAnsi="Arial" w:cs="Arial"/>
          <w:b/>
          <w:sz w:val="20"/>
          <w:lang w:val="es-ES_tradnl"/>
        </w:rPr>
      </w:pPr>
      <w:r w:rsidRPr="00602ED7">
        <w:rPr>
          <w:rFonts w:ascii="Arial" w:hAnsi="Arial" w:cs="Arial"/>
          <w:b/>
          <w:sz w:val="20"/>
          <w:lang w:val="es-ES_tradnl"/>
        </w:rPr>
        <w:t xml:space="preserve">Cuadro </w:t>
      </w:r>
      <w:r w:rsidR="00062D0D" w:rsidRPr="00602ED7">
        <w:rPr>
          <w:rFonts w:ascii="Arial" w:hAnsi="Arial" w:cs="Arial"/>
          <w:b/>
          <w:sz w:val="20"/>
          <w:lang w:val="es-ES_tradnl"/>
        </w:rPr>
        <w:t>2</w:t>
      </w:r>
      <w:r w:rsidR="002525CF" w:rsidRPr="00602ED7">
        <w:rPr>
          <w:rFonts w:ascii="Arial" w:hAnsi="Arial" w:cs="Arial"/>
          <w:b/>
          <w:sz w:val="20"/>
          <w:lang w:val="es-ES_tradnl"/>
        </w:rPr>
        <w:t xml:space="preserve">. </w:t>
      </w:r>
      <w:r w:rsidR="00062D0D" w:rsidRPr="00602ED7">
        <w:rPr>
          <w:rFonts w:ascii="Arial" w:hAnsi="Arial" w:cs="Arial"/>
          <w:b/>
          <w:sz w:val="20"/>
          <w:lang w:val="es-ES_tradnl"/>
        </w:rPr>
        <w:t xml:space="preserve"> Plan de Trabajo </w:t>
      </w:r>
      <w:r w:rsidR="00C7238F" w:rsidRPr="00602ED7">
        <w:rPr>
          <w:rFonts w:ascii="Arial" w:hAnsi="Arial" w:cs="Arial"/>
          <w:b/>
          <w:sz w:val="20"/>
          <w:lang w:val="es-ES_tradnl"/>
        </w:rPr>
        <w:t xml:space="preserve">y Presupuesto </w:t>
      </w:r>
      <w:r w:rsidR="00062D0D" w:rsidRPr="00602ED7">
        <w:rPr>
          <w:rFonts w:ascii="Arial" w:hAnsi="Arial" w:cs="Arial"/>
          <w:b/>
          <w:sz w:val="20"/>
          <w:lang w:val="es-ES_tradnl"/>
        </w:rPr>
        <w:t>de Monitoreo</w:t>
      </w:r>
      <w:r w:rsidR="00AF6C6D" w:rsidRPr="00602ED7">
        <w:rPr>
          <w:rFonts w:ascii="Arial" w:hAnsi="Arial" w:cs="Arial"/>
          <w:b/>
          <w:sz w:val="20"/>
          <w:lang w:val="es-ES_tradnl"/>
        </w:rPr>
        <w:t xml:space="preserve"> y Evaluación</w:t>
      </w:r>
    </w:p>
    <w:p w14:paraId="40CA2E25" w14:textId="77777777" w:rsidR="00E4468A" w:rsidRPr="00602ED7" w:rsidRDefault="00E4468A" w:rsidP="00E4468A">
      <w:pPr>
        <w:rPr>
          <w:rFonts w:ascii="Arial" w:hAnsi="Arial" w:cs="Arial"/>
          <w:lang w:val="es-ES_tradnl"/>
        </w:rPr>
        <w:sectPr w:rsidR="00E4468A" w:rsidRPr="00602ED7" w:rsidSect="00AF2969">
          <w:pgSz w:w="12242" w:h="15842" w:code="1"/>
          <w:pgMar w:top="1440" w:right="1800" w:bottom="1440" w:left="1800" w:header="720" w:footer="720" w:gutter="0"/>
          <w:cols w:space="708"/>
          <w:docGrid w:linePitch="360"/>
        </w:sectPr>
      </w:pPr>
      <w:bookmarkStart w:id="21" w:name="_Toc346643520"/>
      <w:bookmarkStart w:id="22" w:name="_Toc352755941"/>
      <w:bookmarkStart w:id="23" w:name="_Toc352756757"/>
    </w:p>
    <w:tbl>
      <w:tblPr>
        <w:tblStyle w:val="TableGrid"/>
        <w:tblW w:w="0" w:type="auto"/>
        <w:jc w:val="right"/>
        <w:tblLook w:val="04A0" w:firstRow="1" w:lastRow="0" w:firstColumn="1" w:lastColumn="0" w:noHBand="0" w:noVBand="1"/>
      </w:tblPr>
      <w:tblGrid>
        <w:gridCol w:w="1331"/>
        <w:gridCol w:w="337"/>
        <w:gridCol w:w="337"/>
        <w:gridCol w:w="337"/>
        <w:gridCol w:w="337"/>
        <w:gridCol w:w="337"/>
        <w:gridCol w:w="337"/>
        <w:gridCol w:w="337"/>
        <w:gridCol w:w="608"/>
        <w:gridCol w:w="9"/>
        <w:gridCol w:w="1190"/>
        <w:gridCol w:w="9"/>
        <w:gridCol w:w="1337"/>
        <w:gridCol w:w="1432"/>
      </w:tblGrid>
      <w:tr w:rsidR="0058251C" w:rsidRPr="00FB6649" w14:paraId="6438CA4B" w14:textId="77777777" w:rsidTr="008E445B">
        <w:trPr>
          <w:trHeight w:val="404"/>
          <w:jc w:val="right"/>
        </w:trPr>
        <w:tc>
          <w:tcPr>
            <w:tcW w:w="1331" w:type="dxa"/>
            <w:vMerge w:val="restart"/>
            <w:vAlign w:val="center"/>
          </w:tcPr>
          <w:p w14:paraId="275914D7" w14:textId="77777777" w:rsidR="0058251C" w:rsidRPr="00FB6649" w:rsidRDefault="0058251C" w:rsidP="001A6CDA">
            <w:pPr>
              <w:ind w:right="-99"/>
              <w:jc w:val="center"/>
              <w:rPr>
                <w:rFonts w:ascii="Arial" w:hAnsi="Arial" w:cs="Arial"/>
                <w:b/>
                <w:sz w:val="18"/>
                <w:szCs w:val="18"/>
                <w:lang w:val="es-ES_tradnl"/>
              </w:rPr>
            </w:pPr>
            <w:r w:rsidRPr="00FB6649">
              <w:rPr>
                <w:rFonts w:ascii="Arial" w:hAnsi="Arial" w:cs="Arial"/>
                <w:b/>
                <w:sz w:val="18"/>
                <w:szCs w:val="18"/>
                <w:lang w:val="es-ES_tradnl"/>
              </w:rPr>
              <w:t>Actividades claves de monitoreo / Productos por actividad</w:t>
            </w:r>
          </w:p>
        </w:tc>
        <w:tc>
          <w:tcPr>
            <w:tcW w:w="674" w:type="dxa"/>
            <w:gridSpan w:val="2"/>
            <w:vAlign w:val="center"/>
          </w:tcPr>
          <w:p w14:paraId="1F8135F4" w14:textId="77777777" w:rsidR="0058251C" w:rsidRPr="00FB6649" w:rsidRDefault="0058251C" w:rsidP="000A6E8E">
            <w:pPr>
              <w:jc w:val="center"/>
              <w:rPr>
                <w:rFonts w:ascii="Arial" w:hAnsi="Arial" w:cs="Arial"/>
                <w:b/>
                <w:sz w:val="18"/>
                <w:szCs w:val="18"/>
                <w:lang w:val="es-ES_tradnl"/>
              </w:rPr>
            </w:pPr>
            <w:r w:rsidRPr="00FB6649">
              <w:rPr>
                <w:rFonts w:ascii="Arial" w:hAnsi="Arial" w:cs="Arial"/>
                <w:b/>
                <w:sz w:val="18"/>
                <w:szCs w:val="18"/>
                <w:lang w:val="es-ES_tradnl"/>
              </w:rPr>
              <w:t>2018</w:t>
            </w:r>
          </w:p>
        </w:tc>
        <w:tc>
          <w:tcPr>
            <w:tcW w:w="674" w:type="dxa"/>
            <w:gridSpan w:val="2"/>
            <w:vAlign w:val="center"/>
          </w:tcPr>
          <w:p w14:paraId="3AFF8DCF" w14:textId="77777777" w:rsidR="0058251C" w:rsidRPr="00FB6649" w:rsidRDefault="0058251C" w:rsidP="000A6E8E">
            <w:pPr>
              <w:jc w:val="center"/>
              <w:rPr>
                <w:rFonts w:ascii="Arial" w:hAnsi="Arial" w:cs="Arial"/>
                <w:b/>
                <w:sz w:val="18"/>
                <w:szCs w:val="18"/>
                <w:lang w:val="es-ES_tradnl"/>
              </w:rPr>
            </w:pPr>
            <w:r w:rsidRPr="00FB6649">
              <w:rPr>
                <w:rFonts w:ascii="Arial" w:hAnsi="Arial" w:cs="Arial"/>
                <w:b/>
                <w:sz w:val="18"/>
                <w:szCs w:val="18"/>
                <w:lang w:val="es-ES_tradnl"/>
              </w:rPr>
              <w:t>2019</w:t>
            </w:r>
          </w:p>
        </w:tc>
        <w:tc>
          <w:tcPr>
            <w:tcW w:w="674" w:type="dxa"/>
            <w:gridSpan w:val="2"/>
          </w:tcPr>
          <w:p w14:paraId="78F01291" w14:textId="77777777" w:rsidR="0058251C" w:rsidRPr="00FB6649" w:rsidRDefault="0058251C" w:rsidP="000A6E8E">
            <w:pPr>
              <w:jc w:val="center"/>
              <w:rPr>
                <w:rFonts w:ascii="Arial" w:hAnsi="Arial" w:cs="Arial"/>
                <w:b/>
                <w:sz w:val="18"/>
                <w:szCs w:val="18"/>
                <w:lang w:val="es-ES_tradnl"/>
              </w:rPr>
            </w:pPr>
            <w:r w:rsidRPr="00FB6649">
              <w:rPr>
                <w:rFonts w:ascii="Arial" w:hAnsi="Arial" w:cs="Arial"/>
                <w:b/>
                <w:sz w:val="18"/>
                <w:szCs w:val="18"/>
                <w:lang w:val="es-ES_tradnl"/>
              </w:rPr>
              <w:t>2020</w:t>
            </w:r>
          </w:p>
        </w:tc>
        <w:tc>
          <w:tcPr>
            <w:tcW w:w="954" w:type="dxa"/>
            <w:gridSpan w:val="3"/>
          </w:tcPr>
          <w:p w14:paraId="2D0532BF" w14:textId="77777777" w:rsidR="0058251C" w:rsidRPr="00FB6649" w:rsidRDefault="0058251C" w:rsidP="000A6E8E">
            <w:pPr>
              <w:jc w:val="center"/>
              <w:rPr>
                <w:rFonts w:ascii="Arial" w:hAnsi="Arial" w:cs="Arial"/>
                <w:b/>
                <w:sz w:val="18"/>
                <w:szCs w:val="18"/>
                <w:lang w:val="es-ES_tradnl"/>
              </w:rPr>
            </w:pPr>
            <w:r>
              <w:rPr>
                <w:rFonts w:ascii="Arial" w:hAnsi="Arial" w:cs="Arial"/>
                <w:b/>
                <w:sz w:val="18"/>
                <w:szCs w:val="18"/>
                <w:lang w:val="es-ES_tradnl"/>
              </w:rPr>
              <w:t>2021</w:t>
            </w:r>
          </w:p>
        </w:tc>
        <w:tc>
          <w:tcPr>
            <w:tcW w:w="1199" w:type="dxa"/>
            <w:gridSpan w:val="2"/>
            <w:vAlign w:val="center"/>
          </w:tcPr>
          <w:p w14:paraId="3B789CC8" w14:textId="77777777" w:rsidR="0058251C" w:rsidRPr="00FB6649" w:rsidRDefault="0058251C" w:rsidP="000A6E8E">
            <w:pPr>
              <w:jc w:val="center"/>
              <w:rPr>
                <w:rFonts w:ascii="Arial" w:hAnsi="Arial" w:cs="Arial"/>
                <w:b/>
                <w:sz w:val="18"/>
                <w:szCs w:val="18"/>
                <w:lang w:val="es-ES_tradnl"/>
              </w:rPr>
            </w:pPr>
            <w:r w:rsidRPr="00FB6649">
              <w:rPr>
                <w:rFonts w:ascii="Arial" w:hAnsi="Arial" w:cs="Arial"/>
                <w:b/>
                <w:sz w:val="18"/>
                <w:szCs w:val="18"/>
                <w:lang w:val="es-ES_tradnl"/>
              </w:rPr>
              <w:t>Costo / Divisa</w:t>
            </w:r>
          </w:p>
        </w:tc>
        <w:tc>
          <w:tcPr>
            <w:tcW w:w="1337" w:type="dxa"/>
            <w:vAlign w:val="center"/>
          </w:tcPr>
          <w:p w14:paraId="1D2384DE" w14:textId="77777777" w:rsidR="0058251C" w:rsidRPr="00FB6649" w:rsidRDefault="0058251C" w:rsidP="000A6E8E">
            <w:pPr>
              <w:jc w:val="center"/>
              <w:rPr>
                <w:rFonts w:ascii="Arial" w:hAnsi="Arial" w:cs="Arial"/>
                <w:b/>
                <w:sz w:val="18"/>
                <w:szCs w:val="18"/>
                <w:lang w:val="es-ES_tradnl"/>
              </w:rPr>
            </w:pPr>
            <w:r w:rsidRPr="00FB6649">
              <w:rPr>
                <w:rFonts w:ascii="Arial" w:hAnsi="Arial" w:cs="Arial"/>
                <w:b/>
                <w:sz w:val="18"/>
                <w:szCs w:val="18"/>
                <w:lang w:val="es-ES_tradnl"/>
              </w:rPr>
              <w:t>Responsable</w:t>
            </w:r>
          </w:p>
        </w:tc>
        <w:tc>
          <w:tcPr>
            <w:tcW w:w="1432" w:type="dxa"/>
            <w:vAlign w:val="center"/>
          </w:tcPr>
          <w:p w14:paraId="76ACF4D0" w14:textId="77777777" w:rsidR="0058251C" w:rsidRPr="00FB6649" w:rsidRDefault="0058251C" w:rsidP="000A6E8E">
            <w:pPr>
              <w:jc w:val="center"/>
              <w:rPr>
                <w:rFonts w:ascii="Arial" w:hAnsi="Arial" w:cs="Arial"/>
                <w:b/>
                <w:sz w:val="18"/>
                <w:szCs w:val="18"/>
                <w:lang w:val="es-ES_tradnl"/>
              </w:rPr>
            </w:pPr>
            <w:r w:rsidRPr="00FB6649">
              <w:rPr>
                <w:rFonts w:ascii="Arial" w:hAnsi="Arial" w:cs="Arial"/>
                <w:b/>
                <w:sz w:val="18"/>
                <w:szCs w:val="18"/>
                <w:lang w:val="es-ES_tradnl"/>
              </w:rPr>
              <w:t>Fuente de fondeo</w:t>
            </w:r>
          </w:p>
        </w:tc>
      </w:tr>
      <w:tr w:rsidR="0058251C" w:rsidRPr="00FB6649" w14:paraId="4130271D" w14:textId="77777777" w:rsidTr="008E445B">
        <w:trPr>
          <w:jc w:val="right"/>
        </w:trPr>
        <w:tc>
          <w:tcPr>
            <w:tcW w:w="1331" w:type="dxa"/>
            <w:vMerge/>
          </w:tcPr>
          <w:p w14:paraId="71B58D77" w14:textId="77777777" w:rsidR="0058251C" w:rsidRPr="00FB6649" w:rsidRDefault="0058251C" w:rsidP="000A6E8E">
            <w:pPr>
              <w:rPr>
                <w:rFonts w:ascii="Arial" w:hAnsi="Arial" w:cs="Arial"/>
                <w:sz w:val="18"/>
                <w:szCs w:val="18"/>
                <w:lang w:val="es-ES_tradnl"/>
              </w:rPr>
            </w:pPr>
          </w:p>
        </w:tc>
        <w:tc>
          <w:tcPr>
            <w:tcW w:w="337" w:type="dxa"/>
          </w:tcPr>
          <w:p w14:paraId="5D00EF7C"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1</w:t>
            </w:r>
          </w:p>
        </w:tc>
        <w:tc>
          <w:tcPr>
            <w:tcW w:w="337" w:type="dxa"/>
          </w:tcPr>
          <w:p w14:paraId="07F05F90"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2</w:t>
            </w:r>
          </w:p>
        </w:tc>
        <w:tc>
          <w:tcPr>
            <w:tcW w:w="337" w:type="dxa"/>
          </w:tcPr>
          <w:p w14:paraId="2B8EBFED"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1</w:t>
            </w:r>
          </w:p>
        </w:tc>
        <w:tc>
          <w:tcPr>
            <w:tcW w:w="337" w:type="dxa"/>
          </w:tcPr>
          <w:p w14:paraId="1E65ABCF"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2</w:t>
            </w:r>
          </w:p>
        </w:tc>
        <w:tc>
          <w:tcPr>
            <w:tcW w:w="337" w:type="dxa"/>
          </w:tcPr>
          <w:p w14:paraId="3D7CED54"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1</w:t>
            </w:r>
          </w:p>
        </w:tc>
        <w:tc>
          <w:tcPr>
            <w:tcW w:w="337" w:type="dxa"/>
          </w:tcPr>
          <w:p w14:paraId="7CA99424"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2</w:t>
            </w:r>
          </w:p>
        </w:tc>
        <w:tc>
          <w:tcPr>
            <w:tcW w:w="337" w:type="dxa"/>
          </w:tcPr>
          <w:p w14:paraId="10A5271C" w14:textId="77777777" w:rsidR="0058251C" w:rsidRPr="00FB6649" w:rsidRDefault="0058251C" w:rsidP="000A6E8E">
            <w:pPr>
              <w:rPr>
                <w:rFonts w:ascii="Arial" w:hAnsi="Arial" w:cs="Arial"/>
                <w:sz w:val="18"/>
                <w:szCs w:val="18"/>
                <w:lang w:val="es-ES_tradnl"/>
              </w:rPr>
            </w:pPr>
            <w:r>
              <w:rPr>
                <w:rFonts w:ascii="Arial" w:hAnsi="Arial" w:cs="Arial"/>
                <w:sz w:val="18"/>
                <w:szCs w:val="18"/>
                <w:lang w:val="es-ES_tradnl"/>
              </w:rPr>
              <w:t>1</w:t>
            </w:r>
          </w:p>
        </w:tc>
        <w:tc>
          <w:tcPr>
            <w:tcW w:w="608" w:type="dxa"/>
          </w:tcPr>
          <w:p w14:paraId="2ADA24BB" w14:textId="77777777" w:rsidR="0058251C" w:rsidRPr="00FB6649" w:rsidRDefault="0058251C" w:rsidP="008E445B">
            <w:pPr>
              <w:jc w:val="center"/>
              <w:rPr>
                <w:rFonts w:ascii="Arial" w:hAnsi="Arial" w:cs="Arial"/>
                <w:sz w:val="18"/>
                <w:szCs w:val="18"/>
                <w:lang w:val="es-ES_tradnl"/>
              </w:rPr>
            </w:pPr>
            <w:r>
              <w:rPr>
                <w:rFonts w:ascii="Arial" w:hAnsi="Arial" w:cs="Arial"/>
                <w:sz w:val="18"/>
                <w:szCs w:val="18"/>
                <w:lang w:val="es-ES_tradnl"/>
              </w:rPr>
              <w:t>2</w:t>
            </w:r>
          </w:p>
        </w:tc>
        <w:tc>
          <w:tcPr>
            <w:tcW w:w="1199" w:type="dxa"/>
            <w:gridSpan w:val="2"/>
          </w:tcPr>
          <w:p w14:paraId="0DBFDF52" w14:textId="77777777" w:rsidR="0058251C" w:rsidRPr="00FB6649" w:rsidRDefault="0058251C" w:rsidP="000A6E8E">
            <w:pPr>
              <w:rPr>
                <w:rFonts w:ascii="Arial" w:hAnsi="Arial" w:cs="Arial"/>
                <w:sz w:val="18"/>
                <w:szCs w:val="18"/>
                <w:lang w:val="es-ES_tradnl"/>
              </w:rPr>
            </w:pPr>
          </w:p>
        </w:tc>
        <w:tc>
          <w:tcPr>
            <w:tcW w:w="1346" w:type="dxa"/>
            <w:gridSpan w:val="2"/>
          </w:tcPr>
          <w:p w14:paraId="14E707E9" w14:textId="77777777" w:rsidR="0058251C" w:rsidRPr="00FB6649" w:rsidRDefault="0058251C" w:rsidP="000A6E8E">
            <w:pPr>
              <w:rPr>
                <w:rFonts w:ascii="Arial" w:hAnsi="Arial" w:cs="Arial"/>
                <w:sz w:val="18"/>
                <w:szCs w:val="18"/>
                <w:lang w:val="es-ES_tradnl"/>
              </w:rPr>
            </w:pPr>
          </w:p>
        </w:tc>
        <w:tc>
          <w:tcPr>
            <w:tcW w:w="1432" w:type="dxa"/>
          </w:tcPr>
          <w:p w14:paraId="7E27352E" w14:textId="77777777" w:rsidR="0058251C" w:rsidRPr="00FB6649" w:rsidRDefault="0058251C" w:rsidP="000A6E8E">
            <w:pPr>
              <w:rPr>
                <w:rFonts w:ascii="Arial" w:hAnsi="Arial" w:cs="Arial"/>
                <w:sz w:val="18"/>
                <w:szCs w:val="18"/>
                <w:lang w:val="es-ES_tradnl"/>
              </w:rPr>
            </w:pPr>
          </w:p>
        </w:tc>
      </w:tr>
      <w:tr w:rsidR="0058251C" w:rsidRPr="00FB6649" w14:paraId="285EC32D" w14:textId="77777777" w:rsidTr="008E445B">
        <w:trPr>
          <w:jc w:val="right"/>
        </w:trPr>
        <w:tc>
          <w:tcPr>
            <w:tcW w:w="1331" w:type="dxa"/>
          </w:tcPr>
          <w:p w14:paraId="6F5951AF" w14:textId="77777777" w:rsidR="0058251C" w:rsidRPr="00FB6649" w:rsidRDefault="0058251C" w:rsidP="000A6E8E">
            <w:pPr>
              <w:rPr>
                <w:rFonts w:ascii="Arial" w:hAnsi="Arial" w:cs="Arial"/>
                <w:sz w:val="18"/>
                <w:szCs w:val="18"/>
                <w:lang w:val="es-ES_tradnl"/>
              </w:rPr>
            </w:pPr>
            <w:r w:rsidRPr="00FB6649">
              <w:rPr>
                <w:rFonts w:ascii="Arial" w:hAnsi="Arial" w:cs="Arial"/>
                <w:sz w:val="18"/>
                <w:szCs w:val="18"/>
                <w:lang w:val="es-ES_tradnl"/>
              </w:rPr>
              <w:t>Reportes de Monitoreo Semestrales</w:t>
            </w:r>
          </w:p>
        </w:tc>
        <w:tc>
          <w:tcPr>
            <w:tcW w:w="337" w:type="dxa"/>
          </w:tcPr>
          <w:p w14:paraId="509F91B9"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14A63675"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4783EE96"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2B64C04B"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5331C1E1"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36E7BD44"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73549C16" w14:textId="77777777" w:rsidR="0058251C" w:rsidRPr="00FB6649" w:rsidRDefault="0058251C" w:rsidP="001A6CDA">
            <w:pPr>
              <w:jc w:val="center"/>
              <w:rPr>
                <w:rFonts w:ascii="Arial" w:hAnsi="Arial" w:cs="Arial"/>
                <w:sz w:val="18"/>
                <w:szCs w:val="18"/>
                <w:lang w:val="es-ES_tradnl"/>
              </w:rPr>
            </w:pPr>
            <w:r>
              <w:rPr>
                <w:rFonts w:ascii="Arial" w:hAnsi="Arial" w:cs="Arial"/>
                <w:sz w:val="18"/>
                <w:szCs w:val="18"/>
                <w:lang w:val="es-ES_tradnl"/>
              </w:rPr>
              <w:t>X</w:t>
            </w:r>
          </w:p>
        </w:tc>
        <w:tc>
          <w:tcPr>
            <w:tcW w:w="608" w:type="dxa"/>
          </w:tcPr>
          <w:p w14:paraId="0FF4F5A6" w14:textId="77777777" w:rsidR="0058251C" w:rsidRPr="00FB6649" w:rsidRDefault="0058251C" w:rsidP="001A6CDA">
            <w:pPr>
              <w:jc w:val="center"/>
              <w:rPr>
                <w:rFonts w:ascii="Arial" w:hAnsi="Arial" w:cs="Arial"/>
                <w:sz w:val="18"/>
                <w:szCs w:val="18"/>
                <w:lang w:val="es-ES_tradnl"/>
              </w:rPr>
            </w:pPr>
            <w:r>
              <w:rPr>
                <w:rFonts w:ascii="Arial" w:hAnsi="Arial" w:cs="Arial"/>
                <w:sz w:val="18"/>
                <w:szCs w:val="18"/>
                <w:lang w:val="es-ES_tradnl"/>
              </w:rPr>
              <w:t>X</w:t>
            </w:r>
          </w:p>
        </w:tc>
        <w:tc>
          <w:tcPr>
            <w:tcW w:w="1199" w:type="dxa"/>
            <w:gridSpan w:val="2"/>
            <w:vAlign w:val="center"/>
          </w:tcPr>
          <w:p w14:paraId="4380AC4F"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US$1</w:t>
            </w:r>
            <w:r w:rsidR="00B42A3E">
              <w:rPr>
                <w:rFonts w:ascii="Arial" w:hAnsi="Arial" w:cs="Arial"/>
                <w:sz w:val="18"/>
                <w:szCs w:val="18"/>
                <w:lang w:val="es-ES_tradnl"/>
              </w:rPr>
              <w:t>2</w:t>
            </w:r>
            <w:r w:rsidRPr="00FB6649">
              <w:rPr>
                <w:rFonts w:ascii="Arial" w:hAnsi="Arial" w:cs="Arial"/>
                <w:sz w:val="18"/>
                <w:szCs w:val="18"/>
                <w:lang w:val="es-ES_tradnl"/>
              </w:rPr>
              <w:t xml:space="preserve">000 </w:t>
            </w:r>
          </w:p>
        </w:tc>
        <w:tc>
          <w:tcPr>
            <w:tcW w:w="1346" w:type="dxa"/>
            <w:gridSpan w:val="2"/>
          </w:tcPr>
          <w:p w14:paraId="3A5F25B8"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Organismo Ejecutor</w:t>
            </w:r>
          </w:p>
        </w:tc>
        <w:tc>
          <w:tcPr>
            <w:tcW w:w="1432" w:type="dxa"/>
          </w:tcPr>
          <w:p w14:paraId="6F36E792"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Recursos Organismo Ejecutor</w:t>
            </w:r>
            <w:r>
              <w:rPr>
                <w:rFonts w:ascii="Arial" w:hAnsi="Arial" w:cs="Arial"/>
                <w:sz w:val="18"/>
                <w:szCs w:val="18"/>
                <w:lang w:val="es-ES_tradnl"/>
              </w:rPr>
              <w:t>-Contrapartida programa</w:t>
            </w:r>
          </w:p>
        </w:tc>
      </w:tr>
      <w:tr w:rsidR="0058251C" w:rsidRPr="00FB6649" w14:paraId="1F2F10C6" w14:textId="77777777" w:rsidTr="008E445B">
        <w:trPr>
          <w:jc w:val="right"/>
        </w:trPr>
        <w:tc>
          <w:tcPr>
            <w:tcW w:w="1331" w:type="dxa"/>
          </w:tcPr>
          <w:p w14:paraId="567267FE" w14:textId="77777777" w:rsidR="0058251C" w:rsidRPr="00FB6649" w:rsidRDefault="0058251C" w:rsidP="000A6E8E">
            <w:pPr>
              <w:rPr>
                <w:rFonts w:ascii="Arial" w:hAnsi="Arial" w:cs="Arial"/>
                <w:sz w:val="18"/>
                <w:szCs w:val="18"/>
                <w:lang w:val="es-ES_tradnl"/>
              </w:rPr>
            </w:pPr>
            <w:r w:rsidRPr="00FB6649">
              <w:rPr>
                <w:rFonts w:ascii="Arial" w:hAnsi="Arial" w:cs="Arial"/>
                <w:sz w:val="18"/>
                <w:szCs w:val="18"/>
                <w:lang w:val="es-ES_tradnl"/>
              </w:rPr>
              <w:t>Reporte Final</w:t>
            </w:r>
          </w:p>
        </w:tc>
        <w:tc>
          <w:tcPr>
            <w:tcW w:w="337" w:type="dxa"/>
          </w:tcPr>
          <w:p w14:paraId="7E0C6285" w14:textId="77777777" w:rsidR="0058251C" w:rsidRPr="00FB6649" w:rsidRDefault="0058251C" w:rsidP="000A6E8E">
            <w:pPr>
              <w:jc w:val="center"/>
              <w:rPr>
                <w:rFonts w:ascii="Arial" w:hAnsi="Arial" w:cs="Arial"/>
                <w:sz w:val="18"/>
                <w:szCs w:val="18"/>
                <w:lang w:val="es-ES_tradnl"/>
              </w:rPr>
            </w:pPr>
          </w:p>
        </w:tc>
        <w:tc>
          <w:tcPr>
            <w:tcW w:w="337" w:type="dxa"/>
          </w:tcPr>
          <w:p w14:paraId="3C2C940F" w14:textId="77777777" w:rsidR="0058251C" w:rsidRPr="00FB6649" w:rsidRDefault="0058251C" w:rsidP="000A6E8E">
            <w:pPr>
              <w:jc w:val="center"/>
              <w:rPr>
                <w:rFonts w:ascii="Arial" w:hAnsi="Arial" w:cs="Arial"/>
                <w:sz w:val="18"/>
                <w:szCs w:val="18"/>
                <w:lang w:val="es-ES_tradnl"/>
              </w:rPr>
            </w:pPr>
          </w:p>
        </w:tc>
        <w:tc>
          <w:tcPr>
            <w:tcW w:w="337" w:type="dxa"/>
          </w:tcPr>
          <w:p w14:paraId="1538D426" w14:textId="77777777" w:rsidR="0058251C" w:rsidRPr="00FB6649" w:rsidRDefault="0058251C" w:rsidP="000A6E8E">
            <w:pPr>
              <w:jc w:val="center"/>
              <w:rPr>
                <w:rFonts w:ascii="Arial" w:hAnsi="Arial" w:cs="Arial"/>
                <w:sz w:val="18"/>
                <w:szCs w:val="18"/>
                <w:lang w:val="es-ES_tradnl"/>
              </w:rPr>
            </w:pPr>
          </w:p>
        </w:tc>
        <w:tc>
          <w:tcPr>
            <w:tcW w:w="337" w:type="dxa"/>
          </w:tcPr>
          <w:p w14:paraId="402F8155" w14:textId="77777777" w:rsidR="0058251C" w:rsidRPr="00FB6649" w:rsidRDefault="0058251C" w:rsidP="000A6E8E">
            <w:pPr>
              <w:jc w:val="center"/>
              <w:rPr>
                <w:rFonts w:ascii="Arial" w:hAnsi="Arial" w:cs="Arial"/>
                <w:sz w:val="18"/>
                <w:szCs w:val="18"/>
                <w:lang w:val="es-ES_tradnl"/>
              </w:rPr>
            </w:pPr>
          </w:p>
        </w:tc>
        <w:tc>
          <w:tcPr>
            <w:tcW w:w="337" w:type="dxa"/>
          </w:tcPr>
          <w:p w14:paraId="79817750" w14:textId="77777777" w:rsidR="0058251C" w:rsidRPr="00FB6649" w:rsidRDefault="0058251C" w:rsidP="000A6E8E">
            <w:pPr>
              <w:jc w:val="center"/>
              <w:rPr>
                <w:rFonts w:ascii="Arial" w:hAnsi="Arial" w:cs="Arial"/>
                <w:sz w:val="18"/>
                <w:szCs w:val="18"/>
                <w:lang w:val="es-ES_tradnl"/>
              </w:rPr>
            </w:pPr>
          </w:p>
        </w:tc>
        <w:tc>
          <w:tcPr>
            <w:tcW w:w="337" w:type="dxa"/>
          </w:tcPr>
          <w:p w14:paraId="76CB254E" w14:textId="77777777" w:rsidR="0058251C" w:rsidRPr="00FB6649" w:rsidRDefault="0058251C" w:rsidP="000A6E8E">
            <w:pPr>
              <w:jc w:val="center"/>
              <w:rPr>
                <w:rFonts w:ascii="Arial" w:hAnsi="Arial" w:cs="Arial"/>
                <w:sz w:val="18"/>
                <w:szCs w:val="18"/>
                <w:lang w:val="es-ES_tradnl"/>
              </w:rPr>
            </w:pPr>
          </w:p>
        </w:tc>
        <w:tc>
          <w:tcPr>
            <w:tcW w:w="337" w:type="dxa"/>
          </w:tcPr>
          <w:p w14:paraId="6A631B3E" w14:textId="77777777" w:rsidR="0058251C" w:rsidRPr="00FB6649" w:rsidRDefault="0058251C" w:rsidP="001A6CDA">
            <w:pPr>
              <w:jc w:val="center"/>
              <w:rPr>
                <w:rFonts w:ascii="Arial" w:hAnsi="Arial" w:cs="Arial"/>
                <w:sz w:val="18"/>
                <w:szCs w:val="18"/>
                <w:lang w:val="es-ES_tradnl"/>
              </w:rPr>
            </w:pPr>
          </w:p>
        </w:tc>
        <w:tc>
          <w:tcPr>
            <w:tcW w:w="608" w:type="dxa"/>
          </w:tcPr>
          <w:p w14:paraId="771907BD" w14:textId="77777777" w:rsidR="0058251C" w:rsidRPr="00FB6649" w:rsidRDefault="0058251C" w:rsidP="001A6CDA">
            <w:pPr>
              <w:jc w:val="center"/>
              <w:rPr>
                <w:rFonts w:ascii="Arial" w:hAnsi="Arial" w:cs="Arial"/>
                <w:sz w:val="18"/>
                <w:szCs w:val="18"/>
                <w:lang w:val="es-ES_tradnl"/>
              </w:rPr>
            </w:pPr>
            <w:r>
              <w:rPr>
                <w:rFonts w:ascii="Arial" w:hAnsi="Arial" w:cs="Arial"/>
                <w:sz w:val="18"/>
                <w:szCs w:val="18"/>
                <w:lang w:val="es-ES_tradnl"/>
              </w:rPr>
              <w:t>X</w:t>
            </w:r>
          </w:p>
        </w:tc>
        <w:tc>
          <w:tcPr>
            <w:tcW w:w="1199" w:type="dxa"/>
            <w:gridSpan w:val="2"/>
            <w:vAlign w:val="center"/>
          </w:tcPr>
          <w:p w14:paraId="164AE549"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 xml:space="preserve">US$5000 </w:t>
            </w:r>
          </w:p>
        </w:tc>
        <w:tc>
          <w:tcPr>
            <w:tcW w:w="1346" w:type="dxa"/>
            <w:gridSpan w:val="2"/>
          </w:tcPr>
          <w:p w14:paraId="524ACC4E"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Organismo Ejecutor</w:t>
            </w:r>
          </w:p>
        </w:tc>
        <w:tc>
          <w:tcPr>
            <w:tcW w:w="1432" w:type="dxa"/>
          </w:tcPr>
          <w:p w14:paraId="1A8C9B50"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Recursos Organismo Ejecutor</w:t>
            </w:r>
            <w:r>
              <w:rPr>
                <w:rFonts w:ascii="Arial" w:hAnsi="Arial" w:cs="Arial"/>
                <w:sz w:val="18"/>
                <w:szCs w:val="18"/>
                <w:lang w:val="es-ES_tradnl"/>
              </w:rPr>
              <w:t>-Contrapartida programa</w:t>
            </w:r>
          </w:p>
        </w:tc>
      </w:tr>
      <w:tr w:rsidR="0058251C" w:rsidRPr="00FB6649" w14:paraId="4BACE2AB" w14:textId="77777777" w:rsidTr="008E445B">
        <w:trPr>
          <w:jc w:val="right"/>
        </w:trPr>
        <w:tc>
          <w:tcPr>
            <w:tcW w:w="1331" w:type="dxa"/>
          </w:tcPr>
          <w:p w14:paraId="6BA3450F" w14:textId="77777777" w:rsidR="0058251C" w:rsidRPr="00FB6649" w:rsidRDefault="0058251C" w:rsidP="000A6E8E">
            <w:pPr>
              <w:rPr>
                <w:rFonts w:ascii="Arial" w:hAnsi="Arial" w:cs="Arial"/>
                <w:sz w:val="18"/>
                <w:szCs w:val="18"/>
                <w:lang w:val="es-ES_tradnl"/>
              </w:rPr>
            </w:pPr>
            <w:r w:rsidRPr="00FB6649">
              <w:rPr>
                <w:rFonts w:ascii="Arial" w:hAnsi="Arial" w:cs="Arial"/>
                <w:sz w:val="18"/>
                <w:szCs w:val="18"/>
                <w:lang w:val="es-ES_tradnl"/>
              </w:rPr>
              <w:t>Auditorias</w:t>
            </w:r>
          </w:p>
        </w:tc>
        <w:tc>
          <w:tcPr>
            <w:tcW w:w="337" w:type="dxa"/>
          </w:tcPr>
          <w:p w14:paraId="719D3513" w14:textId="77777777" w:rsidR="0058251C" w:rsidRPr="00FB6649" w:rsidRDefault="0058251C" w:rsidP="000A6E8E">
            <w:pPr>
              <w:jc w:val="center"/>
              <w:rPr>
                <w:rFonts w:ascii="Arial" w:hAnsi="Arial" w:cs="Arial"/>
                <w:sz w:val="18"/>
                <w:szCs w:val="18"/>
                <w:lang w:val="es-ES_tradnl"/>
              </w:rPr>
            </w:pPr>
          </w:p>
        </w:tc>
        <w:tc>
          <w:tcPr>
            <w:tcW w:w="337" w:type="dxa"/>
          </w:tcPr>
          <w:p w14:paraId="370A1802"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1947D32E" w14:textId="77777777" w:rsidR="0058251C" w:rsidRPr="00FB6649" w:rsidRDefault="0058251C" w:rsidP="000A6E8E">
            <w:pPr>
              <w:jc w:val="center"/>
              <w:rPr>
                <w:rFonts w:ascii="Arial" w:hAnsi="Arial" w:cs="Arial"/>
                <w:sz w:val="18"/>
                <w:szCs w:val="18"/>
                <w:lang w:val="es-ES_tradnl"/>
              </w:rPr>
            </w:pPr>
          </w:p>
        </w:tc>
        <w:tc>
          <w:tcPr>
            <w:tcW w:w="337" w:type="dxa"/>
          </w:tcPr>
          <w:p w14:paraId="737D4601"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27F37A58" w14:textId="77777777" w:rsidR="0058251C" w:rsidRPr="00FB6649" w:rsidRDefault="0058251C" w:rsidP="000A6E8E">
            <w:pPr>
              <w:jc w:val="center"/>
              <w:rPr>
                <w:rFonts w:ascii="Arial" w:hAnsi="Arial" w:cs="Arial"/>
                <w:sz w:val="18"/>
                <w:szCs w:val="18"/>
                <w:lang w:val="es-ES_tradnl"/>
              </w:rPr>
            </w:pPr>
          </w:p>
        </w:tc>
        <w:tc>
          <w:tcPr>
            <w:tcW w:w="337" w:type="dxa"/>
          </w:tcPr>
          <w:p w14:paraId="42A93DB0"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X</w:t>
            </w:r>
          </w:p>
        </w:tc>
        <w:tc>
          <w:tcPr>
            <w:tcW w:w="337" w:type="dxa"/>
          </w:tcPr>
          <w:p w14:paraId="71B059DB" w14:textId="77777777" w:rsidR="0058251C" w:rsidRPr="00FB6649" w:rsidRDefault="0058251C" w:rsidP="001A6CDA">
            <w:pPr>
              <w:jc w:val="center"/>
              <w:rPr>
                <w:rFonts w:ascii="Arial" w:hAnsi="Arial" w:cs="Arial"/>
                <w:sz w:val="18"/>
                <w:szCs w:val="18"/>
                <w:lang w:val="es-ES_tradnl"/>
              </w:rPr>
            </w:pPr>
          </w:p>
        </w:tc>
        <w:tc>
          <w:tcPr>
            <w:tcW w:w="608" w:type="dxa"/>
          </w:tcPr>
          <w:p w14:paraId="15742D5C" w14:textId="77777777" w:rsidR="0058251C" w:rsidRPr="00FB6649" w:rsidRDefault="0058251C" w:rsidP="001A6CDA">
            <w:pPr>
              <w:jc w:val="center"/>
              <w:rPr>
                <w:rFonts w:ascii="Arial" w:hAnsi="Arial" w:cs="Arial"/>
                <w:sz w:val="18"/>
                <w:szCs w:val="18"/>
                <w:lang w:val="es-ES_tradnl"/>
              </w:rPr>
            </w:pPr>
            <w:r>
              <w:rPr>
                <w:rFonts w:ascii="Arial" w:hAnsi="Arial" w:cs="Arial"/>
                <w:sz w:val="18"/>
                <w:szCs w:val="18"/>
                <w:lang w:val="es-ES_tradnl"/>
              </w:rPr>
              <w:t>X</w:t>
            </w:r>
          </w:p>
        </w:tc>
        <w:tc>
          <w:tcPr>
            <w:tcW w:w="1199" w:type="dxa"/>
            <w:gridSpan w:val="2"/>
            <w:vAlign w:val="center"/>
          </w:tcPr>
          <w:p w14:paraId="24FCCD35"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US$</w:t>
            </w:r>
            <w:r w:rsidR="00B42A3E">
              <w:rPr>
                <w:rFonts w:ascii="Arial" w:hAnsi="Arial" w:cs="Arial"/>
                <w:sz w:val="18"/>
                <w:szCs w:val="18"/>
                <w:lang w:val="es-ES_tradnl"/>
              </w:rPr>
              <w:t>8</w:t>
            </w:r>
            <w:r w:rsidRPr="00FB6649">
              <w:rPr>
                <w:rFonts w:ascii="Arial" w:hAnsi="Arial" w:cs="Arial"/>
                <w:sz w:val="18"/>
                <w:szCs w:val="18"/>
                <w:lang w:val="es-ES_tradnl"/>
              </w:rPr>
              <w:t>000</w:t>
            </w:r>
          </w:p>
          <w:p w14:paraId="1159393B" w14:textId="77777777" w:rsidR="0058251C" w:rsidRPr="00FB6649" w:rsidRDefault="0058251C" w:rsidP="001A6CDA">
            <w:pPr>
              <w:jc w:val="center"/>
              <w:rPr>
                <w:rFonts w:ascii="Arial" w:hAnsi="Arial" w:cs="Arial"/>
                <w:sz w:val="18"/>
                <w:szCs w:val="18"/>
                <w:lang w:val="es-ES_tradnl"/>
              </w:rPr>
            </w:pPr>
          </w:p>
        </w:tc>
        <w:tc>
          <w:tcPr>
            <w:tcW w:w="1346" w:type="dxa"/>
            <w:gridSpan w:val="2"/>
            <w:tcBorders>
              <w:bottom w:val="single" w:sz="4" w:space="0" w:color="auto"/>
            </w:tcBorders>
          </w:tcPr>
          <w:p w14:paraId="26F55125"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Organismo Ejecutor</w:t>
            </w:r>
          </w:p>
        </w:tc>
        <w:tc>
          <w:tcPr>
            <w:tcW w:w="1432" w:type="dxa"/>
            <w:tcBorders>
              <w:bottom w:val="single" w:sz="4" w:space="0" w:color="auto"/>
            </w:tcBorders>
          </w:tcPr>
          <w:p w14:paraId="2C36C193"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Recursos Organismo Ejecutor</w:t>
            </w:r>
            <w:r>
              <w:rPr>
                <w:rFonts w:ascii="Arial" w:hAnsi="Arial" w:cs="Arial"/>
                <w:sz w:val="18"/>
                <w:szCs w:val="18"/>
                <w:lang w:val="es-ES_tradnl"/>
              </w:rPr>
              <w:t>-Contrapartida programa</w:t>
            </w:r>
          </w:p>
        </w:tc>
      </w:tr>
      <w:tr w:rsidR="0058251C" w:rsidRPr="00FB6649" w14:paraId="10631EB3" w14:textId="77777777" w:rsidTr="008E445B">
        <w:trPr>
          <w:jc w:val="right"/>
        </w:trPr>
        <w:tc>
          <w:tcPr>
            <w:tcW w:w="1331" w:type="dxa"/>
          </w:tcPr>
          <w:p w14:paraId="428091CA" w14:textId="77777777" w:rsidR="0058251C" w:rsidRPr="00FB6649" w:rsidRDefault="0058251C" w:rsidP="000A6E8E">
            <w:pPr>
              <w:rPr>
                <w:rFonts w:ascii="Arial" w:hAnsi="Arial" w:cs="Arial"/>
                <w:sz w:val="18"/>
                <w:szCs w:val="18"/>
                <w:lang w:val="es-ES_tradnl"/>
              </w:rPr>
            </w:pPr>
            <w:r w:rsidRPr="00FB6649">
              <w:rPr>
                <w:rFonts w:ascii="Arial" w:hAnsi="Arial" w:cs="Arial"/>
                <w:sz w:val="18"/>
                <w:szCs w:val="18"/>
                <w:lang w:val="es-ES_tradnl"/>
              </w:rPr>
              <w:t>Evaluación: Recolección y análisis de información adicional</w:t>
            </w:r>
            <w:r>
              <w:rPr>
                <w:rStyle w:val="FootnoteReference"/>
                <w:rFonts w:ascii="Arial" w:hAnsi="Arial" w:cs="Arial"/>
                <w:sz w:val="18"/>
                <w:szCs w:val="18"/>
                <w:lang w:val="es-ES_tradnl"/>
              </w:rPr>
              <w:footnoteReference w:id="10"/>
            </w:r>
          </w:p>
        </w:tc>
        <w:tc>
          <w:tcPr>
            <w:tcW w:w="337" w:type="dxa"/>
          </w:tcPr>
          <w:p w14:paraId="5965B9CA" w14:textId="77777777" w:rsidR="0058251C" w:rsidRPr="00FB6649" w:rsidRDefault="0058251C" w:rsidP="000A6E8E">
            <w:pPr>
              <w:jc w:val="center"/>
              <w:rPr>
                <w:rFonts w:ascii="Arial" w:hAnsi="Arial" w:cs="Arial"/>
                <w:sz w:val="18"/>
                <w:szCs w:val="18"/>
                <w:lang w:val="es-ES_tradnl"/>
              </w:rPr>
            </w:pPr>
          </w:p>
        </w:tc>
        <w:tc>
          <w:tcPr>
            <w:tcW w:w="337" w:type="dxa"/>
          </w:tcPr>
          <w:p w14:paraId="2E955832" w14:textId="77777777" w:rsidR="0058251C" w:rsidRPr="00FB6649" w:rsidRDefault="0058251C" w:rsidP="000A6E8E">
            <w:pPr>
              <w:jc w:val="center"/>
              <w:rPr>
                <w:rFonts w:ascii="Arial" w:hAnsi="Arial" w:cs="Arial"/>
                <w:sz w:val="18"/>
                <w:szCs w:val="18"/>
                <w:lang w:val="es-ES_tradnl"/>
              </w:rPr>
            </w:pPr>
          </w:p>
        </w:tc>
        <w:tc>
          <w:tcPr>
            <w:tcW w:w="337" w:type="dxa"/>
          </w:tcPr>
          <w:p w14:paraId="32653987" w14:textId="77777777" w:rsidR="0058251C" w:rsidRPr="00FB6649" w:rsidRDefault="0058251C" w:rsidP="000A6E8E">
            <w:pPr>
              <w:jc w:val="center"/>
              <w:rPr>
                <w:rFonts w:ascii="Arial" w:hAnsi="Arial" w:cs="Arial"/>
                <w:sz w:val="18"/>
                <w:szCs w:val="18"/>
                <w:lang w:val="es-ES_tradnl"/>
              </w:rPr>
            </w:pPr>
          </w:p>
        </w:tc>
        <w:tc>
          <w:tcPr>
            <w:tcW w:w="337" w:type="dxa"/>
          </w:tcPr>
          <w:p w14:paraId="705CAED5" w14:textId="77777777" w:rsidR="0058251C" w:rsidRPr="00FB6649" w:rsidRDefault="0058251C" w:rsidP="000A6E8E">
            <w:pPr>
              <w:jc w:val="center"/>
              <w:rPr>
                <w:rFonts w:ascii="Arial" w:hAnsi="Arial" w:cs="Arial"/>
                <w:sz w:val="18"/>
                <w:szCs w:val="18"/>
                <w:lang w:val="es-ES_tradnl"/>
              </w:rPr>
            </w:pPr>
          </w:p>
        </w:tc>
        <w:tc>
          <w:tcPr>
            <w:tcW w:w="337" w:type="dxa"/>
          </w:tcPr>
          <w:p w14:paraId="2EAC0376" w14:textId="77777777" w:rsidR="0058251C" w:rsidRPr="00FB6649" w:rsidRDefault="0058251C" w:rsidP="000A6E8E">
            <w:pPr>
              <w:jc w:val="center"/>
              <w:rPr>
                <w:rFonts w:ascii="Arial" w:hAnsi="Arial" w:cs="Arial"/>
                <w:sz w:val="18"/>
                <w:szCs w:val="18"/>
                <w:lang w:val="es-ES_tradnl"/>
              </w:rPr>
            </w:pPr>
          </w:p>
        </w:tc>
        <w:tc>
          <w:tcPr>
            <w:tcW w:w="337" w:type="dxa"/>
          </w:tcPr>
          <w:p w14:paraId="180D96DE" w14:textId="77777777" w:rsidR="0058251C" w:rsidRPr="00FB6649" w:rsidRDefault="0058251C" w:rsidP="000A6E8E">
            <w:pPr>
              <w:jc w:val="center"/>
              <w:rPr>
                <w:rFonts w:ascii="Arial" w:hAnsi="Arial" w:cs="Arial"/>
                <w:sz w:val="18"/>
                <w:szCs w:val="18"/>
                <w:lang w:val="es-ES_tradnl"/>
              </w:rPr>
            </w:pPr>
          </w:p>
        </w:tc>
        <w:tc>
          <w:tcPr>
            <w:tcW w:w="337" w:type="dxa"/>
          </w:tcPr>
          <w:p w14:paraId="5C6183AF" w14:textId="77777777" w:rsidR="0058251C" w:rsidRPr="00FB6649" w:rsidRDefault="0058251C" w:rsidP="001A6CDA">
            <w:pPr>
              <w:jc w:val="center"/>
              <w:rPr>
                <w:rFonts w:ascii="Arial" w:hAnsi="Arial" w:cs="Arial"/>
                <w:sz w:val="18"/>
                <w:szCs w:val="18"/>
                <w:lang w:val="es-ES_tradnl"/>
              </w:rPr>
            </w:pPr>
          </w:p>
        </w:tc>
        <w:tc>
          <w:tcPr>
            <w:tcW w:w="608" w:type="dxa"/>
          </w:tcPr>
          <w:p w14:paraId="2405C3E4"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X</w:t>
            </w:r>
          </w:p>
        </w:tc>
        <w:tc>
          <w:tcPr>
            <w:tcW w:w="1199" w:type="dxa"/>
            <w:gridSpan w:val="2"/>
            <w:vAlign w:val="center"/>
          </w:tcPr>
          <w:p w14:paraId="0C38CA36"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US$5000</w:t>
            </w:r>
          </w:p>
        </w:tc>
        <w:tc>
          <w:tcPr>
            <w:tcW w:w="1346" w:type="dxa"/>
            <w:gridSpan w:val="2"/>
            <w:tcBorders>
              <w:bottom w:val="single" w:sz="4" w:space="0" w:color="auto"/>
            </w:tcBorders>
          </w:tcPr>
          <w:p w14:paraId="79B23EEC"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Consultor</w:t>
            </w:r>
          </w:p>
        </w:tc>
        <w:tc>
          <w:tcPr>
            <w:tcW w:w="1432" w:type="dxa"/>
            <w:tcBorders>
              <w:bottom w:val="single" w:sz="4" w:space="0" w:color="auto"/>
            </w:tcBorders>
          </w:tcPr>
          <w:p w14:paraId="4624E49C"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Recursos Organismo Ejecutor</w:t>
            </w:r>
            <w:r>
              <w:rPr>
                <w:rFonts w:ascii="Arial" w:hAnsi="Arial" w:cs="Arial"/>
                <w:sz w:val="18"/>
                <w:szCs w:val="18"/>
                <w:lang w:val="es-ES_tradnl"/>
              </w:rPr>
              <w:t>-Contrapartida programa</w:t>
            </w:r>
          </w:p>
        </w:tc>
      </w:tr>
      <w:tr w:rsidR="0058251C" w:rsidRPr="00FB6649" w14:paraId="128833B7" w14:textId="77777777" w:rsidTr="008E445B">
        <w:trPr>
          <w:jc w:val="right"/>
        </w:trPr>
        <w:tc>
          <w:tcPr>
            <w:tcW w:w="1331" w:type="dxa"/>
          </w:tcPr>
          <w:p w14:paraId="459D6D54" w14:textId="77777777" w:rsidR="0058251C" w:rsidRPr="00FB6649" w:rsidRDefault="0058251C" w:rsidP="00CD5DF9">
            <w:pPr>
              <w:rPr>
                <w:rFonts w:ascii="Arial" w:hAnsi="Arial" w:cs="Arial"/>
                <w:sz w:val="18"/>
                <w:szCs w:val="18"/>
                <w:lang w:val="es-ES_tradnl"/>
              </w:rPr>
            </w:pPr>
            <w:r w:rsidRPr="00FB6649">
              <w:rPr>
                <w:rFonts w:ascii="Arial" w:hAnsi="Arial" w:cs="Arial"/>
                <w:sz w:val="18"/>
                <w:szCs w:val="18"/>
                <w:lang w:val="es-ES_tradnl"/>
              </w:rPr>
              <w:t>Evaluación Final: Costo-Beneficio Expost</w:t>
            </w:r>
          </w:p>
        </w:tc>
        <w:tc>
          <w:tcPr>
            <w:tcW w:w="337" w:type="dxa"/>
          </w:tcPr>
          <w:p w14:paraId="4378011D" w14:textId="77777777" w:rsidR="0058251C" w:rsidRPr="00FB6649" w:rsidRDefault="0058251C" w:rsidP="000A6E8E">
            <w:pPr>
              <w:jc w:val="center"/>
              <w:rPr>
                <w:rFonts w:ascii="Arial" w:hAnsi="Arial" w:cs="Arial"/>
                <w:sz w:val="18"/>
                <w:szCs w:val="18"/>
                <w:lang w:val="es-ES_tradnl"/>
              </w:rPr>
            </w:pPr>
          </w:p>
        </w:tc>
        <w:tc>
          <w:tcPr>
            <w:tcW w:w="337" w:type="dxa"/>
          </w:tcPr>
          <w:p w14:paraId="6DCF87F4" w14:textId="77777777" w:rsidR="0058251C" w:rsidRPr="00FB6649" w:rsidRDefault="0058251C" w:rsidP="000A6E8E">
            <w:pPr>
              <w:jc w:val="center"/>
              <w:rPr>
                <w:rFonts w:ascii="Arial" w:hAnsi="Arial" w:cs="Arial"/>
                <w:sz w:val="18"/>
                <w:szCs w:val="18"/>
                <w:lang w:val="es-ES_tradnl"/>
              </w:rPr>
            </w:pPr>
          </w:p>
        </w:tc>
        <w:tc>
          <w:tcPr>
            <w:tcW w:w="337" w:type="dxa"/>
          </w:tcPr>
          <w:p w14:paraId="4D9F9459" w14:textId="77777777" w:rsidR="0058251C" w:rsidRPr="00FB6649" w:rsidRDefault="0058251C" w:rsidP="000A6E8E">
            <w:pPr>
              <w:jc w:val="center"/>
              <w:rPr>
                <w:rFonts w:ascii="Arial" w:hAnsi="Arial" w:cs="Arial"/>
                <w:sz w:val="18"/>
                <w:szCs w:val="18"/>
                <w:lang w:val="es-ES_tradnl"/>
              </w:rPr>
            </w:pPr>
          </w:p>
        </w:tc>
        <w:tc>
          <w:tcPr>
            <w:tcW w:w="337" w:type="dxa"/>
          </w:tcPr>
          <w:p w14:paraId="7E0B0C25" w14:textId="77777777" w:rsidR="0058251C" w:rsidRPr="00FB6649" w:rsidRDefault="0058251C" w:rsidP="000A6E8E">
            <w:pPr>
              <w:jc w:val="center"/>
              <w:rPr>
                <w:rFonts w:ascii="Arial" w:hAnsi="Arial" w:cs="Arial"/>
                <w:sz w:val="18"/>
                <w:szCs w:val="18"/>
                <w:lang w:val="es-ES_tradnl"/>
              </w:rPr>
            </w:pPr>
          </w:p>
        </w:tc>
        <w:tc>
          <w:tcPr>
            <w:tcW w:w="337" w:type="dxa"/>
          </w:tcPr>
          <w:p w14:paraId="08DDE447" w14:textId="77777777" w:rsidR="0058251C" w:rsidRPr="00FB6649" w:rsidRDefault="0058251C" w:rsidP="000A6E8E">
            <w:pPr>
              <w:jc w:val="center"/>
              <w:rPr>
                <w:rFonts w:ascii="Arial" w:hAnsi="Arial" w:cs="Arial"/>
                <w:sz w:val="18"/>
                <w:szCs w:val="18"/>
                <w:lang w:val="es-ES_tradnl"/>
              </w:rPr>
            </w:pPr>
          </w:p>
        </w:tc>
        <w:tc>
          <w:tcPr>
            <w:tcW w:w="337" w:type="dxa"/>
          </w:tcPr>
          <w:p w14:paraId="438B1C95" w14:textId="77777777" w:rsidR="0058251C" w:rsidRPr="00FB6649" w:rsidRDefault="0058251C" w:rsidP="000A6E8E">
            <w:pPr>
              <w:jc w:val="center"/>
              <w:rPr>
                <w:rFonts w:ascii="Arial" w:hAnsi="Arial" w:cs="Arial"/>
                <w:sz w:val="18"/>
                <w:szCs w:val="18"/>
                <w:lang w:val="es-ES_tradnl"/>
              </w:rPr>
            </w:pPr>
          </w:p>
        </w:tc>
        <w:tc>
          <w:tcPr>
            <w:tcW w:w="337" w:type="dxa"/>
          </w:tcPr>
          <w:p w14:paraId="4AD46116" w14:textId="77777777" w:rsidR="0058251C" w:rsidRPr="00FB6649" w:rsidRDefault="0058251C" w:rsidP="001A6CDA">
            <w:pPr>
              <w:jc w:val="center"/>
              <w:rPr>
                <w:rFonts w:ascii="Arial" w:hAnsi="Arial" w:cs="Arial"/>
                <w:sz w:val="18"/>
                <w:szCs w:val="18"/>
                <w:lang w:val="es-ES_tradnl"/>
              </w:rPr>
            </w:pPr>
          </w:p>
        </w:tc>
        <w:tc>
          <w:tcPr>
            <w:tcW w:w="608" w:type="dxa"/>
          </w:tcPr>
          <w:p w14:paraId="509D647B"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X</w:t>
            </w:r>
          </w:p>
        </w:tc>
        <w:tc>
          <w:tcPr>
            <w:tcW w:w="1199" w:type="dxa"/>
            <w:gridSpan w:val="2"/>
            <w:vAlign w:val="center"/>
          </w:tcPr>
          <w:p w14:paraId="41249435"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US$15000</w:t>
            </w:r>
          </w:p>
        </w:tc>
        <w:tc>
          <w:tcPr>
            <w:tcW w:w="1346" w:type="dxa"/>
            <w:gridSpan w:val="2"/>
            <w:tcBorders>
              <w:bottom w:val="single" w:sz="4" w:space="0" w:color="auto"/>
            </w:tcBorders>
          </w:tcPr>
          <w:p w14:paraId="335680B5"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Consultor</w:t>
            </w:r>
          </w:p>
        </w:tc>
        <w:tc>
          <w:tcPr>
            <w:tcW w:w="1432" w:type="dxa"/>
            <w:tcBorders>
              <w:bottom w:val="single" w:sz="4" w:space="0" w:color="auto"/>
            </w:tcBorders>
          </w:tcPr>
          <w:p w14:paraId="18947639"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Recursos Organismo Ejecutor</w:t>
            </w:r>
            <w:r>
              <w:rPr>
                <w:rFonts w:ascii="Arial" w:hAnsi="Arial" w:cs="Arial"/>
                <w:sz w:val="18"/>
                <w:szCs w:val="18"/>
                <w:lang w:val="es-ES_tradnl"/>
              </w:rPr>
              <w:t>-Contrapartida programa</w:t>
            </w:r>
            <w:r w:rsidRPr="00FB6649">
              <w:rPr>
                <w:rFonts w:ascii="Arial" w:hAnsi="Arial" w:cs="Arial"/>
                <w:sz w:val="18"/>
                <w:szCs w:val="18"/>
                <w:lang w:val="es-ES_tradnl"/>
              </w:rPr>
              <w:t xml:space="preserve"> / BID</w:t>
            </w:r>
          </w:p>
        </w:tc>
      </w:tr>
      <w:tr w:rsidR="0058251C" w:rsidRPr="00FB6649" w14:paraId="7EA3F725" w14:textId="77777777" w:rsidTr="008E445B">
        <w:trPr>
          <w:jc w:val="right"/>
        </w:trPr>
        <w:tc>
          <w:tcPr>
            <w:tcW w:w="1331" w:type="dxa"/>
          </w:tcPr>
          <w:p w14:paraId="0E34A024" w14:textId="77777777" w:rsidR="0058251C" w:rsidRPr="00FB6649" w:rsidRDefault="0058251C" w:rsidP="000A6E8E">
            <w:pPr>
              <w:rPr>
                <w:rFonts w:ascii="Arial" w:hAnsi="Arial" w:cs="Arial"/>
                <w:sz w:val="18"/>
                <w:szCs w:val="18"/>
                <w:lang w:val="es-ES_tradnl"/>
              </w:rPr>
            </w:pPr>
            <w:r w:rsidRPr="00FB6649">
              <w:rPr>
                <w:rFonts w:ascii="Arial" w:hAnsi="Arial" w:cs="Arial"/>
                <w:sz w:val="18"/>
                <w:szCs w:val="18"/>
                <w:lang w:val="es-ES_tradnl"/>
              </w:rPr>
              <w:t>Distribución y discusión de la de los resultados de la evaluación</w:t>
            </w:r>
          </w:p>
        </w:tc>
        <w:tc>
          <w:tcPr>
            <w:tcW w:w="337" w:type="dxa"/>
          </w:tcPr>
          <w:p w14:paraId="13F04273" w14:textId="77777777" w:rsidR="0058251C" w:rsidRPr="00FB6649" w:rsidRDefault="0058251C" w:rsidP="000A6E8E">
            <w:pPr>
              <w:jc w:val="center"/>
              <w:rPr>
                <w:rFonts w:ascii="Arial" w:hAnsi="Arial" w:cs="Arial"/>
                <w:sz w:val="18"/>
                <w:szCs w:val="18"/>
                <w:lang w:val="es-ES_tradnl"/>
              </w:rPr>
            </w:pPr>
          </w:p>
        </w:tc>
        <w:tc>
          <w:tcPr>
            <w:tcW w:w="337" w:type="dxa"/>
          </w:tcPr>
          <w:p w14:paraId="0331E031" w14:textId="77777777" w:rsidR="0058251C" w:rsidRPr="00FB6649" w:rsidRDefault="0058251C" w:rsidP="000A6E8E">
            <w:pPr>
              <w:jc w:val="center"/>
              <w:rPr>
                <w:rFonts w:ascii="Arial" w:hAnsi="Arial" w:cs="Arial"/>
                <w:sz w:val="18"/>
                <w:szCs w:val="18"/>
                <w:lang w:val="es-ES_tradnl"/>
              </w:rPr>
            </w:pPr>
          </w:p>
        </w:tc>
        <w:tc>
          <w:tcPr>
            <w:tcW w:w="337" w:type="dxa"/>
          </w:tcPr>
          <w:p w14:paraId="2B7263EF" w14:textId="77777777" w:rsidR="0058251C" w:rsidRPr="00FB6649" w:rsidRDefault="0058251C" w:rsidP="000A6E8E">
            <w:pPr>
              <w:jc w:val="center"/>
              <w:rPr>
                <w:rFonts w:ascii="Arial" w:hAnsi="Arial" w:cs="Arial"/>
                <w:sz w:val="18"/>
                <w:szCs w:val="18"/>
                <w:lang w:val="es-ES_tradnl"/>
              </w:rPr>
            </w:pPr>
          </w:p>
        </w:tc>
        <w:tc>
          <w:tcPr>
            <w:tcW w:w="337" w:type="dxa"/>
          </w:tcPr>
          <w:p w14:paraId="5E70A124" w14:textId="77777777" w:rsidR="0058251C" w:rsidRPr="00FB6649" w:rsidRDefault="0058251C" w:rsidP="000A6E8E">
            <w:pPr>
              <w:jc w:val="center"/>
              <w:rPr>
                <w:rFonts w:ascii="Arial" w:hAnsi="Arial" w:cs="Arial"/>
                <w:sz w:val="18"/>
                <w:szCs w:val="18"/>
                <w:lang w:val="es-ES_tradnl"/>
              </w:rPr>
            </w:pPr>
          </w:p>
        </w:tc>
        <w:tc>
          <w:tcPr>
            <w:tcW w:w="337" w:type="dxa"/>
          </w:tcPr>
          <w:p w14:paraId="21E2C057" w14:textId="77777777" w:rsidR="0058251C" w:rsidRPr="00FB6649" w:rsidRDefault="0058251C" w:rsidP="000A6E8E">
            <w:pPr>
              <w:jc w:val="center"/>
              <w:rPr>
                <w:rFonts w:ascii="Arial" w:hAnsi="Arial" w:cs="Arial"/>
                <w:sz w:val="18"/>
                <w:szCs w:val="18"/>
                <w:lang w:val="es-ES_tradnl"/>
              </w:rPr>
            </w:pPr>
          </w:p>
        </w:tc>
        <w:tc>
          <w:tcPr>
            <w:tcW w:w="337" w:type="dxa"/>
          </w:tcPr>
          <w:p w14:paraId="12F9906A" w14:textId="77777777" w:rsidR="0058251C" w:rsidRPr="00FB6649" w:rsidRDefault="0058251C" w:rsidP="000A6E8E">
            <w:pPr>
              <w:jc w:val="center"/>
              <w:rPr>
                <w:rFonts w:ascii="Arial" w:hAnsi="Arial" w:cs="Arial"/>
                <w:sz w:val="18"/>
                <w:szCs w:val="18"/>
                <w:lang w:val="es-ES_tradnl"/>
              </w:rPr>
            </w:pPr>
          </w:p>
        </w:tc>
        <w:tc>
          <w:tcPr>
            <w:tcW w:w="337" w:type="dxa"/>
          </w:tcPr>
          <w:p w14:paraId="0B25FEF0" w14:textId="77777777" w:rsidR="0058251C" w:rsidRPr="00FB6649" w:rsidRDefault="0058251C" w:rsidP="001A6CDA">
            <w:pPr>
              <w:jc w:val="center"/>
              <w:rPr>
                <w:rFonts w:ascii="Arial" w:hAnsi="Arial" w:cs="Arial"/>
                <w:sz w:val="18"/>
                <w:szCs w:val="18"/>
                <w:lang w:val="es-ES_tradnl"/>
              </w:rPr>
            </w:pPr>
          </w:p>
        </w:tc>
        <w:tc>
          <w:tcPr>
            <w:tcW w:w="608" w:type="dxa"/>
          </w:tcPr>
          <w:p w14:paraId="4BB1FB27"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X</w:t>
            </w:r>
          </w:p>
        </w:tc>
        <w:tc>
          <w:tcPr>
            <w:tcW w:w="1199" w:type="dxa"/>
            <w:gridSpan w:val="2"/>
            <w:vAlign w:val="center"/>
          </w:tcPr>
          <w:p w14:paraId="05FCE954"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US$5000</w:t>
            </w:r>
          </w:p>
        </w:tc>
        <w:tc>
          <w:tcPr>
            <w:tcW w:w="1346" w:type="dxa"/>
            <w:gridSpan w:val="2"/>
            <w:tcBorders>
              <w:bottom w:val="single" w:sz="4" w:space="0" w:color="auto"/>
            </w:tcBorders>
          </w:tcPr>
          <w:p w14:paraId="528FED0B"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Organismo Ejecutor/BID</w:t>
            </w:r>
          </w:p>
        </w:tc>
        <w:tc>
          <w:tcPr>
            <w:tcW w:w="1432" w:type="dxa"/>
            <w:tcBorders>
              <w:bottom w:val="single" w:sz="4" w:space="0" w:color="auto"/>
            </w:tcBorders>
          </w:tcPr>
          <w:p w14:paraId="76859B4E" w14:textId="77777777" w:rsidR="0058251C" w:rsidRPr="00FB6649" w:rsidRDefault="0058251C" w:rsidP="000A6E8E">
            <w:pPr>
              <w:jc w:val="center"/>
              <w:rPr>
                <w:rFonts w:ascii="Arial" w:hAnsi="Arial" w:cs="Arial"/>
                <w:sz w:val="18"/>
                <w:szCs w:val="18"/>
                <w:lang w:val="es-ES_tradnl"/>
              </w:rPr>
            </w:pPr>
            <w:r w:rsidRPr="00FB6649">
              <w:rPr>
                <w:rFonts w:ascii="Arial" w:hAnsi="Arial" w:cs="Arial"/>
                <w:sz w:val="18"/>
                <w:szCs w:val="18"/>
                <w:lang w:val="es-ES_tradnl"/>
              </w:rPr>
              <w:t>Recursos Organismo Ejecutor</w:t>
            </w:r>
            <w:r>
              <w:rPr>
                <w:rFonts w:ascii="Arial" w:hAnsi="Arial" w:cs="Arial"/>
                <w:sz w:val="18"/>
                <w:szCs w:val="18"/>
                <w:lang w:val="es-ES_tradnl"/>
              </w:rPr>
              <w:t>-Contrapartida programa</w:t>
            </w:r>
            <w:r w:rsidRPr="00FB6649">
              <w:rPr>
                <w:rFonts w:ascii="Arial" w:hAnsi="Arial" w:cs="Arial"/>
                <w:sz w:val="18"/>
                <w:szCs w:val="18"/>
                <w:lang w:val="es-ES_tradnl"/>
              </w:rPr>
              <w:t xml:space="preserve"> / BID</w:t>
            </w:r>
          </w:p>
        </w:tc>
      </w:tr>
      <w:tr w:rsidR="0058251C" w:rsidRPr="00FB6649" w14:paraId="6BAEF6CB" w14:textId="77777777" w:rsidTr="0023221A">
        <w:trPr>
          <w:jc w:val="right"/>
        </w:trPr>
        <w:tc>
          <w:tcPr>
            <w:tcW w:w="4298" w:type="dxa"/>
            <w:gridSpan w:val="9"/>
            <w:vAlign w:val="center"/>
          </w:tcPr>
          <w:p w14:paraId="734D315C" w14:textId="77777777" w:rsidR="0058251C" w:rsidRPr="00FB6649" w:rsidRDefault="0058251C" w:rsidP="008E445B">
            <w:pPr>
              <w:rPr>
                <w:rFonts w:ascii="Arial" w:hAnsi="Arial" w:cs="Arial"/>
                <w:sz w:val="18"/>
                <w:szCs w:val="18"/>
                <w:lang w:val="es-ES_tradnl"/>
              </w:rPr>
            </w:pPr>
            <w:r w:rsidRPr="00FB6649">
              <w:rPr>
                <w:rFonts w:ascii="Arial" w:hAnsi="Arial" w:cs="Arial"/>
                <w:b/>
                <w:sz w:val="18"/>
                <w:szCs w:val="18"/>
                <w:lang w:val="es-ES_tradnl"/>
              </w:rPr>
              <w:lastRenderedPageBreak/>
              <w:t>Costo total</w:t>
            </w:r>
          </w:p>
        </w:tc>
        <w:tc>
          <w:tcPr>
            <w:tcW w:w="2545" w:type="dxa"/>
            <w:gridSpan w:val="4"/>
            <w:vAlign w:val="center"/>
          </w:tcPr>
          <w:p w14:paraId="736B9E6A" w14:textId="77777777" w:rsidR="0058251C" w:rsidRPr="00FB6649" w:rsidRDefault="0058251C" w:rsidP="002F6EBE">
            <w:pPr>
              <w:jc w:val="center"/>
              <w:rPr>
                <w:rFonts w:ascii="Arial" w:hAnsi="Arial" w:cs="Arial"/>
                <w:sz w:val="18"/>
                <w:szCs w:val="18"/>
                <w:lang w:val="es-ES_tradnl"/>
              </w:rPr>
            </w:pPr>
            <w:r w:rsidRPr="00FB6649">
              <w:rPr>
                <w:rFonts w:ascii="Arial" w:hAnsi="Arial" w:cs="Arial"/>
                <w:sz w:val="18"/>
                <w:szCs w:val="18"/>
                <w:lang w:val="es-ES_tradnl"/>
              </w:rPr>
              <w:t>Total: US$</w:t>
            </w:r>
            <w:r w:rsidR="00B42A3E">
              <w:rPr>
                <w:rFonts w:ascii="Arial" w:hAnsi="Arial" w:cs="Arial"/>
                <w:sz w:val="18"/>
                <w:szCs w:val="18"/>
                <w:lang w:val="es-ES_tradnl"/>
              </w:rPr>
              <w:t>50</w:t>
            </w:r>
            <w:r w:rsidRPr="00FB6649">
              <w:rPr>
                <w:rFonts w:ascii="Arial" w:hAnsi="Arial" w:cs="Arial"/>
                <w:sz w:val="18"/>
                <w:szCs w:val="18"/>
                <w:lang w:val="es-ES_tradnl"/>
              </w:rPr>
              <w:t>000</w:t>
            </w:r>
          </w:p>
          <w:p w14:paraId="02A93C6D" w14:textId="77777777" w:rsidR="0058251C" w:rsidRPr="00FB6649" w:rsidRDefault="0058251C" w:rsidP="001A6CDA">
            <w:pPr>
              <w:ind w:left="-58" w:right="-106"/>
              <w:jc w:val="center"/>
              <w:rPr>
                <w:rFonts w:ascii="Arial" w:hAnsi="Arial" w:cs="Arial"/>
                <w:sz w:val="18"/>
                <w:szCs w:val="18"/>
                <w:lang w:val="es-ES_tradnl"/>
              </w:rPr>
            </w:pPr>
            <w:r w:rsidRPr="00FB6649">
              <w:rPr>
                <w:rFonts w:ascii="Arial" w:hAnsi="Arial" w:cs="Arial"/>
                <w:sz w:val="18"/>
                <w:szCs w:val="18"/>
                <w:lang w:val="es-ES_tradnl"/>
              </w:rPr>
              <w:t>Monitoreo: US$2</w:t>
            </w:r>
            <w:r w:rsidR="00B42A3E">
              <w:rPr>
                <w:rFonts w:ascii="Arial" w:hAnsi="Arial" w:cs="Arial"/>
                <w:sz w:val="18"/>
                <w:szCs w:val="18"/>
                <w:lang w:val="es-ES_tradnl"/>
              </w:rPr>
              <w:t>5</w:t>
            </w:r>
            <w:r w:rsidRPr="00FB6649">
              <w:rPr>
                <w:rFonts w:ascii="Arial" w:hAnsi="Arial" w:cs="Arial"/>
                <w:sz w:val="18"/>
                <w:szCs w:val="18"/>
                <w:lang w:val="es-ES_tradnl"/>
              </w:rPr>
              <w:t>000 en auditorías y reportes</w:t>
            </w:r>
          </w:p>
          <w:p w14:paraId="317FD513" w14:textId="77777777" w:rsidR="0058251C" w:rsidRPr="00FB6649" w:rsidRDefault="0058251C" w:rsidP="001A6CDA">
            <w:pPr>
              <w:jc w:val="center"/>
              <w:rPr>
                <w:rFonts w:ascii="Arial" w:hAnsi="Arial" w:cs="Arial"/>
                <w:sz w:val="18"/>
                <w:szCs w:val="18"/>
                <w:lang w:val="es-ES_tradnl"/>
              </w:rPr>
            </w:pPr>
            <w:r w:rsidRPr="00FB6649">
              <w:rPr>
                <w:rFonts w:ascii="Arial" w:hAnsi="Arial" w:cs="Arial"/>
                <w:sz w:val="18"/>
                <w:szCs w:val="18"/>
                <w:lang w:val="es-ES_tradnl"/>
              </w:rPr>
              <w:t>Evaluación: US$25000</w:t>
            </w:r>
          </w:p>
        </w:tc>
        <w:tc>
          <w:tcPr>
            <w:tcW w:w="1432" w:type="dxa"/>
            <w:shd w:val="pct10" w:color="auto" w:fill="auto"/>
            <w:vAlign w:val="center"/>
          </w:tcPr>
          <w:p w14:paraId="101E0B94" w14:textId="77777777" w:rsidR="0058251C" w:rsidRPr="00FB6649" w:rsidRDefault="0058251C" w:rsidP="000A6E8E">
            <w:pPr>
              <w:jc w:val="center"/>
              <w:rPr>
                <w:rFonts w:ascii="Arial" w:hAnsi="Arial" w:cs="Arial"/>
                <w:sz w:val="18"/>
                <w:szCs w:val="18"/>
                <w:lang w:val="es-ES_tradnl"/>
              </w:rPr>
            </w:pPr>
          </w:p>
        </w:tc>
      </w:tr>
    </w:tbl>
    <w:p w14:paraId="323EB545" w14:textId="77777777" w:rsidR="00851A40" w:rsidRPr="00BB250A" w:rsidRDefault="00851A40" w:rsidP="00BD6C32">
      <w:pPr>
        <w:pStyle w:val="Chapter"/>
        <w:numPr>
          <w:ilvl w:val="0"/>
          <w:numId w:val="0"/>
        </w:numPr>
        <w:spacing w:before="120"/>
        <w:ind w:firstLine="288"/>
        <w:jc w:val="left"/>
        <w:rPr>
          <w:rFonts w:ascii="Arial" w:hAnsi="Arial" w:cs="Arial"/>
          <w:sz w:val="22"/>
          <w:szCs w:val="22"/>
          <w:highlight w:val="yellow"/>
          <w:lang w:val="es-ES_tradnl"/>
        </w:rPr>
      </w:pPr>
    </w:p>
    <w:p w14:paraId="2ABCE4B8" w14:textId="77777777" w:rsidR="00062D0D" w:rsidRPr="00EF4ECB" w:rsidRDefault="00062D0D" w:rsidP="00F436E1">
      <w:pPr>
        <w:pStyle w:val="Chapter"/>
        <w:tabs>
          <w:tab w:val="clear" w:pos="1440"/>
        </w:tabs>
        <w:spacing w:before="0"/>
        <w:ind w:left="630" w:hanging="180"/>
        <w:rPr>
          <w:rFonts w:ascii="Arial" w:hAnsi="Arial" w:cs="Arial"/>
          <w:sz w:val="22"/>
          <w:szCs w:val="22"/>
          <w:lang w:val="es-ES_tradnl"/>
        </w:rPr>
      </w:pPr>
      <w:bookmarkStart w:id="24" w:name="_Toc491884245"/>
      <w:r w:rsidRPr="00EF4ECB">
        <w:rPr>
          <w:rFonts w:ascii="Arial" w:hAnsi="Arial" w:cs="Arial"/>
          <w:sz w:val="22"/>
          <w:szCs w:val="22"/>
          <w:lang w:val="es-ES_tradnl"/>
        </w:rPr>
        <w:t>Evaluación</w:t>
      </w:r>
      <w:bookmarkEnd w:id="21"/>
      <w:bookmarkEnd w:id="22"/>
      <w:bookmarkEnd w:id="23"/>
      <w:bookmarkEnd w:id="24"/>
    </w:p>
    <w:p w14:paraId="2B9F39B7" w14:textId="77777777" w:rsidR="00497260" w:rsidRPr="00365EED" w:rsidRDefault="00497260" w:rsidP="00CC1E10">
      <w:pPr>
        <w:pStyle w:val="SecHeading"/>
        <w:numPr>
          <w:ilvl w:val="1"/>
          <w:numId w:val="4"/>
        </w:numPr>
        <w:tabs>
          <w:tab w:val="clear" w:pos="5400"/>
          <w:tab w:val="num" w:pos="1260"/>
        </w:tabs>
        <w:ind w:hanging="4680"/>
        <w:rPr>
          <w:rFonts w:ascii="Arial" w:hAnsi="Arial" w:cs="Arial"/>
          <w:color w:val="auto"/>
          <w:sz w:val="22"/>
          <w:szCs w:val="22"/>
        </w:rPr>
      </w:pPr>
      <w:bookmarkStart w:id="25" w:name="_Toc491884246"/>
      <w:r w:rsidRPr="00365EED">
        <w:rPr>
          <w:rFonts w:ascii="Arial" w:hAnsi="Arial" w:cs="Arial"/>
          <w:color w:val="auto"/>
          <w:sz w:val="22"/>
          <w:szCs w:val="22"/>
        </w:rPr>
        <w:t>Preguntas de evaluación</w:t>
      </w:r>
      <w:bookmarkEnd w:id="25"/>
    </w:p>
    <w:p w14:paraId="1675F747" w14:textId="77777777" w:rsidR="00C902B6" w:rsidRPr="00CB15AB" w:rsidRDefault="00C902B6" w:rsidP="00AF2969">
      <w:pPr>
        <w:pStyle w:val="Paragraph"/>
        <w:tabs>
          <w:tab w:val="clear" w:pos="2736"/>
        </w:tabs>
        <w:ind w:left="720" w:hanging="720"/>
        <w:rPr>
          <w:rFonts w:ascii="Arial" w:hAnsi="Arial" w:cs="Arial"/>
          <w:sz w:val="22"/>
          <w:szCs w:val="22"/>
          <w:lang w:val="es-ES_tradnl"/>
        </w:rPr>
      </w:pPr>
      <w:r w:rsidRPr="00CB15AB">
        <w:rPr>
          <w:rFonts w:ascii="Arial" w:hAnsi="Arial" w:cs="Arial"/>
          <w:sz w:val="22"/>
          <w:szCs w:val="22"/>
          <w:lang w:val="es-ES_tradnl"/>
        </w:rPr>
        <w:t xml:space="preserve">La presente sección desarrollará el plan para la implementación de la evaluación del programa. </w:t>
      </w:r>
      <w:r w:rsidR="00365EED" w:rsidRPr="00CB15AB">
        <w:rPr>
          <w:rFonts w:ascii="Arial" w:hAnsi="Arial" w:cs="Arial"/>
          <w:sz w:val="22"/>
          <w:szCs w:val="22"/>
          <w:lang w:val="es-ES_tradnl"/>
        </w:rPr>
        <w:t>Dadas las características de la operación</w:t>
      </w:r>
      <w:r w:rsidRPr="00CB15AB">
        <w:rPr>
          <w:rFonts w:ascii="Arial" w:hAnsi="Arial" w:cs="Arial"/>
          <w:sz w:val="22"/>
          <w:szCs w:val="22"/>
          <w:lang w:val="es-ES_tradnl"/>
        </w:rPr>
        <w:t xml:space="preserve">, </w:t>
      </w:r>
      <w:r w:rsidR="00365EED" w:rsidRPr="00CB15AB">
        <w:rPr>
          <w:rFonts w:ascii="Arial" w:hAnsi="Arial" w:cs="Arial"/>
          <w:sz w:val="22"/>
          <w:szCs w:val="22"/>
          <w:lang w:val="es-ES_tradnl"/>
        </w:rPr>
        <w:t xml:space="preserve">la escala de esta, </w:t>
      </w:r>
      <w:r w:rsidRPr="00CB15AB">
        <w:rPr>
          <w:rFonts w:ascii="Arial" w:hAnsi="Arial" w:cs="Arial"/>
          <w:sz w:val="22"/>
          <w:szCs w:val="22"/>
          <w:lang w:val="es-ES_tradnl"/>
        </w:rPr>
        <w:t>y sobre todo la limitada disponibilidad de información secundaria complementaria de los potenciales benef</w:t>
      </w:r>
      <w:r w:rsidR="00365EED" w:rsidRPr="00CB15AB">
        <w:rPr>
          <w:rFonts w:ascii="Arial" w:hAnsi="Arial" w:cs="Arial"/>
          <w:sz w:val="22"/>
          <w:szCs w:val="22"/>
          <w:lang w:val="es-ES_tradnl"/>
        </w:rPr>
        <w:t xml:space="preserve">iciarios a nivel micro, no se ve factible </w:t>
      </w:r>
      <w:r w:rsidRPr="00CB15AB">
        <w:rPr>
          <w:rFonts w:ascii="Arial" w:hAnsi="Arial" w:cs="Arial"/>
          <w:sz w:val="22"/>
          <w:szCs w:val="22"/>
          <w:lang w:val="es-ES_tradnl"/>
        </w:rPr>
        <w:t>llevar a cabo una evaluación de impacto que utilice un tamaño de muestra que provea adecuado poder estadístico y que se apoye en una gama importante de variables de control. Sin embargo, dado el tipo de información administrativa que se recogerá</w:t>
      </w:r>
      <w:r w:rsidR="002E0F2E" w:rsidRPr="00CB15AB">
        <w:rPr>
          <w:rFonts w:ascii="Arial" w:hAnsi="Arial" w:cs="Arial"/>
          <w:sz w:val="22"/>
          <w:szCs w:val="22"/>
          <w:lang w:val="es-ES_tradnl"/>
        </w:rPr>
        <w:t xml:space="preserve"> durante el proceso de monitoreo</w:t>
      </w:r>
      <w:r w:rsidRPr="00CB15AB">
        <w:rPr>
          <w:rFonts w:ascii="Arial" w:hAnsi="Arial" w:cs="Arial"/>
          <w:sz w:val="22"/>
          <w:szCs w:val="22"/>
          <w:lang w:val="es-ES_tradnl"/>
        </w:rPr>
        <w:t xml:space="preserve">, </w:t>
      </w:r>
      <w:r w:rsidR="005415DF">
        <w:rPr>
          <w:rFonts w:ascii="Arial" w:hAnsi="Arial" w:cs="Arial"/>
          <w:sz w:val="22"/>
          <w:szCs w:val="22"/>
          <w:lang w:val="es-ES_tradnl"/>
        </w:rPr>
        <w:t xml:space="preserve">dada la recolección de información de IFI y </w:t>
      </w:r>
      <w:r w:rsidR="001C14B3">
        <w:rPr>
          <w:rFonts w:ascii="Arial" w:hAnsi="Arial" w:cs="Arial"/>
          <w:sz w:val="22"/>
          <w:szCs w:val="22"/>
          <w:lang w:val="es-ES_tradnl"/>
        </w:rPr>
        <w:t xml:space="preserve">IMF que realizará la UCP </w:t>
      </w:r>
      <w:r w:rsidRPr="00CB15AB">
        <w:rPr>
          <w:rFonts w:ascii="Arial" w:hAnsi="Arial" w:cs="Arial"/>
          <w:sz w:val="22"/>
          <w:szCs w:val="22"/>
          <w:lang w:val="es-ES_tradnl"/>
        </w:rPr>
        <w:t xml:space="preserve">y dada la </w:t>
      </w:r>
      <w:r w:rsidR="00CB15AB" w:rsidRPr="00CB15AB">
        <w:rPr>
          <w:rFonts w:ascii="Arial" w:hAnsi="Arial" w:cs="Arial"/>
          <w:sz w:val="22"/>
          <w:szCs w:val="22"/>
          <w:lang w:val="es-ES_tradnl"/>
        </w:rPr>
        <w:t>posibilidad de contar con una encuesta nacional que provea información de utilidad para un grupo contrafactual,</w:t>
      </w:r>
      <w:r w:rsidR="002E0F2E" w:rsidRPr="00CB15AB">
        <w:rPr>
          <w:rFonts w:ascii="Arial" w:hAnsi="Arial" w:cs="Arial"/>
          <w:sz w:val="22"/>
          <w:szCs w:val="22"/>
          <w:lang w:val="es-ES_tradnl"/>
        </w:rPr>
        <w:t xml:space="preserve"> se podrá llevar a cabo un análisis costo-beneficio ex</w:t>
      </w:r>
      <w:r w:rsidR="007C5843" w:rsidRPr="00CB15AB">
        <w:rPr>
          <w:rFonts w:ascii="Arial" w:hAnsi="Arial" w:cs="Arial"/>
          <w:sz w:val="22"/>
          <w:szCs w:val="22"/>
          <w:lang w:val="es-ES_tradnl"/>
        </w:rPr>
        <w:t> </w:t>
      </w:r>
      <w:r w:rsidR="002E0F2E" w:rsidRPr="00CB15AB">
        <w:rPr>
          <w:rFonts w:ascii="Arial" w:hAnsi="Arial" w:cs="Arial"/>
          <w:sz w:val="22"/>
          <w:szCs w:val="22"/>
          <w:lang w:val="es-ES_tradnl"/>
        </w:rPr>
        <w:t>post. Así, las preguntas de evaluación serán las siguientes:</w:t>
      </w:r>
    </w:p>
    <w:p w14:paraId="469C1172" w14:textId="77777777" w:rsidR="002E0F2E" w:rsidRPr="00CB15AB" w:rsidRDefault="002E0F2E" w:rsidP="002E0F2E">
      <w:pPr>
        <w:pStyle w:val="subpar"/>
        <w:tabs>
          <w:tab w:val="clear" w:pos="2682"/>
        </w:tabs>
        <w:ind w:left="1710" w:hanging="630"/>
        <w:rPr>
          <w:rFonts w:ascii="Arial" w:hAnsi="Arial" w:cs="Arial"/>
          <w:sz w:val="22"/>
          <w:szCs w:val="22"/>
          <w:lang w:val="es-ES_tradnl"/>
        </w:rPr>
      </w:pPr>
      <w:r w:rsidRPr="00CB15AB">
        <w:rPr>
          <w:rFonts w:ascii="Arial" w:hAnsi="Arial" w:cs="Arial"/>
          <w:sz w:val="22"/>
          <w:szCs w:val="22"/>
          <w:lang w:val="es-ES_tradnl"/>
        </w:rPr>
        <w:t xml:space="preserve">¿Cuál es el valor económico, atribuible al programa, que se generó por la </w:t>
      </w:r>
      <w:r w:rsidR="00CB15AB" w:rsidRPr="00CB15AB">
        <w:rPr>
          <w:rFonts w:ascii="Arial" w:hAnsi="Arial" w:cs="Arial"/>
          <w:sz w:val="22"/>
          <w:szCs w:val="22"/>
          <w:lang w:val="es-ES_tradnl"/>
        </w:rPr>
        <w:t>inclusión de nuevos usuarios del sistema financiero a través de las entidades beneficiadas</w:t>
      </w:r>
      <w:r w:rsidRPr="00CB15AB">
        <w:rPr>
          <w:rFonts w:ascii="Arial" w:hAnsi="Arial" w:cs="Arial"/>
          <w:sz w:val="22"/>
          <w:szCs w:val="22"/>
          <w:lang w:val="es-ES_tradnl"/>
        </w:rPr>
        <w:t>?</w:t>
      </w:r>
    </w:p>
    <w:p w14:paraId="6C561429" w14:textId="77777777" w:rsidR="002E0F2E" w:rsidRPr="00945124" w:rsidRDefault="002E0F2E" w:rsidP="002E0F2E">
      <w:pPr>
        <w:pStyle w:val="subpar"/>
        <w:tabs>
          <w:tab w:val="clear" w:pos="2682"/>
        </w:tabs>
        <w:ind w:left="1710" w:hanging="630"/>
        <w:rPr>
          <w:rFonts w:ascii="Arial" w:hAnsi="Arial" w:cs="Arial"/>
          <w:sz w:val="22"/>
          <w:szCs w:val="22"/>
          <w:lang w:val="es-ES_tradnl"/>
        </w:rPr>
      </w:pPr>
      <w:r w:rsidRPr="00945124">
        <w:rPr>
          <w:rFonts w:ascii="Arial" w:hAnsi="Arial" w:cs="Arial"/>
          <w:sz w:val="22"/>
          <w:szCs w:val="22"/>
          <w:lang w:val="es-ES_tradnl"/>
        </w:rPr>
        <w:t xml:space="preserve">¿Cuál es el valor económico, atribuible al programa, que se generó por </w:t>
      </w:r>
      <w:r w:rsidR="00945124" w:rsidRPr="00945124">
        <w:rPr>
          <w:rFonts w:ascii="Arial" w:hAnsi="Arial" w:cs="Arial"/>
          <w:sz w:val="22"/>
          <w:szCs w:val="22"/>
          <w:lang w:val="es-ES_tradnl"/>
        </w:rPr>
        <w:t>el incremento de usuarios regulares de servicios financieros digitales</w:t>
      </w:r>
      <w:r w:rsidRPr="00945124">
        <w:rPr>
          <w:rFonts w:ascii="Arial" w:hAnsi="Arial" w:cs="Arial"/>
          <w:sz w:val="22"/>
          <w:szCs w:val="22"/>
          <w:lang w:val="es-ES_tradnl"/>
        </w:rPr>
        <w:t>?</w:t>
      </w:r>
    </w:p>
    <w:p w14:paraId="3D504941" w14:textId="77777777" w:rsidR="002E0F2E" w:rsidRPr="00945124" w:rsidRDefault="002E0F2E" w:rsidP="002E0F2E">
      <w:pPr>
        <w:pStyle w:val="subpar"/>
        <w:tabs>
          <w:tab w:val="clear" w:pos="2682"/>
        </w:tabs>
        <w:ind w:left="1710" w:hanging="630"/>
        <w:rPr>
          <w:rFonts w:ascii="Arial" w:hAnsi="Arial" w:cs="Arial"/>
          <w:sz w:val="22"/>
          <w:szCs w:val="22"/>
          <w:lang w:val="es-ES_tradnl"/>
        </w:rPr>
      </w:pPr>
      <w:r w:rsidRPr="00945124">
        <w:rPr>
          <w:rFonts w:ascii="Arial" w:hAnsi="Arial" w:cs="Arial"/>
          <w:sz w:val="22"/>
          <w:szCs w:val="22"/>
          <w:lang w:val="es-ES_tradnl"/>
        </w:rPr>
        <w:t>¿Cuál es el valor económico, atribuibl</w:t>
      </w:r>
      <w:r w:rsidR="00945124" w:rsidRPr="00945124">
        <w:rPr>
          <w:rFonts w:ascii="Arial" w:hAnsi="Arial" w:cs="Arial"/>
          <w:sz w:val="22"/>
          <w:szCs w:val="22"/>
          <w:lang w:val="es-ES_tradnl"/>
        </w:rPr>
        <w:t>e al programa, generado por la colocación de créditos de FO</w:t>
      </w:r>
      <w:r w:rsidR="00FC25EB">
        <w:rPr>
          <w:rFonts w:ascii="Arial" w:hAnsi="Arial" w:cs="Arial"/>
          <w:sz w:val="22"/>
          <w:szCs w:val="22"/>
          <w:lang w:val="es-ES_tradnl"/>
        </w:rPr>
        <w:t>NC</w:t>
      </w:r>
      <w:r w:rsidR="00945124" w:rsidRPr="00945124">
        <w:rPr>
          <w:rFonts w:ascii="Arial" w:hAnsi="Arial" w:cs="Arial"/>
          <w:sz w:val="22"/>
          <w:szCs w:val="22"/>
          <w:lang w:val="es-ES_tradnl"/>
        </w:rPr>
        <w:t>AP dirigidos a nuevos clientes de instituciones microfinancieras</w:t>
      </w:r>
      <w:r w:rsidRPr="00945124">
        <w:rPr>
          <w:rFonts w:ascii="Arial" w:hAnsi="Arial" w:cs="Arial"/>
          <w:sz w:val="22"/>
          <w:szCs w:val="22"/>
          <w:lang w:val="es-ES_tradnl"/>
        </w:rPr>
        <w:t>?</w:t>
      </w:r>
    </w:p>
    <w:p w14:paraId="4C170CDE" w14:textId="77777777" w:rsidR="00AE4A75" w:rsidRPr="004031A0" w:rsidRDefault="00AE4A75" w:rsidP="006A109F">
      <w:pPr>
        <w:pStyle w:val="SecHeading"/>
        <w:tabs>
          <w:tab w:val="clear" w:pos="5400"/>
          <w:tab w:val="num" w:pos="1260"/>
        </w:tabs>
        <w:ind w:hanging="4680"/>
        <w:rPr>
          <w:rFonts w:ascii="Arial" w:hAnsi="Arial" w:cs="Arial"/>
          <w:color w:val="auto"/>
          <w:sz w:val="22"/>
          <w:szCs w:val="22"/>
        </w:rPr>
      </w:pPr>
      <w:bookmarkStart w:id="26" w:name="_Toc346643522"/>
      <w:bookmarkStart w:id="27" w:name="_Toc352755943"/>
      <w:bookmarkStart w:id="28" w:name="_Toc352756759"/>
      <w:bookmarkStart w:id="29" w:name="_Toc491884247"/>
      <w:r w:rsidRPr="00CD47B9">
        <w:rPr>
          <w:rFonts w:ascii="Arial" w:hAnsi="Arial" w:cs="Arial"/>
          <w:color w:val="auto"/>
          <w:sz w:val="22"/>
          <w:szCs w:val="22"/>
        </w:rPr>
        <w:t>Cono</w:t>
      </w:r>
      <w:r w:rsidRPr="004031A0">
        <w:rPr>
          <w:rFonts w:ascii="Arial" w:hAnsi="Arial" w:cs="Arial"/>
          <w:color w:val="auto"/>
          <w:sz w:val="22"/>
          <w:szCs w:val="22"/>
        </w:rPr>
        <w:t>cimiento existente</w:t>
      </w:r>
      <w:bookmarkEnd w:id="26"/>
      <w:bookmarkEnd w:id="27"/>
      <w:bookmarkEnd w:id="28"/>
      <w:bookmarkEnd w:id="29"/>
    </w:p>
    <w:p w14:paraId="2B557AB7" w14:textId="77777777" w:rsidR="004031A0" w:rsidRPr="004031A0" w:rsidRDefault="00CD47B9" w:rsidP="00EE1A4D">
      <w:pPr>
        <w:pStyle w:val="Paragraph"/>
        <w:tabs>
          <w:tab w:val="clear" w:pos="2736"/>
        </w:tabs>
        <w:ind w:left="720" w:hanging="720"/>
        <w:rPr>
          <w:rFonts w:ascii="Arial" w:hAnsi="Arial" w:cs="Arial"/>
          <w:sz w:val="22"/>
          <w:szCs w:val="22"/>
          <w:lang w:val="es-ES_tradnl"/>
        </w:rPr>
      </w:pPr>
      <w:r w:rsidRPr="004031A0">
        <w:rPr>
          <w:rFonts w:ascii="Arial" w:hAnsi="Arial" w:cs="Arial"/>
          <w:sz w:val="22"/>
          <w:lang w:val="es-ES_tradnl"/>
        </w:rPr>
        <w:t>Existe un importante cuerpo de literatura que evidencia los múltiples beneficios socioeconómicos que conlleva la inclusión financiera</w:t>
      </w:r>
      <w:r w:rsidRPr="004031A0">
        <w:rPr>
          <w:rStyle w:val="FootnoteReference"/>
          <w:rFonts w:ascii="Arial" w:hAnsi="Arial" w:cs="Arial"/>
          <w:sz w:val="22"/>
        </w:rPr>
        <w:footnoteReference w:id="11"/>
      </w:r>
      <w:r w:rsidRPr="004031A0">
        <w:rPr>
          <w:rFonts w:ascii="Arial" w:hAnsi="Arial" w:cs="Arial"/>
          <w:sz w:val="22"/>
          <w:lang w:val="es-ES_tradnl"/>
        </w:rPr>
        <w:t xml:space="preserve">. Para los hogares de menores ingresos, destaca la reducción de vulnerabilidad al proporcionar instrumentos que permiten limitar la variabilidad del consumo y gestionar los choques adversos de manera más eficiente, así como incrementar sus activos. Por el lado de las empresas, incrementa el potencial de inversión a través del </w:t>
      </w:r>
      <w:r w:rsidRPr="004031A0">
        <w:rPr>
          <w:rFonts w:ascii="Arial" w:hAnsi="Arial" w:cs="Arial"/>
          <w:sz w:val="22"/>
          <w:lang w:val="es-ES_tradnl"/>
        </w:rPr>
        <w:lastRenderedPageBreak/>
        <w:t>crédito</w:t>
      </w:r>
      <w:r w:rsidRPr="004031A0">
        <w:rPr>
          <w:rStyle w:val="FootnoteReference"/>
          <w:rFonts w:ascii="Arial" w:hAnsi="Arial" w:cs="Arial"/>
          <w:sz w:val="22"/>
        </w:rPr>
        <w:footnoteReference w:id="12"/>
      </w:r>
      <w:r w:rsidR="004031A0" w:rsidRPr="004031A0">
        <w:rPr>
          <w:rFonts w:ascii="Arial" w:hAnsi="Arial" w:cs="Arial"/>
          <w:sz w:val="22"/>
          <w:lang w:val="es-ES_tradnl"/>
        </w:rPr>
        <w:t>.</w:t>
      </w:r>
      <w:r w:rsidRPr="004031A0">
        <w:rPr>
          <w:rFonts w:ascii="Arial" w:hAnsi="Arial" w:cs="Arial"/>
          <w:sz w:val="22"/>
          <w:szCs w:val="22"/>
          <w:lang w:val="es-ES"/>
        </w:rPr>
        <w:t>Para el caso de uso de cuentas de ahorro, una reciente revisión de la evidencia empírica del impacto de programas que promueven el uso de estas cuentas muestra la presencia constante de efectos positivos sobre el ingreso, consumo, inversiones, producción, entre otros, de los beneficiarios</w:t>
      </w:r>
      <w:r w:rsidRPr="004031A0">
        <w:rPr>
          <w:rFonts w:ascii="Arial" w:hAnsi="Arial" w:cs="Arial"/>
          <w:sz w:val="22"/>
          <w:szCs w:val="22"/>
          <w:vertAlign w:val="superscript"/>
          <w:lang w:val="es-ES"/>
        </w:rPr>
        <w:footnoteReference w:id="13"/>
      </w:r>
      <w:r w:rsidRPr="004031A0">
        <w:rPr>
          <w:rFonts w:ascii="Arial" w:hAnsi="Arial" w:cs="Arial"/>
          <w:sz w:val="22"/>
          <w:szCs w:val="22"/>
          <w:lang w:val="es-ES"/>
        </w:rPr>
        <w:t xml:space="preserve">. </w:t>
      </w:r>
    </w:p>
    <w:p w14:paraId="09517EB3" w14:textId="77777777" w:rsidR="004031A0" w:rsidRPr="004031A0" w:rsidRDefault="004031A0" w:rsidP="002E0F2E">
      <w:pPr>
        <w:pStyle w:val="Paragraph"/>
        <w:tabs>
          <w:tab w:val="clear" w:pos="2736"/>
        </w:tabs>
        <w:ind w:left="720" w:hanging="720"/>
        <w:rPr>
          <w:rFonts w:ascii="Arial" w:hAnsi="Arial" w:cs="Arial"/>
          <w:sz w:val="22"/>
          <w:szCs w:val="22"/>
          <w:lang w:val="es-ES_tradnl"/>
        </w:rPr>
      </w:pPr>
      <w:r w:rsidRPr="004031A0">
        <w:rPr>
          <w:rFonts w:ascii="Arial" w:hAnsi="Arial" w:cs="Arial"/>
          <w:sz w:val="22"/>
          <w:szCs w:val="22"/>
          <w:lang w:val="es-ES"/>
        </w:rPr>
        <w:t>Por otro lado, e</w:t>
      </w:r>
      <w:r w:rsidRPr="004031A0">
        <w:rPr>
          <w:rFonts w:ascii="Arial" w:eastAsia="Calibri" w:hAnsi="Arial" w:cs="Arial"/>
          <w:sz w:val="22"/>
          <w:szCs w:val="22"/>
          <w:lang w:val="es-ES" w:eastAsia="en-US"/>
        </w:rPr>
        <w:t>xiste una extensa literatura sobre los beneficios económicos de la adopción de métodos digitales de pago. Por un lado, se encuentra que las plataformas de pago digital mejoran la propensión al ahorro</w:t>
      </w:r>
      <w:r w:rsidRPr="004031A0">
        <w:rPr>
          <w:rFonts w:ascii="Arial" w:eastAsia="Calibri" w:hAnsi="Arial" w:cs="Arial"/>
          <w:sz w:val="22"/>
          <w:szCs w:val="22"/>
          <w:vertAlign w:val="superscript"/>
          <w:lang w:val="es-ES" w:eastAsia="en-US"/>
        </w:rPr>
        <w:footnoteReference w:id="14"/>
      </w:r>
      <w:r w:rsidRPr="004031A0">
        <w:rPr>
          <w:rFonts w:ascii="Arial" w:eastAsia="Calibri" w:hAnsi="Arial" w:cs="Arial"/>
          <w:sz w:val="22"/>
          <w:szCs w:val="22"/>
          <w:lang w:val="es-ES" w:eastAsia="en-US"/>
        </w:rPr>
        <w:t>. En este sentido, un estudio empírico para Colombia encuentra que un incremento en la aceptación de instrumentos electrónicos impacta positivamente la probabilidad de apertura de cuentas y uso de tarjetas</w:t>
      </w:r>
      <w:r w:rsidRPr="004031A0">
        <w:rPr>
          <w:rFonts w:ascii="Arial" w:eastAsia="Calibri" w:hAnsi="Arial" w:cs="Arial"/>
          <w:sz w:val="22"/>
          <w:szCs w:val="22"/>
          <w:vertAlign w:val="superscript"/>
          <w:lang w:val="es-ES" w:eastAsia="en-US"/>
        </w:rPr>
        <w:footnoteReference w:id="15"/>
      </w:r>
      <w:r w:rsidRPr="004031A0">
        <w:rPr>
          <w:rFonts w:ascii="Arial" w:eastAsia="Calibri" w:hAnsi="Arial" w:cs="Arial"/>
          <w:sz w:val="22"/>
          <w:szCs w:val="22"/>
          <w:lang w:val="es-ES" w:eastAsia="en-US"/>
        </w:rPr>
        <w:t>. Por otro lado, se ha estimado que el costo anual de uso del efectivo en México es de 2.3 miles de millones de pesos y 48 millones de horas al año</w:t>
      </w:r>
      <w:r w:rsidRPr="004031A0">
        <w:rPr>
          <w:rFonts w:ascii="Arial" w:eastAsia="Calibri" w:hAnsi="Arial" w:cs="Arial"/>
          <w:sz w:val="22"/>
          <w:szCs w:val="22"/>
          <w:vertAlign w:val="superscript"/>
          <w:lang w:val="es-ES" w:eastAsia="en-US"/>
        </w:rPr>
        <w:footnoteReference w:id="16"/>
      </w:r>
      <w:r w:rsidRPr="004031A0">
        <w:rPr>
          <w:rFonts w:ascii="Arial" w:eastAsia="Calibri" w:hAnsi="Arial" w:cs="Arial"/>
          <w:sz w:val="22"/>
          <w:szCs w:val="22"/>
          <w:lang w:val="es-ES" w:eastAsia="en-US"/>
        </w:rPr>
        <w:t>. Por su parte, existe una estimación de la elasticidad uso de tarjetas – PIB situada en 0.0263% puntos porcentuales del PIB para Argentina</w:t>
      </w:r>
      <w:r w:rsidRPr="004031A0">
        <w:rPr>
          <w:rFonts w:ascii="Arial" w:eastAsia="Calibri" w:hAnsi="Arial" w:cs="Arial"/>
          <w:sz w:val="22"/>
          <w:szCs w:val="22"/>
          <w:vertAlign w:val="superscript"/>
          <w:lang w:val="es-ES" w:eastAsia="en-US"/>
        </w:rPr>
        <w:footnoteReference w:id="17"/>
      </w:r>
      <w:r w:rsidRPr="004031A0">
        <w:rPr>
          <w:rFonts w:ascii="Arial" w:eastAsia="Calibri" w:hAnsi="Arial" w:cs="Arial"/>
          <w:sz w:val="22"/>
          <w:szCs w:val="22"/>
          <w:lang w:val="es-ES" w:eastAsia="en-US"/>
        </w:rPr>
        <w:t>. De igual manera, se ha estudiado la relación inversa que existe entre informalidad, corrupción y pagos digitales</w:t>
      </w:r>
      <w:r w:rsidRPr="004031A0">
        <w:rPr>
          <w:rFonts w:ascii="Arial" w:eastAsia="Calibri" w:hAnsi="Arial" w:cs="Arial"/>
          <w:sz w:val="22"/>
          <w:szCs w:val="22"/>
          <w:vertAlign w:val="superscript"/>
          <w:lang w:val="es-ES" w:eastAsia="en-US"/>
        </w:rPr>
        <w:footnoteReference w:id="18"/>
      </w:r>
      <w:r w:rsidRPr="004031A0">
        <w:rPr>
          <w:rFonts w:ascii="Arial" w:eastAsia="Calibri" w:hAnsi="Arial" w:cs="Arial"/>
          <w:sz w:val="22"/>
          <w:szCs w:val="22"/>
          <w:vertAlign w:val="superscript"/>
          <w:lang w:val="es-ES" w:eastAsia="en-US"/>
        </w:rPr>
        <w:footnoteReference w:id="19"/>
      </w:r>
      <w:r w:rsidRPr="004031A0">
        <w:rPr>
          <w:rFonts w:ascii="Arial" w:eastAsia="Calibri" w:hAnsi="Arial" w:cs="Arial"/>
          <w:sz w:val="22"/>
          <w:szCs w:val="22"/>
          <w:lang w:val="es-ES" w:eastAsia="en-US"/>
        </w:rPr>
        <w:t>, así como la influencia de estos en la adopción de servicios no financieros como agua y electricidad</w:t>
      </w:r>
      <w:r w:rsidRPr="004031A0">
        <w:rPr>
          <w:rFonts w:ascii="Arial" w:eastAsia="Calibri" w:hAnsi="Arial" w:cs="Arial"/>
          <w:sz w:val="22"/>
          <w:szCs w:val="22"/>
          <w:vertAlign w:val="superscript"/>
          <w:lang w:val="es-ES" w:eastAsia="en-US"/>
        </w:rPr>
        <w:footnoteReference w:id="20"/>
      </w:r>
      <w:r w:rsidRPr="004031A0">
        <w:rPr>
          <w:rFonts w:ascii="Arial" w:eastAsia="Calibri" w:hAnsi="Arial" w:cs="Arial"/>
          <w:sz w:val="22"/>
          <w:szCs w:val="22"/>
          <w:lang w:val="es-ES" w:eastAsia="en-US"/>
        </w:rPr>
        <w:t xml:space="preserve">. </w:t>
      </w:r>
    </w:p>
    <w:p w14:paraId="16763FB1" w14:textId="77777777" w:rsidR="00CD47B9" w:rsidRPr="004031A0" w:rsidRDefault="004031A0" w:rsidP="002E0F2E">
      <w:pPr>
        <w:pStyle w:val="Paragraph"/>
        <w:tabs>
          <w:tab w:val="clear" w:pos="2736"/>
        </w:tabs>
        <w:ind w:left="720" w:hanging="720"/>
        <w:rPr>
          <w:rFonts w:ascii="Arial" w:hAnsi="Arial" w:cs="Arial"/>
          <w:sz w:val="22"/>
          <w:szCs w:val="22"/>
          <w:lang w:val="es-ES_tradnl"/>
        </w:rPr>
      </w:pPr>
      <w:r w:rsidRPr="004031A0">
        <w:rPr>
          <w:rFonts w:ascii="Arial" w:eastAsia="Calibri" w:hAnsi="Arial" w:cs="Arial"/>
          <w:sz w:val="22"/>
          <w:szCs w:val="22"/>
          <w:lang w:val="es-ES" w:eastAsia="en-US"/>
        </w:rPr>
        <w:t>Finalmente, la literatura de evaluación de impacto de programas destinados a expandir la oferta de microcrédito ha destacado que uno de los efectos más ubicuos es el del incremento del tamaño y dinamismo de la actividad productiva entre los beneficiarios. En detalladas revisiones de literatura, Banerjee, Karlan y Zinman (2015)</w:t>
      </w:r>
      <w:r w:rsidRPr="004031A0">
        <w:rPr>
          <w:rFonts w:ascii="Arial" w:eastAsia="Calibri" w:hAnsi="Arial" w:cs="Arial"/>
          <w:sz w:val="22"/>
          <w:szCs w:val="22"/>
          <w:vertAlign w:val="superscript"/>
          <w:lang w:val="es-ES" w:eastAsia="en-US"/>
        </w:rPr>
        <w:footnoteReference w:id="21"/>
      </w:r>
      <w:r w:rsidRPr="004031A0">
        <w:rPr>
          <w:rFonts w:ascii="Arial" w:eastAsia="Calibri" w:hAnsi="Arial" w:cs="Arial"/>
          <w:sz w:val="22"/>
          <w:szCs w:val="22"/>
          <w:lang w:val="es-ES" w:eastAsia="en-US"/>
        </w:rPr>
        <w:t xml:space="preserve"> y Banerjee (2013)</w:t>
      </w:r>
      <w:r w:rsidRPr="004031A0">
        <w:rPr>
          <w:rFonts w:ascii="Arial" w:eastAsia="Calibri" w:hAnsi="Arial" w:cs="Arial"/>
          <w:sz w:val="22"/>
          <w:szCs w:val="22"/>
          <w:vertAlign w:val="superscript"/>
          <w:lang w:val="es-ES" w:eastAsia="en-US"/>
        </w:rPr>
        <w:footnoteReference w:id="22"/>
      </w:r>
      <w:r w:rsidRPr="004031A0">
        <w:rPr>
          <w:rFonts w:ascii="Arial" w:eastAsia="Calibri" w:hAnsi="Arial" w:cs="Arial"/>
          <w:sz w:val="22"/>
          <w:szCs w:val="22"/>
          <w:lang w:val="es-ES" w:eastAsia="en-US"/>
        </w:rPr>
        <w:t>, tras recopilar los resultados acumulados de evaluaciones de impacto del acceso a microcrédito basadas en pruebas aleatorias, concluyen que existe evidencia que respalda la hipótesis de que el microcrédito tiene efectos positivos sobre la actividad microempresarial de los beneficiados, en particular sobre el crecimiento de los negocios, acumulación de activos e incremento de utilidades netas.</w:t>
      </w:r>
    </w:p>
    <w:p w14:paraId="517638A6" w14:textId="77777777" w:rsidR="008F2547" w:rsidRPr="004031A0" w:rsidRDefault="002E0F2E" w:rsidP="006A109F">
      <w:pPr>
        <w:pStyle w:val="SecHeading"/>
        <w:tabs>
          <w:tab w:val="clear" w:pos="5400"/>
          <w:tab w:val="num" w:pos="1260"/>
        </w:tabs>
        <w:ind w:hanging="4680"/>
        <w:rPr>
          <w:rFonts w:ascii="Arial" w:hAnsi="Arial" w:cs="Arial"/>
          <w:color w:val="auto"/>
          <w:sz w:val="22"/>
          <w:szCs w:val="22"/>
        </w:rPr>
      </w:pPr>
      <w:bookmarkStart w:id="30" w:name="_Toc491884248"/>
      <w:r w:rsidRPr="004031A0">
        <w:rPr>
          <w:rFonts w:ascii="Arial" w:hAnsi="Arial" w:cs="Arial"/>
          <w:color w:val="auto"/>
          <w:sz w:val="22"/>
          <w:szCs w:val="22"/>
        </w:rPr>
        <w:t>Indicadores clave de resultados</w:t>
      </w:r>
      <w:bookmarkEnd w:id="30"/>
    </w:p>
    <w:p w14:paraId="3F681FDB" w14:textId="77777777" w:rsidR="00C164E7" w:rsidRPr="004031A0" w:rsidRDefault="002E0F2E" w:rsidP="00AF2969">
      <w:pPr>
        <w:pStyle w:val="Paragraph"/>
        <w:tabs>
          <w:tab w:val="clear" w:pos="2736"/>
        </w:tabs>
        <w:ind w:left="720" w:hanging="720"/>
        <w:rPr>
          <w:rFonts w:ascii="Arial" w:hAnsi="Arial" w:cs="Arial"/>
          <w:sz w:val="22"/>
          <w:szCs w:val="22"/>
          <w:lang w:val="es-ES_tradnl"/>
        </w:rPr>
      </w:pPr>
      <w:r w:rsidRPr="004031A0">
        <w:rPr>
          <w:rFonts w:ascii="Arial" w:hAnsi="Arial" w:cs="Arial"/>
          <w:sz w:val="22"/>
          <w:szCs w:val="22"/>
          <w:lang w:val="es-ES_tradnl"/>
        </w:rPr>
        <w:t>Los indicadores clave de resultados se encuentran descritos en el Cuadro 1</w:t>
      </w:r>
      <w:r w:rsidR="00455DC5" w:rsidRPr="004031A0">
        <w:rPr>
          <w:rFonts w:ascii="Arial" w:hAnsi="Arial" w:cs="Arial"/>
          <w:sz w:val="22"/>
          <w:szCs w:val="22"/>
          <w:lang w:val="es-ES_tradnl"/>
        </w:rPr>
        <w:t>.</w:t>
      </w:r>
    </w:p>
    <w:p w14:paraId="189AEF73" w14:textId="77777777" w:rsidR="0026466C" w:rsidRPr="004031A0" w:rsidRDefault="0026466C" w:rsidP="006A109F">
      <w:pPr>
        <w:pStyle w:val="SecHeading"/>
        <w:tabs>
          <w:tab w:val="clear" w:pos="5400"/>
          <w:tab w:val="num" w:pos="1260"/>
        </w:tabs>
        <w:ind w:hanging="4680"/>
        <w:rPr>
          <w:rFonts w:ascii="Arial" w:hAnsi="Arial" w:cs="Arial"/>
          <w:color w:val="auto"/>
          <w:sz w:val="22"/>
          <w:szCs w:val="22"/>
        </w:rPr>
      </w:pPr>
      <w:bookmarkStart w:id="31" w:name="_Toc346643524"/>
      <w:bookmarkStart w:id="32" w:name="_Toc352755945"/>
      <w:bookmarkStart w:id="33" w:name="_Toc352756761"/>
      <w:bookmarkStart w:id="34" w:name="_Toc491884249"/>
      <w:r w:rsidRPr="004031A0">
        <w:rPr>
          <w:rFonts w:ascii="Arial" w:hAnsi="Arial" w:cs="Arial"/>
          <w:color w:val="auto"/>
          <w:sz w:val="22"/>
          <w:szCs w:val="22"/>
        </w:rPr>
        <w:t>Metodología de evaluación</w:t>
      </w:r>
      <w:bookmarkEnd w:id="31"/>
      <w:bookmarkEnd w:id="32"/>
      <w:bookmarkEnd w:id="33"/>
      <w:bookmarkEnd w:id="34"/>
    </w:p>
    <w:p w14:paraId="0AE0CEEB" w14:textId="77777777" w:rsidR="00741EF9" w:rsidRPr="004031A0" w:rsidRDefault="00741EF9" w:rsidP="00AF2969">
      <w:pPr>
        <w:pStyle w:val="Paragraph"/>
        <w:tabs>
          <w:tab w:val="clear" w:pos="2736"/>
          <w:tab w:val="num" w:pos="720"/>
        </w:tabs>
        <w:ind w:left="720" w:hanging="720"/>
        <w:rPr>
          <w:rFonts w:ascii="Arial" w:hAnsi="Arial" w:cs="Arial"/>
          <w:sz w:val="22"/>
          <w:szCs w:val="22"/>
          <w:lang w:val="es-ES_tradnl"/>
        </w:rPr>
      </w:pPr>
      <w:r w:rsidRPr="004031A0">
        <w:rPr>
          <w:rFonts w:ascii="Arial" w:hAnsi="Arial" w:cs="Arial"/>
          <w:b/>
          <w:sz w:val="22"/>
          <w:szCs w:val="22"/>
          <w:lang w:val="es-ES_tradnl"/>
        </w:rPr>
        <w:t xml:space="preserve">Costo Beneficio </w:t>
      </w:r>
      <w:r w:rsidR="00907598" w:rsidRPr="004031A0">
        <w:rPr>
          <w:rFonts w:ascii="Arial" w:hAnsi="Arial" w:cs="Arial"/>
          <w:b/>
          <w:sz w:val="22"/>
          <w:szCs w:val="22"/>
          <w:lang w:val="es-ES_tradnl"/>
        </w:rPr>
        <w:t>e</w:t>
      </w:r>
      <w:r w:rsidRPr="004031A0">
        <w:rPr>
          <w:rFonts w:ascii="Arial" w:hAnsi="Arial" w:cs="Arial"/>
          <w:b/>
          <w:sz w:val="22"/>
          <w:szCs w:val="22"/>
          <w:lang w:val="es-ES_tradnl"/>
        </w:rPr>
        <w:t>x</w:t>
      </w:r>
      <w:r w:rsidR="007C5843" w:rsidRPr="004031A0">
        <w:rPr>
          <w:rFonts w:ascii="Arial" w:hAnsi="Arial" w:cs="Arial"/>
          <w:b/>
          <w:sz w:val="22"/>
          <w:szCs w:val="22"/>
          <w:lang w:val="es-ES_tradnl"/>
        </w:rPr>
        <w:t> </w:t>
      </w:r>
      <w:r w:rsidR="00907598" w:rsidRPr="004031A0">
        <w:rPr>
          <w:rFonts w:ascii="Arial" w:hAnsi="Arial" w:cs="Arial"/>
          <w:b/>
          <w:sz w:val="22"/>
          <w:szCs w:val="22"/>
          <w:lang w:val="es-ES_tradnl"/>
        </w:rPr>
        <w:t>p</w:t>
      </w:r>
      <w:r w:rsidRPr="004031A0">
        <w:rPr>
          <w:rFonts w:ascii="Arial" w:hAnsi="Arial" w:cs="Arial"/>
          <w:b/>
          <w:sz w:val="22"/>
          <w:szCs w:val="22"/>
          <w:lang w:val="es-ES_tradnl"/>
        </w:rPr>
        <w:t>ost</w:t>
      </w:r>
      <w:r w:rsidRPr="004031A0">
        <w:rPr>
          <w:rFonts w:ascii="Arial" w:hAnsi="Arial" w:cs="Arial"/>
          <w:sz w:val="22"/>
          <w:szCs w:val="22"/>
          <w:lang w:val="es-ES_tradnl"/>
        </w:rPr>
        <w:t xml:space="preserve">. </w:t>
      </w:r>
      <w:r w:rsidR="00907598" w:rsidRPr="004031A0">
        <w:rPr>
          <w:rFonts w:ascii="Arial" w:hAnsi="Arial" w:cs="Arial"/>
          <w:sz w:val="22"/>
          <w:szCs w:val="22"/>
          <w:lang w:val="es-ES_tradnl"/>
        </w:rPr>
        <w:t xml:space="preserve">Para realizar la evaluación ex-post del Programa se utilizará la misma metodología de costo-beneficio empleada en el Análisis </w:t>
      </w:r>
      <w:r w:rsidR="00907598" w:rsidRPr="004031A0">
        <w:rPr>
          <w:rFonts w:ascii="Arial" w:hAnsi="Arial" w:cs="Arial"/>
          <w:sz w:val="22"/>
          <w:szCs w:val="22"/>
          <w:lang w:val="es-ES_tradnl"/>
        </w:rPr>
        <w:lastRenderedPageBreak/>
        <w:t>Económico ex</w:t>
      </w:r>
      <w:r w:rsidR="007C5843" w:rsidRPr="004031A0">
        <w:rPr>
          <w:rFonts w:ascii="Arial" w:hAnsi="Arial" w:cs="Arial"/>
          <w:sz w:val="22"/>
          <w:szCs w:val="22"/>
          <w:lang w:val="es-ES_tradnl"/>
        </w:rPr>
        <w:t> </w:t>
      </w:r>
      <w:r w:rsidR="00907598" w:rsidRPr="004031A0">
        <w:rPr>
          <w:rFonts w:ascii="Arial" w:hAnsi="Arial" w:cs="Arial"/>
          <w:sz w:val="22"/>
          <w:szCs w:val="22"/>
          <w:lang w:val="es-ES_tradnl"/>
        </w:rPr>
        <w:t>ante</w:t>
      </w:r>
      <w:r w:rsidR="00B057C4" w:rsidRPr="004031A0">
        <w:rPr>
          <w:rStyle w:val="FootnoteReference"/>
          <w:rFonts w:ascii="Arial" w:hAnsi="Arial" w:cs="Arial"/>
          <w:sz w:val="22"/>
          <w:szCs w:val="22"/>
          <w:lang w:val="es-ES_tradnl"/>
        </w:rPr>
        <w:footnoteReference w:id="23"/>
      </w:r>
      <w:r w:rsidR="00B057C4" w:rsidRPr="004031A0">
        <w:rPr>
          <w:rFonts w:ascii="Arial" w:hAnsi="Arial" w:cs="Arial"/>
          <w:sz w:val="22"/>
          <w:szCs w:val="22"/>
          <w:lang w:val="es-ES_tradnl"/>
        </w:rPr>
        <w:t>, pero reemplazando las estimaciones y proyecciones con información recolectada durante la vida del proyecto, cuando la disponibilidad de esta lo permita</w:t>
      </w:r>
      <w:r w:rsidR="00907598" w:rsidRPr="004031A0">
        <w:rPr>
          <w:rFonts w:ascii="Arial" w:hAnsi="Arial" w:cs="Arial"/>
          <w:sz w:val="22"/>
          <w:szCs w:val="22"/>
          <w:lang w:val="es-ES_tradnl"/>
        </w:rPr>
        <w:t>.</w:t>
      </w:r>
      <w:r w:rsidR="00B057C4" w:rsidRPr="004031A0">
        <w:rPr>
          <w:rFonts w:ascii="Arial" w:hAnsi="Arial" w:cs="Arial"/>
          <w:sz w:val="22"/>
          <w:szCs w:val="22"/>
          <w:lang w:val="es-ES_tradnl"/>
        </w:rPr>
        <w:t xml:space="preserve"> </w:t>
      </w:r>
      <w:r w:rsidR="005238C9" w:rsidRPr="004031A0">
        <w:rPr>
          <w:rFonts w:ascii="Arial" w:hAnsi="Arial" w:cs="Arial"/>
          <w:sz w:val="22"/>
          <w:szCs w:val="22"/>
          <w:lang w:val="es-ES_tradnl"/>
        </w:rPr>
        <w:t>Más aún</w:t>
      </w:r>
      <w:r w:rsidR="00CA4991" w:rsidRPr="004031A0">
        <w:rPr>
          <w:rFonts w:ascii="Arial" w:hAnsi="Arial" w:cs="Arial"/>
          <w:sz w:val="22"/>
          <w:szCs w:val="22"/>
          <w:lang w:val="es-ES_tradnl"/>
        </w:rPr>
        <w:t>, se considerará expandir la metodología usada en el Análisis Económico para medir los beneficios para cada indicador de resultado en base a la información adicional que se genere ya sea de forma primaria o secundaria durante la vida del proyecto</w:t>
      </w:r>
      <w:r w:rsidR="005238C9" w:rsidRPr="004031A0">
        <w:rPr>
          <w:rStyle w:val="FootnoteReference"/>
          <w:rFonts w:ascii="Arial" w:hAnsi="Arial" w:cs="Arial"/>
          <w:sz w:val="22"/>
          <w:szCs w:val="22"/>
          <w:lang w:val="es-ES_tradnl"/>
        </w:rPr>
        <w:footnoteReference w:id="24"/>
      </w:r>
      <w:r w:rsidR="00CA4991" w:rsidRPr="004031A0">
        <w:rPr>
          <w:rFonts w:ascii="Arial" w:hAnsi="Arial" w:cs="Arial"/>
          <w:sz w:val="22"/>
          <w:szCs w:val="22"/>
          <w:lang w:val="es-ES_tradnl"/>
        </w:rPr>
        <w:t xml:space="preserve">. </w:t>
      </w:r>
      <w:r w:rsidR="00B057C4" w:rsidRPr="004031A0">
        <w:rPr>
          <w:rFonts w:ascii="Arial" w:hAnsi="Arial" w:cs="Arial"/>
          <w:sz w:val="22"/>
          <w:szCs w:val="22"/>
          <w:lang w:val="es-ES_tradnl"/>
        </w:rPr>
        <w:t>Asimismo, se utilizará información adicional actualizada sistema financiero para poder construir un hipotético escenario que refleje en la mejor medida de lo posible, la situación sin programa.</w:t>
      </w:r>
      <w:r w:rsidR="00907598" w:rsidRPr="004031A0">
        <w:rPr>
          <w:rFonts w:ascii="Arial" w:hAnsi="Arial" w:cs="Arial"/>
          <w:sz w:val="22"/>
          <w:szCs w:val="22"/>
          <w:lang w:val="es-ES_tradnl"/>
        </w:rPr>
        <w:t xml:space="preserve"> </w:t>
      </w:r>
    </w:p>
    <w:p w14:paraId="6D6ED36D" w14:textId="77777777" w:rsidR="00741EF9" w:rsidRPr="004031A0" w:rsidRDefault="00907598" w:rsidP="00B526D4">
      <w:pPr>
        <w:pStyle w:val="Paragraph"/>
        <w:tabs>
          <w:tab w:val="clear" w:pos="2736"/>
          <w:tab w:val="num" w:pos="720"/>
        </w:tabs>
        <w:ind w:left="720" w:hanging="720"/>
        <w:rPr>
          <w:rFonts w:ascii="Arial" w:hAnsi="Arial" w:cs="Arial"/>
          <w:sz w:val="22"/>
          <w:szCs w:val="22"/>
          <w:lang w:val="es-ES_tradnl"/>
        </w:rPr>
      </w:pPr>
      <w:r w:rsidRPr="004031A0">
        <w:rPr>
          <w:rFonts w:ascii="Arial" w:hAnsi="Arial" w:cs="Arial"/>
          <w:sz w:val="22"/>
          <w:szCs w:val="22"/>
          <w:lang w:val="es-ES_tradnl"/>
        </w:rPr>
        <w:t xml:space="preserve">Al igual que en </w:t>
      </w:r>
      <w:r w:rsidR="008A7507" w:rsidRPr="004031A0">
        <w:rPr>
          <w:rFonts w:ascii="Arial" w:hAnsi="Arial" w:cs="Arial"/>
          <w:sz w:val="22"/>
          <w:szCs w:val="22"/>
          <w:lang w:val="es-ES_tradnl"/>
        </w:rPr>
        <w:t xml:space="preserve">el </w:t>
      </w:r>
      <w:r w:rsidRPr="004031A0">
        <w:rPr>
          <w:rFonts w:ascii="Arial" w:hAnsi="Arial" w:cs="Arial"/>
          <w:sz w:val="22"/>
          <w:szCs w:val="22"/>
          <w:lang w:val="es-ES_tradnl"/>
        </w:rPr>
        <w:t xml:space="preserve">análisis ex-ante, </w:t>
      </w:r>
      <w:r w:rsidR="00B526D4" w:rsidRPr="004031A0">
        <w:rPr>
          <w:rFonts w:ascii="Arial" w:hAnsi="Arial" w:cs="Arial"/>
          <w:sz w:val="22"/>
          <w:szCs w:val="22"/>
          <w:lang w:val="es-ES_tradnl"/>
        </w:rPr>
        <w:t>se calcularán los benefic</w:t>
      </w:r>
      <w:r w:rsidR="00D54194" w:rsidRPr="004031A0">
        <w:rPr>
          <w:rFonts w:ascii="Arial" w:hAnsi="Arial" w:cs="Arial"/>
          <w:sz w:val="22"/>
          <w:szCs w:val="22"/>
          <w:lang w:val="es-ES_tradnl"/>
        </w:rPr>
        <w:t>ios netos que se obtuvieron por</w:t>
      </w:r>
      <w:r w:rsidR="0043666F" w:rsidRPr="004031A0">
        <w:rPr>
          <w:rFonts w:ascii="Arial" w:hAnsi="Arial" w:cs="Arial"/>
          <w:sz w:val="22"/>
          <w:szCs w:val="22"/>
          <w:lang w:val="es-ES_tradnl"/>
        </w:rPr>
        <w:t xml:space="preserve"> </w:t>
      </w:r>
      <w:r w:rsidR="00B17B3C" w:rsidRPr="004031A0">
        <w:rPr>
          <w:rFonts w:ascii="Arial" w:hAnsi="Arial" w:cs="Arial"/>
          <w:sz w:val="22"/>
          <w:szCs w:val="22"/>
          <w:lang w:val="es-ES_tradnl"/>
        </w:rPr>
        <w:t>la</w:t>
      </w:r>
      <w:r w:rsidR="0043666F" w:rsidRPr="004031A0">
        <w:rPr>
          <w:rFonts w:ascii="Arial" w:hAnsi="Arial" w:cs="Arial"/>
          <w:sz w:val="22"/>
          <w:szCs w:val="22"/>
          <w:lang w:val="es-ES_tradnl"/>
        </w:rPr>
        <w:t xml:space="preserve"> inclusión de </w:t>
      </w:r>
      <w:r w:rsidR="008A7507" w:rsidRPr="004031A0">
        <w:rPr>
          <w:rFonts w:ascii="Arial" w:hAnsi="Arial" w:cs="Arial"/>
          <w:sz w:val="22"/>
          <w:szCs w:val="22"/>
          <w:lang w:val="es-ES_tradnl"/>
        </w:rPr>
        <w:t>nuevos usuarios al sistema financiero</w:t>
      </w:r>
      <w:r w:rsidR="00B17B3C" w:rsidRPr="004031A0">
        <w:rPr>
          <w:rFonts w:ascii="Arial" w:hAnsi="Arial" w:cs="Arial"/>
          <w:sz w:val="22"/>
          <w:szCs w:val="22"/>
          <w:lang w:val="es-ES_tradnl"/>
        </w:rPr>
        <w:t xml:space="preserve">, el incremento del número de usuarios regulares de servicios financieros digitales, y </w:t>
      </w:r>
      <w:r w:rsidR="00EC29FF" w:rsidRPr="004031A0">
        <w:rPr>
          <w:rFonts w:ascii="Arial" w:hAnsi="Arial" w:cs="Arial"/>
          <w:sz w:val="22"/>
          <w:szCs w:val="22"/>
          <w:lang w:val="es-ES_tradnl"/>
        </w:rPr>
        <w:t>la provisión de crédito a través de entidades microfinancieras.</w:t>
      </w:r>
      <w:r w:rsidR="00B057C4" w:rsidRPr="004031A0">
        <w:rPr>
          <w:rFonts w:ascii="Arial" w:hAnsi="Arial" w:cs="Arial"/>
          <w:sz w:val="22"/>
          <w:szCs w:val="22"/>
          <w:lang w:val="es-ES_tradnl"/>
        </w:rPr>
        <w:t xml:space="preserve"> </w:t>
      </w:r>
    </w:p>
    <w:p w14:paraId="4FB1F66E" w14:textId="77777777" w:rsidR="001C14B3" w:rsidRDefault="000B7F1A" w:rsidP="00B526D4">
      <w:pPr>
        <w:pStyle w:val="Paragraph"/>
        <w:tabs>
          <w:tab w:val="clear" w:pos="2736"/>
          <w:tab w:val="num" w:pos="720"/>
        </w:tabs>
        <w:ind w:left="720" w:hanging="720"/>
        <w:rPr>
          <w:rFonts w:ascii="Arial" w:hAnsi="Arial" w:cs="Arial"/>
          <w:sz w:val="22"/>
          <w:szCs w:val="22"/>
          <w:lang w:val="es-ES_tradnl"/>
        </w:rPr>
      </w:pPr>
      <w:r w:rsidRPr="00B30F03">
        <w:rPr>
          <w:rFonts w:ascii="Arial" w:hAnsi="Arial" w:cs="Arial"/>
          <w:b/>
          <w:sz w:val="22"/>
          <w:szCs w:val="22"/>
          <w:lang w:val="es-ES_tradnl"/>
        </w:rPr>
        <w:t>Escenario contrafactual</w:t>
      </w:r>
      <w:r w:rsidRPr="00B30F03">
        <w:rPr>
          <w:rFonts w:ascii="Arial" w:hAnsi="Arial" w:cs="Arial"/>
          <w:sz w:val="22"/>
          <w:szCs w:val="22"/>
          <w:lang w:val="es-ES_tradnl"/>
        </w:rPr>
        <w:t xml:space="preserve">. El escenario contrafactual que servirá como referencia para cuantificar los beneficios económicos netos del programa estará compuesto por </w:t>
      </w:r>
      <w:r w:rsidR="004B3B2E" w:rsidRPr="00B30F03">
        <w:rPr>
          <w:rFonts w:ascii="Arial" w:hAnsi="Arial" w:cs="Arial"/>
          <w:sz w:val="22"/>
          <w:szCs w:val="22"/>
          <w:lang w:val="es-ES_tradnl"/>
        </w:rPr>
        <w:t xml:space="preserve">información de hogares y microempresarios representativos. La información de línea de base se obtendrá al momento de la solicitud de los recursos del fondo, por parte de las IFI </w:t>
      </w:r>
      <w:r w:rsidR="00547491">
        <w:rPr>
          <w:rFonts w:ascii="Arial" w:hAnsi="Arial" w:cs="Arial"/>
          <w:sz w:val="22"/>
          <w:szCs w:val="22"/>
          <w:lang w:val="es-ES_tradnl"/>
        </w:rPr>
        <w:t>postulantes a concursos</w:t>
      </w:r>
      <w:r w:rsidR="004B3B2E" w:rsidRPr="00B30F03">
        <w:rPr>
          <w:rFonts w:ascii="Arial" w:hAnsi="Arial" w:cs="Arial"/>
          <w:sz w:val="22"/>
          <w:szCs w:val="22"/>
          <w:lang w:val="es-ES_tradnl"/>
        </w:rPr>
        <w:t>, y al momento de la solicitud de fondos a FONCAP por parte de las IMF.</w:t>
      </w:r>
      <w:r w:rsidR="005F7EC9" w:rsidRPr="00B30F03">
        <w:rPr>
          <w:rFonts w:ascii="Arial" w:hAnsi="Arial" w:cs="Arial"/>
          <w:sz w:val="22"/>
          <w:szCs w:val="22"/>
          <w:lang w:val="es-ES_tradnl"/>
        </w:rPr>
        <w:t xml:space="preserve"> </w:t>
      </w:r>
      <w:r w:rsidR="004B3B2E" w:rsidRPr="00B30F03">
        <w:rPr>
          <w:rFonts w:ascii="Arial" w:hAnsi="Arial" w:cs="Arial"/>
          <w:sz w:val="22"/>
          <w:szCs w:val="22"/>
          <w:lang w:val="es-ES_tradnl"/>
        </w:rPr>
        <w:t xml:space="preserve"> </w:t>
      </w:r>
      <w:r w:rsidR="00287E8C" w:rsidRPr="00B30F03">
        <w:rPr>
          <w:rFonts w:ascii="Arial" w:hAnsi="Arial" w:cs="Arial"/>
          <w:sz w:val="22"/>
          <w:szCs w:val="22"/>
          <w:lang w:val="es-ES_tradnl"/>
        </w:rPr>
        <w:t xml:space="preserve">Esta información deberá incluir datos de </w:t>
      </w:r>
      <w:r w:rsidR="00B30F03" w:rsidRPr="00B30F03">
        <w:rPr>
          <w:rFonts w:ascii="Arial" w:hAnsi="Arial" w:cs="Arial"/>
          <w:sz w:val="22"/>
          <w:szCs w:val="22"/>
          <w:lang w:val="es-ES_tradnl"/>
        </w:rPr>
        <w:t>crecimiento tendencial de usuarios nuevos del sistema financiero</w:t>
      </w:r>
      <w:r w:rsidR="00B30F03" w:rsidRPr="00B30F03">
        <w:rPr>
          <w:rStyle w:val="FootnoteReference"/>
          <w:rFonts w:ascii="Arial" w:hAnsi="Arial" w:cs="Arial"/>
          <w:sz w:val="22"/>
          <w:szCs w:val="22"/>
          <w:lang w:val="es-ES_tradnl"/>
        </w:rPr>
        <w:footnoteReference w:id="25"/>
      </w:r>
      <w:r w:rsidR="00B30F03" w:rsidRPr="00B30F03">
        <w:rPr>
          <w:rFonts w:ascii="Arial" w:hAnsi="Arial" w:cs="Arial"/>
          <w:sz w:val="22"/>
          <w:szCs w:val="22"/>
          <w:lang w:val="es-ES_tradnl"/>
        </w:rPr>
        <w:t>, uso de servicios financieros digitales, crecimiento de cartera de beneficiarios nuevos de microcrédito y demás variables descriptiva de la actividad económica de estos últimos.</w:t>
      </w:r>
      <w:r w:rsidR="00B30F03">
        <w:rPr>
          <w:rFonts w:ascii="Arial" w:hAnsi="Arial" w:cs="Arial"/>
          <w:sz w:val="22"/>
          <w:szCs w:val="22"/>
          <w:lang w:val="es-ES_tradnl"/>
        </w:rPr>
        <w:t xml:space="preserve"> </w:t>
      </w:r>
    </w:p>
    <w:p w14:paraId="7947C149" w14:textId="77777777" w:rsidR="007A74DC" w:rsidRPr="007A74DC" w:rsidRDefault="00B30F03" w:rsidP="00B526D4">
      <w:pPr>
        <w:pStyle w:val="Paragraph"/>
        <w:tabs>
          <w:tab w:val="clear" w:pos="2736"/>
          <w:tab w:val="num" w:pos="720"/>
        </w:tabs>
        <w:ind w:left="720" w:hanging="720"/>
        <w:rPr>
          <w:rFonts w:ascii="Arial" w:hAnsi="Arial" w:cs="Arial"/>
          <w:sz w:val="22"/>
          <w:szCs w:val="22"/>
          <w:lang w:val="es-ES_tradnl"/>
        </w:rPr>
      </w:pPr>
      <w:r>
        <w:rPr>
          <w:rFonts w:ascii="Arial" w:hAnsi="Arial" w:cs="Arial"/>
          <w:sz w:val="22"/>
          <w:szCs w:val="22"/>
          <w:lang w:val="es-ES_tradnl"/>
        </w:rPr>
        <w:t>Para la línea de seguimiento</w:t>
      </w:r>
      <w:r w:rsidR="0038792E">
        <w:rPr>
          <w:rFonts w:ascii="Arial" w:hAnsi="Arial" w:cs="Arial"/>
          <w:sz w:val="22"/>
          <w:szCs w:val="22"/>
          <w:lang w:val="es-ES_tradnl"/>
        </w:rPr>
        <w:t xml:space="preserve">, el Ministerio de Finanzas, a través de la UCP realizará consultas </w:t>
      </w:r>
      <w:r w:rsidR="007A74DC">
        <w:rPr>
          <w:rFonts w:ascii="Arial" w:hAnsi="Arial" w:cs="Arial"/>
          <w:sz w:val="22"/>
          <w:szCs w:val="22"/>
          <w:lang w:val="es-ES_tradnl"/>
        </w:rPr>
        <w:t>directas</w:t>
      </w:r>
      <w:r w:rsidR="0038792E">
        <w:rPr>
          <w:rFonts w:ascii="Arial" w:hAnsi="Arial" w:cs="Arial"/>
          <w:sz w:val="22"/>
          <w:szCs w:val="22"/>
          <w:lang w:val="es-ES_tradnl"/>
        </w:rPr>
        <w:t xml:space="preserve"> a IFI y IMF </w:t>
      </w:r>
      <w:r w:rsidR="0038792E" w:rsidRPr="00B502AA">
        <w:rPr>
          <w:rFonts w:ascii="Arial" w:hAnsi="Arial" w:cs="Arial"/>
          <w:sz w:val="22"/>
          <w:szCs w:val="22"/>
          <w:lang w:val="es-ES_tradnl"/>
        </w:rPr>
        <w:t>beneficiadas</w:t>
      </w:r>
      <w:r w:rsidR="003737A2" w:rsidRPr="00B502AA">
        <w:rPr>
          <w:rFonts w:ascii="Arial" w:hAnsi="Arial" w:cs="Arial"/>
          <w:sz w:val="22"/>
          <w:szCs w:val="22"/>
          <w:lang w:val="es-ES_tradnl"/>
        </w:rPr>
        <w:t xml:space="preserve"> (en su totalidad)</w:t>
      </w:r>
      <w:r w:rsidR="0038792E" w:rsidRPr="00B502AA">
        <w:rPr>
          <w:rFonts w:ascii="Arial" w:hAnsi="Arial" w:cs="Arial"/>
          <w:sz w:val="22"/>
          <w:szCs w:val="22"/>
          <w:lang w:val="es-ES_tradnl"/>
        </w:rPr>
        <w:t xml:space="preserve"> y</w:t>
      </w:r>
      <w:r w:rsidR="0038792E">
        <w:rPr>
          <w:rFonts w:ascii="Arial" w:hAnsi="Arial" w:cs="Arial"/>
          <w:sz w:val="22"/>
          <w:szCs w:val="22"/>
          <w:lang w:val="es-ES_tradnl"/>
        </w:rPr>
        <w:t xml:space="preserve"> no beneficiadas</w:t>
      </w:r>
      <w:r w:rsidR="003737A2">
        <w:rPr>
          <w:rFonts w:ascii="Arial" w:hAnsi="Arial" w:cs="Arial"/>
          <w:sz w:val="22"/>
          <w:szCs w:val="22"/>
          <w:lang w:val="es-ES_tradnl"/>
        </w:rPr>
        <w:t xml:space="preserve"> </w:t>
      </w:r>
      <w:r w:rsidR="0038792E">
        <w:rPr>
          <w:rFonts w:ascii="Arial" w:hAnsi="Arial" w:cs="Arial"/>
          <w:sz w:val="22"/>
          <w:szCs w:val="22"/>
          <w:lang w:val="es-ES_tradnl"/>
        </w:rPr>
        <w:t xml:space="preserve"> para obtener información de la evolución de indicadores clave para la evaluación expost</w:t>
      </w:r>
      <w:r w:rsidR="0038792E">
        <w:rPr>
          <w:rStyle w:val="FootnoteReference"/>
          <w:rFonts w:ascii="Arial" w:hAnsi="Arial" w:cs="Arial"/>
          <w:sz w:val="22"/>
          <w:szCs w:val="22"/>
          <w:lang w:val="es-ES_tradnl"/>
        </w:rPr>
        <w:footnoteReference w:id="26"/>
      </w:r>
      <w:r w:rsidR="0038792E">
        <w:rPr>
          <w:rFonts w:ascii="Arial" w:hAnsi="Arial" w:cs="Arial"/>
          <w:sz w:val="22"/>
          <w:szCs w:val="22"/>
          <w:lang w:val="es-ES_tradnl"/>
        </w:rPr>
        <w:t>. En particular se recogerá información de</w:t>
      </w:r>
      <w:r w:rsidR="007A74DC">
        <w:rPr>
          <w:rFonts w:ascii="Arial" w:hAnsi="Arial" w:cs="Arial"/>
          <w:sz w:val="22"/>
          <w:szCs w:val="22"/>
          <w:lang w:val="es-ES_tradnl"/>
        </w:rPr>
        <w:t>:</w:t>
      </w:r>
    </w:p>
    <w:p w14:paraId="50CEF9DD" w14:textId="77777777" w:rsidR="007A74DC" w:rsidRDefault="007A74DC" w:rsidP="008E445B">
      <w:pPr>
        <w:pStyle w:val="subpar"/>
        <w:tabs>
          <w:tab w:val="clear" w:pos="2682"/>
        </w:tabs>
        <w:ind w:left="1710" w:hanging="342"/>
        <w:rPr>
          <w:rFonts w:ascii="Arial" w:hAnsi="Arial" w:cs="Arial"/>
          <w:sz w:val="22"/>
          <w:szCs w:val="22"/>
          <w:lang w:val="es-ES_tradnl"/>
        </w:rPr>
      </w:pPr>
      <w:r w:rsidRPr="007A74DC">
        <w:rPr>
          <w:rFonts w:ascii="Arial" w:hAnsi="Arial" w:cs="Arial"/>
          <w:sz w:val="22"/>
          <w:szCs w:val="22"/>
          <w:lang w:val="es-ES"/>
        </w:rPr>
        <w:t xml:space="preserve">Cuentas abiertas en el año por clientes nuevos al sistema relativo al </w:t>
      </w:r>
      <w:r>
        <w:rPr>
          <w:rFonts w:ascii="Arial" w:hAnsi="Arial" w:cs="Arial"/>
          <w:sz w:val="22"/>
          <w:szCs w:val="22"/>
          <w:lang w:val="es-ES"/>
        </w:rPr>
        <w:t>total</w:t>
      </w:r>
      <w:r>
        <w:rPr>
          <w:rStyle w:val="FootnoteReference"/>
          <w:rFonts w:ascii="Arial" w:hAnsi="Arial" w:cs="Arial"/>
          <w:sz w:val="22"/>
          <w:szCs w:val="22"/>
          <w:lang w:val="es-ES"/>
        </w:rPr>
        <w:footnoteReference w:id="27"/>
      </w:r>
      <w:r w:rsidRPr="007A74DC">
        <w:rPr>
          <w:rFonts w:ascii="Arial" w:hAnsi="Arial" w:cs="Arial"/>
          <w:sz w:val="22"/>
          <w:szCs w:val="22"/>
          <w:lang w:val="es-ES"/>
        </w:rPr>
        <w:t xml:space="preserve"> de cuentas al cierre de año</w:t>
      </w:r>
      <w:r>
        <w:rPr>
          <w:rFonts w:ascii="Arial" w:hAnsi="Arial" w:cs="Arial"/>
          <w:sz w:val="22"/>
          <w:szCs w:val="22"/>
          <w:lang w:val="es-ES"/>
        </w:rPr>
        <w:t>.</w:t>
      </w:r>
      <w:r w:rsidR="00BD2668">
        <w:rPr>
          <w:rFonts w:ascii="Arial" w:hAnsi="Arial" w:cs="Arial"/>
          <w:sz w:val="22"/>
          <w:szCs w:val="22"/>
          <w:lang w:val="es-ES"/>
        </w:rPr>
        <w:t xml:space="preserve"> En particular, se estipulará en el ROP que las IFI postulantes deberán reportar, al presentarse al concurso, tanto el número total de cuentas “no obligatorias” (ver pie de página anterior) como el número de cuentas nuevas abiertas durante los dos </w:t>
      </w:r>
      <w:r w:rsidR="00BD2668">
        <w:rPr>
          <w:rFonts w:ascii="Arial" w:hAnsi="Arial" w:cs="Arial"/>
          <w:sz w:val="22"/>
          <w:szCs w:val="22"/>
          <w:lang w:val="es-ES"/>
        </w:rPr>
        <w:lastRenderedPageBreak/>
        <w:t>últimos meses correspondientes a usuarios nuevos al sistema financiero</w:t>
      </w:r>
      <w:r w:rsidR="00BD2668">
        <w:rPr>
          <w:rStyle w:val="FootnoteReference"/>
          <w:rFonts w:ascii="Arial" w:hAnsi="Arial" w:cs="Arial"/>
          <w:sz w:val="22"/>
          <w:szCs w:val="22"/>
          <w:lang w:val="es-ES"/>
        </w:rPr>
        <w:footnoteReference w:id="28"/>
      </w:r>
      <w:r w:rsidR="00BD2668">
        <w:rPr>
          <w:rFonts w:ascii="Arial" w:hAnsi="Arial" w:cs="Arial"/>
          <w:sz w:val="22"/>
          <w:szCs w:val="22"/>
          <w:lang w:val="es-ES"/>
        </w:rPr>
        <w:t xml:space="preserve">, esta información deberá ser reportada nuevamente al final de los cuatro años. Para las IFI </w:t>
      </w:r>
      <w:r w:rsidR="00F81306">
        <w:rPr>
          <w:rFonts w:ascii="Arial" w:hAnsi="Arial" w:cs="Arial"/>
          <w:sz w:val="22"/>
          <w:szCs w:val="22"/>
          <w:lang w:val="es-ES"/>
        </w:rPr>
        <w:t xml:space="preserve">del grupo de control, no será posible construir con exactitud el ratio del indicador 1. Sin embargo, </w:t>
      </w:r>
      <w:r w:rsidR="00BD2668">
        <w:rPr>
          <w:rFonts w:ascii="Arial" w:hAnsi="Arial" w:cs="Arial"/>
          <w:sz w:val="22"/>
          <w:szCs w:val="22"/>
          <w:lang w:val="es-ES"/>
        </w:rPr>
        <w:t>se consultará el valor correspondiente al denominador del ratio y se utilizará como estimado del numerador el número de cuentas de nuevos usuarios del sistema reportados por las IFI que se presentaron y no ganaron</w:t>
      </w:r>
      <w:r w:rsidR="0038792E" w:rsidRPr="008E445B">
        <w:rPr>
          <w:rFonts w:ascii="Arial" w:hAnsi="Arial" w:cs="Arial"/>
          <w:sz w:val="22"/>
          <w:szCs w:val="22"/>
          <w:lang w:val="es-ES_tradnl"/>
        </w:rPr>
        <w:t>.</w:t>
      </w:r>
      <w:r w:rsidR="00F81306" w:rsidRPr="00915E2D">
        <w:rPr>
          <w:rFonts w:ascii="Arial" w:hAnsi="Arial" w:cs="Arial"/>
          <w:sz w:val="22"/>
          <w:szCs w:val="22"/>
          <w:lang w:val="es-ES_tradnl"/>
        </w:rPr>
        <w:t xml:space="preserve"> </w:t>
      </w:r>
      <w:r w:rsidR="00BD2668">
        <w:rPr>
          <w:rFonts w:ascii="Arial" w:hAnsi="Arial" w:cs="Arial"/>
          <w:sz w:val="22"/>
          <w:szCs w:val="22"/>
          <w:lang w:val="es-ES_tradnl"/>
        </w:rPr>
        <w:t>Esta información también servirá para actualizar la línea de base.</w:t>
      </w:r>
    </w:p>
    <w:p w14:paraId="2F54864D" w14:textId="77777777" w:rsidR="007A74DC" w:rsidRDefault="00BD2668" w:rsidP="008E445B">
      <w:pPr>
        <w:pStyle w:val="subpar"/>
        <w:tabs>
          <w:tab w:val="clear" w:pos="2682"/>
        </w:tabs>
        <w:ind w:left="1710" w:hanging="342"/>
        <w:rPr>
          <w:rFonts w:ascii="Arial" w:hAnsi="Arial" w:cs="Arial"/>
          <w:sz w:val="22"/>
          <w:szCs w:val="22"/>
          <w:lang w:val="es-ES_tradnl"/>
        </w:rPr>
      </w:pPr>
      <w:r>
        <w:rPr>
          <w:rFonts w:ascii="Arial" w:hAnsi="Arial" w:cs="Arial"/>
          <w:sz w:val="22"/>
          <w:szCs w:val="22"/>
          <w:lang w:val="es-ES_tradnl"/>
        </w:rPr>
        <w:t xml:space="preserve">El </w:t>
      </w:r>
      <w:r w:rsidRPr="00BD2668">
        <w:rPr>
          <w:rFonts w:ascii="Arial" w:hAnsi="Arial" w:cs="Arial"/>
          <w:sz w:val="22"/>
          <w:szCs w:val="22"/>
          <w:lang w:val="es-ES"/>
        </w:rPr>
        <w:t>número de personas que realizan al menos tres transacciones digitales promedio al mes</w:t>
      </w:r>
      <w:r>
        <w:rPr>
          <w:rFonts w:ascii="Arial" w:hAnsi="Arial" w:cs="Arial"/>
          <w:sz w:val="22"/>
          <w:szCs w:val="22"/>
          <w:lang w:val="es-ES"/>
        </w:rPr>
        <w:t xml:space="preserve"> para IFI tratadas y no tratadas</w:t>
      </w:r>
      <w:r w:rsidR="00872890">
        <w:rPr>
          <w:rFonts w:ascii="Arial" w:hAnsi="Arial" w:cs="Arial"/>
          <w:sz w:val="22"/>
          <w:szCs w:val="22"/>
          <w:lang w:val="es-ES"/>
        </w:rPr>
        <w:t xml:space="preserve"> sobre el total de clientes de la entidad</w:t>
      </w:r>
      <w:r w:rsidR="0038792E" w:rsidRPr="008E445B">
        <w:rPr>
          <w:rFonts w:ascii="Arial" w:hAnsi="Arial" w:cs="Arial"/>
          <w:sz w:val="22"/>
          <w:szCs w:val="22"/>
          <w:lang w:val="es-ES_tradnl"/>
        </w:rPr>
        <w:t xml:space="preserve">. </w:t>
      </w:r>
      <w:r>
        <w:rPr>
          <w:rFonts w:ascii="Arial" w:hAnsi="Arial" w:cs="Arial"/>
          <w:sz w:val="22"/>
          <w:szCs w:val="22"/>
          <w:lang w:val="es-ES_tradnl"/>
        </w:rPr>
        <w:t xml:space="preserve">El ROP estipulará que esta información será presentada al momento de postular a los concursos. Para las IFI ganadoras, se requerirá que vuelvan a reportar la información al final del período del programa. </w:t>
      </w:r>
      <w:r w:rsidR="00547491">
        <w:rPr>
          <w:rFonts w:ascii="Arial" w:hAnsi="Arial" w:cs="Arial"/>
          <w:sz w:val="22"/>
          <w:szCs w:val="22"/>
          <w:lang w:val="es-ES_tradnl"/>
        </w:rPr>
        <w:t>Para las IFI de control se obtendrá esta información a través de consultas directas de seguimiento a ser realizadas por la UCP durante el período de ejecución.</w:t>
      </w:r>
    </w:p>
    <w:p w14:paraId="58B10AD8" w14:textId="77777777" w:rsidR="007A74DC" w:rsidRDefault="00547491" w:rsidP="008E445B">
      <w:pPr>
        <w:pStyle w:val="subpar"/>
        <w:tabs>
          <w:tab w:val="clear" w:pos="2682"/>
        </w:tabs>
        <w:ind w:left="1710" w:hanging="342"/>
        <w:rPr>
          <w:rFonts w:ascii="Arial" w:hAnsi="Arial" w:cs="Arial"/>
          <w:sz w:val="22"/>
          <w:szCs w:val="22"/>
          <w:lang w:val="es-ES_tradnl"/>
        </w:rPr>
      </w:pPr>
      <w:r>
        <w:rPr>
          <w:rFonts w:ascii="Arial" w:hAnsi="Arial" w:cs="Arial"/>
          <w:sz w:val="22"/>
          <w:szCs w:val="22"/>
          <w:lang w:val="es-ES"/>
        </w:rPr>
        <w:t>Finalmente se solicitará información sobre el p</w:t>
      </w:r>
      <w:r w:rsidRPr="00547491">
        <w:rPr>
          <w:rFonts w:ascii="Arial" w:hAnsi="Arial" w:cs="Arial"/>
          <w:sz w:val="22"/>
          <w:szCs w:val="22"/>
          <w:lang w:val="es-ES"/>
        </w:rPr>
        <w:t>orcentaje de créditos otorgados a nuevos clientes MyPE, del total de créditos otorgados a MyPE por las IMF beneficiarias del programa</w:t>
      </w:r>
      <w:r w:rsidR="001360B8" w:rsidRPr="008E445B">
        <w:rPr>
          <w:rFonts w:ascii="Arial" w:hAnsi="Arial" w:cs="Arial"/>
          <w:sz w:val="22"/>
          <w:szCs w:val="22"/>
          <w:lang w:val="es-ES_tradnl"/>
        </w:rPr>
        <w:t xml:space="preserve"> así información económica promedio de sus beneficiarios</w:t>
      </w:r>
      <w:r w:rsidR="003737A2" w:rsidRPr="008E445B">
        <w:rPr>
          <w:rFonts w:ascii="Arial" w:hAnsi="Arial" w:cs="Arial"/>
          <w:sz w:val="22"/>
          <w:szCs w:val="22"/>
          <w:lang w:val="es-ES_tradnl"/>
        </w:rPr>
        <w:t>.</w:t>
      </w:r>
      <w:r w:rsidR="0038792E" w:rsidRPr="008E445B">
        <w:rPr>
          <w:rFonts w:ascii="Arial" w:hAnsi="Arial" w:cs="Arial"/>
          <w:sz w:val="22"/>
          <w:szCs w:val="22"/>
          <w:lang w:val="es-ES_tradnl"/>
        </w:rPr>
        <w:t xml:space="preserve">  </w:t>
      </w:r>
      <w:r>
        <w:rPr>
          <w:rFonts w:ascii="Arial" w:hAnsi="Arial" w:cs="Arial"/>
          <w:sz w:val="22"/>
          <w:szCs w:val="22"/>
          <w:lang w:val="es-ES_tradnl"/>
        </w:rPr>
        <w:t>Se extenderá la consulta sobre este porcentaje a IMF no tratadas durante la ejecución del programa.</w:t>
      </w:r>
    </w:p>
    <w:p w14:paraId="1AF9D644" w14:textId="77777777" w:rsidR="007A74DC" w:rsidRDefault="007A74DC" w:rsidP="00B526D4">
      <w:pPr>
        <w:pStyle w:val="Paragraph"/>
        <w:tabs>
          <w:tab w:val="clear" w:pos="2736"/>
          <w:tab w:val="num" w:pos="720"/>
        </w:tabs>
        <w:ind w:left="720" w:hanging="720"/>
        <w:rPr>
          <w:rFonts w:ascii="Arial" w:hAnsi="Arial" w:cs="Arial"/>
          <w:sz w:val="22"/>
          <w:szCs w:val="22"/>
          <w:lang w:val="es-ES_tradnl"/>
        </w:rPr>
      </w:pPr>
      <w:r w:rsidRPr="00F238E5">
        <w:rPr>
          <w:rFonts w:ascii="Arial" w:hAnsi="Arial" w:cs="Arial"/>
          <w:sz w:val="22"/>
          <w:szCs w:val="22"/>
          <w:lang w:val="es-ES_tradnl"/>
        </w:rPr>
        <w:t>Estas consultas, a ser reportadas en los informes de monitoreo, se realizarán durante cada año de la ejecución de la operación y representarán la base para calcular los beneficios y costos para los escenarios con y sin programa. De manera complementaria, y contingente a su diseño final, se buscará cruzar esta información con los datos micro generados por la encuesta de inclusión financiera, en caso esta se realice en un momento de la vida del proyecto que permita ser usada como datos de seguimiento.</w:t>
      </w:r>
    </w:p>
    <w:p w14:paraId="7D9DA15A" w14:textId="77777777" w:rsidR="003D0891" w:rsidRPr="00B30F03" w:rsidRDefault="003D0891" w:rsidP="00B526D4">
      <w:pPr>
        <w:pStyle w:val="Paragraph"/>
        <w:tabs>
          <w:tab w:val="clear" w:pos="2736"/>
          <w:tab w:val="num" w:pos="720"/>
        </w:tabs>
        <w:ind w:left="720" w:hanging="720"/>
        <w:rPr>
          <w:rFonts w:ascii="Arial" w:hAnsi="Arial" w:cs="Arial"/>
          <w:sz w:val="22"/>
          <w:szCs w:val="22"/>
          <w:lang w:val="es-ES_tradnl"/>
        </w:rPr>
      </w:pPr>
      <w:r w:rsidRPr="00B30F03">
        <w:rPr>
          <w:rFonts w:ascii="Arial" w:hAnsi="Arial" w:cs="Arial"/>
          <w:sz w:val="22"/>
          <w:szCs w:val="22"/>
          <w:lang w:val="es-ES_tradnl"/>
        </w:rPr>
        <w:t>En particular, el análisis</w:t>
      </w:r>
      <w:r w:rsidR="002F0BE8" w:rsidRPr="00B30F03">
        <w:rPr>
          <w:rFonts w:ascii="Arial" w:hAnsi="Arial" w:cs="Arial"/>
          <w:sz w:val="22"/>
          <w:szCs w:val="22"/>
          <w:lang w:val="es-ES_tradnl"/>
        </w:rPr>
        <w:t xml:space="preserve"> ex</w:t>
      </w:r>
      <w:r w:rsidR="007C5843" w:rsidRPr="00B30F03">
        <w:rPr>
          <w:rFonts w:ascii="Arial" w:hAnsi="Arial" w:cs="Arial"/>
          <w:sz w:val="22"/>
          <w:szCs w:val="22"/>
          <w:lang w:val="es-ES_tradnl"/>
        </w:rPr>
        <w:t> </w:t>
      </w:r>
      <w:r w:rsidR="002F0BE8" w:rsidRPr="00B30F03">
        <w:rPr>
          <w:rFonts w:ascii="Arial" w:hAnsi="Arial" w:cs="Arial"/>
          <w:sz w:val="22"/>
          <w:szCs w:val="22"/>
          <w:lang w:val="es-ES_tradnl"/>
        </w:rPr>
        <w:t>post</w:t>
      </w:r>
      <w:r w:rsidRPr="00B30F03">
        <w:rPr>
          <w:rFonts w:ascii="Arial" w:hAnsi="Arial" w:cs="Arial"/>
          <w:sz w:val="22"/>
          <w:szCs w:val="22"/>
          <w:lang w:val="es-ES_tradnl"/>
        </w:rPr>
        <w:t xml:space="preserve"> se basará en los siguientes cálculos:</w:t>
      </w:r>
    </w:p>
    <w:p w14:paraId="2343F1CF" w14:textId="77777777" w:rsidR="00B057C4" w:rsidRPr="004B6981" w:rsidRDefault="003216AE" w:rsidP="007C5843">
      <w:pPr>
        <w:pStyle w:val="subpar"/>
        <w:tabs>
          <w:tab w:val="clear" w:pos="2682"/>
          <w:tab w:val="left" w:pos="1260"/>
        </w:tabs>
        <w:ind w:left="1170"/>
        <w:rPr>
          <w:rFonts w:ascii="Arial" w:hAnsi="Arial" w:cs="Arial"/>
          <w:sz w:val="22"/>
          <w:szCs w:val="22"/>
          <w:lang w:val="es-ES_tradnl"/>
        </w:rPr>
      </w:pPr>
      <w:r w:rsidRPr="004B6981">
        <w:rPr>
          <w:rFonts w:ascii="Arial" w:hAnsi="Arial" w:cs="Arial"/>
          <w:i/>
          <w:sz w:val="22"/>
          <w:szCs w:val="22"/>
          <w:lang w:val="es-ES_tradnl"/>
        </w:rPr>
        <w:t>Beneficio económico de inclusión de nuevas personas al sistema financiero</w:t>
      </w:r>
      <w:r w:rsidR="003D0891" w:rsidRPr="004B6981">
        <w:rPr>
          <w:rFonts w:ascii="Arial" w:hAnsi="Arial" w:cs="Arial"/>
          <w:sz w:val="22"/>
          <w:szCs w:val="22"/>
          <w:lang w:val="es-ES_tradnl"/>
        </w:rPr>
        <w:t xml:space="preserve">. </w:t>
      </w:r>
      <w:r w:rsidRPr="004B6981">
        <w:rPr>
          <w:rFonts w:ascii="Arial" w:hAnsi="Arial" w:cs="Arial"/>
          <w:sz w:val="22"/>
          <w:szCs w:val="22"/>
          <w:lang w:val="es-ES_tradnl"/>
        </w:rPr>
        <w:t>Para el cálculo de este beneficio se plantea partir del subconjunto de beneficiarios que abrieron una cuenta de ahorro por primera vez</w:t>
      </w:r>
      <w:r w:rsidR="003D0891" w:rsidRPr="004B6981">
        <w:rPr>
          <w:rFonts w:ascii="Arial" w:hAnsi="Arial" w:cs="Arial"/>
          <w:sz w:val="22"/>
          <w:szCs w:val="22"/>
          <w:lang w:val="es-ES_tradnl"/>
        </w:rPr>
        <w:t>.</w:t>
      </w:r>
      <w:r w:rsidRPr="004B6981">
        <w:rPr>
          <w:rFonts w:ascii="Arial" w:hAnsi="Arial" w:cs="Arial"/>
          <w:sz w:val="22"/>
          <w:szCs w:val="22"/>
          <w:lang w:val="es-ES_tradnl"/>
        </w:rPr>
        <w:t xml:space="preserve"> En este caso, si no existe información disponible </w:t>
      </w:r>
      <w:r w:rsidR="004B6981" w:rsidRPr="004B6981">
        <w:rPr>
          <w:rFonts w:ascii="Arial" w:hAnsi="Arial" w:cs="Arial"/>
          <w:sz w:val="22"/>
          <w:szCs w:val="22"/>
          <w:lang w:val="es-ES_tradnl"/>
        </w:rPr>
        <w:t>d</w:t>
      </w:r>
      <w:r w:rsidRPr="004B6981">
        <w:rPr>
          <w:rFonts w:ascii="Arial" w:hAnsi="Arial" w:cs="Arial"/>
          <w:sz w:val="22"/>
          <w:szCs w:val="22"/>
          <w:lang w:val="es-ES_tradnl"/>
        </w:rPr>
        <w:t xml:space="preserve">e ingresos tanto al momento de línea de base como al final del período, se plantea evaluar el diferencial en el crecimiento del saldo de las cuentas de ahorros entre el grupo de beneficiarios y el grupo de comparación. </w:t>
      </w:r>
      <w:r w:rsidR="004B6981" w:rsidRPr="004B6981">
        <w:rPr>
          <w:rFonts w:ascii="Arial" w:hAnsi="Arial" w:cs="Arial"/>
          <w:sz w:val="22"/>
          <w:szCs w:val="22"/>
          <w:lang w:val="es-ES_tradnl"/>
        </w:rPr>
        <w:t>La información de saldos para el grupo de tratados podrá ser obtenida a través de los compromisos de reporte de información con las IFI beneficiadas por el fondo. Para el caso del contrafactual se plantea el recojo de inform</w:t>
      </w:r>
      <w:r w:rsidR="004031A0">
        <w:rPr>
          <w:rFonts w:ascii="Arial" w:hAnsi="Arial" w:cs="Arial"/>
          <w:sz w:val="22"/>
          <w:szCs w:val="22"/>
          <w:lang w:val="es-ES_tradnl"/>
        </w:rPr>
        <w:t>ación descrito en el párrafo 3.</w:t>
      </w:r>
      <w:r w:rsidR="003737A2">
        <w:rPr>
          <w:rFonts w:ascii="Arial" w:hAnsi="Arial" w:cs="Arial"/>
          <w:sz w:val="22"/>
          <w:szCs w:val="22"/>
          <w:lang w:val="es-ES_tradnl"/>
        </w:rPr>
        <w:t>9, que se basa principalmente en información de seguimiento de IFI no tratadas hecha por la UCP</w:t>
      </w:r>
      <w:r w:rsidR="004B6981" w:rsidRPr="004B6981">
        <w:rPr>
          <w:rFonts w:ascii="Arial" w:hAnsi="Arial" w:cs="Arial"/>
          <w:sz w:val="22"/>
          <w:szCs w:val="22"/>
          <w:lang w:val="es-ES_tradnl"/>
        </w:rPr>
        <w:t xml:space="preserve">. El cálculo de beneficios de este indicador está abierto a </w:t>
      </w:r>
      <w:r w:rsidR="004B6981" w:rsidRPr="004B6981">
        <w:rPr>
          <w:rFonts w:ascii="Arial" w:hAnsi="Arial" w:cs="Arial"/>
          <w:sz w:val="22"/>
          <w:szCs w:val="22"/>
          <w:lang w:val="es-ES_tradnl"/>
        </w:rPr>
        <w:lastRenderedPageBreak/>
        <w:t>considerar, en base a la disponibilidad adicional de información, beneficios derivados otros productos distintos a cuentas de ahorro.</w:t>
      </w:r>
    </w:p>
    <w:p w14:paraId="00A04C46" w14:textId="77777777" w:rsidR="003D0891" w:rsidRPr="000A2EFA" w:rsidRDefault="00414D25" w:rsidP="007C5843">
      <w:pPr>
        <w:pStyle w:val="subpar"/>
        <w:tabs>
          <w:tab w:val="clear" w:pos="2682"/>
          <w:tab w:val="left" w:pos="1260"/>
        </w:tabs>
        <w:ind w:left="1170"/>
        <w:rPr>
          <w:rFonts w:ascii="Arial" w:hAnsi="Arial" w:cs="Arial"/>
          <w:sz w:val="22"/>
          <w:szCs w:val="22"/>
          <w:lang w:val="es-ES_tradnl"/>
        </w:rPr>
      </w:pPr>
      <w:r w:rsidRPr="000A2EFA">
        <w:rPr>
          <w:rFonts w:ascii="Arial" w:hAnsi="Arial" w:cs="Arial"/>
          <w:i/>
          <w:sz w:val="22"/>
          <w:szCs w:val="22"/>
          <w:lang w:val="es-ES_tradnl"/>
        </w:rPr>
        <w:t>Beneficios por incremento de usuarios regulares de servicios financieros digitales</w:t>
      </w:r>
      <w:r w:rsidR="002F0BE8" w:rsidRPr="000A2EFA">
        <w:rPr>
          <w:rFonts w:ascii="Arial" w:hAnsi="Arial" w:cs="Arial"/>
          <w:sz w:val="22"/>
          <w:szCs w:val="22"/>
          <w:lang w:val="es-ES_tradnl"/>
        </w:rPr>
        <w:t xml:space="preserve">. </w:t>
      </w:r>
      <w:r w:rsidR="000A2EFA" w:rsidRPr="000A2EFA">
        <w:rPr>
          <w:rFonts w:ascii="Arial" w:hAnsi="Arial" w:cs="Arial"/>
          <w:sz w:val="22"/>
          <w:szCs w:val="22"/>
          <w:lang w:val="es-ES_tradnl"/>
        </w:rPr>
        <w:t>Al ser estos usuarios beneficiarios finales del fondo concursable, la estrategia de recolección de información para estos y el grupo contrafactual será la misma a la descrita para el indicador de acceso (párrafo anterior). En particular, se buscará recopilar información del número de transacciones digitales por usuario de las IFI para ambos grupos. La monetización del ahorro de costos de transacción se calculará en base a los estimados más recientes que existan en la región para el costo de utilizar efectivo. El beneficio neto será la diferencia entre el ahorro del grupo de tratados versus el ahorro en el grupo de control.</w:t>
      </w:r>
    </w:p>
    <w:p w14:paraId="209AC424" w14:textId="77777777" w:rsidR="002F0BE8" w:rsidRPr="0050099A" w:rsidRDefault="00624303" w:rsidP="007C5843">
      <w:pPr>
        <w:pStyle w:val="subpar"/>
        <w:tabs>
          <w:tab w:val="clear" w:pos="2682"/>
          <w:tab w:val="left" w:pos="1260"/>
        </w:tabs>
        <w:ind w:left="1170"/>
        <w:rPr>
          <w:rFonts w:ascii="Arial" w:hAnsi="Arial" w:cs="Arial"/>
          <w:sz w:val="22"/>
          <w:szCs w:val="22"/>
          <w:lang w:val="es-ES_tradnl"/>
        </w:rPr>
      </w:pPr>
      <w:r w:rsidRPr="0050099A">
        <w:rPr>
          <w:rFonts w:ascii="Arial" w:hAnsi="Arial" w:cs="Arial"/>
          <w:i/>
          <w:sz w:val="22"/>
          <w:szCs w:val="22"/>
          <w:lang w:val="es-ES_tradnl"/>
        </w:rPr>
        <w:t>Beneficios de los destinatarios de microcréditos</w:t>
      </w:r>
      <w:r w:rsidR="002F0BE8" w:rsidRPr="0050099A">
        <w:rPr>
          <w:rFonts w:ascii="Arial" w:hAnsi="Arial" w:cs="Arial"/>
          <w:sz w:val="22"/>
          <w:szCs w:val="22"/>
          <w:lang w:val="es-ES_tradnl"/>
        </w:rPr>
        <w:t xml:space="preserve">. </w:t>
      </w:r>
      <w:r w:rsidR="00472102" w:rsidRPr="0050099A">
        <w:rPr>
          <w:rFonts w:ascii="Arial" w:hAnsi="Arial" w:cs="Arial"/>
          <w:sz w:val="22"/>
          <w:szCs w:val="22"/>
          <w:lang w:val="es-ES_tradnl"/>
        </w:rPr>
        <w:t>Los beneficios de este componente se calcularán en base a la información que se recoja a través de las solicitudes presentadas a las IMF y recolectadas por FONCAP</w:t>
      </w:r>
      <w:r w:rsidR="002F0BE8" w:rsidRPr="0050099A">
        <w:rPr>
          <w:rFonts w:ascii="Arial" w:hAnsi="Arial" w:cs="Arial"/>
          <w:sz w:val="22"/>
          <w:szCs w:val="22"/>
          <w:lang w:val="es-ES_tradnl"/>
        </w:rPr>
        <w:t>.</w:t>
      </w:r>
      <w:r w:rsidR="00472102" w:rsidRPr="0050099A">
        <w:rPr>
          <w:rFonts w:ascii="Arial" w:hAnsi="Arial" w:cs="Arial"/>
          <w:sz w:val="22"/>
          <w:szCs w:val="22"/>
          <w:lang w:val="es-ES_tradnl"/>
        </w:rPr>
        <w:t xml:space="preserve"> La información de línea de base se obtendrá al momento de las solicitudes, mientras que las de seguimiento se espera obtener a través del monitoreo que las IMF realicen a sus clientes. Para el grupo contrafactual, la línea de base </w:t>
      </w:r>
      <w:r w:rsidR="003737A2">
        <w:rPr>
          <w:rFonts w:ascii="Arial" w:hAnsi="Arial" w:cs="Arial"/>
          <w:sz w:val="22"/>
          <w:szCs w:val="22"/>
          <w:lang w:val="es-ES_tradnl"/>
        </w:rPr>
        <w:t>se obtendrá</w:t>
      </w:r>
      <w:r w:rsidR="00472102" w:rsidRPr="0050099A">
        <w:rPr>
          <w:rFonts w:ascii="Arial" w:hAnsi="Arial" w:cs="Arial"/>
          <w:sz w:val="22"/>
          <w:szCs w:val="22"/>
          <w:lang w:val="es-ES_tradnl"/>
        </w:rPr>
        <w:t xml:space="preserve"> de información agregada promedio que tengan las IFM sobre sus clientes al momento de la solicitud de recursos</w:t>
      </w:r>
      <w:r w:rsidR="003737A2">
        <w:rPr>
          <w:rFonts w:ascii="Arial" w:hAnsi="Arial" w:cs="Arial"/>
          <w:sz w:val="22"/>
          <w:szCs w:val="22"/>
          <w:lang w:val="es-ES_tradnl"/>
        </w:rPr>
        <w:t xml:space="preserve"> y que será recogida por la UCP a través de consultas directas (ver párrafo 3.9)</w:t>
      </w:r>
      <w:r w:rsidR="00472102" w:rsidRPr="0050099A">
        <w:rPr>
          <w:rFonts w:ascii="Arial" w:hAnsi="Arial" w:cs="Arial"/>
          <w:sz w:val="22"/>
          <w:szCs w:val="22"/>
          <w:lang w:val="es-ES_tradnl"/>
        </w:rPr>
        <w:t xml:space="preserve">. Se buscará la línea de seguimiento a través de información promedio que las IMF mantengan del seguimiento de sus clientes, buscando distinguir entre beneficiarios de fondos del programa y beneficiarios de otros fondos. No se descarta la posibilidad de cruzar la información de la encuesta nacional de inclusión financiera, en caso esta se realice un tiempo razonablemente posterior al de los primeros desembolsos. La monetización de los beneficios netos podrá </w:t>
      </w:r>
      <w:r w:rsidR="0050099A" w:rsidRPr="0050099A">
        <w:rPr>
          <w:rFonts w:ascii="Arial" w:hAnsi="Arial" w:cs="Arial"/>
          <w:sz w:val="22"/>
          <w:szCs w:val="22"/>
          <w:lang w:val="es-ES_tradnl"/>
        </w:rPr>
        <w:t>realizarse tras la comparación del incremento en el valor de activos o ventas entre el grupo de beneficiarios y el grupo de control, considerando la comparabilidad en términos de tamaño de actividad económica entre ambos grupos.</w:t>
      </w:r>
    </w:p>
    <w:p w14:paraId="6C636115" w14:textId="77777777" w:rsidR="00062D0D" w:rsidRPr="004A758D" w:rsidRDefault="00062D0D" w:rsidP="00DA2101">
      <w:pPr>
        <w:pStyle w:val="SecHeading"/>
        <w:tabs>
          <w:tab w:val="clear" w:pos="5400"/>
          <w:tab w:val="num" w:pos="1296"/>
        </w:tabs>
        <w:ind w:left="1296"/>
        <w:rPr>
          <w:rFonts w:ascii="Arial" w:hAnsi="Arial" w:cs="Arial"/>
          <w:color w:val="auto"/>
          <w:sz w:val="22"/>
          <w:szCs w:val="22"/>
        </w:rPr>
      </w:pPr>
      <w:bookmarkStart w:id="35" w:name="_Toc491884250"/>
      <w:r w:rsidRPr="004A758D">
        <w:rPr>
          <w:rFonts w:ascii="Arial" w:hAnsi="Arial" w:cs="Arial"/>
          <w:color w:val="auto"/>
          <w:sz w:val="22"/>
          <w:szCs w:val="22"/>
        </w:rPr>
        <w:t>Plan de trabajo y presupuesto de evaluación</w:t>
      </w:r>
      <w:bookmarkEnd w:id="35"/>
    </w:p>
    <w:p w14:paraId="3B905D53" w14:textId="77777777" w:rsidR="0005471B" w:rsidRPr="00D9428D" w:rsidRDefault="005E369A" w:rsidP="00004A4F">
      <w:pPr>
        <w:pStyle w:val="Paragraph"/>
        <w:tabs>
          <w:tab w:val="clear" w:pos="2736"/>
          <w:tab w:val="num" w:pos="630"/>
        </w:tabs>
        <w:ind w:left="630" w:hanging="540"/>
        <w:rPr>
          <w:rFonts w:ascii="Arial" w:hAnsi="Arial" w:cs="Arial"/>
          <w:sz w:val="22"/>
          <w:szCs w:val="22"/>
          <w:lang w:val="es-ES_tradnl"/>
        </w:rPr>
      </w:pPr>
      <w:r w:rsidRPr="00D9428D">
        <w:rPr>
          <w:rFonts w:ascii="Arial" w:hAnsi="Arial" w:cs="Arial"/>
          <w:sz w:val="22"/>
          <w:szCs w:val="22"/>
          <w:lang w:val="es-ES_tradnl"/>
        </w:rPr>
        <w:t xml:space="preserve">En </w:t>
      </w:r>
      <w:r w:rsidR="00D9428D" w:rsidRPr="00D9428D">
        <w:rPr>
          <w:rFonts w:ascii="Arial" w:hAnsi="Arial" w:cs="Arial"/>
          <w:sz w:val="22"/>
          <w:szCs w:val="22"/>
          <w:lang w:val="es-ES_tradnl"/>
        </w:rPr>
        <w:t>el Cuadro 2</w:t>
      </w:r>
      <w:r w:rsidRPr="00D9428D">
        <w:rPr>
          <w:rFonts w:ascii="Arial" w:hAnsi="Arial" w:cs="Arial"/>
          <w:sz w:val="22"/>
          <w:szCs w:val="22"/>
          <w:lang w:val="es-ES_tradnl"/>
        </w:rPr>
        <w:t xml:space="preserve"> </w:t>
      </w:r>
      <w:r w:rsidR="00062D0D" w:rsidRPr="00D9428D">
        <w:rPr>
          <w:rFonts w:ascii="Arial" w:hAnsi="Arial" w:cs="Arial"/>
          <w:sz w:val="22"/>
          <w:szCs w:val="22"/>
          <w:lang w:val="es-ES_tradnl"/>
        </w:rPr>
        <w:t xml:space="preserve">se especifican las actividades de </w:t>
      </w:r>
      <w:r w:rsidR="00F32928" w:rsidRPr="00D9428D">
        <w:rPr>
          <w:rFonts w:ascii="Arial" w:hAnsi="Arial" w:cs="Arial"/>
          <w:sz w:val="22"/>
          <w:szCs w:val="22"/>
          <w:lang w:val="es-ES_tradnl"/>
        </w:rPr>
        <w:t xml:space="preserve">evaluación. </w:t>
      </w:r>
      <w:r w:rsidR="00946D43" w:rsidRPr="00D9428D">
        <w:rPr>
          <w:rFonts w:ascii="Arial" w:hAnsi="Arial" w:cs="Arial"/>
          <w:sz w:val="22"/>
          <w:szCs w:val="22"/>
          <w:lang w:val="es-ES_tradnl"/>
        </w:rPr>
        <w:t xml:space="preserve">La información se recolectará </w:t>
      </w:r>
      <w:r w:rsidR="00BD22F5" w:rsidRPr="00D9428D">
        <w:rPr>
          <w:rFonts w:ascii="Arial" w:hAnsi="Arial" w:cs="Arial"/>
          <w:sz w:val="22"/>
          <w:szCs w:val="22"/>
          <w:lang w:val="es-ES_tradnl"/>
        </w:rPr>
        <w:t>semestralmente</w:t>
      </w:r>
      <w:r w:rsidR="00946D43" w:rsidRPr="00D9428D">
        <w:rPr>
          <w:rFonts w:ascii="Arial" w:hAnsi="Arial" w:cs="Arial"/>
          <w:sz w:val="22"/>
          <w:szCs w:val="22"/>
          <w:lang w:val="es-ES_tradnl"/>
        </w:rPr>
        <w:t xml:space="preserve"> a medida que se </w:t>
      </w:r>
      <w:r w:rsidR="009F3071" w:rsidRPr="00D9428D">
        <w:rPr>
          <w:rFonts w:ascii="Arial" w:hAnsi="Arial" w:cs="Arial"/>
          <w:sz w:val="22"/>
          <w:szCs w:val="22"/>
          <w:lang w:val="es-ES_tradnl"/>
        </w:rPr>
        <w:t>solic</w:t>
      </w:r>
      <w:r w:rsidR="00D9428D" w:rsidRPr="00D9428D">
        <w:rPr>
          <w:rFonts w:ascii="Arial" w:hAnsi="Arial" w:cs="Arial"/>
          <w:sz w:val="22"/>
          <w:szCs w:val="22"/>
          <w:lang w:val="es-ES_tradnl"/>
        </w:rPr>
        <w:t xml:space="preserve">ite acceso a los recursos del fondo concursable y de la FONCAP. Es de esperar que para el último semestre del programa se encuentre disponible la información recogida en la encuesta de inclusión financiera que se piensa financiar. </w:t>
      </w:r>
      <w:r w:rsidR="007C5843" w:rsidRPr="00D9428D">
        <w:rPr>
          <w:rFonts w:ascii="Arial" w:hAnsi="Arial" w:cs="Arial"/>
          <w:sz w:val="22"/>
          <w:szCs w:val="22"/>
          <w:lang w:val="es-ES_tradnl"/>
        </w:rPr>
        <w:tab/>
      </w:r>
    </w:p>
    <w:p w14:paraId="2C591098" w14:textId="77777777" w:rsidR="000E4956" w:rsidRPr="00D9428D" w:rsidRDefault="00C05BF8" w:rsidP="00004A4F">
      <w:pPr>
        <w:pStyle w:val="Paragraph"/>
        <w:tabs>
          <w:tab w:val="clear" w:pos="2736"/>
          <w:tab w:val="num" w:pos="630"/>
        </w:tabs>
        <w:ind w:left="630" w:hanging="540"/>
        <w:rPr>
          <w:rFonts w:ascii="Arial" w:hAnsi="Arial" w:cs="Arial"/>
          <w:sz w:val="22"/>
          <w:szCs w:val="22"/>
          <w:lang w:val="es-ES_tradnl"/>
        </w:rPr>
      </w:pPr>
      <w:r w:rsidRPr="00D9428D">
        <w:rPr>
          <w:rFonts w:ascii="Arial" w:hAnsi="Arial" w:cs="Arial"/>
          <w:sz w:val="22"/>
          <w:szCs w:val="22"/>
          <w:lang w:val="es-ES_tradnl"/>
        </w:rPr>
        <w:t xml:space="preserve">Los costos de las actividades de </w:t>
      </w:r>
      <w:r w:rsidR="0005471B" w:rsidRPr="00D9428D">
        <w:rPr>
          <w:rFonts w:ascii="Arial" w:hAnsi="Arial" w:cs="Arial"/>
          <w:sz w:val="22"/>
          <w:szCs w:val="22"/>
          <w:lang w:val="es-ES_tradnl"/>
        </w:rPr>
        <w:t>evaluación</w:t>
      </w:r>
      <w:r w:rsidRPr="00D9428D">
        <w:rPr>
          <w:rFonts w:ascii="Arial" w:hAnsi="Arial" w:cs="Arial"/>
          <w:sz w:val="22"/>
          <w:szCs w:val="22"/>
          <w:lang w:val="es-ES_tradnl"/>
        </w:rPr>
        <w:t xml:space="preserve"> definidas en este plan</w:t>
      </w:r>
      <w:r w:rsidR="0005471B" w:rsidRPr="00D9428D">
        <w:rPr>
          <w:rFonts w:ascii="Arial" w:hAnsi="Arial" w:cs="Arial"/>
          <w:sz w:val="22"/>
          <w:szCs w:val="22"/>
          <w:lang w:val="es-ES_tradnl"/>
        </w:rPr>
        <w:t xml:space="preserve"> se dividen entre fondos destinados para la recopilación de información</w:t>
      </w:r>
      <w:r w:rsidRPr="00D9428D">
        <w:rPr>
          <w:rFonts w:ascii="Arial" w:hAnsi="Arial" w:cs="Arial"/>
          <w:sz w:val="22"/>
          <w:szCs w:val="22"/>
          <w:lang w:val="es-ES_tradnl"/>
        </w:rPr>
        <w:t xml:space="preserve"> </w:t>
      </w:r>
      <w:r w:rsidR="0005471B" w:rsidRPr="00D9428D">
        <w:rPr>
          <w:rFonts w:ascii="Arial" w:hAnsi="Arial" w:cs="Arial"/>
          <w:sz w:val="22"/>
          <w:szCs w:val="22"/>
          <w:lang w:val="es-ES_tradnl"/>
        </w:rPr>
        <w:t xml:space="preserve">y </w:t>
      </w:r>
      <w:r w:rsidR="00AF225F" w:rsidRPr="00D9428D">
        <w:rPr>
          <w:rFonts w:ascii="Arial" w:hAnsi="Arial" w:cs="Arial"/>
          <w:sz w:val="22"/>
          <w:szCs w:val="22"/>
          <w:lang w:val="es-ES_tradnl"/>
        </w:rPr>
        <w:t xml:space="preserve">los aportes de </w:t>
      </w:r>
      <w:r w:rsidR="00D9428D" w:rsidRPr="00D9428D">
        <w:rPr>
          <w:rFonts w:ascii="Arial" w:hAnsi="Arial" w:cs="Arial"/>
          <w:sz w:val="22"/>
          <w:szCs w:val="22"/>
          <w:lang w:val="es-ES_tradnl"/>
        </w:rPr>
        <w:t>personal del BID, UCP y FONCAP</w:t>
      </w:r>
      <w:r w:rsidR="00AF225F" w:rsidRPr="00D9428D">
        <w:rPr>
          <w:rFonts w:ascii="Arial" w:hAnsi="Arial" w:cs="Arial"/>
          <w:sz w:val="22"/>
          <w:szCs w:val="22"/>
          <w:lang w:val="es-ES_tradnl"/>
        </w:rPr>
        <w:t xml:space="preserve">. </w:t>
      </w:r>
      <w:r w:rsidR="000C3248" w:rsidRPr="00D9428D">
        <w:rPr>
          <w:rFonts w:ascii="Arial" w:hAnsi="Arial" w:cs="Arial"/>
          <w:sz w:val="22"/>
          <w:szCs w:val="22"/>
          <w:lang w:val="es-ES_tradnl"/>
        </w:rPr>
        <w:t xml:space="preserve">Estos </w:t>
      </w:r>
      <w:r w:rsidR="00A33949" w:rsidRPr="00D9428D">
        <w:rPr>
          <w:rFonts w:ascii="Arial" w:hAnsi="Arial" w:cs="Arial"/>
          <w:sz w:val="22"/>
          <w:szCs w:val="22"/>
          <w:lang w:val="es-ES_tradnl"/>
        </w:rPr>
        <w:t xml:space="preserve">se presupuestan en </w:t>
      </w:r>
      <w:r w:rsidR="00AF6C6D" w:rsidRPr="00D9428D">
        <w:rPr>
          <w:rFonts w:ascii="Arial" w:hAnsi="Arial" w:cs="Arial"/>
          <w:sz w:val="22"/>
          <w:szCs w:val="22"/>
          <w:lang w:val="es-ES_tradnl"/>
        </w:rPr>
        <w:t>el Cuadro 2</w:t>
      </w:r>
      <w:r w:rsidR="00FD50D8" w:rsidRPr="00D9428D">
        <w:rPr>
          <w:rFonts w:ascii="Arial" w:hAnsi="Arial" w:cs="Arial"/>
          <w:sz w:val="22"/>
          <w:szCs w:val="22"/>
          <w:lang w:val="es-ES_tradnl"/>
        </w:rPr>
        <w:t>.</w:t>
      </w:r>
    </w:p>
    <w:p w14:paraId="6FDE7015" w14:textId="77777777" w:rsidR="000E4956" w:rsidRPr="00D9428D" w:rsidRDefault="000E4956" w:rsidP="000E4956">
      <w:pPr>
        <w:pStyle w:val="Paragraph"/>
        <w:tabs>
          <w:tab w:val="clear" w:pos="2736"/>
          <w:tab w:val="num" w:pos="630"/>
        </w:tabs>
        <w:ind w:left="630" w:hanging="540"/>
        <w:rPr>
          <w:rFonts w:ascii="Arial" w:hAnsi="Arial" w:cs="Arial"/>
          <w:sz w:val="22"/>
          <w:szCs w:val="22"/>
          <w:lang w:val="es-ES_tradnl"/>
        </w:rPr>
      </w:pPr>
      <w:r w:rsidRPr="00D9428D">
        <w:rPr>
          <w:rFonts w:ascii="Arial" w:hAnsi="Arial" w:cs="Arial"/>
          <w:sz w:val="22"/>
          <w:szCs w:val="22"/>
          <w:lang w:val="es-ES_tradnl"/>
        </w:rPr>
        <w:t>Los c</w:t>
      </w:r>
      <w:r w:rsidR="00D9428D" w:rsidRPr="00D9428D">
        <w:rPr>
          <w:rFonts w:ascii="Arial" w:hAnsi="Arial" w:cs="Arial"/>
          <w:sz w:val="22"/>
          <w:szCs w:val="22"/>
          <w:lang w:val="es-ES_tradnl"/>
        </w:rPr>
        <w:t xml:space="preserve">ostos del personal del BID, UCP y FONCAP </w:t>
      </w:r>
      <w:r w:rsidRPr="00D9428D">
        <w:rPr>
          <w:rFonts w:ascii="Arial" w:hAnsi="Arial" w:cs="Arial"/>
          <w:sz w:val="22"/>
          <w:szCs w:val="22"/>
          <w:lang w:val="es-ES_tradnl"/>
        </w:rPr>
        <w:t>involucrado en el equipo de trabajo serán cubiertos por los costos regulares de operación y administración de ambas instituciones</w:t>
      </w:r>
      <w:r w:rsidR="001360B8">
        <w:rPr>
          <w:rFonts w:ascii="Arial" w:hAnsi="Arial" w:cs="Arial"/>
          <w:sz w:val="22"/>
          <w:szCs w:val="22"/>
          <w:lang w:val="es-ES_tradnl"/>
        </w:rPr>
        <w:t xml:space="preserve"> más la contrapartida del gobierno</w:t>
      </w:r>
      <w:r w:rsidRPr="00D9428D">
        <w:rPr>
          <w:rFonts w:ascii="Arial" w:hAnsi="Arial" w:cs="Arial"/>
          <w:sz w:val="22"/>
          <w:szCs w:val="22"/>
          <w:lang w:val="es-ES_tradnl"/>
        </w:rPr>
        <w:t xml:space="preserve">. </w:t>
      </w:r>
      <w:r w:rsidR="00D9428D" w:rsidRPr="00D9428D">
        <w:rPr>
          <w:rFonts w:ascii="Arial" w:hAnsi="Arial" w:cs="Arial"/>
          <w:sz w:val="22"/>
          <w:szCs w:val="22"/>
          <w:lang w:val="es-ES_tradnl"/>
        </w:rPr>
        <w:t>La UCP</w:t>
      </w:r>
      <w:r w:rsidRPr="00D9428D">
        <w:rPr>
          <w:rFonts w:ascii="Arial" w:hAnsi="Arial" w:cs="Arial"/>
          <w:sz w:val="22"/>
          <w:szCs w:val="22"/>
          <w:lang w:val="es-ES_tradnl"/>
        </w:rPr>
        <w:t xml:space="preserve"> tiene una estructura suficientemente dimensionada y tiene acceso a recursos suficientes para garantizar el cumplimiento de todas las tareas y compromisos que se han previsto </w:t>
      </w:r>
      <w:r w:rsidRPr="00D9428D">
        <w:rPr>
          <w:rFonts w:ascii="Arial" w:hAnsi="Arial" w:cs="Arial"/>
          <w:sz w:val="22"/>
          <w:szCs w:val="22"/>
          <w:lang w:val="es-ES_tradnl"/>
        </w:rPr>
        <w:lastRenderedPageBreak/>
        <w:t xml:space="preserve">en el presente Plan de Seguimiento y Evaluación. Respecto a la diseminación de los resultados, los mismos serán circulados por el BID y </w:t>
      </w:r>
      <w:r w:rsidR="00D9428D" w:rsidRPr="00D9428D">
        <w:rPr>
          <w:rFonts w:ascii="Arial" w:hAnsi="Arial" w:cs="Arial"/>
          <w:sz w:val="22"/>
          <w:szCs w:val="22"/>
          <w:lang w:val="es-ES_tradnl"/>
        </w:rPr>
        <w:t>UCP</w:t>
      </w:r>
      <w:r w:rsidRPr="00D9428D">
        <w:rPr>
          <w:rFonts w:ascii="Arial" w:hAnsi="Arial" w:cs="Arial"/>
          <w:sz w:val="22"/>
          <w:szCs w:val="22"/>
          <w:lang w:val="es-ES_tradnl"/>
        </w:rPr>
        <w:t xml:space="preserve">, incluyendo todas las notas y consideraciones metodológicas necesarias para la interpretación y eventual replicación del estudio. La puesta en disponibilidad de los resultados no podrá demorarse más allá de 18 meses de concluida la evaluación. La elaboración de estudios a partir de dichos datos llevados adelante por </w:t>
      </w:r>
      <w:r w:rsidR="00D9428D" w:rsidRPr="00D9428D">
        <w:rPr>
          <w:rFonts w:ascii="Arial" w:hAnsi="Arial" w:cs="Arial"/>
          <w:sz w:val="22"/>
          <w:szCs w:val="22"/>
          <w:lang w:val="es-ES_tradnl"/>
        </w:rPr>
        <w:t>UCP, FONCAP</w:t>
      </w:r>
      <w:r w:rsidRPr="00D9428D">
        <w:rPr>
          <w:rFonts w:ascii="Arial" w:hAnsi="Arial" w:cs="Arial"/>
          <w:sz w:val="22"/>
          <w:szCs w:val="22"/>
          <w:lang w:val="es-ES_tradnl"/>
        </w:rPr>
        <w:t xml:space="preserve"> y el BID no se tendrá en cuenta para el plazo de 18 meses indicado</w:t>
      </w:r>
      <w:r w:rsidR="00D9428D" w:rsidRPr="00D9428D">
        <w:rPr>
          <w:rFonts w:ascii="Arial" w:hAnsi="Arial" w:cs="Arial"/>
          <w:sz w:val="22"/>
          <w:szCs w:val="22"/>
          <w:lang w:val="es-ES_tradnl"/>
        </w:rPr>
        <w:t>.</w:t>
      </w:r>
    </w:p>
    <w:p w14:paraId="437EBFCD" w14:textId="77777777" w:rsidR="000E4956" w:rsidRPr="00916731" w:rsidRDefault="000E4956" w:rsidP="000E4956">
      <w:pPr>
        <w:pStyle w:val="Paragraph"/>
        <w:tabs>
          <w:tab w:val="clear" w:pos="2736"/>
          <w:tab w:val="num" w:pos="630"/>
        </w:tabs>
        <w:ind w:left="630" w:hanging="540"/>
        <w:rPr>
          <w:rFonts w:ascii="Arial" w:hAnsi="Arial" w:cs="Arial"/>
          <w:sz w:val="22"/>
          <w:szCs w:val="22"/>
          <w:lang w:val="es-ES_tradnl"/>
        </w:rPr>
      </w:pPr>
      <w:r w:rsidRPr="00916731">
        <w:rPr>
          <w:rFonts w:ascii="Arial" w:hAnsi="Arial" w:cs="Arial"/>
          <w:sz w:val="22"/>
          <w:szCs w:val="22"/>
          <w:lang w:val="es-ES_tradnl"/>
        </w:rPr>
        <w:t>El equipo de proyecto invitará</w:t>
      </w:r>
      <w:r w:rsidR="00916731" w:rsidRPr="00916731">
        <w:rPr>
          <w:rFonts w:ascii="Arial" w:hAnsi="Arial" w:cs="Arial"/>
          <w:sz w:val="22"/>
          <w:szCs w:val="22"/>
          <w:lang w:val="es-ES_tradnl"/>
        </w:rPr>
        <w:t xml:space="preserve"> a la contraparte </w:t>
      </w:r>
      <w:r w:rsidRPr="00916731">
        <w:rPr>
          <w:rFonts w:ascii="Arial" w:hAnsi="Arial" w:cs="Arial"/>
          <w:sz w:val="22"/>
          <w:szCs w:val="22"/>
          <w:lang w:val="es-ES_tradnl"/>
        </w:rPr>
        <w:t xml:space="preserve">a organizar seminarios de difusiones entre los potenciales interesados en los resultados en </w:t>
      </w:r>
      <w:r w:rsidR="00916731" w:rsidRPr="00916731">
        <w:rPr>
          <w:rFonts w:ascii="Arial" w:hAnsi="Arial" w:cs="Arial"/>
          <w:sz w:val="22"/>
          <w:szCs w:val="22"/>
          <w:lang w:val="es-ES_tradnl"/>
        </w:rPr>
        <w:t>Argentina</w:t>
      </w:r>
      <w:r w:rsidRPr="00916731">
        <w:rPr>
          <w:rFonts w:ascii="Arial" w:hAnsi="Arial" w:cs="Arial"/>
          <w:sz w:val="22"/>
          <w:szCs w:val="22"/>
          <w:lang w:val="es-ES_tradnl"/>
        </w:rPr>
        <w:t xml:space="preserve"> (incluyendo organismos de gobierno, instituciones educativas, y organismos internacionales). A su vez, IFD/CMF promoverá la difusión de los resultados mediante seminarios internos conducidos dentro del BID y abiertos al público</w:t>
      </w:r>
      <w:r w:rsidR="00BC5D4A">
        <w:rPr>
          <w:rFonts w:ascii="Arial" w:hAnsi="Arial" w:cs="Arial"/>
          <w:sz w:val="22"/>
          <w:szCs w:val="22"/>
          <w:lang w:val="es-ES_tradnl"/>
        </w:rPr>
        <w:t>.</w:t>
      </w:r>
    </w:p>
    <w:sectPr w:rsidR="000E4956" w:rsidRPr="00916731" w:rsidSect="00CD5B6E">
      <w:type w:val="continuous"/>
      <w:pgSz w:w="12242" w:h="15842" w:code="1"/>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2538F" w14:textId="77777777" w:rsidR="0014329A" w:rsidRDefault="0014329A" w:rsidP="00062D0D">
      <w:pPr>
        <w:spacing w:after="0" w:line="240" w:lineRule="auto"/>
      </w:pPr>
      <w:r>
        <w:separator/>
      </w:r>
    </w:p>
  </w:endnote>
  <w:endnote w:type="continuationSeparator" w:id="0">
    <w:p w14:paraId="31E0E160" w14:textId="77777777" w:rsidR="0014329A" w:rsidRDefault="0014329A" w:rsidP="000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81859"/>
      <w:docPartObj>
        <w:docPartGallery w:val="Page Numbers (Bottom of Page)"/>
        <w:docPartUnique/>
      </w:docPartObj>
    </w:sdtPr>
    <w:sdtEndPr>
      <w:rPr>
        <w:rFonts w:ascii="Times New Roman" w:hAnsi="Times New Roman" w:cs="Times New Roman"/>
        <w:noProof/>
      </w:rPr>
    </w:sdtEndPr>
    <w:sdtContent>
      <w:p w14:paraId="58279D4E" w14:textId="77777777" w:rsidR="00F366F6" w:rsidRPr="00352714" w:rsidRDefault="00F366F6">
        <w:pPr>
          <w:pStyle w:val="Footer"/>
          <w:jc w:val="center"/>
          <w:rPr>
            <w:rFonts w:ascii="Times New Roman" w:hAnsi="Times New Roman" w:cs="Times New Roman"/>
          </w:rPr>
        </w:pPr>
        <w:r w:rsidRPr="00352714">
          <w:rPr>
            <w:rFonts w:ascii="Times New Roman" w:hAnsi="Times New Roman" w:cs="Times New Roman"/>
          </w:rPr>
          <w:t>-</w:t>
        </w:r>
        <w:r w:rsidRPr="00352714">
          <w:rPr>
            <w:rFonts w:ascii="Times New Roman" w:hAnsi="Times New Roman" w:cs="Times New Roman"/>
          </w:rPr>
          <w:fldChar w:fldCharType="begin"/>
        </w:r>
        <w:r w:rsidRPr="00352714">
          <w:rPr>
            <w:rFonts w:ascii="Times New Roman" w:hAnsi="Times New Roman" w:cs="Times New Roman"/>
          </w:rPr>
          <w:instrText xml:space="preserve"> PAGE   \* MERGEFORMAT </w:instrText>
        </w:r>
        <w:r w:rsidRPr="00352714">
          <w:rPr>
            <w:rFonts w:ascii="Times New Roman" w:hAnsi="Times New Roman" w:cs="Times New Roman"/>
          </w:rPr>
          <w:fldChar w:fldCharType="separate"/>
        </w:r>
        <w:r>
          <w:rPr>
            <w:rFonts w:ascii="Times New Roman" w:hAnsi="Times New Roman" w:cs="Times New Roman"/>
            <w:noProof/>
          </w:rPr>
          <w:t>2</w:t>
        </w:r>
        <w:r w:rsidRPr="00352714">
          <w:rPr>
            <w:rFonts w:ascii="Times New Roman" w:hAnsi="Times New Roman" w:cs="Times New Roman"/>
            <w:noProof/>
          </w:rPr>
          <w:fldChar w:fldCharType="end"/>
        </w:r>
        <w:r w:rsidRPr="00352714">
          <w:rPr>
            <w:rFonts w:ascii="Times New Roman" w:hAnsi="Times New Roman" w:cs="Times New Roman"/>
            <w:noProof/>
          </w:rPr>
          <w:t>-</w:t>
        </w:r>
      </w:p>
    </w:sdtContent>
  </w:sdt>
  <w:p w14:paraId="02CA92E1" w14:textId="77777777" w:rsidR="00F366F6" w:rsidRDefault="00F3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059657"/>
      <w:docPartObj>
        <w:docPartGallery w:val="Page Numbers (Bottom of Page)"/>
        <w:docPartUnique/>
      </w:docPartObj>
    </w:sdtPr>
    <w:sdtEndPr>
      <w:rPr>
        <w:rFonts w:ascii="Gotham Book" w:hAnsi="Gotham Book" w:cs="Times New Roman"/>
        <w:noProof/>
        <w:sz w:val="18"/>
      </w:rPr>
    </w:sdtEndPr>
    <w:sdtContent>
      <w:p w14:paraId="0C03ACA6" w14:textId="12979B6D" w:rsidR="00F366F6" w:rsidRPr="00832D40" w:rsidRDefault="00F366F6">
        <w:pPr>
          <w:pStyle w:val="Footer"/>
          <w:jc w:val="center"/>
          <w:rPr>
            <w:rFonts w:ascii="Gotham Book" w:hAnsi="Gotham Book" w:cs="Times New Roman"/>
            <w:sz w:val="18"/>
          </w:rPr>
        </w:pPr>
        <w:r w:rsidRPr="00832D40">
          <w:rPr>
            <w:rFonts w:ascii="Gotham Book" w:hAnsi="Gotham Book" w:cs="Times New Roman"/>
            <w:sz w:val="18"/>
          </w:rPr>
          <w:t>-</w:t>
        </w:r>
        <w:r w:rsidRPr="00832D40">
          <w:rPr>
            <w:rFonts w:ascii="Gotham Book" w:hAnsi="Gotham Book" w:cs="Times New Roman"/>
            <w:sz w:val="18"/>
          </w:rPr>
          <w:fldChar w:fldCharType="begin"/>
        </w:r>
        <w:r w:rsidRPr="00832D40">
          <w:rPr>
            <w:rFonts w:ascii="Gotham Book" w:hAnsi="Gotham Book" w:cs="Times New Roman"/>
            <w:sz w:val="18"/>
          </w:rPr>
          <w:instrText xml:space="preserve"> PAGE   \* MERGEFORMAT </w:instrText>
        </w:r>
        <w:r w:rsidRPr="00832D40">
          <w:rPr>
            <w:rFonts w:ascii="Gotham Book" w:hAnsi="Gotham Book" w:cs="Times New Roman"/>
            <w:sz w:val="18"/>
          </w:rPr>
          <w:fldChar w:fldCharType="separate"/>
        </w:r>
        <w:r w:rsidR="00764557">
          <w:rPr>
            <w:rFonts w:ascii="Gotham Book" w:hAnsi="Gotham Book" w:cs="Times New Roman"/>
            <w:noProof/>
            <w:sz w:val="18"/>
          </w:rPr>
          <w:t>8</w:t>
        </w:r>
        <w:r w:rsidRPr="00832D40">
          <w:rPr>
            <w:rFonts w:ascii="Gotham Book" w:hAnsi="Gotham Book" w:cs="Times New Roman"/>
            <w:noProof/>
            <w:sz w:val="18"/>
          </w:rPr>
          <w:fldChar w:fldCharType="end"/>
        </w:r>
        <w:r w:rsidRPr="00832D40">
          <w:rPr>
            <w:rFonts w:ascii="Gotham Book" w:hAnsi="Gotham Book" w:cs="Times New Roman"/>
            <w:noProof/>
            <w:sz w:val="18"/>
          </w:rPr>
          <w:t>-</w:t>
        </w:r>
      </w:p>
    </w:sdtContent>
  </w:sdt>
  <w:p w14:paraId="040319AD" w14:textId="77777777" w:rsidR="00F366F6" w:rsidRDefault="00F3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90F5" w14:textId="77777777" w:rsidR="0014329A" w:rsidRDefault="0014329A" w:rsidP="00062D0D">
      <w:pPr>
        <w:spacing w:after="0" w:line="240" w:lineRule="auto"/>
      </w:pPr>
      <w:r>
        <w:separator/>
      </w:r>
    </w:p>
  </w:footnote>
  <w:footnote w:type="continuationSeparator" w:id="0">
    <w:p w14:paraId="7AD90CB4" w14:textId="77777777" w:rsidR="0014329A" w:rsidRDefault="0014329A" w:rsidP="00062D0D">
      <w:pPr>
        <w:spacing w:after="0" w:line="240" w:lineRule="auto"/>
      </w:pPr>
      <w:r>
        <w:continuationSeparator/>
      </w:r>
    </w:p>
  </w:footnote>
  <w:footnote w:id="1">
    <w:p w14:paraId="63C22545" w14:textId="77777777" w:rsidR="00F366F6" w:rsidRPr="00307324" w:rsidRDefault="00F366F6" w:rsidP="00307324">
      <w:pPr>
        <w:pStyle w:val="FootnoteText"/>
        <w:tabs>
          <w:tab w:val="left" w:pos="270"/>
        </w:tabs>
        <w:spacing w:after="0"/>
        <w:rPr>
          <w:rFonts w:cs="Arial"/>
          <w:szCs w:val="18"/>
          <w:lang w:val="es-ES_tradnl"/>
        </w:rPr>
      </w:pPr>
      <w:r w:rsidRPr="003A614C">
        <w:rPr>
          <w:rStyle w:val="FootnoteReference"/>
          <w:rFonts w:cs="Arial"/>
          <w:szCs w:val="18"/>
        </w:rPr>
        <w:footnoteRef/>
      </w:r>
      <w:r w:rsidRPr="00307324">
        <w:rPr>
          <w:rFonts w:cs="Arial"/>
          <w:szCs w:val="18"/>
          <w:lang w:val="es-ES_tradnl"/>
        </w:rPr>
        <w:t xml:space="preserve"> </w:t>
      </w:r>
      <w:r w:rsidRPr="00307324">
        <w:rPr>
          <w:rFonts w:cs="Arial"/>
          <w:szCs w:val="18"/>
          <w:lang w:val="es-ES_tradnl"/>
        </w:rPr>
        <w:tab/>
        <w:t xml:space="preserve">Se utilizará como criterio de clasificación el determinado por el Ministerio de la Producción. </w:t>
      </w:r>
    </w:p>
  </w:footnote>
  <w:footnote w:id="2">
    <w:p w14:paraId="2A1CB5B0" w14:textId="77777777" w:rsidR="00F366F6" w:rsidRPr="00F436E1" w:rsidRDefault="00F366F6" w:rsidP="00C9465F">
      <w:pPr>
        <w:pStyle w:val="FootnoteText"/>
        <w:spacing w:after="0"/>
        <w:ind w:left="270" w:hanging="270"/>
        <w:rPr>
          <w:rFonts w:cs="Arial"/>
          <w:szCs w:val="18"/>
          <w:lang w:val="es-ES_tradnl"/>
        </w:rPr>
      </w:pPr>
      <w:r w:rsidRPr="003A614C">
        <w:rPr>
          <w:rStyle w:val="FootnoteReference"/>
          <w:rFonts w:cs="Arial"/>
          <w:szCs w:val="18"/>
        </w:rPr>
        <w:footnoteRef/>
      </w:r>
      <w:r w:rsidRPr="00F436E1">
        <w:rPr>
          <w:rFonts w:cs="Arial"/>
          <w:szCs w:val="18"/>
          <w:lang w:val="es-ES_tradnl"/>
        </w:rPr>
        <w:t xml:space="preserve"> </w:t>
      </w:r>
      <w:r w:rsidRPr="00F436E1">
        <w:rPr>
          <w:rFonts w:cs="Arial"/>
          <w:szCs w:val="18"/>
          <w:lang w:val="es-ES_tradnl"/>
        </w:rPr>
        <w:tab/>
        <w:t>Como préstamos para la ampliación de oficinas, adopción de tecnologías de la información, entre otros.</w:t>
      </w:r>
    </w:p>
  </w:footnote>
  <w:footnote w:id="3">
    <w:p w14:paraId="2A72F0D0" w14:textId="77777777" w:rsidR="00F366F6" w:rsidRPr="00F436E1" w:rsidRDefault="00F366F6" w:rsidP="00C9465F">
      <w:pPr>
        <w:pStyle w:val="FootnoteText"/>
        <w:spacing w:after="0"/>
        <w:rPr>
          <w:rFonts w:cs="Arial"/>
          <w:szCs w:val="18"/>
          <w:lang w:val="es-ES_tradnl"/>
        </w:rPr>
      </w:pPr>
      <w:r w:rsidRPr="00EF5451">
        <w:rPr>
          <w:rStyle w:val="FootnoteReference"/>
          <w:rFonts w:cs="Arial"/>
          <w:szCs w:val="18"/>
        </w:rPr>
        <w:footnoteRef/>
      </w:r>
      <w:r w:rsidRPr="00F436E1">
        <w:rPr>
          <w:rFonts w:cs="Arial"/>
          <w:szCs w:val="18"/>
          <w:lang w:val="es-ES_tradnl"/>
        </w:rPr>
        <w:t xml:space="preserve">  Entendido como </w:t>
      </w:r>
      <w:r w:rsidRPr="00EF5451">
        <w:rPr>
          <w:rFonts w:cs="Arial"/>
          <w:iCs/>
          <w:szCs w:val="18"/>
          <w:lang w:val="es-ES_tradnl"/>
        </w:rPr>
        <w:t>aquellas microempresas que no han tenido algún crédito formal en los 2 años previos.</w:t>
      </w:r>
    </w:p>
  </w:footnote>
  <w:footnote w:id="4">
    <w:p w14:paraId="168D272B" w14:textId="77777777" w:rsidR="00F366F6" w:rsidRPr="00AF2969" w:rsidRDefault="00F366F6" w:rsidP="00AF2969">
      <w:pPr>
        <w:pStyle w:val="FootnoteText"/>
        <w:spacing w:after="0"/>
        <w:rPr>
          <w:rFonts w:cs="Arial"/>
          <w:szCs w:val="18"/>
          <w:lang w:val="es-ES"/>
        </w:rPr>
      </w:pPr>
      <w:r w:rsidRPr="00AF2969">
        <w:rPr>
          <w:rFonts w:cs="Arial"/>
          <w:szCs w:val="18"/>
          <w:vertAlign w:val="superscript"/>
          <w:lang w:val="pt-BR"/>
        </w:rPr>
        <w:footnoteRef/>
      </w:r>
      <w:r w:rsidRPr="00AF2969">
        <w:rPr>
          <w:rFonts w:cs="Arial"/>
          <w:szCs w:val="18"/>
          <w:lang w:val="es-ES"/>
        </w:rPr>
        <w:t xml:space="preserve"> </w:t>
      </w:r>
      <w:r w:rsidRPr="00844C8D">
        <w:rPr>
          <w:rFonts w:cs="Arial"/>
          <w:i/>
          <w:szCs w:val="18"/>
          <w:lang w:val="es-ES"/>
        </w:rPr>
        <w:t>Program Monitoring Report</w:t>
      </w:r>
      <w:r w:rsidRPr="00AF2969">
        <w:rPr>
          <w:rFonts w:cs="Arial"/>
          <w:szCs w:val="18"/>
          <w:lang w:val="es-ES"/>
        </w:rPr>
        <w:t xml:space="preserve"> por sus siglas en inglés.</w:t>
      </w:r>
    </w:p>
  </w:footnote>
  <w:footnote w:id="5">
    <w:p w14:paraId="40245AA9" w14:textId="77777777" w:rsidR="00F366F6" w:rsidRPr="00AF2969" w:rsidRDefault="00F366F6" w:rsidP="00AF2969">
      <w:pPr>
        <w:pStyle w:val="FootnoteText"/>
        <w:spacing w:after="0"/>
        <w:rPr>
          <w:rFonts w:cs="Arial"/>
          <w:szCs w:val="18"/>
          <w:lang w:val="pt-BR"/>
        </w:rPr>
      </w:pPr>
      <w:r w:rsidRPr="00AF2969">
        <w:rPr>
          <w:rFonts w:cs="Arial"/>
          <w:szCs w:val="18"/>
          <w:vertAlign w:val="superscript"/>
          <w:lang w:val="pt-BR"/>
        </w:rPr>
        <w:footnoteRef/>
      </w:r>
      <w:r w:rsidRPr="00AF2969">
        <w:rPr>
          <w:rFonts w:cs="Arial"/>
          <w:szCs w:val="18"/>
          <w:lang w:val="pt-BR"/>
        </w:rPr>
        <w:t xml:space="preserve"> Ver Matriz de Resultados. </w:t>
      </w:r>
      <w:r w:rsidRPr="00925691">
        <w:rPr>
          <w:rFonts w:cs="Arial"/>
          <w:szCs w:val="18"/>
          <w:lang w:val="pt-BR"/>
        </w:rPr>
        <w:t>Anexo I</w:t>
      </w:r>
      <w:r w:rsidRPr="00AF2969">
        <w:rPr>
          <w:rFonts w:cs="Arial"/>
          <w:szCs w:val="18"/>
          <w:lang w:val="pt-BR"/>
        </w:rPr>
        <w:t>I POD.</w:t>
      </w:r>
    </w:p>
  </w:footnote>
  <w:footnote w:id="6">
    <w:p w14:paraId="4DB6EE85" w14:textId="77777777" w:rsidR="00DC561E" w:rsidRPr="000C593A" w:rsidRDefault="00DC561E" w:rsidP="00DC561E">
      <w:pPr>
        <w:tabs>
          <w:tab w:val="left" w:pos="270"/>
        </w:tabs>
        <w:spacing w:after="0"/>
        <w:ind w:left="270" w:hanging="270"/>
        <w:rPr>
          <w:lang w:val="es-ES_tradnl"/>
        </w:rPr>
      </w:pPr>
      <w:r w:rsidRPr="00C842D7">
        <w:rPr>
          <w:rFonts w:ascii="Arial" w:hAnsi="Arial" w:cs="Arial"/>
          <w:sz w:val="18"/>
          <w:szCs w:val="18"/>
          <w:vertAlign w:val="superscript"/>
        </w:rPr>
        <w:footnoteRef/>
      </w:r>
      <w:r w:rsidRPr="00C842D7">
        <w:rPr>
          <w:rFonts w:ascii="Arial" w:hAnsi="Arial" w:cs="Arial"/>
          <w:sz w:val="18"/>
          <w:szCs w:val="18"/>
          <w:lang w:val="es-ES_tradnl"/>
        </w:rPr>
        <w:t xml:space="preserve"> </w:t>
      </w:r>
      <w:r w:rsidRPr="00C842D7">
        <w:rPr>
          <w:rFonts w:ascii="Arial" w:hAnsi="Arial" w:cs="Arial"/>
          <w:sz w:val="18"/>
          <w:szCs w:val="18"/>
          <w:lang w:val="es-ES_tradnl"/>
        </w:rPr>
        <w:tab/>
      </w:r>
      <w:r w:rsidRPr="00C842D7">
        <w:rPr>
          <w:rFonts w:ascii="Arial" w:hAnsi="Arial" w:cs="Arial"/>
          <w:sz w:val="18"/>
          <w:szCs w:val="18"/>
          <w:lang w:val="es-ES"/>
        </w:rPr>
        <w:t>Nuevos</w:t>
      </w:r>
      <w:r w:rsidRPr="00C842D7">
        <w:rPr>
          <w:rFonts w:ascii="Arial" w:hAnsi="Arial" w:cs="Arial"/>
          <w:sz w:val="18"/>
          <w:szCs w:val="18"/>
          <w:lang w:val="es-ES_tradnl"/>
        </w:rPr>
        <w:t xml:space="preserve"> productos y servicios incluyen para crédito, ahorro y captación, así como puntos de acceso y canales.</w:t>
      </w:r>
      <w:r>
        <w:rPr>
          <w:lang w:val="es-ES_tradnl"/>
        </w:rPr>
        <w:t xml:space="preserve"> </w:t>
      </w:r>
    </w:p>
  </w:footnote>
  <w:footnote w:id="7">
    <w:p w14:paraId="7DE93815" w14:textId="77777777" w:rsidR="00174759" w:rsidRPr="008E445B" w:rsidRDefault="00174759" w:rsidP="00174759">
      <w:pPr>
        <w:pStyle w:val="FootnoteText"/>
        <w:tabs>
          <w:tab w:val="left" w:pos="270"/>
        </w:tabs>
        <w:ind w:left="270" w:hanging="270"/>
        <w:rPr>
          <w:rFonts w:cs="Arial"/>
          <w:szCs w:val="18"/>
          <w:lang w:val="es-ES_tradnl"/>
        </w:rPr>
      </w:pPr>
      <w:r w:rsidRPr="00C842D7">
        <w:rPr>
          <w:rStyle w:val="FootnoteReference"/>
          <w:rFonts w:cs="Arial"/>
          <w:szCs w:val="18"/>
        </w:rPr>
        <w:footnoteRef/>
      </w:r>
      <w:r w:rsidRPr="008E445B">
        <w:rPr>
          <w:rFonts w:cs="Arial"/>
          <w:szCs w:val="18"/>
          <w:lang w:val="es-ES_tradnl"/>
        </w:rPr>
        <w:t xml:space="preserve"> </w:t>
      </w:r>
      <w:r w:rsidRPr="008E445B">
        <w:rPr>
          <w:rFonts w:cs="Arial"/>
          <w:szCs w:val="18"/>
          <w:lang w:val="es-ES_tradnl"/>
        </w:rPr>
        <w:tab/>
        <w:t>Servicios financieros digitales cubre productos y servicios financieros que son entregados a los clientes a través de tecnología digital o electrónica (</w:t>
      </w:r>
      <w:r w:rsidRPr="008E445B">
        <w:rPr>
          <w:rFonts w:cs="Arial"/>
          <w:i/>
          <w:szCs w:val="18"/>
          <w:lang w:val="es-ES_tradnl"/>
        </w:rPr>
        <w:t>G20 High-Level Principles for Financial Inclusion</w:t>
      </w:r>
      <w:r w:rsidRPr="008E445B">
        <w:rPr>
          <w:rFonts w:cs="Arial"/>
          <w:szCs w:val="18"/>
          <w:lang w:val="es-ES_tradnl"/>
        </w:rPr>
        <w:t xml:space="preserve">). </w:t>
      </w:r>
    </w:p>
  </w:footnote>
  <w:footnote w:id="8">
    <w:p w14:paraId="771980AD" w14:textId="77777777" w:rsidR="00174759" w:rsidRPr="00350C98" w:rsidRDefault="00174759" w:rsidP="00C842D7">
      <w:pPr>
        <w:pStyle w:val="FootnoteText"/>
        <w:tabs>
          <w:tab w:val="left" w:pos="270"/>
        </w:tabs>
        <w:ind w:left="270" w:hanging="270"/>
        <w:rPr>
          <w:rFonts w:cs="Arial"/>
          <w:szCs w:val="18"/>
          <w:lang w:val="es-MX"/>
        </w:rPr>
      </w:pPr>
      <w:r w:rsidRPr="00C842D7">
        <w:rPr>
          <w:rStyle w:val="FootnoteReference"/>
          <w:rFonts w:cs="Arial"/>
          <w:szCs w:val="18"/>
        </w:rPr>
        <w:footnoteRef/>
      </w:r>
      <w:r w:rsidRPr="008E445B">
        <w:rPr>
          <w:rFonts w:cs="Arial"/>
          <w:szCs w:val="18"/>
          <w:lang w:val="es-ES_tradnl"/>
        </w:rPr>
        <w:t xml:space="preserve"> </w:t>
      </w:r>
      <w:r w:rsidRPr="008E445B">
        <w:rPr>
          <w:rFonts w:cs="Arial"/>
          <w:szCs w:val="18"/>
          <w:lang w:val="es-ES_tradnl"/>
        </w:rPr>
        <w:tab/>
        <w:t>Se considera un punto de acceso a los corresponsales, ATM, POS, sucursales, agencias, ventanillas de extensión y centros de transacción.</w:t>
      </w:r>
    </w:p>
  </w:footnote>
  <w:footnote w:id="9">
    <w:p w14:paraId="286A6137" w14:textId="77777777" w:rsidR="00F366F6" w:rsidRPr="008E445B" w:rsidRDefault="00F366F6">
      <w:pPr>
        <w:pStyle w:val="FootnoteText"/>
        <w:rPr>
          <w:lang w:val="es-ES_tradnl"/>
        </w:rPr>
      </w:pPr>
      <w:r>
        <w:rPr>
          <w:rStyle w:val="FootnoteReference"/>
        </w:rPr>
        <w:footnoteRef/>
      </w:r>
      <w:r w:rsidRPr="008E445B">
        <w:rPr>
          <w:lang w:val="es-ES_tradnl"/>
        </w:rPr>
        <w:t xml:space="preserve"> </w:t>
      </w:r>
      <w:r>
        <w:rPr>
          <w:lang w:val="es-ES_tradnl"/>
        </w:rPr>
        <w:t>Para más detalles ver Cuadro 2.</w:t>
      </w:r>
    </w:p>
  </w:footnote>
  <w:footnote w:id="10">
    <w:p w14:paraId="32274A3A" w14:textId="77777777" w:rsidR="0058251C" w:rsidRPr="00BD60C8" w:rsidRDefault="0058251C" w:rsidP="00BD60C8">
      <w:pPr>
        <w:pStyle w:val="FootnoteText"/>
        <w:ind w:left="90" w:hanging="90"/>
        <w:rPr>
          <w:lang w:val="es-ES_tradnl"/>
        </w:rPr>
      </w:pPr>
      <w:r>
        <w:rPr>
          <w:rStyle w:val="FootnoteReference"/>
        </w:rPr>
        <w:footnoteRef/>
      </w:r>
      <w:r w:rsidRPr="00DE5B2C">
        <w:rPr>
          <w:lang w:val="es-ES_tradnl"/>
        </w:rPr>
        <w:t xml:space="preserve"> Como parte del tercer c</w:t>
      </w:r>
      <w:r>
        <w:rPr>
          <w:lang w:val="es-ES_tradnl"/>
        </w:rPr>
        <w:t xml:space="preserve">omponente del programa, se planea realizar una encuesta nacional a hogares sobre inclusión financiera. </w:t>
      </w:r>
      <w:r w:rsidRPr="00BD60C8">
        <w:rPr>
          <w:lang w:val="es-ES_tradnl"/>
        </w:rPr>
        <w:t>Es de esperar que la información recolectada s</w:t>
      </w:r>
      <w:r>
        <w:rPr>
          <w:lang w:val="es-ES_tradnl"/>
        </w:rPr>
        <w:t xml:space="preserve">ea de utilidad para la evaluación final. </w:t>
      </w:r>
      <w:r w:rsidRPr="00BD60C8">
        <w:rPr>
          <w:lang w:val="es-ES_tradnl"/>
        </w:rPr>
        <w:t>Se estima el presupuesto para esta encuesta en US$ 350,</w:t>
      </w:r>
      <w:r>
        <w:rPr>
          <w:lang w:val="es-ES_tradnl"/>
        </w:rPr>
        <w:t>000, provenientes de recursos del programa.</w:t>
      </w:r>
    </w:p>
  </w:footnote>
  <w:footnote w:id="11">
    <w:p w14:paraId="28576EB6" w14:textId="77777777" w:rsidR="00F366F6" w:rsidRPr="002D036B" w:rsidRDefault="00F366F6" w:rsidP="006C39DB">
      <w:pPr>
        <w:pStyle w:val="FootnoteText"/>
        <w:tabs>
          <w:tab w:val="left" w:pos="270"/>
        </w:tabs>
        <w:spacing w:after="0"/>
        <w:ind w:left="274" w:hanging="274"/>
        <w:rPr>
          <w:rFonts w:cs="Arial"/>
          <w:szCs w:val="18"/>
          <w:lang w:val="es-ES_tradnl"/>
        </w:rPr>
      </w:pPr>
      <w:r w:rsidRPr="00AF4D2D">
        <w:rPr>
          <w:rStyle w:val="FootnoteReference"/>
          <w:rFonts w:cs="Arial"/>
          <w:szCs w:val="18"/>
        </w:rPr>
        <w:footnoteRef/>
      </w:r>
      <w:r w:rsidRPr="00CD47B9">
        <w:rPr>
          <w:rFonts w:cs="Arial"/>
          <w:szCs w:val="18"/>
          <w:lang w:val="es-ES_tradnl"/>
        </w:rPr>
        <w:t xml:space="preserve"> </w:t>
      </w:r>
      <w:r w:rsidRPr="00CD47B9">
        <w:rPr>
          <w:rFonts w:cs="Arial"/>
          <w:szCs w:val="18"/>
          <w:lang w:val="es-ES_tradnl"/>
        </w:rPr>
        <w:tab/>
        <w:t xml:space="preserve">Para un resumen de los beneficios socioeconómicos, ver “La inclusión financiera en América Latina y el Caribe. </w:t>
      </w:r>
      <w:r w:rsidRPr="002D036B">
        <w:rPr>
          <w:rFonts w:cs="Arial"/>
          <w:szCs w:val="18"/>
          <w:lang w:val="es-ES_tradnl"/>
        </w:rPr>
        <w:t xml:space="preserve">Coyuntura actual y desafíos para los próximos años”, BID, 2015. </w:t>
      </w:r>
    </w:p>
  </w:footnote>
  <w:footnote w:id="12">
    <w:p w14:paraId="3D3EF537" w14:textId="77777777" w:rsidR="00F366F6" w:rsidRPr="00BC5D4A" w:rsidRDefault="00F366F6">
      <w:pPr>
        <w:pStyle w:val="FootnoteText"/>
        <w:spacing w:after="0"/>
      </w:pPr>
      <w:r w:rsidRPr="00BC5D4A">
        <w:rPr>
          <w:rFonts w:cs="Arial"/>
          <w:sz w:val="14"/>
          <w:szCs w:val="14"/>
        </w:rPr>
        <w:footnoteRef/>
      </w:r>
      <w:r w:rsidRPr="008E445B">
        <w:rPr>
          <w:rFonts w:cs="Arial"/>
          <w:szCs w:val="18"/>
          <w:lang w:val="es-ES_tradnl"/>
        </w:rPr>
        <w:t xml:space="preserve">   Ver Chua et al, 2000, Microfinance, Risk Management, and Poverty, y Angelucci et al, 2013, Win Some Lose Some? </w:t>
      </w:r>
      <w:r w:rsidRPr="00BC5D4A">
        <w:rPr>
          <w:rFonts w:cs="Arial"/>
          <w:szCs w:val="18"/>
        </w:rPr>
        <w:t>Evidence from a Randomized Microcredit Program Placement Experiment by Compartamos Banco.</w:t>
      </w:r>
      <w:r w:rsidRPr="002D036B">
        <w:rPr>
          <w:rFonts w:cs="Arial"/>
          <w:szCs w:val="18"/>
        </w:rPr>
        <w:t xml:space="preserve">; y Woutersen, T. y Khandker, S., 2014, Estimating the Long-run Impact of Microcredit Programs on </w:t>
      </w:r>
      <w:r>
        <w:rPr>
          <w:rFonts w:cs="Arial"/>
          <w:szCs w:val="18"/>
        </w:rPr>
        <w:t>Household Income and Net Worth por ejemplo.</w:t>
      </w:r>
    </w:p>
  </w:footnote>
  <w:footnote w:id="13">
    <w:p w14:paraId="33520231" w14:textId="77777777" w:rsidR="00F366F6" w:rsidRPr="00CD47B9" w:rsidRDefault="00F366F6" w:rsidP="00F436E1">
      <w:pPr>
        <w:pStyle w:val="FootnoteText"/>
        <w:spacing w:after="0"/>
        <w:rPr>
          <w:lang w:val="es-ES_tradnl"/>
        </w:rPr>
      </w:pPr>
      <w:r>
        <w:rPr>
          <w:rStyle w:val="FootnoteReference"/>
        </w:rPr>
        <w:footnoteRef/>
      </w:r>
      <w:r w:rsidRPr="00CD47B9">
        <w:rPr>
          <w:lang w:val="es-ES_tradnl"/>
        </w:rPr>
        <w:t xml:space="preserve"> Karlan D, Ratan AL, Zinman J. (2014) </w:t>
      </w:r>
    </w:p>
  </w:footnote>
  <w:footnote w:id="14">
    <w:p w14:paraId="6C2AE904" w14:textId="77777777" w:rsidR="00F366F6" w:rsidRPr="004031A0" w:rsidRDefault="00F366F6" w:rsidP="00F436E1">
      <w:pPr>
        <w:pStyle w:val="FootnoteText"/>
        <w:spacing w:after="0"/>
      </w:pPr>
      <w:r w:rsidRPr="00FB712D">
        <w:rPr>
          <w:rStyle w:val="FootnoteReference"/>
        </w:rPr>
        <w:footnoteRef/>
      </w:r>
      <w:r w:rsidRPr="00FB712D">
        <w:t xml:space="preserve"> Banco Mundial, Better Than Cash Alliance y Fundación Bill &amp; Melinda Gates. (2014). </w:t>
      </w:r>
    </w:p>
  </w:footnote>
  <w:footnote w:id="15">
    <w:p w14:paraId="453A28C7" w14:textId="77777777" w:rsidR="00F366F6" w:rsidRPr="00FB712D" w:rsidRDefault="00F366F6" w:rsidP="00F436E1">
      <w:pPr>
        <w:pStyle w:val="FootnoteText"/>
        <w:spacing w:after="0"/>
      </w:pPr>
      <w:r w:rsidRPr="00FB712D">
        <w:rPr>
          <w:rStyle w:val="FootnoteReference"/>
        </w:rPr>
        <w:footnoteRef/>
      </w:r>
      <w:r w:rsidRPr="004031A0">
        <w:t xml:space="preserve"> BID (2017)</w:t>
      </w:r>
    </w:p>
  </w:footnote>
  <w:footnote w:id="16">
    <w:p w14:paraId="633B2A8A" w14:textId="77777777" w:rsidR="00F366F6" w:rsidRPr="00FB712D" w:rsidRDefault="00F366F6" w:rsidP="00F436E1">
      <w:pPr>
        <w:pStyle w:val="FootnoteText"/>
        <w:spacing w:after="0"/>
      </w:pPr>
      <w:r w:rsidRPr="00FB712D">
        <w:rPr>
          <w:rStyle w:val="FootnoteReference"/>
        </w:rPr>
        <w:footnoteRef/>
      </w:r>
      <w:r w:rsidRPr="00FB712D">
        <w:t xml:space="preserve"> Mazzotta, B. y B. Chakravorti. (2014). </w:t>
      </w:r>
    </w:p>
  </w:footnote>
  <w:footnote w:id="17">
    <w:p w14:paraId="6FDBDE93" w14:textId="77777777" w:rsidR="00F366F6" w:rsidRPr="00FB712D" w:rsidRDefault="00F366F6" w:rsidP="00F436E1">
      <w:pPr>
        <w:pStyle w:val="FootnoteText"/>
        <w:spacing w:after="0"/>
      </w:pPr>
      <w:r w:rsidRPr="00FB712D">
        <w:rPr>
          <w:rStyle w:val="FootnoteReference"/>
        </w:rPr>
        <w:footnoteRef/>
      </w:r>
      <w:r w:rsidRPr="00FB712D">
        <w:t xml:space="preserve"> Moody’s (2016).</w:t>
      </w:r>
    </w:p>
  </w:footnote>
  <w:footnote w:id="18">
    <w:p w14:paraId="60F6A390" w14:textId="77777777" w:rsidR="00F366F6" w:rsidRPr="00FB712D" w:rsidRDefault="00F366F6" w:rsidP="00F436E1">
      <w:pPr>
        <w:pStyle w:val="FootnoteText"/>
        <w:spacing w:after="0"/>
      </w:pPr>
      <w:r w:rsidRPr="00FB712D">
        <w:rPr>
          <w:rStyle w:val="FootnoteReference"/>
        </w:rPr>
        <w:footnoteRef/>
      </w:r>
      <w:r w:rsidRPr="00FB712D">
        <w:t xml:space="preserve"> Schneider, F., AT Kearney y Visa Europe (2011).</w:t>
      </w:r>
    </w:p>
  </w:footnote>
  <w:footnote w:id="19">
    <w:p w14:paraId="70EDB662" w14:textId="77777777" w:rsidR="00F366F6" w:rsidRPr="00FB712D" w:rsidRDefault="00F366F6" w:rsidP="00F436E1">
      <w:pPr>
        <w:pStyle w:val="FootnoteText"/>
        <w:spacing w:after="0"/>
        <w:rPr>
          <w:lang w:val="es-ES_tradnl"/>
        </w:rPr>
      </w:pPr>
      <w:r w:rsidRPr="00FB712D">
        <w:rPr>
          <w:rStyle w:val="FootnoteReference"/>
        </w:rPr>
        <w:footnoteRef/>
      </w:r>
      <w:r w:rsidRPr="004031A0">
        <w:rPr>
          <w:lang w:val="es-ES_tradnl"/>
        </w:rPr>
        <w:t xml:space="preserve"> Lindert, K., A. Linder, J. Hobbs, y B. de la Briére. </w:t>
      </w:r>
      <w:r w:rsidRPr="00FB712D">
        <w:rPr>
          <w:lang w:val="es-ES_tradnl"/>
        </w:rPr>
        <w:t>(2007).</w:t>
      </w:r>
    </w:p>
  </w:footnote>
  <w:footnote w:id="20">
    <w:p w14:paraId="6A7ABD18" w14:textId="77777777" w:rsidR="00F366F6" w:rsidRPr="00961D92" w:rsidRDefault="00F366F6" w:rsidP="00F436E1">
      <w:pPr>
        <w:pStyle w:val="FootnoteText"/>
        <w:spacing w:after="0"/>
        <w:rPr>
          <w:lang w:val="es-ES_tradnl"/>
        </w:rPr>
      </w:pPr>
      <w:r w:rsidRPr="00FB712D">
        <w:rPr>
          <w:rStyle w:val="FootnoteReference"/>
        </w:rPr>
        <w:footnoteRef/>
      </w:r>
      <w:r w:rsidRPr="00FB712D">
        <w:rPr>
          <w:lang w:val="es-ES_tradnl"/>
        </w:rPr>
        <w:t xml:space="preserve"> Zapata, G. (2014).</w:t>
      </w:r>
    </w:p>
  </w:footnote>
  <w:footnote w:id="21">
    <w:p w14:paraId="01B5265A" w14:textId="77777777" w:rsidR="00F366F6" w:rsidRPr="00FB712D" w:rsidRDefault="00F366F6" w:rsidP="00F436E1">
      <w:pPr>
        <w:pStyle w:val="FootnoteText"/>
        <w:spacing w:after="0"/>
        <w:rPr>
          <w:lang w:val="es-ES_tradnl"/>
        </w:rPr>
      </w:pPr>
      <w:r w:rsidRPr="00FB712D">
        <w:rPr>
          <w:rStyle w:val="FootnoteReference"/>
        </w:rPr>
        <w:footnoteRef/>
      </w:r>
      <w:r w:rsidRPr="00FB712D">
        <w:rPr>
          <w:lang w:val="es-ES_tradnl"/>
        </w:rPr>
        <w:t xml:space="preserve"> Banerjee, A., D. Karlan y J. Zinman. (</w:t>
      </w:r>
      <w:r w:rsidRPr="004031A0">
        <w:rPr>
          <w:lang w:val="es-ES_tradnl"/>
        </w:rPr>
        <w:t>2015)</w:t>
      </w:r>
    </w:p>
  </w:footnote>
  <w:footnote w:id="22">
    <w:p w14:paraId="1D8CFC00" w14:textId="77777777" w:rsidR="00F366F6" w:rsidRPr="007347A7" w:rsidRDefault="00F366F6" w:rsidP="00F436E1">
      <w:pPr>
        <w:pStyle w:val="FootnoteText"/>
        <w:spacing w:after="0"/>
        <w:rPr>
          <w:lang w:val="es-ES_tradnl"/>
        </w:rPr>
      </w:pPr>
      <w:r w:rsidRPr="00FB712D">
        <w:rPr>
          <w:rStyle w:val="FootnoteReference"/>
        </w:rPr>
        <w:footnoteRef/>
      </w:r>
      <w:r w:rsidRPr="004031A0">
        <w:rPr>
          <w:lang w:val="es-ES_tradnl"/>
        </w:rPr>
        <w:t xml:space="preserve"> Banerjee, A. (2013). </w:t>
      </w:r>
    </w:p>
  </w:footnote>
  <w:footnote w:id="23">
    <w:p w14:paraId="44AC5369" w14:textId="77777777" w:rsidR="00F366F6" w:rsidRPr="001A6CDA" w:rsidRDefault="00F366F6">
      <w:pPr>
        <w:pStyle w:val="FootnoteText"/>
        <w:rPr>
          <w:rFonts w:cs="Arial"/>
          <w:szCs w:val="18"/>
          <w:lang w:val="es-ES_tradnl"/>
        </w:rPr>
      </w:pPr>
      <w:r w:rsidRPr="001A6CDA">
        <w:rPr>
          <w:rStyle w:val="FootnoteReference"/>
          <w:rFonts w:cs="Arial"/>
          <w:szCs w:val="18"/>
        </w:rPr>
        <w:footnoteRef/>
      </w:r>
      <w:r w:rsidRPr="001A6CDA">
        <w:rPr>
          <w:rFonts w:cs="Arial"/>
          <w:szCs w:val="18"/>
          <w:lang w:val="es-ES_tradnl"/>
        </w:rPr>
        <w:t xml:space="preserve"> Ver </w:t>
      </w:r>
      <w:r w:rsidRPr="00CA4991">
        <w:rPr>
          <w:rFonts w:cs="Arial"/>
          <w:szCs w:val="18"/>
          <w:lang w:val="es-ES_tradnl"/>
        </w:rPr>
        <w:t>Análisis Económico del Programa</w:t>
      </w:r>
      <w:r>
        <w:rPr>
          <w:rFonts w:cs="Arial"/>
          <w:szCs w:val="18"/>
          <w:lang w:val="es-ES_tradnl"/>
        </w:rPr>
        <w:t>.</w:t>
      </w:r>
    </w:p>
  </w:footnote>
  <w:footnote w:id="24">
    <w:p w14:paraId="2208B199" w14:textId="77777777" w:rsidR="00F366F6" w:rsidRPr="005238C9" w:rsidRDefault="00F366F6" w:rsidP="007C0BF5">
      <w:pPr>
        <w:pStyle w:val="FootnoteText"/>
        <w:tabs>
          <w:tab w:val="left" w:pos="180"/>
        </w:tabs>
        <w:ind w:left="180" w:hanging="180"/>
        <w:rPr>
          <w:lang w:val="es-ES_tradnl"/>
        </w:rPr>
      </w:pPr>
      <w:r>
        <w:rPr>
          <w:rStyle w:val="FootnoteReference"/>
        </w:rPr>
        <w:footnoteRef/>
      </w:r>
      <w:r w:rsidRPr="005238C9">
        <w:rPr>
          <w:lang w:val="es-ES_tradnl"/>
        </w:rPr>
        <w:t xml:space="preserve"> </w:t>
      </w:r>
      <w:r>
        <w:rPr>
          <w:lang w:val="es-ES_tradnl"/>
        </w:rPr>
        <w:t>Esta expansión irá en la línea de considerar otras fuentes de beneficios económicos asociadas al cumplimiento de los indicadores de resultados. Por ejemplo, además de considerar solamente los beneficios asociados a la apertura de cuentas de ahorro (como se hizo para el primer indicador en el análisis económico), se puede considerar los beneficios asociados a la adopción de otros servicios financieros contemplados en el indicador, en caso exista la información necesaria.</w:t>
      </w:r>
    </w:p>
  </w:footnote>
  <w:footnote w:id="25">
    <w:p w14:paraId="4291F4E0" w14:textId="77777777" w:rsidR="00F366F6" w:rsidRPr="00B30F03" w:rsidRDefault="00F366F6">
      <w:pPr>
        <w:pStyle w:val="FootnoteText"/>
        <w:rPr>
          <w:lang w:val="es-ES_tradnl"/>
        </w:rPr>
      </w:pPr>
      <w:r>
        <w:rPr>
          <w:rStyle w:val="FootnoteReference"/>
        </w:rPr>
        <w:footnoteRef/>
      </w:r>
      <w:r w:rsidRPr="00B30F03">
        <w:rPr>
          <w:lang w:val="es-ES_tradnl"/>
        </w:rPr>
        <w:t xml:space="preserve"> Usuarios de cuentas, cré</w:t>
      </w:r>
      <w:r>
        <w:rPr>
          <w:lang w:val="es-ES_tradnl"/>
        </w:rPr>
        <w:t>dito u otro tipo de servicios o productos.</w:t>
      </w:r>
    </w:p>
  </w:footnote>
  <w:footnote w:id="26">
    <w:p w14:paraId="746C1B59" w14:textId="77777777" w:rsidR="00F366F6" w:rsidRPr="008E445B" w:rsidRDefault="00F366F6" w:rsidP="00AA00EB">
      <w:pPr>
        <w:pStyle w:val="FootnoteText"/>
        <w:ind w:left="180" w:hanging="198"/>
        <w:rPr>
          <w:lang w:val="es-ES_tradnl"/>
        </w:rPr>
      </w:pPr>
      <w:r>
        <w:rPr>
          <w:rStyle w:val="FootnoteReference"/>
        </w:rPr>
        <w:footnoteRef/>
      </w:r>
      <w:r w:rsidRPr="008E445B">
        <w:rPr>
          <w:lang w:val="es-ES_tradnl"/>
        </w:rPr>
        <w:t xml:space="preserve"> </w:t>
      </w:r>
      <w:r>
        <w:rPr>
          <w:lang w:val="es-ES_tradnl"/>
        </w:rPr>
        <w:t>Dado que en el sistema existe un número reducido de intermediarios financieros (en comparación con el número de beneficiarios finales), el procedimiento de la encuetas telefónica es más práctico y acorde con los presupuestos de evaluación. Por otro lado el tamaño del fondo comparado con la demanda potencial de beneficiarios finales (ver anexo de Análisis de Demanda) y el número esperado de IFI e IMF financiadas (ver detalles en el POD) asegura que existirá un número superior de IFIs e IMF no beneficiadas de los fondos en comparación con las beneficiadas.</w:t>
      </w:r>
    </w:p>
  </w:footnote>
  <w:footnote w:id="27">
    <w:p w14:paraId="72622DB3" w14:textId="77777777" w:rsidR="007A74DC" w:rsidRPr="008E445B" w:rsidRDefault="007A74DC">
      <w:pPr>
        <w:pStyle w:val="FootnoteText"/>
        <w:rPr>
          <w:lang w:val="es-ES_tradnl"/>
        </w:rPr>
      </w:pPr>
      <w:r>
        <w:rPr>
          <w:rStyle w:val="FootnoteReference"/>
        </w:rPr>
        <w:footnoteRef/>
      </w:r>
      <w:r w:rsidRPr="008E445B">
        <w:rPr>
          <w:lang w:val="es-ES_tradnl"/>
        </w:rPr>
        <w:t xml:space="preserve"> Este total no incluye cuentas “obligatorias</w:t>
      </w:r>
      <w:r>
        <w:rPr>
          <w:lang w:val="es-ES_tradnl"/>
        </w:rPr>
        <w:t>” que son las requeridas por ley para el pago de salarios, pensiones y beneficios sociales.</w:t>
      </w:r>
    </w:p>
  </w:footnote>
  <w:footnote w:id="28">
    <w:p w14:paraId="3B801C58" w14:textId="77777777" w:rsidR="00BD2668" w:rsidRPr="008E445B" w:rsidRDefault="00BD2668">
      <w:pPr>
        <w:pStyle w:val="FootnoteText"/>
        <w:rPr>
          <w:lang w:val="es-ES_tradnl"/>
        </w:rPr>
      </w:pPr>
      <w:r>
        <w:rPr>
          <w:rStyle w:val="FootnoteReference"/>
        </w:rPr>
        <w:footnoteRef/>
      </w:r>
      <w:r w:rsidRPr="008E445B">
        <w:rPr>
          <w:lang w:val="es-ES_tradnl"/>
        </w:rPr>
        <w:t xml:space="preserve"> Para calculo del ratio del indicador, la informaci</w:t>
      </w:r>
      <w:r>
        <w:rPr>
          <w:lang w:val="es-ES_tradnl"/>
        </w:rPr>
        <w:t xml:space="preserve">ón de estos dos últimos meses se promediará y expandirá para el total del año.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72B"/>
    <w:multiLevelType w:val="multilevel"/>
    <w:tmpl w:val="3D7E6B54"/>
    <w:lvl w:ilvl="0">
      <w:start w:val="1"/>
      <w:numFmt w:val="none"/>
      <w:lvlRestart w:val="0"/>
      <w:pStyle w:val="FirstHeading"/>
      <w:suff w:val="nothing"/>
      <w:lvlText w:val=""/>
      <w:lvlJc w:val="left"/>
      <w:pPr>
        <w:ind w:left="4824" w:hanging="720"/>
      </w:pPr>
      <w:rPr>
        <w:rFonts w:hint="default"/>
      </w:rPr>
    </w:lvl>
    <w:lvl w:ilvl="1">
      <w:start w:val="1"/>
      <w:numFmt w:val="decimal"/>
      <w:pStyle w:val="SecHeading"/>
      <w:lvlText w:val="%2."/>
      <w:lvlJc w:val="left"/>
      <w:pPr>
        <w:tabs>
          <w:tab w:val="num" w:pos="5400"/>
        </w:tabs>
        <w:ind w:left="5400" w:hanging="576"/>
      </w:pPr>
      <w:rPr>
        <w:rFonts w:hint="default"/>
        <w:b/>
      </w:rPr>
    </w:lvl>
    <w:lvl w:ilvl="2">
      <w:start w:val="1"/>
      <w:numFmt w:val="lowerLetter"/>
      <w:pStyle w:val="SubHeading1"/>
      <w:lvlText w:val="%3)"/>
      <w:lvlJc w:val="left"/>
      <w:pPr>
        <w:tabs>
          <w:tab w:val="num" w:pos="5976"/>
        </w:tabs>
        <w:ind w:left="5976" w:hanging="576"/>
      </w:pPr>
      <w:rPr>
        <w:rFonts w:hint="default"/>
        <w:b/>
      </w:rPr>
    </w:lvl>
    <w:lvl w:ilvl="3">
      <w:start w:val="1"/>
      <w:numFmt w:val="lowerRoman"/>
      <w:pStyle w:val="Subheading2"/>
      <w:lvlText w:val="(%4)"/>
      <w:lvlJc w:val="right"/>
      <w:pPr>
        <w:tabs>
          <w:tab w:val="num" w:pos="6480"/>
        </w:tabs>
        <w:ind w:left="6480" w:hanging="288"/>
      </w:pPr>
      <w:rPr>
        <w:rFonts w:hint="default"/>
        <w:b/>
      </w:rPr>
    </w:lvl>
    <w:lvl w:ilvl="4">
      <w:start w:val="1"/>
      <w:numFmt w:val="decimal"/>
      <w:pStyle w:val="Heading5"/>
      <w:lvlText w:val="%5)"/>
      <w:lvlJc w:val="left"/>
      <w:pPr>
        <w:ind w:left="5112" w:hanging="432"/>
      </w:pPr>
      <w:rPr>
        <w:rFonts w:hint="default"/>
      </w:rPr>
    </w:lvl>
    <w:lvl w:ilvl="5">
      <w:start w:val="1"/>
      <w:numFmt w:val="lowerLetter"/>
      <w:pStyle w:val="Heading6"/>
      <w:lvlText w:val="%6)"/>
      <w:lvlJc w:val="left"/>
      <w:pPr>
        <w:ind w:left="5256" w:hanging="432"/>
      </w:pPr>
      <w:rPr>
        <w:rFonts w:hint="default"/>
      </w:rPr>
    </w:lvl>
    <w:lvl w:ilvl="6">
      <w:start w:val="1"/>
      <w:numFmt w:val="lowerRoman"/>
      <w:pStyle w:val="Heading7"/>
      <w:lvlText w:val="%7)"/>
      <w:lvlJc w:val="right"/>
      <w:pPr>
        <w:ind w:left="5400" w:hanging="288"/>
      </w:pPr>
      <w:rPr>
        <w:rFonts w:hint="default"/>
      </w:rPr>
    </w:lvl>
    <w:lvl w:ilvl="7">
      <w:start w:val="1"/>
      <w:numFmt w:val="lowerLetter"/>
      <w:pStyle w:val="Heading8"/>
      <w:lvlText w:val="%8."/>
      <w:lvlJc w:val="left"/>
      <w:pPr>
        <w:ind w:left="5544" w:hanging="432"/>
      </w:pPr>
      <w:rPr>
        <w:rFonts w:hint="default"/>
      </w:rPr>
    </w:lvl>
    <w:lvl w:ilvl="8">
      <w:start w:val="1"/>
      <w:numFmt w:val="lowerRoman"/>
      <w:pStyle w:val="Heading9"/>
      <w:lvlText w:val="%9."/>
      <w:lvlJc w:val="right"/>
      <w:pPr>
        <w:ind w:left="5688" w:hanging="144"/>
      </w:pPr>
      <w:rPr>
        <w:rFonts w:hint="default"/>
      </w:rPr>
    </w:lvl>
  </w:abstractNum>
  <w:abstractNum w:abstractNumId="1" w15:restartNumberingAfterBreak="0">
    <w:nsid w:val="06B57247"/>
    <w:multiLevelType w:val="hybridMultilevel"/>
    <w:tmpl w:val="D77EAADE"/>
    <w:lvl w:ilvl="0" w:tplc="04090009">
      <w:start w:val="1"/>
      <w:numFmt w:val="bullet"/>
      <w:lvlText w:val=""/>
      <w:lvlJc w:val="left"/>
      <w:pPr>
        <w:ind w:left="4332" w:hanging="360"/>
      </w:pPr>
      <w:rPr>
        <w:rFonts w:ascii="Wingdings" w:hAnsi="Wingdings" w:hint="default"/>
      </w:rPr>
    </w:lvl>
    <w:lvl w:ilvl="1" w:tplc="04090003">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2" w15:restartNumberingAfterBreak="0">
    <w:nsid w:val="1A683A61"/>
    <w:multiLevelType w:val="hybridMultilevel"/>
    <w:tmpl w:val="A470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7F98"/>
    <w:multiLevelType w:val="multilevel"/>
    <w:tmpl w:val="1F94B49E"/>
    <w:lvl w:ilvl="0">
      <w:start w:val="1"/>
      <w:numFmt w:val="upperRoman"/>
      <w:lvlRestart w:val="0"/>
      <w:pStyle w:val="Chapter"/>
      <w:lvlText w:val="%1."/>
      <w:lvlJc w:val="center"/>
      <w:pPr>
        <w:tabs>
          <w:tab w:val="num" w:pos="2088"/>
        </w:tabs>
        <w:ind w:left="1440" w:firstLine="288"/>
      </w:pPr>
      <w:rPr>
        <w:rFonts w:hint="default"/>
        <w:b/>
        <w:i w:val="0"/>
      </w:rPr>
    </w:lvl>
    <w:lvl w:ilvl="1">
      <w:start w:val="1"/>
      <w:numFmt w:val="decimal"/>
      <w:pStyle w:val="Paragraph"/>
      <w:isLgl/>
      <w:lvlText w:val="%1.%2"/>
      <w:lvlJc w:val="left"/>
      <w:pPr>
        <w:tabs>
          <w:tab w:val="num" w:pos="2736"/>
        </w:tabs>
        <w:ind w:left="2736" w:hanging="1296"/>
      </w:pPr>
      <w:rPr>
        <w:rFonts w:hint="default"/>
        <w:b w:val="0"/>
      </w:rPr>
    </w:lvl>
    <w:lvl w:ilvl="2">
      <w:start w:val="1"/>
      <w:numFmt w:val="lowerLetter"/>
      <w:pStyle w:val="subpar"/>
      <w:lvlText w:val="%3."/>
      <w:lvlJc w:val="left"/>
      <w:pPr>
        <w:tabs>
          <w:tab w:val="num" w:pos="2682"/>
        </w:tabs>
        <w:ind w:left="2682" w:hanging="432"/>
      </w:pPr>
      <w:rPr>
        <w:rFonts w:hint="default"/>
      </w:rPr>
    </w:lvl>
    <w:lvl w:ilvl="3">
      <w:start w:val="1"/>
      <w:numFmt w:val="lowerRoman"/>
      <w:pStyle w:val="SubSubPar"/>
      <w:lvlText w:val="%4."/>
      <w:lvlJc w:val="right"/>
      <w:pPr>
        <w:tabs>
          <w:tab w:val="num" w:pos="3024"/>
        </w:tabs>
        <w:ind w:left="3024" w:hanging="288"/>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4" w15:restartNumberingAfterBreak="0">
    <w:nsid w:val="2E774671"/>
    <w:multiLevelType w:val="hybridMultilevel"/>
    <w:tmpl w:val="583EA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B4991"/>
    <w:multiLevelType w:val="multilevel"/>
    <w:tmpl w:val="66DEEC7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15:restartNumberingAfterBreak="0">
    <w:nsid w:val="52777026"/>
    <w:multiLevelType w:val="hybridMultilevel"/>
    <w:tmpl w:val="2FCCF9A4"/>
    <w:lvl w:ilvl="0" w:tplc="AE7E9858">
      <w:start w:val="1"/>
      <w:numFmt w:val="decimal"/>
      <w:pStyle w:val="PODBID3"/>
      <w:lvlText w:val="3.%1"/>
      <w:lvlJc w:val="left"/>
      <w:pPr>
        <w:ind w:left="720" w:hanging="360"/>
      </w:pPr>
      <w:rPr>
        <w:rFonts w:ascii="Gotham Book" w:hAnsi="Gotham Book"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974CD"/>
    <w:multiLevelType w:val="hybridMultilevel"/>
    <w:tmpl w:val="68B0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7106B"/>
    <w:multiLevelType w:val="hybridMultilevel"/>
    <w:tmpl w:val="0B68F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4"/>
  </w:num>
  <w:num w:numId="9">
    <w:abstractNumId w:val="7"/>
  </w:num>
  <w:num w:numId="10">
    <w:abstractNumId w:val="8"/>
  </w:num>
  <w:num w:numId="11">
    <w:abstractNumId w:val="2"/>
  </w:num>
  <w:num w:numId="12">
    <w:abstractNumId w:val="3"/>
  </w:num>
  <w:num w:numId="13">
    <w:abstractNumId w:val="5"/>
  </w:num>
  <w:num w:numId="14">
    <w:abstractNumId w:val="3"/>
  </w:num>
  <w:num w:numId="15">
    <w:abstractNumId w:val="3"/>
  </w:num>
  <w:num w:numId="16">
    <w:abstractNumId w:val="3"/>
  </w:num>
  <w:num w:numId="17">
    <w:abstractNumId w:val="3"/>
  </w:num>
  <w:num w:numId="18">
    <w:abstractNumId w:val="3"/>
  </w:num>
  <w:num w:numId="1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0D"/>
    <w:rsid w:val="00000C6B"/>
    <w:rsid w:val="00004A4F"/>
    <w:rsid w:val="00010429"/>
    <w:rsid w:val="00014DF0"/>
    <w:rsid w:val="000154AA"/>
    <w:rsid w:val="00020DE3"/>
    <w:rsid w:val="00024796"/>
    <w:rsid w:val="00024931"/>
    <w:rsid w:val="00030A73"/>
    <w:rsid w:val="0003540A"/>
    <w:rsid w:val="000362E0"/>
    <w:rsid w:val="00040F65"/>
    <w:rsid w:val="00042E19"/>
    <w:rsid w:val="00044C04"/>
    <w:rsid w:val="000454C3"/>
    <w:rsid w:val="00050023"/>
    <w:rsid w:val="0005471B"/>
    <w:rsid w:val="0005509D"/>
    <w:rsid w:val="000626AC"/>
    <w:rsid w:val="00062D0D"/>
    <w:rsid w:val="00063D9E"/>
    <w:rsid w:val="00076232"/>
    <w:rsid w:val="00080EB2"/>
    <w:rsid w:val="00082DFC"/>
    <w:rsid w:val="00084231"/>
    <w:rsid w:val="000846D3"/>
    <w:rsid w:val="0009195F"/>
    <w:rsid w:val="00092194"/>
    <w:rsid w:val="000934FD"/>
    <w:rsid w:val="00096554"/>
    <w:rsid w:val="000A1AEB"/>
    <w:rsid w:val="000A28D1"/>
    <w:rsid w:val="000A2EFA"/>
    <w:rsid w:val="000A347A"/>
    <w:rsid w:val="000A6E8E"/>
    <w:rsid w:val="000B2F1C"/>
    <w:rsid w:val="000B574E"/>
    <w:rsid w:val="000B68DC"/>
    <w:rsid w:val="000B7915"/>
    <w:rsid w:val="000B7F1A"/>
    <w:rsid w:val="000C3248"/>
    <w:rsid w:val="000C49CF"/>
    <w:rsid w:val="000C6C6B"/>
    <w:rsid w:val="000C73DA"/>
    <w:rsid w:val="000D02CA"/>
    <w:rsid w:val="000D072E"/>
    <w:rsid w:val="000D1374"/>
    <w:rsid w:val="000D17ED"/>
    <w:rsid w:val="000D6B88"/>
    <w:rsid w:val="000E43ED"/>
    <w:rsid w:val="000E4956"/>
    <w:rsid w:val="000F6EBA"/>
    <w:rsid w:val="000F7981"/>
    <w:rsid w:val="00100191"/>
    <w:rsid w:val="00101410"/>
    <w:rsid w:val="00101B5A"/>
    <w:rsid w:val="0010252D"/>
    <w:rsid w:val="00104C93"/>
    <w:rsid w:val="001065C9"/>
    <w:rsid w:val="00111CAC"/>
    <w:rsid w:val="00114A2D"/>
    <w:rsid w:val="00114B93"/>
    <w:rsid w:val="00116BD9"/>
    <w:rsid w:val="00121364"/>
    <w:rsid w:val="00124BB7"/>
    <w:rsid w:val="00127493"/>
    <w:rsid w:val="00131844"/>
    <w:rsid w:val="00133BF3"/>
    <w:rsid w:val="00134D53"/>
    <w:rsid w:val="001360B8"/>
    <w:rsid w:val="0013617C"/>
    <w:rsid w:val="00140A47"/>
    <w:rsid w:val="00141288"/>
    <w:rsid w:val="0014329A"/>
    <w:rsid w:val="00144F26"/>
    <w:rsid w:val="0015033E"/>
    <w:rsid w:val="0015197F"/>
    <w:rsid w:val="00152AEE"/>
    <w:rsid w:val="00154AE7"/>
    <w:rsid w:val="001611D6"/>
    <w:rsid w:val="00170F35"/>
    <w:rsid w:val="00170F59"/>
    <w:rsid w:val="00172ACC"/>
    <w:rsid w:val="00174759"/>
    <w:rsid w:val="00180003"/>
    <w:rsid w:val="00183BC7"/>
    <w:rsid w:val="001840F6"/>
    <w:rsid w:val="00184C5C"/>
    <w:rsid w:val="0019044D"/>
    <w:rsid w:val="0019203D"/>
    <w:rsid w:val="00193596"/>
    <w:rsid w:val="001A0014"/>
    <w:rsid w:val="001A4A22"/>
    <w:rsid w:val="001A6CDA"/>
    <w:rsid w:val="001A6F51"/>
    <w:rsid w:val="001B0796"/>
    <w:rsid w:val="001B0F7F"/>
    <w:rsid w:val="001B1CCB"/>
    <w:rsid w:val="001C14B3"/>
    <w:rsid w:val="001C2FF0"/>
    <w:rsid w:val="001C667F"/>
    <w:rsid w:val="001C67EA"/>
    <w:rsid w:val="001D24CE"/>
    <w:rsid w:val="001D4A71"/>
    <w:rsid w:val="001E1694"/>
    <w:rsid w:val="001E20A5"/>
    <w:rsid w:val="001E3395"/>
    <w:rsid w:val="001F5DE2"/>
    <w:rsid w:val="001F6298"/>
    <w:rsid w:val="002031CB"/>
    <w:rsid w:val="002073CF"/>
    <w:rsid w:val="002115A7"/>
    <w:rsid w:val="002159B3"/>
    <w:rsid w:val="002223DC"/>
    <w:rsid w:val="00227283"/>
    <w:rsid w:val="00230A0D"/>
    <w:rsid w:val="00241FB5"/>
    <w:rsid w:val="00242680"/>
    <w:rsid w:val="0024351F"/>
    <w:rsid w:val="00244FD5"/>
    <w:rsid w:val="00245A36"/>
    <w:rsid w:val="0024673D"/>
    <w:rsid w:val="00247EC3"/>
    <w:rsid w:val="002525CF"/>
    <w:rsid w:val="00253044"/>
    <w:rsid w:val="0025443F"/>
    <w:rsid w:val="00255C2E"/>
    <w:rsid w:val="00255FD4"/>
    <w:rsid w:val="002614BF"/>
    <w:rsid w:val="0026466C"/>
    <w:rsid w:val="00264984"/>
    <w:rsid w:val="002672BF"/>
    <w:rsid w:val="0027391C"/>
    <w:rsid w:val="00275BBC"/>
    <w:rsid w:val="00280F01"/>
    <w:rsid w:val="0028522E"/>
    <w:rsid w:val="00287E8C"/>
    <w:rsid w:val="002B0363"/>
    <w:rsid w:val="002B07D2"/>
    <w:rsid w:val="002B3954"/>
    <w:rsid w:val="002B65C6"/>
    <w:rsid w:val="002C297E"/>
    <w:rsid w:val="002C36CD"/>
    <w:rsid w:val="002C60F1"/>
    <w:rsid w:val="002C6B47"/>
    <w:rsid w:val="002D64DE"/>
    <w:rsid w:val="002D6EF5"/>
    <w:rsid w:val="002E0F2E"/>
    <w:rsid w:val="002E2410"/>
    <w:rsid w:val="002E7BDD"/>
    <w:rsid w:val="002F0BE8"/>
    <w:rsid w:val="002F49B6"/>
    <w:rsid w:val="002F6EBE"/>
    <w:rsid w:val="00300961"/>
    <w:rsid w:val="003016C1"/>
    <w:rsid w:val="0030717D"/>
    <w:rsid w:val="00307324"/>
    <w:rsid w:val="00312F42"/>
    <w:rsid w:val="00313F66"/>
    <w:rsid w:val="003216AE"/>
    <w:rsid w:val="0032255F"/>
    <w:rsid w:val="00326F48"/>
    <w:rsid w:val="00334394"/>
    <w:rsid w:val="00337DFD"/>
    <w:rsid w:val="0034512E"/>
    <w:rsid w:val="00350ABD"/>
    <w:rsid w:val="00352714"/>
    <w:rsid w:val="00355714"/>
    <w:rsid w:val="00355A24"/>
    <w:rsid w:val="003631AD"/>
    <w:rsid w:val="00365EED"/>
    <w:rsid w:val="003703D0"/>
    <w:rsid w:val="003737A2"/>
    <w:rsid w:val="0037504A"/>
    <w:rsid w:val="003759D3"/>
    <w:rsid w:val="00375EDA"/>
    <w:rsid w:val="00385709"/>
    <w:rsid w:val="00385BF7"/>
    <w:rsid w:val="0038792E"/>
    <w:rsid w:val="00393049"/>
    <w:rsid w:val="003954C5"/>
    <w:rsid w:val="00396141"/>
    <w:rsid w:val="00397DD8"/>
    <w:rsid w:val="003A2756"/>
    <w:rsid w:val="003B7F83"/>
    <w:rsid w:val="003C0159"/>
    <w:rsid w:val="003C1CC0"/>
    <w:rsid w:val="003D0891"/>
    <w:rsid w:val="003D453B"/>
    <w:rsid w:val="003E1B5C"/>
    <w:rsid w:val="003E1D48"/>
    <w:rsid w:val="003E7AAB"/>
    <w:rsid w:val="003F05F2"/>
    <w:rsid w:val="003F15A9"/>
    <w:rsid w:val="003F1B87"/>
    <w:rsid w:val="003F1CFF"/>
    <w:rsid w:val="003F2722"/>
    <w:rsid w:val="003F4F80"/>
    <w:rsid w:val="003F689C"/>
    <w:rsid w:val="003F6B91"/>
    <w:rsid w:val="003F7E8E"/>
    <w:rsid w:val="004031A0"/>
    <w:rsid w:val="00410308"/>
    <w:rsid w:val="0041044D"/>
    <w:rsid w:val="00410D8D"/>
    <w:rsid w:val="00411105"/>
    <w:rsid w:val="004118DC"/>
    <w:rsid w:val="00414D25"/>
    <w:rsid w:val="004157CA"/>
    <w:rsid w:val="00421830"/>
    <w:rsid w:val="00422056"/>
    <w:rsid w:val="0043266C"/>
    <w:rsid w:val="00435B52"/>
    <w:rsid w:val="0043666F"/>
    <w:rsid w:val="00436BA6"/>
    <w:rsid w:val="00436D58"/>
    <w:rsid w:val="00436EF3"/>
    <w:rsid w:val="0043738B"/>
    <w:rsid w:val="00444AD2"/>
    <w:rsid w:val="00453907"/>
    <w:rsid w:val="00455C27"/>
    <w:rsid w:val="00455DC5"/>
    <w:rsid w:val="00456656"/>
    <w:rsid w:val="00457A94"/>
    <w:rsid w:val="004611FD"/>
    <w:rsid w:val="0046474C"/>
    <w:rsid w:val="0046655C"/>
    <w:rsid w:val="0046760A"/>
    <w:rsid w:val="004709AB"/>
    <w:rsid w:val="00472102"/>
    <w:rsid w:val="0047278C"/>
    <w:rsid w:val="0047462B"/>
    <w:rsid w:val="00476A9D"/>
    <w:rsid w:val="004776BF"/>
    <w:rsid w:val="00482E58"/>
    <w:rsid w:val="00483E43"/>
    <w:rsid w:val="004855DF"/>
    <w:rsid w:val="0048579B"/>
    <w:rsid w:val="00486549"/>
    <w:rsid w:val="00492B40"/>
    <w:rsid w:val="004954E8"/>
    <w:rsid w:val="004957FE"/>
    <w:rsid w:val="00497260"/>
    <w:rsid w:val="00497DB3"/>
    <w:rsid w:val="004A187D"/>
    <w:rsid w:val="004A6AC1"/>
    <w:rsid w:val="004A758D"/>
    <w:rsid w:val="004B37B8"/>
    <w:rsid w:val="004B3B2E"/>
    <w:rsid w:val="004B5083"/>
    <w:rsid w:val="004B6981"/>
    <w:rsid w:val="004C1F92"/>
    <w:rsid w:val="004C33C2"/>
    <w:rsid w:val="004C6248"/>
    <w:rsid w:val="004C6F12"/>
    <w:rsid w:val="004C7965"/>
    <w:rsid w:val="004D01E4"/>
    <w:rsid w:val="004D114B"/>
    <w:rsid w:val="004E1BB7"/>
    <w:rsid w:val="004E2430"/>
    <w:rsid w:val="004F3698"/>
    <w:rsid w:val="004F3C3A"/>
    <w:rsid w:val="004F4554"/>
    <w:rsid w:val="004F555C"/>
    <w:rsid w:val="0050068E"/>
    <w:rsid w:val="0050099A"/>
    <w:rsid w:val="00500ACD"/>
    <w:rsid w:val="005028EC"/>
    <w:rsid w:val="00503090"/>
    <w:rsid w:val="00504468"/>
    <w:rsid w:val="00504D4C"/>
    <w:rsid w:val="005057E8"/>
    <w:rsid w:val="00506CC7"/>
    <w:rsid w:val="00507118"/>
    <w:rsid w:val="0051001B"/>
    <w:rsid w:val="0051105A"/>
    <w:rsid w:val="00511F8B"/>
    <w:rsid w:val="00514866"/>
    <w:rsid w:val="00515746"/>
    <w:rsid w:val="00515F71"/>
    <w:rsid w:val="005238C9"/>
    <w:rsid w:val="00525FCB"/>
    <w:rsid w:val="0052635D"/>
    <w:rsid w:val="00526528"/>
    <w:rsid w:val="00530CEA"/>
    <w:rsid w:val="00530E20"/>
    <w:rsid w:val="00531339"/>
    <w:rsid w:val="0053311D"/>
    <w:rsid w:val="00535C9C"/>
    <w:rsid w:val="00536105"/>
    <w:rsid w:val="0053637F"/>
    <w:rsid w:val="00537ADF"/>
    <w:rsid w:val="00540502"/>
    <w:rsid w:val="005415DF"/>
    <w:rsid w:val="00547491"/>
    <w:rsid w:val="00565078"/>
    <w:rsid w:val="00567EFF"/>
    <w:rsid w:val="00571425"/>
    <w:rsid w:val="005728AE"/>
    <w:rsid w:val="0057295A"/>
    <w:rsid w:val="00576A27"/>
    <w:rsid w:val="005800DF"/>
    <w:rsid w:val="0058251C"/>
    <w:rsid w:val="005827F1"/>
    <w:rsid w:val="00583D23"/>
    <w:rsid w:val="005842F7"/>
    <w:rsid w:val="0058634E"/>
    <w:rsid w:val="0058685A"/>
    <w:rsid w:val="00590524"/>
    <w:rsid w:val="0059691C"/>
    <w:rsid w:val="00596D29"/>
    <w:rsid w:val="005A119A"/>
    <w:rsid w:val="005A5533"/>
    <w:rsid w:val="005C7C60"/>
    <w:rsid w:val="005D29D5"/>
    <w:rsid w:val="005D4134"/>
    <w:rsid w:val="005D5D8E"/>
    <w:rsid w:val="005E369A"/>
    <w:rsid w:val="005F0FD2"/>
    <w:rsid w:val="005F1542"/>
    <w:rsid w:val="005F29AF"/>
    <w:rsid w:val="005F7EC9"/>
    <w:rsid w:val="00600A50"/>
    <w:rsid w:val="00602ED7"/>
    <w:rsid w:val="0060402C"/>
    <w:rsid w:val="0060483F"/>
    <w:rsid w:val="00604977"/>
    <w:rsid w:val="00607F68"/>
    <w:rsid w:val="00614142"/>
    <w:rsid w:val="00616F22"/>
    <w:rsid w:val="00617415"/>
    <w:rsid w:val="00617789"/>
    <w:rsid w:val="00620EBA"/>
    <w:rsid w:val="00624303"/>
    <w:rsid w:val="00626E4B"/>
    <w:rsid w:val="00627B24"/>
    <w:rsid w:val="0063161E"/>
    <w:rsid w:val="006325E9"/>
    <w:rsid w:val="0063488B"/>
    <w:rsid w:val="00637F0F"/>
    <w:rsid w:val="00641808"/>
    <w:rsid w:val="006420AA"/>
    <w:rsid w:val="00644725"/>
    <w:rsid w:val="0064741B"/>
    <w:rsid w:val="0065263C"/>
    <w:rsid w:val="00654E70"/>
    <w:rsid w:val="00655D9F"/>
    <w:rsid w:val="00657DC9"/>
    <w:rsid w:val="0066183F"/>
    <w:rsid w:val="00661D04"/>
    <w:rsid w:val="006708B6"/>
    <w:rsid w:val="0067093C"/>
    <w:rsid w:val="00675657"/>
    <w:rsid w:val="0068441B"/>
    <w:rsid w:val="006909C1"/>
    <w:rsid w:val="006914FE"/>
    <w:rsid w:val="00691B1F"/>
    <w:rsid w:val="00694CA1"/>
    <w:rsid w:val="00696304"/>
    <w:rsid w:val="006A109F"/>
    <w:rsid w:val="006A1F22"/>
    <w:rsid w:val="006A3373"/>
    <w:rsid w:val="006B0FC5"/>
    <w:rsid w:val="006B31F8"/>
    <w:rsid w:val="006B5EA1"/>
    <w:rsid w:val="006B6649"/>
    <w:rsid w:val="006B7889"/>
    <w:rsid w:val="006C0EAE"/>
    <w:rsid w:val="006C39DB"/>
    <w:rsid w:val="006D1068"/>
    <w:rsid w:val="006D1EB6"/>
    <w:rsid w:val="006D3EA3"/>
    <w:rsid w:val="006D5160"/>
    <w:rsid w:val="006D5A9A"/>
    <w:rsid w:val="006E13F6"/>
    <w:rsid w:val="006E17FD"/>
    <w:rsid w:val="006E2450"/>
    <w:rsid w:val="006E63AE"/>
    <w:rsid w:val="006F1404"/>
    <w:rsid w:val="006F2A80"/>
    <w:rsid w:val="007033C6"/>
    <w:rsid w:val="0070681E"/>
    <w:rsid w:val="00711F01"/>
    <w:rsid w:val="00713CFC"/>
    <w:rsid w:val="007159AD"/>
    <w:rsid w:val="00721673"/>
    <w:rsid w:val="007243D3"/>
    <w:rsid w:val="00730402"/>
    <w:rsid w:val="00730C71"/>
    <w:rsid w:val="00732808"/>
    <w:rsid w:val="00741EF9"/>
    <w:rsid w:val="007424D2"/>
    <w:rsid w:val="00743162"/>
    <w:rsid w:val="00752B3C"/>
    <w:rsid w:val="00754F6E"/>
    <w:rsid w:val="00755391"/>
    <w:rsid w:val="00755562"/>
    <w:rsid w:val="00756F07"/>
    <w:rsid w:val="007572E7"/>
    <w:rsid w:val="007626F4"/>
    <w:rsid w:val="00764557"/>
    <w:rsid w:val="00765317"/>
    <w:rsid w:val="007662B0"/>
    <w:rsid w:val="0077039E"/>
    <w:rsid w:val="007773C1"/>
    <w:rsid w:val="007774CA"/>
    <w:rsid w:val="00790815"/>
    <w:rsid w:val="00792B06"/>
    <w:rsid w:val="00796881"/>
    <w:rsid w:val="00797647"/>
    <w:rsid w:val="007A0572"/>
    <w:rsid w:val="007A3AED"/>
    <w:rsid w:val="007A7217"/>
    <w:rsid w:val="007A7302"/>
    <w:rsid w:val="007A74DC"/>
    <w:rsid w:val="007B04EC"/>
    <w:rsid w:val="007B1AAD"/>
    <w:rsid w:val="007B2BC4"/>
    <w:rsid w:val="007B2CBE"/>
    <w:rsid w:val="007B4727"/>
    <w:rsid w:val="007B6455"/>
    <w:rsid w:val="007C0BF5"/>
    <w:rsid w:val="007C33EA"/>
    <w:rsid w:val="007C4C07"/>
    <w:rsid w:val="007C5843"/>
    <w:rsid w:val="007C5BF2"/>
    <w:rsid w:val="007C721B"/>
    <w:rsid w:val="007D1E99"/>
    <w:rsid w:val="007E3165"/>
    <w:rsid w:val="007E7367"/>
    <w:rsid w:val="007F3CEE"/>
    <w:rsid w:val="007F4A86"/>
    <w:rsid w:val="00806A84"/>
    <w:rsid w:val="0081021E"/>
    <w:rsid w:val="0081242F"/>
    <w:rsid w:val="00815B9B"/>
    <w:rsid w:val="008161E0"/>
    <w:rsid w:val="00822DC9"/>
    <w:rsid w:val="0083046C"/>
    <w:rsid w:val="00832D40"/>
    <w:rsid w:val="00840D46"/>
    <w:rsid w:val="00841622"/>
    <w:rsid w:val="0084196D"/>
    <w:rsid w:val="00843DC3"/>
    <w:rsid w:val="00844C8D"/>
    <w:rsid w:val="00845311"/>
    <w:rsid w:val="0085051F"/>
    <w:rsid w:val="00850BE0"/>
    <w:rsid w:val="00851A40"/>
    <w:rsid w:val="00856984"/>
    <w:rsid w:val="00862952"/>
    <w:rsid w:val="008629D4"/>
    <w:rsid w:val="00865A3D"/>
    <w:rsid w:val="00872890"/>
    <w:rsid w:val="00876863"/>
    <w:rsid w:val="00881EE3"/>
    <w:rsid w:val="00885CDA"/>
    <w:rsid w:val="008903D4"/>
    <w:rsid w:val="00890EB8"/>
    <w:rsid w:val="00892FC3"/>
    <w:rsid w:val="00893A4B"/>
    <w:rsid w:val="0089793F"/>
    <w:rsid w:val="008A2E34"/>
    <w:rsid w:val="008A3324"/>
    <w:rsid w:val="008A4E3F"/>
    <w:rsid w:val="008A7507"/>
    <w:rsid w:val="008B53FF"/>
    <w:rsid w:val="008C678C"/>
    <w:rsid w:val="008E165C"/>
    <w:rsid w:val="008E445B"/>
    <w:rsid w:val="008E47D7"/>
    <w:rsid w:val="008E686C"/>
    <w:rsid w:val="008F00F4"/>
    <w:rsid w:val="008F1A07"/>
    <w:rsid w:val="008F24F3"/>
    <w:rsid w:val="008F2547"/>
    <w:rsid w:val="008F26C2"/>
    <w:rsid w:val="008F31F6"/>
    <w:rsid w:val="008F7A78"/>
    <w:rsid w:val="009009AD"/>
    <w:rsid w:val="0090194A"/>
    <w:rsid w:val="009028D1"/>
    <w:rsid w:val="00907598"/>
    <w:rsid w:val="00910729"/>
    <w:rsid w:val="009149E3"/>
    <w:rsid w:val="00915E2D"/>
    <w:rsid w:val="0091617A"/>
    <w:rsid w:val="00916731"/>
    <w:rsid w:val="00922A19"/>
    <w:rsid w:val="00925691"/>
    <w:rsid w:val="00931B2D"/>
    <w:rsid w:val="009413C3"/>
    <w:rsid w:val="00942537"/>
    <w:rsid w:val="0094498A"/>
    <w:rsid w:val="00945124"/>
    <w:rsid w:val="00946846"/>
    <w:rsid w:val="00946B36"/>
    <w:rsid w:val="00946D43"/>
    <w:rsid w:val="00947ECE"/>
    <w:rsid w:val="0095012B"/>
    <w:rsid w:val="009541ED"/>
    <w:rsid w:val="00956447"/>
    <w:rsid w:val="00961882"/>
    <w:rsid w:val="009664F8"/>
    <w:rsid w:val="00966D92"/>
    <w:rsid w:val="0097121C"/>
    <w:rsid w:val="00974F50"/>
    <w:rsid w:val="00976F40"/>
    <w:rsid w:val="00980041"/>
    <w:rsid w:val="00982FF1"/>
    <w:rsid w:val="009847F5"/>
    <w:rsid w:val="00985205"/>
    <w:rsid w:val="0099160D"/>
    <w:rsid w:val="00996440"/>
    <w:rsid w:val="00997EF0"/>
    <w:rsid w:val="009A13A6"/>
    <w:rsid w:val="009A229F"/>
    <w:rsid w:val="009A3DBE"/>
    <w:rsid w:val="009A6D4B"/>
    <w:rsid w:val="009B0F52"/>
    <w:rsid w:val="009B33C2"/>
    <w:rsid w:val="009B4386"/>
    <w:rsid w:val="009B51ED"/>
    <w:rsid w:val="009B6C6C"/>
    <w:rsid w:val="009C4301"/>
    <w:rsid w:val="009C4788"/>
    <w:rsid w:val="009C4D13"/>
    <w:rsid w:val="009C71F1"/>
    <w:rsid w:val="009D0A7E"/>
    <w:rsid w:val="009D29BC"/>
    <w:rsid w:val="009D3650"/>
    <w:rsid w:val="009D4354"/>
    <w:rsid w:val="009D50B1"/>
    <w:rsid w:val="009E0793"/>
    <w:rsid w:val="009E4A0C"/>
    <w:rsid w:val="009E6D5B"/>
    <w:rsid w:val="009E7E97"/>
    <w:rsid w:val="009F0489"/>
    <w:rsid w:val="009F25D7"/>
    <w:rsid w:val="009F301F"/>
    <w:rsid w:val="009F3071"/>
    <w:rsid w:val="009F37D3"/>
    <w:rsid w:val="009F427E"/>
    <w:rsid w:val="009F456A"/>
    <w:rsid w:val="009F4F77"/>
    <w:rsid w:val="009F5A8B"/>
    <w:rsid w:val="009F6CDB"/>
    <w:rsid w:val="00A04071"/>
    <w:rsid w:val="00A05368"/>
    <w:rsid w:val="00A077D2"/>
    <w:rsid w:val="00A15CDA"/>
    <w:rsid w:val="00A2285B"/>
    <w:rsid w:val="00A23197"/>
    <w:rsid w:val="00A3276B"/>
    <w:rsid w:val="00A33949"/>
    <w:rsid w:val="00A40997"/>
    <w:rsid w:val="00A430DB"/>
    <w:rsid w:val="00A548CE"/>
    <w:rsid w:val="00A54CA5"/>
    <w:rsid w:val="00A553CA"/>
    <w:rsid w:val="00A623BC"/>
    <w:rsid w:val="00A6254B"/>
    <w:rsid w:val="00A64580"/>
    <w:rsid w:val="00A655B6"/>
    <w:rsid w:val="00A66226"/>
    <w:rsid w:val="00A66696"/>
    <w:rsid w:val="00A679B2"/>
    <w:rsid w:val="00A7679D"/>
    <w:rsid w:val="00A777FB"/>
    <w:rsid w:val="00A81753"/>
    <w:rsid w:val="00A832D1"/>
    <w:rsid w:val="00A84552"/>
    <w:rsid w:val="00A8473C"/>
    <w:rsid w:val="00A84D1B"/>
    <w:rsid w:val="00A850FF"/>
    <w:rsid w:val="00A92FBA"/>
    <w:rsid w:val="00A97222"/>
    <w:rsid w:val="00AA00EB"/>
    <w:rsid w:val="00AA5290"/>
    <w:rsid w:val="00AA58FE"/>
    <w:rsid w:val="00AB0BA7"/>
    <w:rsid w:val="00AB12BE"/>
    <w:rsid w:val="00AC115F"/>
    <w:rsid w:val="00AC4175"/>
    <w:rsid w:val="00AD1877"/>
    <w:rsid w:val="00AD36B4"/>
    <w:rsid w:val="00AD58D2"/>
    <w:rsid w:val="00AD7623"/>
    <w:rsid w:val="00AE2187"/>
    <w:rsid w:val="00AE312C"/>
    <w:rsid w:val="00AE3D71"/>
    <w:rsid w:val="00AE4A75"/>
    <w:rsid w:val="00AE52B6"/>
    <w:rsid w:val="00AF1A62"/>
    <w:rsid w:val="00AF225F"/>
    <w:rsid w:val="00AF2798"/>
    <w:rsid w:val="00AF2969"/>
    <w:rsid w:val="00AF3426"/>
    <w:rsid w:val="00AF3829"/>
    <w:rsid w:val="00AF6C6D"/>
    <w:rsid w:val="00B02E5C"/>
    <w:rsid w:val="00B057C4"/>
    <w:rsid w:val="00B1015F"/>
    <w:rsid w:val="00B15056"/>
    <w:rsid w:val="00B15DB0"/>
    <w:rsid w:val="00B17353"/>
    <w:rsid w:val="00B17B3C"/>
    <w:rsid w:val="00B217AB"/>
    <w:rsid w:val="00B24409"/>
    <w:rsid w:val="00B30F03"/>
    <w:rsid w:val="00B32219"/>
    <w:rsid w:val="00B36A71"/>
    <w:rsid w:val="00B40A12"/>
    <w:rsid w:val="00B42A3E"/>
    <w:rsid w:val="00B457E5"/>
    <w:rsid w:val="00B47727"/>
    <w:rsid w:val="00B502AA"/>
    <w:rsid w:val="00B520AA"/>
    <w:rsid w:val="00B526D4"/>
    <w:rsid w:val="00B564F2"/>
    <w:rsid w:val="00B57A39"/>
    <w:rsid w:val="00B613CA"/>
    <w:rsid w:val="00B6155B"/>
    <w:rsid w:val="00B650A7"/>
    <w:rsid w:val="00B7097A"/>
    <w:rsid w:val="00B730FF"/>
    <w:rsid w:val="00B7361D"/>
    <w:rsid w:val="00B774E9"/>
    <w:rsid w:val="00B8019B"/>
    <w:rsid w:val="00B801EC"/>
    <w:rsid w:val="00B81603"/>
    <w:rsid w:val="00B836FB"/>
    <w:rsid w:val="00B931D5"/>
    <w:rsid w:val="00B93C62"/>
    <w:rsid w:val="00B95427"/>
    <w:rsid w:val="00BA0282"/>
    <w:rsid w:val="00BA6A9E"/>
    <w:rsid w:val="00BB0798"/>
    <w:rsid w:val="00BB17FC"/>
    <w:rsid w:val="00BB250A"/>
    <w:rsid w:val="00BB3E3B"/>
    <w:rsid w:val="00BB5E6D"/>
    <w:rsid w:val="00BC17C6"/>
    <w:rsid w:val="00BC3C67"/>
    <w:rsid w:val="00BC3FC8"/>
    <w:rsid w:val="00BC56C5"/>
    <w:rsid w:val="00BC5D4A"/>
    <w:rsid w:val="00BD22F5"/>
    <w:rsid w:val="00BD2668"/>
    <w:rsid w:val="00BD3337"/>
    <w:rsid w:val="00BD60C8"/>
    <w:rsid w:val="00BD6463"/>
    <w:rsid w:val="00BD6C32"/>
    <w:rsid w:val="00BE6674"/>
    <w:rsid w:val="00BE67C0"/>
    <w:rsid w:val="00BF0254"/>
    <w:rsid w:val="00BF0F8C"/>
    <w:rsid w:val="00BF2022"/>
    <w:rsid w:val="00BF2A18"/>
    <w:rsid w:val="00C02F1D"/>
    <w:rsid w:val="00C04B67"/>
    <w:rsid w:val="00C0537A"/>
    <w:rsid w:val="00C05BF8"/>
    <w:rsid w:val="00C12507"/>
    <w:rsid w:val="00C164E7"/>
    <w:rsid w:val="00C2245D"/>
    <w:rsid w:val="00C236C3"/>
    <w:rsid w:val="00C258F3"/>
    <w:rsid w:val="00C27493"/>
    <w:rsid w:val="00C36099"/>
    <w:rsid w:val="00C409EE"/>
    <w:rsid w:val="00C40F36"/>
    <w:rsid w:val="00C41AD6"/>
    <w:rsid w:val="00C4283E"/>
    <w:rsid w:val="00C47B72"/>
    <w:rsid w:val="00C50FCC"/>
    <w:rsid w:val="00C5640D"/>
    <w:rsid w:val="00C63A4F"/>
    <w:rsid w:val="00C63F32"/>
    <w:rsid w:val="00C65FB5"/>
    <w:rsid w:val="00C660DE"/>
    <w:rsid w:val="00C66651"/>
    <w:rsid w:val="00C7238F"/>
    <w:rsid w:val="00C7312B"/>
    <w:rsid w:val="00C731D3"/>
    <w:rsid w:val="00C75BDE"/>
    <w:rsid w:val="00C8270F"/>
    <w:rsid w:val="00C84624"/>
    <w:rsid w:val="00C902B6"/>
    <w:rsid w:val="00C9465F"/>
    <w:rsid w:val="00CA4991"/>
    <w:rsid w:val="00CA4C23"/>
    <w:rsid w:val="00CA65EC"/>
    <w:rsid w:val="00CA7FCC"/>
    <w:rsid w:val="00CB13D4"/>
    <w:rsid w:val="00CB15AB"/>
    <w:rsid w:val="00CC1E10"/>
    <w:rsid w:val="00CC229B"/>
    <w:rsid w:val="00CC3025"/>
    <w:rsid w:val="00CC4DAB"/>
    <w:rsid w:val="00CD47B9"/>
    <w:rsid w:val="00CD5B6E"/>
    <w:rsid w:val="00CD5DF9"/>
    <w:rsid w:val="00CE6327"/>
    <w:rsid w:val="00CE751B"/>
    <w:rsid w:val="00CF0C8F"/>
    <w:rsid w:val="00CF4786"/>
    <w:rsid w:val="00CF5BAF"/>
    <w:rsid w:val="00CF6583"/>
    <w:rsid w:val="00CF683F"/>
    <w:rsid w:val="00D0254B"/>
    <w:rsid w:val="00D116D6"/>
    <w:rsid w:val="00D128FD"/>
    <w:rsid w:val="00D13924"/>
    <w:rsid w:val="00D1428A"/>
    <w:rsid w:val="00D148B1"/>
    <w:rsid w:val="00D1677B"/>
    <w:rsid w:val="00D20C81"/>
    <w:rsid w:val="00D20F05"/>
    <w:rsid w:val="00D22841"/>
    <w:rsid w:val="00D2510E"/>
    <w:rsid w:val="00D25990"/>
    <w:rsid w:val="00D25B98"/>
    <w:rsid w:val="00D27B02"/>
    <w:rsid w:val="00D307D2"/>
    <w:rsid w:val="00D318F5"/>
    <w:rsid w:val="00D32E04"/>
    <w:rsid w:val="00D37142"/>
    <w:rsid w:val="00D40865"/>
    <w:rsid w:val="00D444C6"/>
    <w:rsid w:val="00D50036"/>
    <w:rsid w:val="00D5130F"/>
    <w:rsid w:val="00D5216D"/>
    <w:rsid w:val="00D54194"/>
    <w:rsid w:val="00D645D8"/>
    <w:rsid w:val="00D6553D"/>
    <w:rsid w:val="00D73106"/>
    <w:rsid w:val="00D77CFF"/>
    <w:rsid w:val="00D86531"/>
    <w:rsid w:val="00D9125B"/>
    <w:rsid w:val="00D9428D"/>
    <w:rsid w:val="00D9594A"/>
    <w:rsid w:val="00D966E1"/>
    <w:rsid w:val="00DA2101"/>
    <w:rsid w:val="00DA43EE"/>
    <w:rsid w:val="00DB3547"/>
    <w:rsid w:val="00DB7DE5"/>
    <w:rsid w:val="00DC0334"/>
    <w:rsid w:val="00DC29BC"/>
    <w:rsid w:val="00DC2D21"/>
    <w:rsid w:val="00DC561E"/>
    <w:rsid w:val="00DC6DA3"/>
    <w:rsid w:val="00DD2589"/>
    <w:rsid w:val="00DD5C1C"/>
    <w:rsid w:val="00DD5D95"/>
    <w:rsid w:val="00DD5E4E"/>
    <w:rsid w:val="00DD65D6"/>
    <w:rsid w:val="00DE4A56"/>
    <w:rsid w:val="00DE5B2C"/>
    <w:rsid w:val="00DE5B93"/>
    <w:rsid w:val="00DF25BF"/>
    <w:rsid w:val="00DF29C3"/>
    <w:rsid w:val="00DF4032"/>
    <w:rsid w:val="00DF66AE"/>
    <w:rsid w:val="00DF7120"/>
    <w:rsid w:val="00E064D1"/>
    <w:rsid w:val="00E06791"/>
    <w:rsid w:val="00E068FF"/>
    <w:rsid w:val="00E14B08"/>
    <w:rsid w:val="00E15E40"/>
    <w:rsid w:val="00E2506C"/>
    <w:rsid w:val="00E27AD7"/>
    <w:rsid w:val="00E316C4"/>
    <w:rsid w:val="00E34433"/>
    <w:rsid w:val="00E40AD7"/>
    <w:rsid w:val="00E424E3"/>
    <w:rsid w:val="00E4468A"/>
    <w:rsid w:val="00E456AE"/>
    <w:rsid w:val="00E54A65"/>
    <w:rsid w:val="00E55C94"/>
    <w:rsid w:val="00E56998"/>
    <w:rsid w:val="00E6591B"/>
    <w:rsid w:val="00E730D0"/>
    <w:rsid w:val="00E769AA"/>
    <w:rsid w:val="00E819FA"/>
    <w:rsid w:val="00E82B27"/>
    <w:rsid w:val="00E83E30"/>
    <w:rsid w:val="00E83F32"/>
    <w:rsid w:val="00E87D97"/>
    <w:rsid w:val="00E909C2"/>
    <w:rsid w:val="00E90EBD"/>
    <w:rsid w:val="00E96C77"/>
    <w:rsid w:val="00E96FB6"/>
    <w:rsid w:val="00EA1E46"/>
    <w:rsid w:val="00EA4EA6"/>
    <w:rsid w:val="00EA6D1D"/>
    <w:rsid w:val="00EB2CF3"/>
    <w:rsid w:val="00EB7BC8"/>
    <w:rsid w:val="00EC29FF"/>
    <w:rsid w:val="00EC4B8F"/>
    <w:rsid w:val="00ED0A37"/>
    <w:rsid w:val="00ED2762"/>
    <w:rsid w:val="00ED606A"/>
    <w:rsid w:val="00ED613F"/>
    <w:rsid w:val="00ED6640"/>
    <w:rsid w:val="00ED6BAF"/>
    <w:rsid w:val="00ED74FF"/>
    <w:rsid w:val="00ED7E7A"/>
    <w:rsid w:val="00EE1A4D"/>
    <w:rsid w:val="00EE6A30"/>
    <w:rsid w:val="00EE73CF"/>
    <w:rsid w:val="00EF1402"/>
    <w:rsid w:val="00EF376D"/>
    <w:rsid w:val="00EF4ECB"/>
    <w:rsid w:val="00EF643C"/>
    <w:rsid w:val="00EF6629"/>
    <w:rsid w:val="00F0049C"/>
    <w:rsid w:val="00F01067"/>
    <w:rsid w:val="00F03CC9"/>
    <w:rsid w:val="00F03CD9"/>
    <w:rsid w:val="00F12D7C"/>
    <w:rsid w:val="00F13F00"/>
    <w:rsid w:val="00F20B10"/>
    <w:rsid w:val="00F226D1"/>
    <w:rsid w:val="00F2579A"/>
    <w:rsid w:val="00F30C24"/>
    <w:rsid w:val="00F32928"/>
    <w:rsid w:val="00F366F6"/>
    <w:rsid w:val="00F36AE8"/>
    <w:rsid w:val="00F37182"/>
    <w:rsid w:val="00F373CA"/>
    <w:rsid w:val="00F40098"/>
    <w:rsid w:val="00F430DF"/>
    <w:rsid w:val="00F436E1"/>
    <w:rsid w:val="00F46305"/>
    <w:rsid w:val="00F479C5"/>
    <w:rsid w:val="00F5492C"/>
    <w:rsid w:val="00F60242"/>
    <w:rsid w:val="00F6272C"/>
    <w:rsid w:val="00F653E8"/>
    <w:rsid w:val="00F81306"/>
    <w:rsid w:val="00F83235"/>
    <w:rsid w:val="00F83302"/>
    <w:rsid w:val="00F84EE7"/>
    <w:rsid w:val="00F95D2E"/>
    <w:rsid w:val="00FA2036"/>
    <w:rsid w:val="00FA36C1"/>
    <w:rsid w:val="00FA3854"/>
    <w:rsid w:val="00FA410A"/>
    <w:rsid w:val="00FA4B45"/>
    <w:rsid w:val="00FA6A6B"/>
    <w:rsid w:val="00FB6649"/>
    <w:rsid w:val="00FB69D5"/>
    <w:rsid w:val="00FC25EB"/>
    <w:rsid w:val="00FC3B52"/>
    <w:rsid w:val="00FC4847"/>
    <w:rsid w:val="00FC614F"/>
    <w:rsid w:val="00FD2493"/>
    <w:rsid w:val="00FD284D"/>
    <w:rsid w:val="00FD50D8"/>
    <w:rsid w:val="00FD550A"/>
    <w:rsid w:val="00FD63C7"/>
    <w:rsid w:val="00FE170E"/>
    <w:rsid w:val="00FE5EB7"/>
    <w:rsid w:val="00FE681D"/>
    <w:rsid w:val="00FE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E49D"/>
  <w15:docId w15:val="{844398B6-BB2D-4291-A345-2EB3A209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0D"/>
    <w:pPr>
      <w:spacing w:before="0" w:beforeAutospacing="0" w:after="200" w:afterAutospacing="0" w:line="276" w:lineRule="auto"/>
    </w:pPr>
    <w:rPr>
      <w:rFonts w:eastAsiaTheme="minorEastAsia"/>
      <w:lang w:val="en-GB" w:eastAsia="en-GB"/>
    </w:rPr>
  </w:style>
  <w:style w:type="paragraph" w:styleId="Heading1">
    <w:name w:val="heading 1"/>
    <w:basedOn w:val="Normal"/>
    <w:next w:val="Normal"/>
    <w:link w:val="Heading1Char"/>
    <w:uiPriority w:val="9"/>
    <w:qFormat/>
    <w:rsid w:val="00F00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F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F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2FF1"/>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82F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982FF1"/>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82F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82F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2FF1"/>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982FF1"/>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982FF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82FF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82FF1"/>
    <w:rPr>
      <w:rFonts w:asciiTheme="majorHAnsi" w:eastAsiaTheme="majorEastAsia" w:hAnsiTheme="majorHAnsi" w:cstheme="majorBidi"/>
      <w:i/>
      <w:iCs/>
      <w:color w:val="404040" w:themeColor="text1" w:themeTint="BF"/>
      <w:sz w:val="20"/>
      <w:szCs w:val="20"/>
      <w:lang w:eastAsia="en-GB"/>
    </w:rPr>
  </w:style>
  <w:style w:type="table" w:styleId="TableGrid">
    <w:name w:val="Table Grid"/>
    <w:aliases w:val="CALC Tables,Tables for IDB"/>
    <w:basedOn w:val="TableNormal"/>
    <w:uiPriority w:val="59"/>
    <w:rsid w:val="00062D0D"/>
    <w:pPr>
      <w:spacing w:before="0" w:beforeAutospacing="0" w:after="0" w:afterAutospacing="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14A2D"/>
    <w:pPr>
      <w:tabs>
        <w:tab w:val="right" w:leader="dot" w:pos="8741"/>
      </w:tabs>
      <w:spacing w:before="240" w:after="120" w:line="240" w:lineRule="auto"/>
      <w:ind w:left="547" w:hanging="547"/>
    </w:pPr>
    <w:rPr>
      <w:rFonts w:ascii="Times New Roman" w:hAnsi="Times New Roman" w:cs="Times New Roman"/>
      <w:b/>
      <w:smallCaps/>
      <w:noProof/>
      <w:sz w:val="24"/>
      <w:lang w:val="en-US" w:eastAsia="ja-JP"/>
    </w:rPr>
  </w:style>
  <w:style w:type="paragraph" w:styleId="TOC3">
    <w:name w:val="toc 3"/>
    <w:basedOn w:val="Normal"/>
    <w:next w:val="Normal"/>
    <w:autoRedefine/>
    <w:uiPriority w:val="39"/>
    <w:unhideWhenUsed/>
    <w:qFormat/>
    <w:rsid w:val="00062D0D"/>
    <w:pPr>
      <w:tabs>
        <w:tab w:val="left" w:pos="1728"/>
        <w:tab w:val="right" w:leader="dot" w:pos="8741"/>
      </w:tabs>
      <w:spacing w:after="0" w:line="240" w:lineRule="auto"/>
      <w:ind w:left="1714" w:hanging="562"/>
    </w:pPr>
    <w:rPr>
      <w:rFonts w:ascii="Times New Roman" w:hAnsi="Times New Roman" w:cs="Times New Roman"/>
      <w:sz w:val="24"/>
      <w:lang w:val="en-US" w:eastAsia="ja-JP"/>
    </w:rPr>
  </w:style>
  <w:style w:type="paragraph" w:customStyle="1" w:styleId="Paragraph">
    <w:name w:val="Paragraph"/>
    <w:aliases w:val="paragraph,p,PARAGRAPH,PG,pa,at"/>
    <w:basedOn w:val="BodyTextIndent"/>
    <w:link w:val="ParagraphChar"/>
    <w:qFormat/>
    <w:rsid w:val="00982FF1"/>
    <w:pPr>
      <w:numPr>
        <w:ilvl w:val="1"/>
        <w:numId w:val="18"/>
      </w:numPr>
      <w:spacing w:before="120"/>
      <w:jc w:val="both"/>
      <w:outlineLvl w:val="1"/>
    </w:pPr>
    <w:rPr>
      <w:rFonts w:eastAsia="Times New Roman"/>
      <w:szCs w:val="20"/>
      <w:lang w:val="en-US"/>
    </w:rPr>
  </w:style>
  <w:style w:type="character" w:customStyle="1" w:styleId="ParagraphChar">
    <w:name w:val="Paragraph Char"/>
    <w:link w:val="Paragraph"/>
    <w:rsid w:val="00982FF1"/>
    <w:rPr>
      <w:rFonts w:ascii="Times New Roman" w:eastAsia="Times New Roman" w:hAnsi="Times New Roman" w:cs="Times New Roman"/>
      <w:sz w:val="24"/>
      <w:szCs w:val="20"/>
      <w:lang w:eastAsia="en-GB"/>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CD47B9"/>
    <w:pPr>
      <w:keepNext/>
      <w:keepLines/>
      <w:spacing w:after="120" w:line="240" w:lineRule="auto"/>
      <w:ind w:left="288" w:hanging="288"/>
      <w:jc w:val="both"/>
    </w:pPr>
    <w:rPr>
      <w:rFonts w:ascii="Arial" w:hAnsi="Arial" w:cs="Times New Roman"/>
      <w:spacing w:val="-3"/>
      <w:sz w:val="18"/>
      <w:szCs w:val="20"/>
      <w:lang w:val="en-US"/>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CD47B9"/>
    <w:rPr>
      <w:rFonts w:ascii="Arial" w:eastAsiaTheme="minorEastAsia" w:hAnsi="Arial" w:cs="Times New Roman"/>
      <w:spacing w:val="-3"/>
      <w:sz w:val="18"/>
      <w:szCs w:val="20"/>
      <w:lang w:eastAsia="en-GB"/>
    </w:rPr>
  </w:style>
  <w:style w:type="character" w:styleId="FootnoteReference">
    <w:name w:val="footnote reference"/>
    <w:aliases w:val="ftref,Fußnotenzeichen DISS,16 Point,Superscript 6 Point,BVI fnr, BVI fnr,Знак сноски 1,referencia nota al pie,titulo 2,FC,Footnote Referencefra,Ref. de nota al pie.,Stinking Styles11,Texto de nota al pie,Footnote symbol,Footnote,fr"/>
    <w:basedOn w:val="DefaultParagraphFont"/>
    <w:uiPriority w:val="99"/>
    <w:unhideWhenUsed/>
    <w:qFormat/>
    <w:rsid w:val="00062D0D"/>
    <w:rPr>
      <w:vertAlign w:val="superscript"/>
    </w:rPr>
  </w:style>
  <w:style w:type="paragraph" w:customStyle="1" w:styleId="Chapter">
    <w:name w:val="Chapter"/>
    <w:basedOn w:val="Normal"/>
    <w:next w:val="Normal"/>
    <w:qFormat/>
    <w:rsid w:val="00982FF1"/>
    <w:pPr>
      <w:keepNext/>
      <w:numPr>
        <w:numId w:val="18"/>
      </w:numPr>
      <w:tabs>
        <w:tab w:val="left" w:pos="1440"/>
      </w:tabs>
      <w:spacing w:before="240" w:after="240" w:line="240" w:lineRule="auto"/>
      <w:jc w:val="center"/>
    </w:pPr>
    <w:rPr>
      <w:rFonts w:ascii="Times New Roman" w:eastAsia="Times New Roman" w:hAnsi="Times New Roman" w:cs="Times New Roman"/>
      <w:b/>
      <w:smallCaps/>
      <w:sz w:val="24"/>
      <w:szCs w:val="20"/>
      <w:lang w:val="en-US"/>
    </w:rPr>
  </w:style>
  <w:style w:type="paragraph" w:customStyle="1" w:styleId="Default">
    <w:name w:val="Default"/>
    <w:link w:val="DefaultChar"/>
    <w:rsid w:val="00062D0D"/>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eastAsia="en-GB"/>
    </w:rPr>
  </w:style>
  <w:style w:type="table" w:customStyle="1" w:styleId="TableGrid1">
    <w:name w:val="Table Grid1"/>
    <w:basedOn w:val="TableNormal"/>
    <w:next w:val="TableGrid"/>
    <w:uiPriority w:val="59"/>
    <w:rsid w:val="00062D0D"/>
    <w:pPr>
      <w:spacing w:before="0" w:beforeAutospacing="0" w:after="0" w:afterAutospacing="0"/>
    </w:pPr>
    <w:rPr>
      <w:rFonts w:eastAsiaTheme="minorEastAsia"/>
      <w:lang w:val="es-C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ing">
    <w:name w:val="FirstHeading"/>
    <w:basedOn w:val="Normal"/>
    <w:next w:val="Normal"/>
    <w:link w:val="FirstHeadingChar"/>
    <w:rsid w:val="00982FF1"/>
    <w:pPr>
      <w:keepNext/>
      <w:numPr>
        <w:numId w:val="2"/>
      </w:numPr>
      <w:tabs>
        <w:tab w:val="left" w:pos="0"/>
        <w:tab w:val="left" w:pos="86"/>
      </w:tabs>
      <w:spacing w:before="120" w:after="120" w:line="240" w:lineRule="auto"/>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062D0D"/>
    <w:rPr>
      <w:rFonts w:ascii="Times New Roman" w:eastAsiaTheme="minorEastAsia" w:hAnsi="Times New Roman" w:cs="Times New Roman"/>
      <w:color w:val="000000"/>
      <w:sz w:val="24"/>
      <w:szCs w:val="24"/>
      <w:lang w:eastAsia="en-GB"/>
    </w:rPr>
  </w:style>
  <w:style w:type="character" w:customStyle="1" w:styleId="FirstHeadingChar">
    <w:name w:val="FirstHeading Char"/>
    <w:basedOn w:val="DefaultChar"/>
    <w:link w:val="FirstHeading"/>
    <w:rsid w:val="00982FF1"/>
    <w:rPr>
      <w:rFonts w:ascii="Times New Roman" w:eastAsiaTheme="minorEastAsia" w:hAnsi="Times New Roman" w:cs="Times New Roman"/>
      <w:b/>
      <w:bCs/>
      <w:color w:val="000000"/>
      <w:sz w:val="24"/>
      <w:szCs w:val="24"/>
      <w:lang w:val="es-ES_tradnl" w:eastAsia="en-GB"/>
    </w:rPr>
  </w:style>
  <w:style w:type="paragraph" w:customStyle="1" w:styleId="SecHeading">
    <w:name w:val="SecHeading"/>
    <w:basedOn w:val="Normal"/>
    <w:next w:val="Paragraph"/>
    <w:link w:val="SecHeadingChar"/>
    <w:rsid w:val="00982FF1"/>
    <w:pPr>
      <w:keepNext/>
      <w:numPr>
        <w:ilvl w:val="1"/>
        <w:numId w:val="2"/>
      </w:numPr>
      <w:spacing w:before="120" w:after="120" w:line="240" w:lineRule="auto"/>
    </w:pPr>
    <w:rPr>
      <w:rFonts w:ascii="Times New Roman" w:hAnsi="Times New Roman" w:cs="Times New Roman"/>
      <w:b/>
      <w:bCs/>
      <w:color w:val="000000"/>
      <w:sz w:val="24"/>
      <w:szCs w:val="24"/>
      <w:lang w:val="es-ES_tradnl"/>
    </w:rPr>
  </w:style>
  <w:style w:type="character" w:customStyle="1" w:styleId="SecHeadingChar">
    <w:name w:val="SecHeading Char"/>
    <w:basedOn w:val="DefaultChar"/>
    <w:link w:val="SecHeading"/>
    <w:rsid w:val="00982FF1"/>
    <w:rPr>
      <w:rFonts w:ascii="Times New Roman" w:eastAsiaTheme="minorEastAsia" w:hAnsi="Times New Roman" w:cs="Times New Roman"/>
      <w:b/>
      <w:bCs/>
      <w:color w:val="000000"/>
      <w:sz w:val="24"/>
      <w:szCs w:val="24"/>
      <w:lang w:val="es-ES_tradnl" w:eastAsia="en-GB"/>
    </w:rPr>
  </w:style>
  <w:style w:type="paragraph" w:customStyle="1" w:styleId="SubHeading1">
    <w:name w:val="SubHeading1"/>
    <w:basedOn w:val="SecHeading"/>
    <w:link w:val="SubHeading1Char"/>
    <w:rsid w:val="00982FF1"/>
    <w:pPr>
      <w:numPr>
        <w:ilvl w:val="2"/>
      </w:numPr>
    </w:pPr>
    <w:rPr>
      <w:bCs w:val="0"/>
      <w:color w:val="auto"/>
    </w:rPr>
  </w:style>
  <w:style w:type="character" w:customStyle="1" w:styleId="SubHeading1Char">
    <w:name w:val="SubHeading1 Char"/>
    <w:basedOn w:val="DefaultChar"/>
    <w:link w:val="SubHeading1"/>
    <w:rsid w:val="00982FF1"/>
    <w:rPr>
      <w:rFonts w:ascii="Times New Roman" w:eastAsiaTheme="minorEastAsia" w:hAnsi="Times New Roman" w:cs="Times New Roman"/>
      <w:b/>
      <w:color w:val="000000"/>
      <w:sz w:val="24"/>
      <w:szCs w:val="24"/>
      <w:lang w:val="es-ES_tradnl" w:eastAsia="en-GB"/>
    </w:rPr>
  </w:style>
  <w:style w:type="paragraph" w:customStyle="1" w:styleId="Subheading2">
    <w:name w:val="Subheading2"/>
    <w:basedOn w:val="SecHeading"/>
    <w:rsid w:val="00982FF1"/>
    <w:pPr>
      <w:numPr>
        <w:ilvl w:val="3"/>
      </w:numPr>
      <w:tabs>
        <w:tab w:val="clear" w:pos="6480"/>
        <w:tab w:val="num" w:pos="2376"/>
      </w:tabs>
      <w:ind w:left="2376"/>
    </w:pPr>
    <w:rPr>
      <w:bCs w:val="0"/>
      <w:color w:val="auto"/>
    </w:rPr>
  </w:style>
  <w:style w:type="paragraph" w:styleId="BodyTextIndent">
    <w:name w:val="Body Text Indent"/>
    <w:basedOn w:val="Normal"/>
    <w:link w:val="BodyTextIndentChar"/>
    <w:uiPriority w:val="99"/>
    <w:semiHidden/>
    <w:unhideWhenUsed/>
    <w:rsid w:val="00062D0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062D0D"/>
    <w:rPr>
      <w:rFonts w:ascii="Times New Roman" w:eastAsiaTheme="minorEastAsia" w:hAnsi="Times New Roman" w:cs="Times New Roman"/>
      <w:sz w:val="24"/>
      <w:lang w:val="en-GB" w:eastAsia="en-GB"/>
    </w:rPr>
  </w:style>
  <w:style w:type="paragraph" w:customStyle="1" w:styleId="subpar">
    <w:name w:val="subpar"/>
    <w:basedOn w:val="BodyTextIndent3"/>
    <w:link w:val="subparChar"/>
    <w:rsid w:val="00982FF1"/>
    <w:pPr>
      <w:numPr>
        <w:ilvl w:val="2"/>
        <w:numId w:val="18"/>
      </w:numPr>
      <w:spacing w:before="120"/>
      <w:jc w:val="both"/>
      <w:outlineLvl w:val="2"/>
    </w:pPr>
  </w:style>
  <w:style w:type="character" w:customStyle="1" w:styleId="subparChar">
    <w:name w:val="subpar Char"/>
    <w:basedOn w:val="DefaultParagraphFont"/>
    <w:link w:val="subpar"/>
    <w:rsid w:val="00982FF1"/>
    <w:rPr>
      <w:rFonts w:ascii="Times New Roman" w:eastAsiaTheme="minorEastAsia" w:hAnsi="Times New Roman" w:cs="Times New Roman"/>
      <w:sz w:val="24"/>
      <w:szCs w:val="16"/>
      <w:lang w:val="en-GB" w:eastAsia="en-GB"/>
    </w:rPr>
  </w:style>
  <w:style w:type="paragraph" w:customStyle="1" w:styleId="SubSubPar">
    <w:name w:val="SubSubPar"/>
    <w:basedOn w:val="subpar"/>
    <w:link w:val="SubSubParChar"/>
    <w:rsid w:val="00982FF1"/>
    <w:pPr>
      <w:numPr>
        <w:ilvl w:val="3"/>
      </w:numPr>
      <w:tabs>
        <w:tab w:val="left" w:pos="0"/>
      </w:tabs>
    </w:pPr>
  </w:style>
  <w:style w:type="character" w:customStyle="1" w:styleId="SubSubParChar">
    <w:name w:val="SubSubPar Char"/>
    <w:basedOn w:val="DefaultParagraphFont"/>
    <w:link w:val="SubSubPar"/>
    <w:rsid w:val="00982FF1"/>
    <w:rPr>
      <w:rFonts w:ascii="Times New Roman" w:eastAsiaTheme="minorEastAsia" w:hAnsi="Times New Roman" w:cs="Times New Roman"/>
      <w:sz w:val="24"/>
      <w:szCs w:val="16"/>
      <w:lang w:val="en-GB" w:eastAsia="en-GB"/>
    </w:rPr>
  </w:style>
  <w:style w:type="paragraph" w:customStyle="1" w:styleId="Regtable">
    <w:name w:val="Regtable"/>
    <w:basedOn w:val="Normal"/>
    <w:link w:val="RegtableChar"/>
    <w:rsid w:val="00982FF1"/>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982FF1"/>
    <w:rPr>
      <w:rFonts w:ascii="Times New Roman" w:eastAsiaTheme="minorEastAsia" w:hAnsi="Times New Roman" w:cs="Times New Roman"/>
      <w:sz w:val="20"/>
      <w:lang w:val="en-GB" w:eastAsia="en-GB"/>
    </w:rPr>
  </w:style>
  <w:style w:type="paragraph" w:customStyle="1" w:styleId="TableTitle">
    <w:name w:val="TableTitle"/>
    <w:basedOn w:val="Normal"/>
    <w:link w:val="TableTitleChar"/>
    <w:rsid w:val="00982FF1"/>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982FF1"/>
    <w:rPr>
      <w:rFonts w:ascii="Times New Roman Bold" w:eastAsiaTheme="minorEastAsia" w:hAnsi="Times New Roman Bold"/>
      <w:b/>
      <w:spacing w:val="-3"/>
      <w:sz w:val="20"/>
      <w:lang w:val="en-GB" w:eastAsia="en-GB"/>
    </w:rPr>
  </w:style>
  <w:style w:type="character" w:customStyle="1" w:styleId="Heading3Char">
    <w:name w:val="Heading 3 Char"/>
    <w:basedOn w:val="DefaultParagraphFont"/>
    <w:link w:val="Heading3"/>
    <w:uiPriority w:val="9"/>
    <w:semiHidden/>
    <w:rsid w:val="00982FF1"/>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982FF1"/>
    <w:rPr>
      <w:rFonts w:asciiTheme="majorHAnsi" w:eastAsiaTheme="majorEastAsia" w:hAnsiTheme="majorHAnsi" w:cstheme="majorBidi"/>
      <w:b/>
      <w:bCs/>
      <w:i/>
      <w:iCs/>
      <w:color w:val="4F81BD" w:themeColor="accent1"/>
      <w:lang w:val="en-GB" w:eastAsia="en-GB"/>
    </w:rPr>
  </w:style>
  <w:style w:type="paragraph" w:styleId="BodyTextIndent3">
    <w:name w:val="Body Text Indent 3"/>
    <w:basedOn w:val="Normal"/>
    <w:link w:val="BodyTextIndent3Char"/>
    <w:uiPriority w:val="99"/>
    <w:semiHidden/>
    <w:unhideWhenUsed/>
    <w:rsid w:val="00982FF1"/>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82FF1"/>
    <w:rPr>
      <w:rFonts w:ascii="Times New Roman" w:eastAsiaTheme="minorEastAsia" w:hAnsi="Times New Roman" w:cs="Times New Roman"/>
      <w:sz w:val="24"/>
      <w:szCs w:val="16"/>
      <w:lang w:val="en-GB" w:eastAsia="en-GB"/>
    </w:rPr>
  </w:style>
  <w:style w:type="paragraph" w:styleId="TOC2">
    <w:name w:val="toc 2"/>
    <w:basedOn w:val="Normal"/>
    <w:next w:val="Normal"/>
    <w:autoRedefine/>
    <w:uiPriority w:val="39"/>
    <w:unhideWhenUsed/>
    <w:rsid w:val="00114A2D"/>
    <w:pPr>
      <w:tabs>
        <w:tab w:val="left" w:pos="1152"/>
        <w:tab w:val="right" w:leader="dot" w:pos="8741"/>
      </w:tabs>
      <w:spacing w:after="0" w:line="240" w:lineRule="auto"/>
      <w:ind w:left="1166" w:hanging="605"/>
    </w:pPr>
    <w:rPr>
      <w:rFonts w:ascii="Times New Roman" w:hAnsi="Times New Roman" w:cs="Times New Roman"/>
      <w:sz w:val="24"/>
    </w:rPr>
  </w:style>
  <w:style w:type="character" w:styleId="BookTitle">
    <w:name w:val="Book Title"/>
    <w:basedOn w:val="DefaultParagraphFont"/>
    <w:uiPriority w:val="33"/>
    <w:qFormat/>
    <w:rsid w:val="00114A2D"/>
    <w:rPr>
      <w:b/>
      <w:bCs/>
      <w:smallCaps/>
      <w:spacing w:val="5"/>
    </w:rPr>
  </w:style>
  <w:style w:type="paragraph" w:styleId="Header">
    <w:name w:val="header"/>
    <w:basedOn w:val="Normal"/>
    <w:link w:val="HeaderChar"/>
    <w:uiPriority w:val="99"/>
    <w:unhideWhenUsed/>
    <w:rsid w:val="0035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14"/>
    <w:rPr>
      <w:rFonts w:eastAsiaTheme="minorEastAsia"/>
      <w:lang w:val="en-GB" w:eastAsia="en-GB"/>
    </w:rPr>
  </w:style>
  <w:style w:type="paragraph" w:styleId="Footer">
    <w:name w:val="footer"/>
    <w:basedOn w:val="Normal"/>
    <w:link w:val="FooterChar"/>
    <w:uiPriority w:val="99"/>
    <w:unhideWhenUsed/>
    <w:rsid w:val="0035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14"/>
    <w:rPr>
      <w:rFonts w:eastAsiaTheme="minorEastAsia"/>
      <w:lang w:val="en-GB" w:eastAsia="en-GB"/>
    </w:rPr>
  </w:style>
  <w:style w:type="character" w:styleId="Hyperlink">
    <w:name w:val="Hyperlink"/>
    <w:basedOn w:val="DefaultParagraphFont"/>
    <w:uiPriority w:val="99"/>
    <w:unhideWhenUsed/>
    <w:rsid w:val="00C258F3"/>
    <w:rPr>
      <w:color w:val="0000FF" w:themeColor="hyperlink"/>
      <w:u w:val="single"/>
    </w:rPr>
  </w:style>
  <w:style w:type="character" w:styleId="FollowedHyperlink">
    <w:name w:val="FollowedHyperlink"/>
    <w:basedOn w:val="DefaultParagraphFont"/>
    <w:uiPriority w:val="99"/>
    <w:semiHidden/>
    <w:unhideWhenUsed/>
    <w:rsid w:val="00C258F3"/>
    <w:rPr>
      <w:color w:val="800080" w:themeColor="followedHyperlink"/>
      <w:u w:val="single"/>
    </w:rPr>
  </w:style>
  <w:style w:type="paragraph" w:styleId="ListParagraph">
    <w:name w:val="List Paragraph"/>
    <w:basedOn w:val="Normal"/>
    <w:link w:val="ListParagraphChar"/>
    <w:uiPriority w:val="34"/>
    <w:qFormat/>
    <w:rsid w:val="00A05368"/>
    <w:pPr>
      <w:spacing w:after="0"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basedOn w:val="DefaultParagraphFont"/>
    <w:link w:val="ListParagraph"/>
    <w:uiPriority w:val="34"/>
    <w:rsid w:val="00A05368"/>
    <w:rPr>
      <w:rFonts w:ascii="Times New Roman" w:eastAsia="Times New Roman" w:hAnsi="Times New Roman" w:cs="Times New Roman"/>
      <w:sz w:val="24"/>
      <w:szCs w:val="20"/>
    </w:rPr>
  </w:style>
  <w:style w:type="paragraph" w:styleId="Revision">
    <w:name w:val="Revision"/>
    <w:hidden/>
    <w:uiPriority w:val="99"/>
    <w:semiHidden/>
    <w:rsid w:val="00A05368"/>
    <w:pPr>
      <w:spacing w:before="0" w:beforeAutospacing="0" w:after="0" w:afterAutospacing="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8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3"/>
    <w:rPr>
      <w:rFonts w:ascii="Tahoma" w:eastAsiaTheme="minorEastAsia" w:hAnsi="Tahoma" w:cs="Tahoma"/>
      <w:sz w:val="16"/>
      <w:szCs w:val="16"/>
      <w:lang w:val="en-GB" w:eastAsia="en-GB"/>
    </w:rPr>
  </w:style>
  <w:style w:type="paragraph" w:customStyle="1" w:styleId="PODBID2">
    <w:name w:val="PODBID2"/>
    <w:basedOn w:val="Normal"/>
    <w:qFormat/>
    <w:rsid w:val="00892FC3"/>
    <w:pPr>
      <w:spacing w:after="0" w:line="240" w:lineRule="auto"/>
      <w:contextualSpacing/>
      <w:jc w:val="both"/>
    </w:pPr>
    <w:rPr>
      <w:rFonts w:ascii="Times New Roman" w:hAnsi="Times New Roman" w:cs="Times New Roman"/>
      <w:sz w:val="24"/>
      <w:szCs w:val="24"/>
      <w:lang w:val="es-ES_tradnl" w:eastAsia="en-US"/>
    </w:rPr>
  </w:style>
  <w:style w:type="paragraph" w:customStyle="1" w:styleId="PODBID3">
    <w:name w:val="PODBID3"/>
    <w:basedOn w:val="Normal"/>
    <w:qFormat/>
    <w:rsid w:val="005A5533"/>
    <w:pPr>
      <w:numPr>
        <w:numId w:val="3"/>
      </w:numPr>
      <w:spacing w:after="0" w:line="240" w:lineRule="auto"/>
      <w:contextualSpacing/>
      <w:jc w:val="both"/>
    </w:pPr>
    <w:rPr>
      <w:rFonts w:ascii="Times New Roman" w:hAnsi="Times New Roman" w:cs="Times New Roman"/>
      <w:sz w:val="24"/>
      <w:szCs w:val="24"/>
      <w:lang w:val="es-ES_tradnl" w:eastAsia="en-US"/>
    </w:rPr>
  </w:style>
  <w:style w:type="paragraph" w:customStyle="1" w:styleId="AutoNumpara">
    <w:name w:val="AutoNumpara"/>
    <w:basedOn w:val="BodyTextIndent"/>
    <w:rsid w:val="009D3650"/>
    <w:pPr>
      <w:tabs>
        <w:tab w:val="num" w:pos="720"/>
      </w:tabs>
      <w:spacing w:before="120"/>
      <w:ind w:left="720" w:hanging="720"/>
      <w:jc w:val="both"/>
    </w:pPr>
    <w:rPr>
      <w:rFonts w:eastAsia="Times New Roman"/>
      <w:noProof/>
      <w:spacing w:val="-2"/>
      <w:szCs w:val="20"/>
      <w:lang w:val="es-ES_tradnl" w:eastAsia="en-US"/>
    </w:rPr>
  </w:style>
  <w:style w:type="character" w:styleId="CommentReference">
    <w:name w:val="annotation reference"/>
    <w:basedOn w:val="DefaultParagraphFont"/>
    <w:uiPriority w:val="99"/>
    <w:semiHidden/>
    <w:unhideWhenUsed/>
    <w:rsid w:val="00511F8B"/>
    <w:rPr>
      <w:sz w:val="16"/>
      <w:szCs w:val="16"/>
    </w:rPr>
  </w:style>
  <w:style w:type="paragraph" w:styleId="CommentText">
    <w:name w:val="annotation text"/>
    <w:basedOn w:val="Normal"/>
    <w:link w:val="CommentTextChar"/>
    <w:uiPriority w:val="99"/>
    <w:semiHidden/>
    <w:unhideWhenUsed/>
    <w:rsid w:val="00511F8B"/>
    <w:pPr>
      <w:spacing w:line="240" w:lineRule="auto"/>
    </w:pPr>
    <w:rPr>
      <w:sz w:val="20"/>
      <w:szCs w:val="20"/>
    </w:rPr>
  </w:style>
  <w:style w:type="character" w:customStyle="1" w:styleId="CommentTextChar">
    <w:name w:val="Comment Text Char"/>
    <w:basedOn w:val="DefaultParagraphFont"/>
    <w:link w:val="CommentText"/>
    <w:uiPriority w:val="99"/>
    <w:semiHidden/>
    <w:rsid w:val="00511F8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11F8B"/>
    <w:rPr>
      <w:b/>
      <w:bCs/>
    </w:rPr>
  </w:style>
  <w:style w:type="character" w:customStyle="1" w:styleId="CommentSubjectChar">
    <w:name w:val="Comment Subject Char"/>
    <w:basedOn w:val="CommentTextChar"/>
    <w:link w:val="CommentSubject"/>
    <w:uiPriority w:val="99"/>
    <w:semiHidden/>
    <w:rsid w:val="00511F8B"/>
    <w:rPr>
      <w:rFonts w:eastAsiaTheme="minorEastAsia"/>
      <w:b/>
      <w:bCs/>
      <w:sz w:val="20"/>
      <w:szCs w:val="20"/>
      <w:lang w:val="en-GB" w:eastAsia="en-GB"/>
    </w:rPr>
  </w:style>
  <w:style w:type="character" w:customStyle="1" w:styleId="Heading2Char">
    <w:name w:val="Heading 2 Char"/>
    <w:basedOn w:val="DefaultParagraphFont"/>
    <w:link w:val="Heading2"/>
    <w:uiPriority w:val="9"/>
    <w:rsid w:val="00B836FB"/>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semiHidden/>
    <w:unhideWhenUsed/>
    <w:rsid w:val="006D3EA3"/>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0049C"/>
    <w:rPr>
      <w:rFonts w:asciiTheme="majorHAnsi" w:eastAsiaTheme="majorEastAsia" w:hAnsiTheme="majorHAnsi" w:cstheme="majorBidi"/>
      <w:b/>
      <w:bCs/>
      <w:color w:val="365F91" w:themeColor="accent1" w:themeShade="BF"/>
      <w:sz w:val="28"/>
      <w:szCs w:val="28"/>
      <w:lang w:val="en-GB" w:eastAsia="en-GB"/>
    </w:rPr>
  </w:style>
  <w:style w:type="character" w:styleId="UnresolvedMention">
    <w:name w:val="Unresolved Mention"/>
    <w:basedOn w:val="DefaultParagraphFont"/>
    <w:uiPriority w:val="99"/>
    <w:semiHidden/>
    <w:unhideWhenUsed/>
    <w:rsid w:val="004D11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5800">
      <w:bodyDiv w:val="1"/>
      <w:marLeft w:val="0"/>
      <w:marRight w:val="0"/>
      <w:marTop w:val="0"/>
      <w:marBottom w:val="0"/>
      <w:divBdr>
        <w:top w:val="none" w:sz="0" w:space="0" w:color="auto"/>
        <w:left w:val="none" w:sz="0" w:space="0" w:color="auto"/>
        <w:bottom w:val="none" w:sz="0" w:space="0" w:color="auto"/>
        <w:right w:val="none" w:sz="0" w:space="0" w:color="auto"/>
      </w:divBdr>
    </w:div>
    <w:div w:id="470945055">
      <w:bodyDiv w:val="1"/>
      <w:marLeft w:val="0"/>
      <w:marRight w:val="0"/>
      <w:marTop w:val="0"/>
      <w:marBottom w:val="0"/>
      <w:divBdr>
        <w:top w:val="none" w:sz="0" w:space="0" w:color="auto"/>
        <w:left w:val="none" w:sz="0" w:space="0" w:color="auto"/>
        <w:bottom w:val="none" w:sz="0" w:space="0" w:color="auto"/>
        <w:right w:val="none" w:sz="0" w:space="0" w:color="auto"/>
      </w:divBdr>
    </w:div>
    <w:div w:id="691493640">
      <w:bodyDiv w:val="1"/>
      <w:marLeft w:val="0"/>
      <w:marRight w:val="0"/>
      <w:marTop w:val="0"/>
      <w:marBottom w:val="0"/>
      <w:divBdr>
        <w:top w:val="none" w:sz="0" w:space="0" w:color="auto"/>
        <w:left w:val="none" w:sz="0" w:space="0" w:color="auto"/>
        <w:bottom w:val="none" w:sz="0" w:space="0" w:color="auto"/>
        <w:right w:val="none" w:sz="0" w:space="0" w:color="auto"/>
      </w:divBdr>
    </w:div>
    <w:div w:id="949166762">
      <w:bodyDiv w:val="1"/>
      <w:marLeft w:val="0"/>
      <w:marRight w:val="0"/>
      <w:marTop w:val="0"/>
      <w:marBottom w:val="0"/>
      <w:divBdr>
        <w:top w:val="none" w:sz="0" w:space="0" w:color="auto"/>
        <w:left w:val="none" w:sz="0" w:space="0" w:color="auto"/>
        <w:bottom w:val="none" w:sz="0" w:space="0" w:color="auto"/>
        <w:right w:val="none" w:sz="0" w:space="0" w:color="auto"/>
      </w:divBdr>
    </w:div>
    <w:div w:id="1736467833">
      <w:bodyDiv w:val="1"/>
      <w:marLeft w:val="0"/>
      <w:marRight w:val="0"/>
      <w:marTop w:val="0"/>
      <w:marBottom w:val="0"/>
      <w:divBdr>
        <w:top w:val="none" w:sz="0" w:space="0" w:color="auto"/>
        <w:left w:val="none" w:sz="0" w:space="0" w:color="auto"/>
        <w:bottom w:val="none" w:sz="0" w:space="0" w:color="auto"/>
        <w:right w:val="none" w:sz="0" w:space="0" w:color="auto"/>
      </w:divBdr>
    </w:div>
    <w:div w:id="18488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adb.org/en/projects/project-description-title,1303.html?id=AR-T11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DF545721A546A409C9B7B1F2DE426BA" ma:contentTypeVersion="31" ma:contentTypeDescription="A content type to manage public (operations) IDB documents" ma:contentTypeScope="" ma:versionID="75ee8775ae9885bc51e78da33ae44654">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R0001242761</Record_x0020_Number>
    <Key_x0020_Document xmlns="cdc7663a-08f0-4737-9e8c-148ce897a09c">false</Key_x0020_Document>
    <Other_x0020_Author xmlns="cdc7663a-08f0-4737-9e8c-148ce897a09c" xsi:nil="true"/>
    <Division_x0020_or_x0020_Unit xmlns="cdc7663a-08f0-4737-9e8c-148ce897a09c">IFD/CMF</Division_x0020_or_x0020_Unit>
    <IDBDocs_x0020_Number xmlns="cdc7663a-08f0-4737-9e8c-148ce897a09c" xsi:nil="true"/>
    <Document_x0020_Author xmlns="cdc7663a-08f0-4737-9e8c-148ce897a09c">Arauz Herrera, Alison</Document_x0020_Author>
    <_dlc_DocId xmlns="cdc7663a-08f0-4737-9e8c-148ce897a09c">EZSHARE-1077447252-16</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TaxCatchAll xmlns="cdc7663a-08f0-4737-9e8c-148ce897a09c">
      <Value>147</Value>
      <Value>4</Value>
      <Value>5</Value>
      <Value>1</Value>
      <Value>84</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AR-L1249</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INCLUSION</TermName>
          <TermId xmlns="http://schemas.microsoft.com/office/infopath/2007/PartnerControls">c2f14676-e4fa-4804-b3fb-fa0bd62b66c7</TermId>
        </TermInfo>
      </Terms>
    </b2ec7cfb18674cb8803df6b262e8b107>
    <Document_x0020_Language_x0020_IDB xmlns="cdc7663a-08f0-4737-9e8c-148ce897a09c">English</Document_x0020_Language_x0020_IDB>
    <_dlc_DocIdUrl xmlns="cdc7663a-08f0-4737-9e8c-148ce897a09c">
      <Url>https://idbg.sharepoint.com/teams/EZ-AR-LON/AR-L1249/_layouts/15/DocIdRedir.aspx?ID=EZSHARE-1077447252-16</Url>
      <Description>EZSHARE-1077447252-16</Description>
    </_dlc_DocIdUrl>
    <Phase xmlns="cdc7663a-08f0-4737-9e8c-148ce897a09c">ACTIVE</Phas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D7F4EF6246F5724BB3223C35758BD43D" ma:contentTypeVersion="20" ma:contentTypeDescription="The base project type from which other project content types inherit their information." ma:contentTypeScope="" ma:versionID="f665829d5e3a501044df79a75e4556a0">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D5DF8E71-7421-41DF-AC31-790401B3ED50}">
  <ds:schemaRefs>
    <ds:schemaRef ds:uri="http://schemas.microsoft.com/sharepoint/events"/>
  </ds:schemaRefs>
</ds:datastoreItem>
</file>

<file path=customXml/itemProps2.xml><?xml version="1.0" encoding="utf-8"?>
<ds:datastoreItem xmlns:ds="http://schemas.openxmlformats.org/officeDocument/2006/customXml" ds:itemID="{E4E99F97-0864-41FD-9E33-9B15189BD221}">
  <ds:schemaRefs>
    <ds:schemaRef ds:uri="http://schemas.microsoft.com/sharepoint/v3/contenttype/forms"/>
  </ds:schemaRefs>
</ds:datastoreItem>
</file>

<file path=customXml/itemProps3.xml><?xml version="1.0" encoding="utf-8"?>
<ds:datastoreItem xmlns:ds="http://schemas.openxmlformats.org/officeDocument/2006/customXml" ds:itemID="{10128886-DE36-4682-B8DC-86B7B93AFBD4}"/>
</file>

<file path=customXml/itemProps4.xml><?xml version="1.0" encoding="utf-8"?>
<ds:datastoreItem xmlns:ds="http://schemas.openxmlformats.org/officeDocument/2006/customXml" ds:itemID="{48FA2391-0FAC-4DC1-AAB0-2370155712FC}">
  <ds:schemaRefs>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F9B2FD2C-AAC2-4A76-81B0-23F6AA533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39B9F8-60CB-4C0A-B657-3E6BF4A89071}"/>
</file>

<file path=customXml/itemProps7.xml><?xml version="1.0" encoding="utf-8"?>
<ds:datastoreItem xmlns:ds="http://schemas.openxmlformats.org/officeDocument/2006/customXml" ds:itemID="{A2080D6D-5B26-4E2D-9AB4-FC2E2813E2C3}">
  <ds:schemaRefs>
    <ds:schemaRef ds:uri="http://schemas.openxmlformats.org/officeDocument/2006/bibliography"/>
  </ds:schemaRefs>
</ds:datastoreItem>
</file>

<file path=customXml/itemProps8.xml><?xml version="1.0" encoding="utf-8"?>
<ds:datastoreItem xmlns:ds="http://schemas.openxmlformats.org/officeDocument/2006/customXml" ds:itemID="{42FCAA6E-98EF-43EE-B167-61F7579E537D}"/>
</file>

<file path=docProps/app.xml><?xml version="1.0" encoding="utf-8"?>
<Properties xmlns="http://schemas.openxmlformats.org/officeDocument/2006/extended-properties" xmlns:vt="http://schemas.openxmlformats.org/officeDocument/2006/docPropsVTypes">
  <Template>Normal.dotm</Template>
  <TotalTime>0</TotalTime>
  <Pages>16</Pages>
  <Words>4957</Words>
  <Characters>27265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Arauz Herrera, Alison</cp:lastModifiedBy>
  <cp:revision>2</cp:revision>
  <cp:lastPrinted>2015-07-16T14:16:00Z</cp:lastPrinted>
  <dcterms:created xsi:type="dcterms:W3CDTF">2017-11-07T22:43:00Z</dcterms:created>
  <dcterms:modified xsi:type="dcterms:W3CDTF">2017-11-07T22:43:00Z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147;#FINANCIAL INCLUSION|c2f14676-e4fa-4804-b3fb-fa0bd62b66c7</vt:lpwstr>
  </property>
  <property fmtid="{D5CDD505-2E9C-101B-9397-08002B2CF9AE}" pid="7" name="Country">
    <vt:lpwstr>5;#Argentina|eb1b705c-195f-4c3b-9661-b201f2fee3c5</vt:lpwstr>
  </property>
  <property fmtid="{D5CDD505-2E9C-101B-9397-08002B2CF9AE}" pid="8" name="Fund IDB">
    <vt:lpwstr>4;#ORC|c028a4b2-ad8b-4cf4-9cac-a2ae6a778e23</vt:lpwstr>
  </property>
  <property fmtid="{D5CDD505-2E9C-101B-9397-08002B2CF9AE}" pid="9" name="_dlc_DocIdItemGuid">
    <vt:lpwstr>8c6d5143-c4d8-40af-9620-84cb9002a3a6</vt:lpwstr>
  </property>
  <property fmtid="{D5CDD505-2E9C-101B-9397-08002B2CF9AE}" pid="10" name="Sector IDB">
    <vt:lpwstr>84;#FINANCIAL MARKETS|75500f29-2419-473a-bcd8-84901ddc2aa7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2" name="RecordPoint_ActiveItemMoved">
    <vt:lpwstr>/teams/EZ-AR-LON/AR-L1249/05 Basic Data/Draft Area/POD - EE Requerido IV - Plan de Monitoreo y Evaluación.docx</vt:lpwstr>
  </property>
  <property fmtid="{D5CDD505-2E9C-101B-9397-08002B2CF9AE}" pid="13" name="RecordStorageActiveId">
    <vt:lpwstr>575dae3d-47b9-4e29-8aee-ebc4b5f01f43</vt:lpwstr>
  </property>
  <property fmtid="{D5CDD505-2E9C-101B-9397-08002B2CF9AE}" pid="14" name="Disclosure Activity">
    <vt:lpwstr>Loan Proposal</vt:lpwstr>
  </property>
  <property fmtid="{D5CDD505-2E9C-101B-9397-08002B2CF9AE}" pid="15" name="ContentTypeId">
    <vt:lpwstr>0x0101001A458A224826124E8B45B1D613300CFC00EDF545721A546A409C9B7B1F2DE426BA</vt:lpwstr>
  </property>
</Properties>
</file>