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45EFB" w14:textId="223CBD77" w:rsidR="00813650" w:rsidRDefault="00120449" w:rsidP="00D914BD">
      <w:pPr>
        <w:jc w:val="center"/>
        <w:rPr>
          <w:b/>
          <w:sz w:val="22"/>
          <w:szCs w:val="22"/>
          <w:lang w:val="es-ES_tradnl"/>
        </w:rPr>
      </w:pPr>
      <w:bookmarkStart w:id="0" w:name="_GoBack"/>
      <w:bookmarkEnd w:id="0"/>
      <w:r w:rsidRPr="00CA5000">
        <w:rPr>
          <w:b/>
          <w:bCs/>
          <w:sz w:val="22"/>
          <w:szCs w:val="22"/>
          <w:lang w:val="es-ES_tradnl"/>
        </w:rPr>
        <w:t xml:space="preserve">Análisis del Cumplimiento del </w:t>
      </w:r>
      <w:r w:rsidR="00D914BD" w:rsidRPr="00D914BD">
        <w:rPr>
          <w:b/>
          <w:bCs/>
          <w:sz w:val="22"/>
          <w:szCs w:val="22"/>
          <w:lang w:val="es-ES_tradnl"/>
        </w:rPr>
        <w:t>Programa de Mejora a la Gestión Operativa del IDAAN en el Área Metropolitana de Panamá</w:t>
      </w:r>
      <w:r w:rsidR="00CA5000" w:rsidRPr="00CA5000">
        <w:rPr>
          <w:b/>
          <w:bCs/>
          <w:sz w:val="22"/>
          <w:szCs w:val="22"/>
          <w:lang w:val="es-ES_tradnl"/>
        </w:rPr>
        <w:t xml:space="preserve"> </w:t>
      </w:r>
      <w:r w:rsidRPr="00D914BD">
        <w:rPr>
          <w:b/>
          <w:bCs/>
          <w:sz w:val="22"/>
          <w:szCs w:val="22"/>
          <w:lang w:val="es-ES_tradnl"/>
        </w:rPr>
        <w:t>(</w:t>
      </w:r>
      <w:r w:rsidR="00CA5000" w:rsidRPr="00D914BD">
        <w:rPr>
          <w:b/>
          <w:bCs/>
          <w:sz w:val="22"/>
          <w:szCs w:val="22"/>
          <w:lang w:val="es-ES_tradnl"/>
        </w:rPr>
        <w:t>PN-L114</w:t>
      </w:r>
      <w:r w:rsidR="00D459B5" w:rsidRPr="00D914BD">
        <w:rPr>
          <w:b/>
          <w:bCs/>
          <w:sz w:val="22"/>
          <w:szCs w:val="22"/>
          <w:lang w:val="es-ES_tradnl"/>
        </w:rPr>
        <w:t>8</w:t>
      </w:r>
      <w:r w:rsidRPr="00D914BD">
        <w:rPr>
          <w:b/>
          <w:bCs/>
          <w:sz w:val="22"/>
          <w:szCs w:val="22"/>
          <w:lang w:val="es-ES_tradnl"/>
        </w:rPr>
        <w:t>) con la Política de Servicios</w:t>
      </w:r>
      <w:r w:rsidRPr="00CA5000">
        <w:rPr>
          <w:b/>
          <w:sz w:val="22"/>
          <w:szCs w:val="22"/>
          <w:lang w:val="es-ES_tradnl"/>
        </w:rPr>
        <w:t xml:space="preserve"> Públicos Domiciliarios (</w:t>
      </w:r>
      <w:r w:rsidRPr="00CA5000">
        <w:rPr>
          <w:b/>
          <w:sz w:val="22"/>
          <w:szCs w:val="22"/>
          <w:lang w:val="es-ES"/>
        </w:rPr>
        <w:t>GN-2716-6</w:t>
      </w:r>
      <w:r w:rsidRPr="00CA5000">
        <w:rPr>
          <w:b/>
          <w:sz w:val="22"/>
          <w:szCs w:val="22"/>
          <w:lang w:val="es-ES_tradnl"/>
        </w:rPr>
        <w:t>)</w:t>
      </w:r>
    </w:p>
    <w:p w14:paraId="3F964302" w14:textId="08540C9C" w:rsidR="00D459B5" w:rsidRDefault="00D459B5" w:rsidP="00A22BAE">
      <w:pPr>
        <w:autoSpaceDE w:val="0"/>
        <w:autoSpaceDN w:val="0"/>
        <w:adjustRightInd w:val="0"/>
        <w:ind w:right="-180"/>
        <w:jc w:val="both"/>
        <w:rPr>
          <w:b/>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3177"/>
        <w:gridCol w:w="3556"/>
      </w:tblGrid>
      <w:tr w:rsidR="00D459B5" w:rsidRPr="00D06EBC" w14:paraId="5EE81EC4" w14:textId="77777777" w:rsidTr="00D459B5">
        <w:trPr>
          <w:jc w:val="center"/>
        </w:trPr>
        <w:tc>
          <w:tcPr>
            <w:tcW w:w="1897" w:type="dxa"/>
            <w:shd w:val="clear" w:color="auto" w:fill="C0C0C0"/>
            <w:vAlign w:val="center"/>
          </w:tcPr>
          <w:p w14:paraId="33C1FF7D" w14:textId="77777777" w:rsidR="00D459B5" w:rsidRPr="00D06EBC" w:rsidRDefault="00D459B5" w:rsidP="008B5897">
            <w:pPr>
              <w:spacing w:before="120" w:after="120"/>
              <w:jc w:val="center"/>
              <w:rPr>
                <w:b/>
                <w:sz w:val="18"/>
                <w:szCs w:val="18"/>
                <w:lang w:val="es-ES_tradnl"/>
              </w:rPr>
            </w:pPr>
            <w:r w:rsidRPr="00D06EBC">
              <w:rPr>
                <w:b/>
                <w:sz w:val="18"/>
                <w:szCs w:val="18"/>
                <w:lang w:val="es-ES_tradnl"/>
              </w:rPr>
              <w:t>Condiciones de la Política</w:t>
            </w:r>
          </w:p>
        </w:tc>
        <w:tc>
          <w:tcPr>
            <w:tcW w:w="3177" w:type="dxa"/>
            <w:shd w:val="clear" w:color="auto" w:fill="C0C0C0"/>
            <w:vAlign w:val="center"/>
          </w:tcPr>
          <w:p w14:paraId="34731FD3" w14:textId="77777777" w:rsidR="00D459B5" w:rsidRPr="00D06EBC" w:rsidRDefault="00D459B5" w:rsidP="008B5897">
            <w:pPr>
              <w:spacing w:before="120" w:after="120"/>
              <w:jc w:val="center"/>
              <w:rPr>
                <w:b/>
                <w:sz w:val="18"/>
                <w:szCs w:val="18"/>
                <w:lang w:val="es-ES_tradnl"/>
              </w:rPr>
            </w:pPr>
            <w:r w:rsidRPr="00D06EBC">
              <w:rPr>
                <w:b/>
                <w:sz w:val="18"/>
                <w:szCs w:val="18"/>
                <w:lang w:val="es-ES_tradnl"/>
              </w:rPr>
              <w:t>Descripción</w:t>
            </w:r>
          </w:p>
        </w:tc>
        <w:tc>
          <w:tcPr>
            <w:tcW w:w="3556" w:type="dxa"/>
            <w:shd w:val="clear" w:color="auto" w:fill="C0C0C0"/>
            <w:vAlign w:val="center"/>
          </w:tcPr>
          <w:p w14:paraId="3F98AB15" w14:textId="77777777" w:rsidR="00D459B5" w:rsidRPr="00D06EBC" w:rsidRDefault="00D459B5" w:rsidP="008B5897">
            <w:pPr>
              <w:spacing w:before="120" w:after="120"/>
              <w:jc w:val="center"/>
              <w:rPr>
                <w:b/>
                <w:sz w:val="18"/>
                <w:szCs w:val="18"/>
                <w:lang w:val="es-ES_tradnl"/>
              </w:rPr>
            </w:pPr>
            <w:r w:rsidRPr="00D06EBC">
              <w:rPr>
                <w:b/>
                <w:sz w:val="18"/>
                <w:szCs w:val="18"/>
                <w:lang w:val="es-ES_tradnl"/>
              </w:rPr>
              <w:t>Comentarios</w:t>
            </w:r>
          </w:p>
        </w:tc>
      </w:tr>
      <w:tr w:rsidR="00D459B5" w:rsidRPr="006834C6" w14:paraId="659AD424" w14:textId="77777777" w:rsidTr="00D459B5">
        <w:trPr>
          <w:jc w:val="center"/>
        </w:trPr>
        <w:tc>
          <w:tcPr>
            <w:tcW w:w="1897" w:type="dxa"/>
            <w:shd w:val="clear" w:color="auto" w:fill="auto"/>
          </w:tcPr>
          <w:p w14:paraId="09F132C0" w14:textId="77777777" w:rsidR="00D459B5" w:rsidRPr="00D06EBC" w:rsidRDefault="00D459B5" w:rsidP="008B5897">
            <w:pPr>
              <w:rPr>
                <w:sz w:val="18"/>
                <w:szCs w:val="18"/>
                <w:lang w:val="es-ES_tradnl"/>
              </w:rPr>
            </w:pPr>
            <w:r w:rsidRPr="00D06EBC">
              <w:rPr>
                <w:bCs/>
                <w:sz w:val="18"/>
                <w:szCs w:val="18"/>
                <w:lang w:val="es-ES_tradnl"/>
              </w:rPr>
              <w:t>1. Sostenibilidad Financiera</w:t>
            </w:r>
          </w:p>
        </w:tc>
        <w:tc>
          <w:tcPr>
            <w:tcW w:w="3177" w:type="dxa"/>
            <w:shd w:val="clear" w:color="auto" w:fill="auto"/>
          </w:tcPr>
          <w:p w14:paraId="0534B8A9" w14:textId="77777777" w:rsidR="00D459B5" w:rsidRPr="00870BB4" w:rsidRDefault="00D459B5" w:rsidP="008B5897">
            <w:pPr>
              <w:autoSpaceDE w:val="0"/>
              <w:autoSpaceDN w:val="0"/>
              <w:adjustRightInd w:val="0"/>
              <w:jc w:val="both"/>
              <w:rPr>
                <w:sz w:val="18"/>
                <w:szCs w:val="18"/>
                <w:lang w:val="es-ES_tradnl"/>
              </w:rPr>
            </w:pPr>
            <w:r w:rsidRPr="00870BB4">
              <w:rPr>
                <w:rFonts w:eastAsiaTheme="minorHAnsi"/>
                <w:sz w:val="18"/>
                <w:szCs w:val="18"/>
                <w:lang w:val="es-ES_tradnl"/>
              </w:rPr>
              <w:t>Para cada operación se deberá verificar que el servicio correspondiente generará o recibirá fondos suficientes para atender sus compromisos financieros y sufragar los costos de operación y mantenimiento de los sistemas relacionados con la operación.</w:t>
            </w:r>
          </w:p>
        </w:tc>
        <w:tc>
          <w:tcPr>
            <w:tcW w:w="3556" w:type="dxa"/>
            <w:shd w:val="clear" w:color="auto" w:fill="auto"/>
          </w:tcPr>
          <w:p w14:paraId="529CD4C1" w14:textId="35D652D4" w:rsidR="00D459B5" w:rsidRPr="006834C6" w:rsidRDefault="006834C6" w:rsidP="008B5897">
            <w:pPr>
              <w:pStyle w:val="Paragraph"/>
              <w:numPr>
                <w:ilvl w:val="0"/>
                <w:numId w:val="0"/>
              </w:numPr>
              <w:ind w:left="-108"/>
              <w:rPr>
                <w:sz w:val="18"/>
                <w:szCs w:val="18"/>
              </w:rPr>
            </w:pPr>
            <w:r w:rsidRPr="006834C6">
              <w:rPr>
                <w:sz w:val="18"/>
                <w:szCs w:val="18"/>
              </w:rPr>
              <w:t>El análisis financiero del IDAAN incluyó un análisis histórico basado en los estados financieros e información operativa de la entidad, y el desarrollo de un modelo financiero que proyecte la situación financiera para los próximos ejercicios. En este sentido, el IDAAN muestra actualmente desafíos en sus principales indicadore</w:t>
            </w:r>
            <w:r>
              <w:rPr>
                <w:sz w:val="18"/>
                <w:szCs w:val="18"/>
              </w:rPr>
              <w:t>s operativos y financieros</w:t>
            </w:r>
            <w:r w:rsidRPr="006834C6">
              <w:rPr>
                <w:sz w:val="18"/>
                <w:szCs w:val="18"/>
              </w:rPr>
              <w:t>. En el marco de la reforma del sector y del IDAAN para transformarlo en una empresa eficiente y sostenible, se ha definido un Plan de Acción 2016-2019 para el IDAAN, que será continuado por un plan negocios a ser realizado con la asistencia técnica al IDAAN, que incluye mejorar su desempeño financiero gradualmente en los próximos ejercicios. Se prevén en dicho plan acciones técnicas, operacionales, administrativas, comerciales y financieras orientadas a mejorar los ingresos (instalación y lectura de micro medidores, actualización de catastros de usuarios, entre otras) así como a reducir los gastos (reducción de los niveles de ANC, optimización de las operaciones de los sistemas, plan de eficiencia energética, entre otras) de manera tal que mejoren progresivamente los principales indicadores de desempeño operativo y financiero del IDAAN, los cuales serán monitoreados anualmente. Las obras de optimización del sistema de producción y distribución de agua potable de este programa están orientadas a mejorar la calidad del servicio y hacerlo más eficiente, optimizando sus costos de O&amp;M; igualmente el contrato de asistencia técnica al IDAAN mejorará, entre otros aspectos, la recaudación de la entidad y disminuirá el costo operativo medio por galón facturado en el AMP, contribuyendo así a la sostenibilidad del servicio. Será una condición contractual de sostenibilidad financiera el compromiso del prestatario de transferir oportunamente al IDAAN recursos del presupuesto nacional en caso de que los ingresos por tarifas no cubran los gastos de administración y O&amp;M. Igualmente será obligación contractual la presentación, por parte del IDAAN, de los estados financieros auditados de la entidad, dentro de los 180 días siguientes al cierre de cada ejercicio económico</w:t>
            </w:r>
            <w:r w:rsidR="00A43762">
              <w:rPr>
                <w:sz w:val="18"/>
                <w:szCs w:val="18"/>
              </w:rPr>
              <w:t>.</w:t>
            </w:r>
          </w:p>
        </w:tc>
      </w:tr>
      <w:tr w:rsidR="00D459B5" w:rsidRPr="006834C6" w14:paraId="78E9A4F4" w14:textId="77777777" w:rsidTr="00D459B5">
        <w:trPr>
          <w:jc w:val="center"/>
        </w:trPr>
        <w:tc>
          <w:tcPr>
            <w:tcW w:w="1897" w:type="dxa"/>
            <w:shd w:val="clear" w:color="auto" w:fill="auto"/>
          </w:tcPr>
          <w:p w14:paraId="7FC955B8" w14:textId="77777777" w:rsidR="00D459B5" w:rsidRPr="009834A9" w:rsidRDefault="00D459B5" w:rsidP="008B5897">
            <w:pPr>
              <w:rPr>
                <w:sz w:val="18"/>
                <w:szCs w:val="18"/>
                <w:lang w:val="es-ES_tradnl"/>
              </w:rPr>
            </w:pPr>
            <w:r w:rsidRPr="009834A9">
              <w:rPr>
                <w:bCs/>
                <w:sz w:val="18"/>
                <w:szCs w:val="18"/>
                <w:lang w:val="es-ES_tradnl"/>
              </w:rPr>
              <w:t>2. Evaluación Económica</w:t>
            </w:r>
          </w:p>
        </w:tc>
        <w:tc>
          <w:tcPr>
            <w:tcW w:w="3177" w:type="dxa"/>
            <w:shd w:val="clear" w:color="auto" w:fill="auto"/>
          </w:tcPr>
          <w:p w14:paraId="69EA8294" w14:textId="77777777" w:rsidR="00D459B5" w:rsidRPr="009834A9" w:rsidRDefault="00D459B5" w:rsidP="008B5897">
            <w:pPr>
              <w:jc w:val="both"/>
              <w:rPr>
                <w:sz w:val="18"/>
                <w:szCs w:val="18"/>
                <w:lang w:val="es-ES_tradnl"/>
              </w:rPr>
            </w:pPr>
            <w:r w:rsidRPr="009834A9">
              <w:rPr>
                <w:sz w:val="18"/>
                <w:szCs w:val="18"/>
                <w:lang w:val="es-ES_tradnl"/>
              </w:rPr>
              <w:t xml:space="preserve">Los proyectos de servicios públicos domiciliarios deberán ser económicamente rentables [de acuerdo a las metodologías de evaluación costo </w:t>
            </w:r>
            <w:r w:rsidRPr="009834A9">
              <w:rPr>
                <w:sz w:val="18"/>
                <w:szCs w:val="18"/>
                <w:lang w:val="es-ES_tradnl"/>
              </w:rPr>
              <w:lastRenderedPageBreak/>
              <w:t>beneficio y costo efectividad utilizadas y aceptadas por el Banco.]</w:t>
            </w:r>
          </w:p>
        </w:tc>
        <w:tc>
          <w:tcPr>
            <w:tcW w:w="3556" w:type="dxa"/>
            <w:shd w:val="clear" w:color="auto" w:fill="auto"/>
          </w:tcPr>
          <w:p w14:paraId="64A06904" w14:textId="6B2F58F2" w:rsidR="00D459B5" w:rsidRPr="00B77FF1" w:rsidRDefault="00CF6940" w:rsidP="008B5897">
            <w:pPr>
              <w:spacing w:before="120" w:after="120"/>
              <w:jc w:val="both"/>
              <w:rPr>
                <w:b/>
                <w:color w:val="FF0000"/>
                <w:sz w:val="18"/>
                <w:szCs w:val="18"/>
                <w:lang w:val="es-ES"/>
              </w:rPr>
            </w:pPr>
            <w:r w:rsidRPr="00CF6940">
              <w:rPr>
                <w:sz w:val="18"/>
                <w:szCs w:val="18"/>
                <w:lang w:val="es-ES"/>
              </w:rPr>
              <w:lastRenderedPageBreak/>
              <w:t>Se elaboró un análisis costo-beneficio al proyecto de inversión.</w:t>
            </w:r>
            <w:r w:rsidR="00E86EB7">
              <w:rPr>
                <w:sz w:val="18"/>
                <w:szCs w:val="18"/>
                <w:lang w:val="es-ES"/>
              </w:rPr>
              <w:t xml:space="preserve"> </w:t>
            </w:r>
            <w:r w:rsidRPr="00CF6940">
              <w:rPr>
                <w:sz w:val="18"/>
                <w:szCs w:val="18"/>
                <w:lang w:val="es-ES"/>
              </w:rPr>
              <w:t xml:space="preserve">Los beneficios del proyecto provienen del valor dado por los usuarios del sistema a la eliminación del </w:t>
            </w:r>
            <w:r w:rsidRPr="00CF6940">
              <w:rPr>
                <w:sz w:val="18"/>
                <w:szCs w:val="18"/>
                <w:lang w:val="es-ES"/>
              </w:rPr>
              <w:lastRenderedPageBreak/>
              <w:t xml:space="preserve">racionamiento y al ahorro de costos al reducir el agua no contabilizada. El proyecto es económicamente viable con una Tasas Internas de Retorno Económica (TIRE) de 14,37% y un valor presente neto de US$ 16 millones. Se elaboró un análisis de sensibilidad a los principales supuestos de la evaluación económica, demostrando la robustez de los resultados </w:t>
            </w:r>
          </w:p>
        </w:tc>
      </w:tr>
    </w:tbl>
    <w:p w14:paraId="159C9CE0" w14:textId="77777777" w:rsidR="00813650" w:rsidRDefault="00813650" w:rsidP="00BD68A5">
      <w:pPr>
        <w:jc w:val="center"/>
        <w:rPr>
          <w:b/>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3167"/>
        <w:gridCol w:w="3569"/>
      </w:tblGrid>
      <w:tr w:rsidR="000F1306" w:rsidRPr="0039287D" w14:paraId="11F135C0" w14:textId="77777777" w:rsidTr="00A22BAE">
        <w:trPr>
          <w:tblHeader/>
          <w:jc w:val="center"/>
        </w:trPr>
        <w:tc>
          <w:tcPr>
            <w:tcW w:w="2129" w:type="dxa"/>
            <w:shd w:val="clear" w:color="auto" w:fill="C0C0C0"/>
          </w:tcPr>
          <w:p w14:paraId="343B011C" w14:textId="77777777" w:rsidR="000F1306" w:rsidRPr="00A22BAE" w:rsidRDefault="000F1306" w:rsidP="000F1306">
            <w:pPr>
              <w:rPr>
                <w:b/>
                <w:sz w:val="18"/>
                <w:szCs w:val="18"/>
                <w:lang w:val="es-ES_tradnl"/>
              </w:rPr>
            </w:pPr>
            <w:r w:rsidRPr="00A22BAE">
              <w:rPr>
                <w:b/>
                <w:sz w:val="18"/>
                <w:szCs w:val="18"/>
                <w:lang w:val="es-ES_tradnl"/>
              </w:rPr>
              <w:t>Objetivos de la Política</w:t>
            </w:r>
          </w:p>
          <w:p w14:paraId="56A670CD" w14:textId="77777777" w:rsidR="000F1306" w:rsidRPr="00D06EBC" w:rsidRDefault="000F1306" w:rsidP="000F1306">
            <w:pPr>
              <w:rPr>
                <w:sz w:val="18"/>
                <w:szCs w:val="18"/>
                <w:lang w:val="es-ES_tradnl"/>
              </w:rPr>
            </w:pPr>
          </w:p>
        </w:tc>
        <w:tc>
          <w:tcPr>
            <w:tcW w:w="3799" w:type="dxa"/>
            <w:shd w:val="clear" w:color="auto" w:fill="C0C0C0"/>
          </w:tcPr>
          <w:p w14:paraId="4A425C50" w14:textId="77777777" w:rsidR="000F1306" w:rsidRPr="009876DD" w:rsidRDefault="000F1306" w:rsidP="000F1306">
            <w:pPr>
              <w:rPr>
                <w:b/>
                <w:sz w:val="18"/>
                <w:szCs w:val="18"/>
                <w:lang w:val="es-ES_tradnl"/>
              </w:rPr>
            </w:pPr>
            <w:r w:rsidRPr="009876DD">
              <w:rPr>
                <w:b/>
                <w:sz w:val="18"/>
                <w:szCs w:val="18"/>
                <w:lang w:val="es-ES_tradnl"/>
              </w:rPr>
              <w:t xml:space="preserve">Descripción </w:t>
            </w:r>
          </w:p>
        </w:tc>
        <w:tc>
          <w:tcPr>
            <w:tcW w:w="4307" w:type="dxa"/>
            <w:shd w:val="clear" w:color="auto" w:fill="C0C0C0"/>
          </w:tcPr>
          <w:p w14:paraId="6EDC3BDB" w14:textId="77777777" w:rsidR="000F1306" w:rsidRPr="009876DD" w:rsidRDefault="000F1306" w:rsidP="000F1306">
            <w:pPr>
              <w:rPr>
                <w:b/>
                <w:sz w:val="18"/>
                <w:szCs w:val="18"/>
                <w:lang w:val="es-ES_tradnl"/>
              </w:rPr>
            </w:pPr>
            <w:r w:rsidRPr="009876DD">
              <w:rPr>
                <w:b/>
                <w:sz w:val="18"/>
                <w:szCs w:val="18"/>
                <w:lang w:val="es-ES_tradnl"/>
              </w:rPr>
              <w:t>Comentarios</w:t>
            </w:r>
          </w:p>
        </w:tc>
      </w:tr>
      <w:tr w:rsidR="009834A9" w:rsidRPr="006834C6" w14:paraId="76A28610" w14:textId="77777777" w:rsidTr="00F97646">
        <w:trPr>
          <w:jc w:val="center"/>
        </w:trPr>
        <w:tc>
          <w:tcPr>
            <w:tcW w:w="2129" w:type="dxa"/>
            <w:shd w:val="clear" w:color="auto" w:fill="auto"/>
          </w:tcPr>
          <w:p w14:paraId="6DA7BD85" w14:textId="77777777" w:rsidR="000F1306" w:rsidRPr="009834A9" w:rsidRDefault="000F1306" w:rsidP="000F1306">
            <w:pPr>
              <w:rPr>
                <w:sz w:val="18"/>
                <w:szCs w:val="18"/>
                <w:lang w:val="es-ES_tradnl"/>
              </w:rPr>
            </w:pPr>
            <w:r w:rsidRPr="009834A9">
              <w:rPr>
                <w:bCs/>
                <w:sz w:val="18"/>
                <w:szCs w:val="18"/>
                <w:lang w:val="es-ES_tradnl"/>
              </w:rPr>
              <w:t>1. Fomentar el Acceso</w:t>
            </w:r>
          </w:p>
        </w:tc>
        <w:tc>
          <w:tcPr>
            <w:tcW w:w="3799" w:type="dxa"/>
            <w:shd w:val="clear" w:color="auto" w:fill="auto"/>
          </w:tcPr>
          <w:p w14:paraId="571E8F0D" w14:textId="77777777" w:rsidR="000F1306" w:rsidRPr="009834A9" w:rsidRDefault="000F1306" w:rsidP="000F1306">
            <w:pPr>
              <w:rPr>
                <w:sz w:val="18"/>
                <w:szCs w:val="18"/>
                <w:lang w:val="es-ES_tradnl"/>
              </w:rPr>
            </w:pPr>
            <w:r w:rsidRPr="009834A9">
              <w:rPr>
                <w:sz w:val="18"/>
                <w:szCs w:val="18"/>
                <w:lang w:val="es-ES_tradnl"/>
              </w:rPr>
              <w:t>Las políticas deben promover el acceso a todos los usuarios, especialme</w:t>
            </w:r>
            <w:r w:rsidR="00CD359B">
              <w:rPr>
                <w:sz w:val="18"/>
                <w:szCs w:val="18"/>
                <w:lang w:val="es-ES_tradnl"/>
              </w:rPr>
              <w:t xml:space="preserve">nte a las comunidades y grupos </w:t>
            </w:r>
            <w:r w:rsidRPr="009834A9">
              <w:rPr>
                <w:sz w:val="18"/>
                <w:szCs w:val="18"/>
                <w:lang w:val="es-ES_tradnl"/>
              </w:rPr>
              <w:t xml:space="preserve">más desfavorecidos. </w:t>
            </w:r>
          </w:p>
        </w:tc>
        <w:tc>
          <w:tcPr>
            <w:tcW w:w="4307" w:type="dxa"/>
            <w:shd w:val="clear" w:color="auto" w:fill="auto"/>
          </w:tcPr>
          <w:p w14:paraId="4A62C9C0" w14:textId="26DE6BF3" w:rsidR="00B36D02" w:rsidRDefault="004113A8" w:rsidP="00C34AA2">
            <w:pPr>
              <w:jc w:val="both"/>
              <w:rPr>
                <w:sz w:val="18"/>
                <w:szCs w:val="18"/>
                <w:lang w:val="es-ES_tradnl"/>
              </w:rPr>
            </w:pPr>
            <w:r>
              <w:rPr>
                <w:sz w:val="18"/>
                <w:szCs w:val="18"/>
                <w:lang w:val="es-ES_tradnl"/>
              </w:rPr>
              <w:t>Dentro del Plan Nacional de Seguridad Hídrica (PNSH) 2015-2050, en la meta No. 1 se incluye el acceso universal al agua potable de calidad y servicios de saneamiento, y para el logro de esta meta se incluyen actividades como la mejoras a la eficiencia de los servicios de agua potable y saneamiento, el incremento de la cobertura de los servicio</w:t>
            </w:r>
            <w:r w:rsidR="002314DB">
              <w:rPr>
                <w:sz w:val="18"/>
                <w:szCs w:val="18"/>
                <w:lang w:val="es-ES_tradnl"/>
              </w:rPr>
              <w:t>s de agua potable (</w:t>
            </w:r>
            <w:r>
              <w:rPr>
                <w:sz w:val="18"/>
                <w:szCs w:val="18"/>
                <w:lang w:val="es-ES_tradnl"/>
              </w:rPr>
              <w:t xml:space="preserve">en el año 2020 se prevé cubrir el </w:t>
            </w:r>
            <w:r w:rsidR="00A13E77">
              <w:rPr>
                <w:sz w:val="18"/>
                <w:szCs w:val="18"/>
                <w:lang w:val="es-ES_tradnl"/>
              </w:rPr>
              <w:t>suministro</w:t>
            </w:r>
            <w:r>
              <w:rPr>
                <w:sz w:val="18"/>
                <w:szCs w:val="18"/>
                <w:lang w:val="es-ES_tradnl"/>
              </w:rPr>
              <w:t xml:space="preserve"> de agua potable en 9</w:t>
            </w:r>
            <w:r w:rsidR="00A90835">
              <w:rPr>
                <w:sz w:val="18"/>
                <w:szCs w:val="18"/>
                <w:lang w:val="es-ES_tradnl"/>
              </w:rPr>
              <w:t>6</w:t>
            </w:r>
            <w:r>
              <w:rPr>
                <w:sz w:val="18"/>
                <w:szCs w:val="18"/>
                <w:lang w:val="es-ES_tradnl"/>
              </w:rPr>
              <w:t>% de la población</w:t>
            </w:r>
            <w:r w:rsidR="00A13E77">
              <w:rPr>
                <w:sz w:val="18"/>
                <w:szCs w:val="18"/>
                <w:lang w:val="es-ES_tradnl"/>
              </w:rPr>
              <w:t>)</w:t>
            </w:r>
            <w:r>
              <w:rPr>
                <w:sz w:val="18"/>
                <w:szCs w:val="18"/>
                <w:lang w:val="es-ES_tradnl"/>
              </w:rPr>
              <w:t>, el incremento de la cobertura de saneamiento básico</w:t>
            </w:r>
            <w:r w:rsidR="00A13E77">
              <w:rPr>
                <w:sz w:val="18"/>
                <w:szCs w:val="18"/>
                <w:lang w:val="es-ES_tradnl"/>
              </w:rPr>
              <w:t xml:space="preserve"> (construcción de plantas de tratamiento y alcantarillado sanitario</w:t>
            </w:r>
            <w:r w:rsidR="00A90835">
              <w:rPr>
                <w:sz w:val="18"/>
                <w:szCs w:val="18"/>
                <w:lang w:val="es-ES_tradnl"/>
              </w:rPr>
              <w:t>, al 2020 se espera que 60% de los hogares urbanos cuenten con conexión al alcantarillado sanitario y al tratamiento</w:t>
            </w:r>
            <w:r w:rsidR="00A13E77">
              <w:rPr>
                <w:sz w:val="18"/>
                <w:szCs w:val="18"/>
                <w:lang w:val="es-ES_tradnl"/>
              </w:rPr>
              <w:t>),</w:t>
            </w:r>
            <w:r>
              <w:rPr>
                <w:sz w:val="18"/>
                <w:szCs w:val="18"/>
                <w:lang w:val="es-ES_tradnl"/>
              </w:rPr>
              <w:t xml:space="preserve"> y la planificación de las demandas de agua y saneamiento a nivel nacional y local.</w:t>
            </w:r>
            <w:r w:rsidR="00F27EFC">
              <w:rPr>
                <w:sz w:val="18"/>
                <w:szCs w:val="18"/>
                <w:lang w:val="es-ES_tradnl"/>
              </w:rPr>
              <w:t xml:space="preserve"> Igualmente, un eje transversal de los </w:t>
            </w:r>
            <w:r w:rsidR="002314DB">
              <w:rPr>
                <w:sz w:val="18"/>
                <w:szCs w:val="18"/>
                <w:lang w:val="es-ES_tradnl"/>
              </w:rPr>
              <w:t>l</w:t>
            </w:r>
            <w:r w:rsidR="00F27EFC">
              <w:rPr>
                <w:sz w:val="18"/>
                <w:szCs w:val="18"/>
                <w:lang w:val="es-ES_tradnl"/>
              </w:rPr>
              <w:t>ineamientos de la Política Nacional de Agua Potable y Saneamiento</w:t>
            </w:r>
            <w:r w:rsidR="00E10175">
              <w:rPr>
                <w:sz w:val="18"/>
                <w:szCs w:val="18"/>
                <w:lang w:val="es-ES_tradnl"/>
              </w:rPr>
              <w:t xml:space="preserve"> (PNAPS)</w:t>
            </w:r>
            <w:r w:rsidR="00F27EFC">
              <w:rPr>
                <w:sz w:val="18"/>
                <w:szCs w:val="18"/>
                <w:lang w:val="es-ES_tradnl"/>
              </w:rPr>
              <w:t xml:space="preserve"> 2017- 2030 </w:t>
            </w:r>
            <w:r w:rsidR="00AC4F13">
              <w:rPr>
                <w:sz w:val="18"/>
                <w:szCs w:val="18"/>
                <w:lang w:val="es-ES_tradnl"/>
              </w:rPr>
              <w:t xml:space="preserve">incluye el cumplimiento real y disfrute de pleno del derecho humano al acceso al agua y saneamiento, incluyendo la meta de que el 100% de la población disfrute en 2030 de servicios de agua potable </w:t>
            </w:r>
            <w:r w:rsidR="00A90835">
              <w:rPr>
                <w:sz w:val="18"/>
                <w:szCs w:val="18"/>
                <w:lang w:val="es-ES_tradnl"/>
              </w:rPr>
              <w:t>24 horas, 7 días a la semana</w:t>
            </w:r>
            <w:r w:rsidR="00AC4F13">
              <w:rPr>
                <w:sz w:val="18"/>
                <w:szCs w:val="18"/>
                <w:lang w:val="es-ES_tradnl"/>
              </w:rPr>
              <w:t>.</w:t>
            </w:r>
          </w:p>
          <w:p w14:paraId="4AE2B765" w14:textId="77777777" w:rsidR="00C34AA2" w:rsidRPr="009834A9" w:rsidRDefault="00C34AA2" w:rsidP="00C34AA2">
            <w:pPr>
              <w:jc w:val="both"/>
              <w:rPr>
                <w:sz w:val="18"/>
                <w:szCs w:val="18"/>
                <w:lang w:val="es-ES_tradnl"/>
              </w:rPr>
            </w:pPr>
          </w:p>
        </w:tc>
      </w:tr>
      <w:tr w:rsidR="000F1306" w:rsidRPr="006834C6" w14:paraId="1F0D25F1" w14:textId="77777777" w:rsidTr="00F97646">
        <w:trPr>
          <w:jc w:val="center"/>
        </w:trPr>
        <w:tc>
          <w:tcPr>
            <w:tcW w:w="2129" w:type="dxa"/>
            <w:shd w:val="clear" w:color="auto" w:fill="auto"/>
          </w:tcPr>
          <w:p w14:paraId="53FE14FD" w14:textId="77777777" w:rsidR="000F1306" w:rsidRPr="00D06EBC" w:rsidRDefault="000F1306" w:rsidP="00776571">
            <w:pPr>
              <w:jc w:val="both"/>
              <w:rPr>
                <w:sz w:val="18"/>
                <w:szCs w:val="18"/>
                <w:lang w:val="es-ES_tradnl"/>
              </w:rPr>
            </w:pPr>
            <w:r w:rsidRPr="00D06EBC">
              <w:rPr>
                <w:bCs/>
                <w:sz w:val="18"/>
                <w:szCs w:val="18"/>
                <w:lang w:val="es-ES_tradnl"/>
              </w:rPr>
              <w:t>2. Suministrar el acceso al servicio en condiciones de confiabilidad y calidad adecuadas</w:t>
            </w:r>
          </w:p>
        </w:tc>
        <w:tc>
          <w:tcPr>
            <w:tcW w:w="3799" w:type="dxa"/>
            <w:shd w:val="clear" w:color="auto" w:fill="auto"/>
          </w:tcPr>
          <w:p w14:paraId="55780D71" w14:textId="77777777" w:rsidR="000F1306" w:rsidRPr="009876DD" w:rsidRDefault="000F1306" w:rsidP="00776571">
            <w:pPr>
              <w:jc w:val="both"/>
              <w:rPr>
                <w:sz w:val="18"/>
                <w:szCs w:val="18"/>
                <w:lang w:val="es-ES_tradnl"/>
              </w:rPr>
            </w:pPr>
            <w:r w:rsidRPr="009876DD">
              <w:rPr>
                <w:sz w:val="18"/>
                <w:szCs w:val="18"/>
                <w:lang w:val="es-ES_tradnl"/>
              </w:rPr>
              <w:t>Es importante asegurar que las variaciones de costo guarden un equilibrio apropiado con los cambios en la calidad del servicio. Este equilibrio sólo puede obtenerse mediante una estricta reglamentación de la calidad del servicio. El marco reglamentario debe contener procedimientos mediante los cuales se definan claramente las normas de calidad y se controlen y hagan cumplir por medio de un sistema de sanciones e incentivos.</w:t>
            </w:r>
          </w:p>
        </w:tc>
        <w:tc>
          <w:tcPr>
            <w:tcW w:w="4307" w:type="dxa"/>
            <w:shd w:val="clear" w:color="auto" w:fill="auto"/>
          </w:tcPr>
          <w:p w14:paraId="144E688A" w14:textId="35AD5F2E" w:rsidR="0083233B" w:rsidRPr="00F013D5" w:rsidRDefault="004873B6" w:rsidP="00C34AA2">
            <w:pPr>
              <w:pStyle w:val="ListBullet"/>
              <w:numPr>
                <w:ilvl w:val="0"/>
                <w:numId w:val="0"/>
              </w:numPr>
              <w:rPr>
                <w:rFonts w:eastAsiaTheme="minorHAnsi"/>
                <w:sz w:val="18"/>
                <w:szCs w:val="18"/>
                <w:lang w:val="es-ES_tradnl"/>
              </w:rPr>
            </w:pPr>
            <w:r w:rsidRPr="00E41048">
              <w:rPr>
                <w:rFonts w:ascii="Times New Roman" w:eastAsiaTheme="minorHAnsi" w:hAnsi="Times New Roman"/>
                <w:bCs/>
                <w:color w:val="000000"/>
                <w:sz w:val="18"/>
                <w:szCs w:val="18"/>
                <w:lang w:val="es-ES_tradnl"/>
              </w:rPr>
              <w:t>El Decreto Ley No. 2 del 27 de enero de 1997 establece el marco institucional y regulatorio para la prestación de los servicios d</w:t>
            </w:r>
            <w:r>
              <w:rPr>
                <w:rFonts w:ascii="Times New Roman" w:eastAsiaTheme="minorHAnsi" w:hAnsi="Times New Roman"/>
                <w:bCs/>
                <w:color w:val="000000"/>
                <w:sz w:val="18"/>
                <w:szCs w:val="18"/>
                <w:lang w:val="es-ES_tradnl"/>
              </w:rPr>
              <w:t>e Agua Potable y Saneamiento (Ay</w:t>
            </w:r>
            <w:r w:rsidRPr="00E41048">
              <w:rPr>
                <w:rFonts w:ascii="Times New Roman" w:eastAsiaTheme="minorHAnsi" w:hAnsi="Times New Roman"/>
                <w:bCs/>
                <w:color w:val="000000"/>
                <w:sz w:val="18"/>
                <w:szCs w:val="18"/>
                <w:lang w:val="es-ES_tradnl"/>
              </w:rPr>
              <w:t xml:space="preserve">S), </w:t>
            </w:r>
            <w:r>
              <w:rPr>
                <w:rFonts w:ascii="Times New Roman" w:eastAsiaTheme="minorHAnsi" w:hAnsi="Times New Roman"/>
                <w:bCs/>
                <w:color w:val="000000"/>
                <w:sz w:val="18"/>
                <w:szCs w:val="18"/>
                <w:lang w:val="es-ES_tradnl"/>
              </w:rPr>
              <w:t>asignando</w:t>
            </w:r>
            <w:r w:rsidRPr="00E41048">
              <w:rPr>
                <w:rFonts w:ascii="Times New Roman" w:eastAsiaTheme="minorHAnsi" w:hAnsi="Times New Roman"/>
                <w:bCs/>
                <w:color w:val="000000"/>
                <w:sz w:val="18"/>
                <w:szCs w:val="18"/>
                <w:lang w:val="es-ES_tradnl"/>
              </w:rPr>
              <w:t xml:space="preserve"> las funciones de</w:t>
            </w:r>
            <w:r>
              <w:rPr>
                <w:rFonts w:ascii="Times New Roman" w:eastAsiaTheme="minorHAnsi" w:hAnsi="Times New Roman"/>
                <w:bCs/>
                <w:color w:val="000000"/>
                <w:sz w:val="18"/>
                <w:szCs w:val="18"/>
                <w:lang w:val="es-ES_tradnl"/>
              </w:rPr>
              <w:t xml:space="preserve"> </w:t>
            </w:r>
            <w:r w:rsidRPr="00C072BE">
              <w:rPr>
                <w:rFonts w:ascii="Times New Roman" w:eastAsiaTheme="minorHAnsi" w:hAnsi="Times New Roman"/>
                <w:bCs/>
                <w:color w:val="000000"/>
                <w:sz w:val="18"/>
                <w:szCs w:val="18"/>
                <w:lang w:val="es-ES_tradnl"/>
              </w:rPr>
              <w:t>definición de políticas y planificación del subsecto</w:t>
            </w:r>
            <w:r w:rsidRPr="009027C7">
              <w:rPr>
                <w:rFonts w:ascii="Times New Roman" w:eastAsiaTheme="minorHAnsi" w:hAnsi="Times New Roman"/>
                <w:bCs/>
                <w:color w:val="000000"/>
                <w:sz w:val="18"/>
                <w:szCs w:val="18"/>
                <w:lang w:val="es-ES_tradnl"/>
              </w:rPr>
              <w:t xml:space="preserve">r </w:t>
            </w:r>
            <w:r>
              <w:rPr>
                <w:rFonts w:ascii="Times New Roman" w:eastAsiaTheme="minorHAnsi" w:hAnsi="Times New Roman"/>
                <w:bCs/>
                <w:color w:val="000000"/>
                <w:sz w:val="18"/>
                <w:szCs w:val="18"/>
                <w:lang w:val="es-ES_tradnl"/>
              </w:rPr>
              <w:t>de Ay</w:t>
            </w:r>
            <w:r w:rsidRPr="009027C7">
              <w:rPr>
                <w:rFonts w:ascii="Times New Roman" w:eastAsiaTheme="minorHAnsi" w:hAnsi="Times New Roman"/>
                <w:bCs/>
                <w:color w:val="000000"/>
                <w:sz w:val="18"/>
                <w:szCs w:val="18"/>
                <w:lang w:val="es-ES_tradnl"/>
              </w:rPr>
              <w:t xml:space="preserve">S </w:t>
            </w:r>
            <w:r>
              <w:rPr>
                <w:rFonts w:ascii="Times New Roman" w:eastAsiaTheme="minorHAnsi" w:hAnsi="Times New Roman"/>
                <w:bCs/>
                <w:color w:val="000000"/>
                <w:sz w:val="18"/>
                <w:szCs w:val="18"/>
                <w:lang w:val="es-ES_tradnl"/>
              </w:rPr>
              <w:t>al Ministerio de Salud (MINSA), incluyendo la vigilancia de la calidad del agua potable suministrada a la población. El MINSA realiza dichas funciones a través de la</w:t>
            </w:r>
            <w:r w:rsidRPr="00F83F43">
              <w:rPr>
                <w:rFonts w:ascii="Times New Roman" w:eastAsiaTheme="minorHAnsi" w:hAnsi="Times New Roman"/>
                <w:bCs/>
                <w:color w:val="000000"/>
                <w:sz w:val="18"/>
                <w:szCs w:val="18"/>
                <w:lang w:val="es-ES_tradnl"/>
              </w:rPr>
              <w:t xml:space="preserve"> Dirección del Sub-sector de Agua Potable y Alcantarillado Sanitario</w:t>
            </w:r>
            <w:r>
              <w:rPr>
                <w:rFonts w:ascii="Times New Roman" w:eastAsiaTheme="minorHAnsi" w:hAnsi="Times New Roman"/>
                <w:bCs/>
                <w:color w:val="000000"/>
                <w:sz w:val="18"/>
                <w:szCs w:val="18"/>
                <w:lang w:val="es-ES_tradnl"/>
              </w:rPr>
              <w:t xml:space="preserve"> (DISAPAS). El mismo Decreto Ley asignó las funciones de </w:t>
            </w:r>
            <w:r w:rsidRPr="00C072BE">
              <w:rPr>
                <w:rFonts w:ascii="Times New Roman" w:eastAsiaTheme="minorHAnsi" w:hAnsi="Times New Roman"/>
                <w:bCs/>
                <w:color w:val="000000"/>
                <w:sz w:val="18"/>
                <w:szCs w:val="18"/>
                <w:lang w:val="es-ES_tradnl"/>
              </w:rPr>
              <w:t>regulación, fiscalización y control de los servicios</w:t>
            </w:r>
            <w:r>
              <w:rPr>
                <w:rFonts w:ascii="Times New Roman" w:eastAsiaTheme="minorHAnsi" w:hAnsi="Times New Roman"/>
                <w:bCs/>
                <w:color w:val="000000"/>
                <w:sz w:val="18"/>
                <w:szCs w:val="18"/>
                <w:lang w:val="es-ES_tradnl"/>
              </w:rPr>
              <w:t xml:space="preserve"> al Ente Regulador (que en 2006 se constituyó en la Autoridad Nacional de Servicios Públicos, ASEP).</w:t>
            </w:r>
            <w:r w:rsidRPr="009027C7">
              <w:rPr>
                <w:rFonts w:ascii="Times New Roman" w:eastAsiaTheme="minorHAnsi" w:hAnsi="Times New Roman"/>
                <w:bCs/>
                <w:color w:val="000000"/>
                <w:sz w:val="18"/>
                <w:szCs w:val="18"/>
                <w:lang w:val="es-ES_tradnl"/>
              </w:rPr>
              <w:t xml:space="preserve"> P</w:t>
            </w:r>
            <w:r w:rsidRPr="00C072BE">
              <w:rPr>
                <w:rFonts w:ascii="Times New Roman" w:eastAsiaTheme="minorHAnsi" w:hAnsi="Times New Roman"/>
                <w:bCs/>
                <w:color w:val="000000"/>
                <w:sz w:val="18"/>
                <w:szCs w:val="18"/>
                <w:lang w:val="es-ES_tradnl"/>
              </w:rPr>
              <w:t>ara cubrir sus gastos de funcionamiento, la A</w:t>
            </w:r>
            <w:r>
              <w:rPr>
                <w:rFonts w:ascii="Times New Roman" w:eastAsiaTheme="minorHAnsi" w:hAnsi="Times New Roman"/>
                <w:bCs/>
                <w:color w:val="000000"/>
                <w:sz w:val="18"/>
                <w:szCs w:val="18"/>
                <w:lang w:val="es-ES_tradnl"/>
              </w:rPr>
              <w:t>SEP</w:t>
            </w:r>
            <w:r w:rsidRPr="00C072BE">
              <w:rPr>
                <w:rFonts w:ascii="Times New Roman" w:eastAsiaTheme="minorHAnsi" w:hAnsi="Times New Roman"/>
                <w:bCs/>
                <w:color w:val="000000"/>
                <w:sz w:val="18"/>
                <w:szCs w:val="18"/>
                <w:lang w:val="es-ES_tradnl"/>
              </w:rPr>
              <w:t xml:space="preserve"> cuenta con el recurso de la tasa de regulación por los servicios de control, vigilancia </w:t>
            </w:r>
            <w:r w:rsidRPr="009027C7">
              <w:rPr>
                <w:rFonts w:ascii="Times New Roman" w:eastAsiaTheme="minorHAnsi" w:hAnsi="Times New Roman"/>
                <w:bCs/>
                <w:color w:val="000000"/>
                <w:sz w:val="18"/>
                <w:szCs w:val="18"/>
                <w:lang w:val="es-ES_tradnl"/>
              </w:rPr>
              <w:t xml:space="preserve">y fiscalización </w:t>
            </w:r>
            <w:r>
              <w:rPr>
                <w:rFonts w:ascii="Times New Roman" w:eastAsiaTheme="minorHAnsi" w:hAnsi="Times New Roman"/>
                <w:bCs/>
                <w:color w:val="000000"/>
                <w:sz w:val="18"/>
                <w:szCs w:val="18"/>
                <w:lang w:val="es-ES_tradnl"/>
              </w:rPr>
              <w:t>de</w:t>
            </w:r>
            <w:r w:rsidRPr="00C072BE">
              <w:rPr>
                <w:rFonts w:ascii="Times New Roman" w:eastAsiaTheme="minorHAnsi" w:hAnsi="Times New Roman"/>
                <w:bCs/>
                <w:color w:val="000000"/>
                <w:sz w:val="18"/>
                <w:szCs w:val="18"/>
                <w:lang w:val="es-ES_tradnl"/>
              </w:rPr>
              <w:t xml:space="preserve"> las empresas prestadoras de servicios públicos</w:t>
            </w:r>
            <w:r>
              <w:rPr>
                <w:rFonts w:ascii="Times New Roman" w:eastAsiaTheme="minorHAnsi" w:hAnsi="Times New Roman"/>
                <w:bCs/>
                <w:color w:val="000000"/>
                <w:sz w:val="18"/>
                <w:szCs w:val="18"/>
                <w:lang w:val="es-ES_tradnl"/>
              </w:rPr>
              <w:t xml:space="preserve">. </w:t>
            </w:r>
            <w:r w:rsidR="000C6EE2" w:rsidRPr="007A25B9">
              <w:rPr>
                <w:rFonts w:ascii="Times New Roman" w:eastAsiaTheme="minorHAnsi" w:hAnsi="Times New Roman"/>
                <w:sz w:val="18"/>
                <w:szCs w:val="18"/>
                <w:lang w:val="es-ES_tradnl"/>
              </w:rPr>
              <w:t xml:space="preserve">La </w:t>
            </w:r>
            <w:r w:rsidR="000C6EE2" w:rsidRPr="007A25B9">
              <w:rPr>
                <w:rFonts w:ascii="Times New Roman" w:eastAsiaTheme="minorHAnsi" w:hAnsi="Times New Roman"/>
                <w:sz w:val="18"/>
                <w:szCs w:val="18"/>
                <w:lang w:val="es-ES_tradnl"/>
              </w:rPr>
              <w:lastRenderedPageBreak/>
              <w:t>ASEP tiene una capacidad limitada para el ejercicio de sus funciones en el sector de agua y saneamiento</w:t>
            </w:r>
            <w:r w:rsidR="007A25B9" w:rsidRPr="00534BE3">
              <w:rPr>
                <w:rFonts w:ascii="Times New Roman" w:eastAsiaTheme="minorHAnsi" w:hAnsi="Times New Roman"/>
                <w:sz w:val="18"/>
                <w:szCs w:val="18"/>
                <w:lang w:val="es-ES_tradnl"/>
              </w:rPr>
              <w:t xml:space="preserve">. </w:t>
            </w:r>
            <w:r w:rsidR="00B32105">
              <w:rPr>
                <w:rFonts w:ascii="Times New Roman" w:eastAsiaTheme="minorHAnsi" w:hAnsi="Times New Roman"/>
                <w:sz w:val="18"/>
                <w:szCs w:val="18"/>
                <w:lang w:val="es-ES_tradnl"/>
              </w:rPr>
              <w:t>Asimismo, la Dirección del Subsector de Agua Potable y Saneamiento (DISAPAS), es responsable de la definición de disposiciones legales de calidad del agua potable y agua residual y el monitoreo de la calidad del agua de los sistemas de agua potable rurales. En este sentido</w:t>
            </w:r>
            <w:r w:rsidR="00852DFD">
              <w:rPr>
                <w:rFonts w:ascii="Times New Roman" w:eastAsiaTheme="minorHAnsi" w:hAnsi="Times New Roman"/>
                <w:sz w:val="18"/>
                <w:szCs w:val="18"/>
                <w:lang w:val="es-ES_tradnl"/>
              </w:rPr>
              <w:t>,</w:t>
            </w:r>
            <w:r w:rsidR="00A6657A">
              <w:rPr>
                <w:rFonts w:ascii="Times New Roman" w:eastAsiaTheme="minorHAnsi" w:hAnsi="Times New Roman"/>
                <w:sz w:val="18"/>
                <w:szCs w:val="18"/>
                <w:lang w:val="es-ES_tradnl"/>
              </w:rPr>
              <w:t xml:space="preserve"> en la normativa técnica del sector existen</w:t>
            </w:r>
            <w:r w:rsidR="00852DFD">
              <w:rPr>
                <w:rFonts w:ascii="Times New Roman" w:eastAsiaTheme="minorHAnsi" w:hAnsi="Times New Roman"/>
                <w:sz w:val="18"/>
                <w:szCs w:val="18"/>
                <w:lang w:val="es-ES_tradnl"/>
              </w:rPr>
              <w:t xml:space="preserve"> reglamento</w:t>
            </w:r>
            <w:r w:rsidR="00132320">
              <w:rPr>
                <w:rFonts w:ascii="Times New Roman" w:eastAsiaTheme="minorHAnsi" w:hAnsi="Times New Roman"/>
                <w:sz w:val="18"/>
                <w:szCs w:val="18"/>
                <w:lang w:val="es-ES_tradnl"/>
              </w:rPr>
              <w:t>s técnicos relativos a la calidad del agua</w:t>
            </w:r>
            <w:r w:rsidR="00A6657A">
              <w:rPr>
                <w:rFonts w:ascii="Times New Roman" w:eastAsiaTheme="minorHAnsi" w:hAnsi="Times New Roman"/>
                <w:sz w:val="18"/>
                <w:szCs w:val="18"/>
                <w:lang w:val="es-ES_tradnl"/>
              </w:rPr>
              <w:t xml:space="preserve"> potable y </w:t>
            </w:r>
            <w:r w:rsidR="003665B1">
              <w:rPr>
                <w:rFonts w:ascii="Times New Roman" w:eastAsiaTheme="minorHAnsi" w:hAnsi="Times New Roman"/>
                <w:sz w:val="18"/>
                <w:szCs w:val="18"/>
                <w:lang w:val="es-ES_tradnl"/>
              </w:rPr>
              <w:t xml:space="preserve">a </w:t>
            </w:r>
            <w:r w:rsidR="00A6657A">
              <w:rPr>
                <w:rFonts w:ascii="Times New Roman" w:eastAsiaTheme="minorHAnsi" w:hAnsi="Times New Roman"/>
                <w:sz w:val="18"/>
                <w:szCs w:val="18"/>
                <w:lang w:val="es-ES_tradnl"/>
              </w:rPr>
              <w:t>aguas residuales</w:t>
            </w:r>
            <w:r w:rsidR="00132320">
              <w:rPr>
                <w:rFonts w:ascii="Times New Roman" w:eastAsiaTheme="minorHAnsi" w:hAnsi="Times New Roman"/>
                <w:sz w:val="18"/>
                <w:szCs w:val="18"/>
                <w:lang w:val="es-ES_tradnl"/>
              </w:rPr>
              <w:t>, como son</w:t>
            </w:r>
            <w:r w:rsidR="00A6657A">
              <w:rPr>
                <w:rFonts w:ascii="Times New Roman" w:eastAsiaTheme="minorHAnsi" w:hAnsi="Times New Roman"/>
                <w:sz w:val="18"/>
                <w:szCs w:val="18"/>
                <w:lang w:val="es-ES_tradnl"/>
              </w:rPr>
              <w:t>, entre otros</w:t>
            </w:r>
            <w:r w:rsidR="00132320">
              <w:rPr>
                <w:rFonts w:ascii="Times New Roman" w:eastAsiaTheme="minorHAnsi" w:hAnsi="Times New Roman"/>
                <w:sz w:val="18"/>
                <w:szCs w:val="18"/>
                <w:lang w:val="es-ES_tradnl"/>
              </w:rPr>
              <w:t xml:space="preserve">: </w:t>
            </w:r>
            <w:r w:rsidR="00132320" w:rsidRPr="00132320">
              <w:rPr>
                <w:rFonts w:ascii="Times New Roman" w:eastAsiaTheme="minorHAnsi" w:hAnsi="Times New Roman"/>
                <w:sz w:val="18"/>
                <w:szCs w:val="18"/>
                <w:lang w:val="es-ES_tradnl"/>
              </w:rPr>
              <w:t>23-395-99</w:t>
            </w:r>
            <w:r w:rsidR="00132320">
              <w:rPr>
                <w:rFonts w:ascii="Times New Roman" w:eastAsiaTheme="minorHAnsi" w:hAnsi="Times New Roman"/>
                <w:sz w:val="18"/>
                <w:szCs w:val="18"/>
                <w:lang w:val="es-ES_tradnl"/>
              </w:rPr>
              <w:t xml:space="preserve"> (</w:t>
            </w:r>
            <w:r w:rsidR="009368DF">
              <w:rPr>
                <w:rFonts w:ascii="Times New Roman" w:eastAsiaTheme="minorHAnsi" w:hAnsi="Times New Roman"/>
                <w:sz w:val="18"/>
                <w:szCs w:val="18"/>
                <w:lang w:val="es-ES_tradnl"/>
              </w:rPr>
              <w:t>Agua Potable</w:t>
            </w:r>
            <w:r w:rsidR="00A6657A">
              <w:rPr>
                <w:rFonts w:ascii="Times New Roman" w:eastAsiaTheme="minorHAnsi" w:hAnsi="Times New Roman"/>
                <w:sz w:val="18"/>
                <w:szCs w:val="18"/>
                <w:lang w:val="es-ES_tradnl"/>
              </w:rPr>
              <w:t xml:space="preserve">), y </w:t>
            </w:r>
            <w:r w:rsidR="00A6657A" w:rsidRPr="00A6657A">
              <w:rPr>
                <w:rFonts w:ascii="Times New Roman" w:eastAsiaTheme="minorHAnsi" w:hAnsi="Times New Roman"/>
                <w:sz w:val="18"/>
                <w:szCs w:val="18"/>
                <w:lang w:val="es-ES_tradnl"/>
              </w:rPr>
              <w:t>Reglamento Técnico DGNTI-COPANIT 35-2000</w:t>
            </w:r>
            <w:r w:rsidR="00A6657A">
              <w:rPr>
                <w:rFonts w:ascii="Times New Roman" w:eastAsiaTheme="minorHAnsi" w:hAnsi="Times New Roman"/>
                <w:sz w:val="18"/>
                <w:szCs w:val="18"/>
                <w:lang w:val="es-ES_tradnl"/>
              </w:rPr>
              <w:t xml:space="preserve"> (</w:t>
            </w:r>
            <w:r w:rsidR="00A6657A" w:rsidRPr="00A6657A">
              <w:rPr>
                <w:rFonts w:ascii="Times New Roman" w:eastAsiaTheme="minorHAnsi" w:hAnsi="Times New Roman"/>
                <w:sz w:val="18"/>
                <w:szCs w:val="18"/>
                <w:lang w:val="es-ES_tradnl"/>
              </w:rPr>
              <w:t>descarga de efluentes líquidos directamente a cuerpos de agua y masas de agua superficiales y subterráneas</w:t>
            </w:r>
            <w:r w:rsidR="00A6657A">
              <w:rPr>
                <w:rFonts w:ascii="Times New Roman" w:eastAsiaTheme="minorHAnsi" w:hAnsi="Times New Roman"/>
                <w:sz w:val="18"/>
                <w:szCs w:val="18"/>
                <w:lang w:val="es-ES_tradnl"/>
              </w:rPr>
              <w:t>)</w:t>
            </w:r>
            <w:r w:rsidR="00412214">
              <w:rPr>
                <w:rFonts w:ascii="Times New Roman" w:eastAsiaTheme="minorHAnsi" w:hAnsi="Times New Roman"/>
                <w:sz w:val="18"/>
                <w:szCs w:val="18"/>
                <w:lang w:val="es-ES_tradnl"/>
              </w:rPr>
              <w:t xml:space="preserve"> y DGNTI-COPANIT 39-2000 (descarga de efluentes líquidos directamente a sistemas de recolección de aguas residuales)</w:t>
            </w:r>
            <w:r w:rsidR="00A6657A">
              <w:rPr>
                <w:rFonts w:ascii="Times New Roman" w:eastAsiaTheme="minorHAnsi" w:hAnsi="Times New Roman"/>
                <w:sz w:val="18"/>
                <w:szCs w:val="18"/>
                <w:lang w:val="es-ES_tradnl"/>
              </w:rPr>
              <w:t>.</w:t>
            </w:r>
          </w:p>
        </w:tc>
      </w:tr>
      <w:tr w:rsidR="009834A9" w:rsidRPr="006834C6" w14:paraId="170C0061" w14:textId="77777777" w:rsidTr="00F97646">
        <w:trPr>
          <w:jc w:val="center"/>
        </w:trPr>
        <w:tc>
          <w:tcPr>
            <w:tcW w:w="2129" w:type="dxa"/>
            <w:shd w:val="clear" w:color="auto" w:fill="auto"/>
          </w:tcPr>
          <w:p w14:paraId="567554AF" w14:textId="77777777" w:rsidR="000F1306" w:rsidRPr="009834A9" w:rsidRDefault="000F1306" w:rsidP="000F1306">
            <w:pPr>
              <w:rPr>
                <w:bCs/>
                <w:sz w:val="18"/>
                <w:szCs w:val="18"/>
                <w:lang w:val="es-ES_tradnl"/>
              </w:rPr>
            </w:pPr>
            <w:r w:rsidRPr="009834A9">
              <w:rPr>
                <w:bCs/>
                <w:sz w:val="18"/>
                <w:szCs w:val="18"/>
                <w:lang w:val="es-ES_tradnl"/>
              </w:rPr>
              <w:lastRenderedPageBreak/>
              <w:t>3. Suministrar un servicio en condiciones de eficiencia</w:t>
            </w:r>
          </w:p>
        </w:tc>
        <w:tc>
          <w:tcPr>
            <w:tcW w:w="3799" w:type="dxa"/>
            <w:shd w:val="clear" w:color="auto" w:fill="auto"/>
          </w:tcPr>
          <w:p w14:paraId="6E3E9803" w14:textId="77777777" w:rsidR="000F1306" w:rsidRPr="009834A9" w:rsidRDefault="000F1306" w:rsidP="000F1306">
            <w:pPr>
              <w:rPr>
                <w:sz w:val="18"/>
                <w:szCs w:val="18"/>
                <w:lang w:val="es-ES_tradnl"/>
              </w:rPr>
            </w:pPr>
            <w:r w:rsidRPr="009834A9">
              <w:rPr>
                <w:sz w:val="18"/>
                <w:szCs w:val="18"/>
                <w:lang w:val="es-ES_tradnl"/>
              </w:rPr>
              <w:t>Debe asegurarse que, desde el punto de vista de la oferta, los servicios se proveen con los menores costos posibles.</w:t>
            </w:r>
          </w:p>
        </w:tc>
        <w:tc>
          <w:tcPr>
            <w:tcW w:w="4307" w:type="dxa"/>
            <w:shd w:val="clear" w:color="auto" w:fill="auto"/>
          </w:tcPr>
          <w:p w14:paraId="725A8E24" w14:textId="6A6B3E62" w:rsidR="0083233B" w:rsidRPr="00014BD1" w:rsidRDefault="00014BD1" w:rsidP="00C34AA2">
            <w:pPr>
              <w:spacing w:before="120" w:after="120"/>
              <w:jc w:val="both"/>
              <w:rPr>
                <w:rFonts w:eastAsiaTheme="minorHAnsi"/>
                <w:sz w:val="18"/>
                <w:szCs w:val="18"/>
                <w:lang w:val="es-ES_tradnl" w:eastAsia="en-NZ"/>
              </w:rPr>
            </w:pPr>
            <w:r>
              <w:rPr>
                <w:rFonts w:eastAsiaTheme="minorHAnsi"/>
                <w:sz w:val="18"/>
                <w:szCs w:val="18"/>
                <w:lang w:val="es-ES_tradnl" w:eastAsia="en-NZ"/>
              </w:rPr>
              <w:t>En el sector, d</w:t>
            </w:r>
            <w:r w:rsidR="00CC368B">
              <w:rPr>
                <w:rFonts w:eastAsiaTheme="minorHAnsi"/>
                <w:sz w:val="18"/>
                <w:szCs w:val="18"/>
                <w:lang w:val="es-ES_tradnl" w:eastAsia="en-NZ"/>
              </w:rPr>
              <w:t>entro del PNSH 2015 -2050 se incluyen acciones tendientes a incrementar la eficiencia de los sistemas de provisión de agua potable, a través de la inversión en actualización y mejora de las instalaciones de provisión del servicio, control y monitoreo, programas de reducción de agua no contabilizada y de implementación de la cultura de consumo responsable. El PNSH también incluye propuestas de modernización del marco normativo e institucional, a través de propuestas de ordenamiento de la gobernanza integral del agua, y mejoras de los sistemas de información climática, planificación y monitoreo. Estas acciones permitirán optimizar las inversiones requeridas para expandir los servicios y aumentar la cobertura, y reducir costos de operación y mantenimiento.</w:t>
            </w:r>
            <w:r w:rsidR="00344F3E" w:rsidRPr="00802700">
              <w:rPr>
                <w:rFonts w:eastAsiaTheme="minorHAnsi"/>
                <w:sz w:val="18"/>
                <w:szCs w:val="18"/>
                <w:lang w:val="es-ES_tradnl" w:eastAsia="en-NZ"/>
              </w:rPr>
              <w:t xml:space="preserve"> </w:t>
            </w:r>
            <w:r w:rsidRPr="00014BD1">
              <w:rPr>
                <w:rFonts w:eastAsiaTheme="minorHAnsi"/>
                <w:sz w:val="18"/>
                <w:szCs w:val="18"/>
                <w:lang w:val="es-ES_tradnl" w:eastAsia="en-NZ"/>
              </w:rPr>
              <w:t>Durante el diseño de los proyectos, se ha verificado que se ha realizado un análisis de alternativas que ha permitido identificar la de mínimo costo, lo que asegura la provisión de los servicios mediante la nueva infraestructura bajo esta condición. Los proyectos</w:t>
            </w:r>
            <w:r w:rsidR="00E130DA">
              <w:rPr>
                <w:rFonts w:eastAsiaTheme="minorHAnsi"/>
                <w:sz w:val="18"/>
                <w:szCs w:val="18"/>
                <w:lang w:val="es-ES_tradnl" w:eastAsia="en-NZ"/>
              </w:rPr>
              <w:t xml:space="preserve"> del </w:t>
            </w:r>
            <w:r w:rsidR="000D0662">
              <w:rPr>
                <w:rFonts w:eastAsiaTheme="minorHAnsi"/>
                <w:sz w:val="18"/>
                <w:szCs w:val="18"/>
                <w:lang w:val="es-ES_tradnl" w:eastAsia="en-NZ"/>
              </w:rPr>
              <w:t>programa</w:t>
            </w:r>
            <w:r w:rsidRPr="00014BD1">
              <w:rPr>
                <w:rFonts w:eastAsiaTheme="minorHAnsi"/>
                <w:sz w:val="18"/>
                <w:szCs w:val="18"/>
                <w:lang w:val="es-ES_tradnl" w:eastAsia="en-NZ"/>
              </w:rPr>
              <w:t xml:space="preserve"> han sido desarrollados de acuerdo con las normas y principios de la ingeniería generalmente aceptados y aprovechando las experiencias adquiridas durante la ejecución de proyectos similares en otros programas. Los estudios realizados han permitido estimar los costos de inversión de cada proyecto y establecer los cronogramas de ejecución de </w:t>
            </w:r>
            <w:r w:rsidR="000D0662" w:rsidRPr="00014BD1">
              <w:rPr>
                <w:rFonts w:eastAsiaTheme="minorHAnsi"/>
                <w:sz w:val="18"/>
                <w:szCs w:val="18"/>
                <w:lang w:val="es-ES_tradnl" w:eastAsia="en-NZ"/>
              </w:rPr>
              <w:t>las obras</w:t>
            </w:r>
            <w:r>
              <w:rPr>
                <w:rFonts w:eastAsiaTheme="minorHAnsi"/>
                <w:sz w:val="18"/>
                <w:szCs w:val="18"/>
                <w:lang w:val="es-ES_tradnl" w:eastAsia="en-NZ"/>
              </w:rPr>
              <w:t>.</w:t>
            </w:r>
          </w:p>
        </w:tc>
      </w:tr>
      <w:tr w:rsidR="009834A9" w:rsidRPr="006834C6" w14:paraId="563BF1D9" w14:textId="77777777" w:rsidTr="00F97646">
        <w:trPr>
          <w:jc w:val="center"/>
        </w:trPr>
        <w:tc>
          <w:tcPr>
            <w:tcW w:w="2129" w:type="dxa"/>
            <w:tcBorders>
              <w:bottom w:val="single" w:sz="4" w:space="0" w:color="auto"/>
            </w:tcBorders>
            <w:shd w:val="clear" w:color="auto" w:fill="auto"/>
          </w:tcPr>
          <w:p w14:paraId="4277421C" w14:textId="77777777" w:rsidR="000F1306" w:rsidRPr="009834A9" w:rsidRDefault="000F1306" w:rsidP="000F1306">
            <w:pPr>
              <w:rPr>
                <w:bCs/>
                <w:sz w:val="18"/>
                <w:szCs w:val="18"/>
                <w:lang w:val="es-ES_tradnl"/>
              </w:rPr>
            </w:pPr>
            <w:r w:rsidRPr="009834A9">
              <w:rPr>
                <w:bCs/>
                <w:sz w:val="18"/>
                <w:szCs w:val="18"/>
                <w:lang w:val="es-ES_tradnl"/>
              </w:rPr>
              <w:t>4. Generar incentivos adecuados a la demanda de servicios.</w:t>
            </w:r>
          </w:p>
        </w:tc>
        <w:tc>
          <w:tcPr>
            <w:tcW w:w="3799" w:type="dxa"/>
            <w:tcBorders>
              <w:bottom w:val="single" w:sz="4" w:space="0" w:color="auto"/>
            </w:tcBorders>
            <w:shd w:val="clear" w:color="auto" w:fill="auto"/>
          </w:tcPr>
          <w:p w14:paraId="743000D7" w14:textId="77777777" w:rsidR="000F1306" w:rsidRPr="009834A9" w:rsidRDefault="000F1306" w:rsidP="000F1306">
            <w:pPr>
              <w:rPr>
                <w:sz w:val="18"/>
                <w:szCs w:val="18"/>
                <w:lang w:val="es-ES_tradnl"/>
              </w:rPr>
            </w:pPr>
            <w:r w:rsidRPr="009834A9">
              <w:rPr>
                <w:sz w:val="18"/>
                <w:szCs w:val="18"/>
                <w:lang w:val="es-ES_tradnl"/>
              </w:rPr>
              <w:t>Debe velarse porque existan los incentivos adecuados para que los usuarios hagan un uso de estos servicios compatible con su sostenibilidad económica, financiera y ambiental</w:t>
            </w:r>
          </w:p>
        </w:tc>
        <w:tc>
          <w:tcPr>
            <w:tcW w:w="4307" w:type="dxa"/>
            <w:tcBorders>
              <w:bottom w:val="single" w:sz="4" w:space="0" w:color="auto"/>
            </w:tcBorders>
            <w:shd w:val="clear" w:color="auto" w:fill="auto"/>
          </w:tcPr>
          <w:p w14:paraId="709D1BAF" w14:textId="1CE6711B" w:rsidR="000F1306" w:rsidRPr="009834A9" w:rsidRDefault="000109BD" w:rsidP="00C34AA2">
            <w:pPr>
              <w:spacing w:after="120"/>
              <w:jc w:val="both"/>
              <w:rPr>
                <w:sz w:val="18"/>
                <w:szCs w:val="18"/>
                <w:lang w:val="es-ES_tradnl"/>
              </w:rPr>
            </w:pPr>
            <w:r w:rsidRPr="000109BD">
              <w:rPr>
                <w:rFonts w:eastAsiaTheme="minorHAnsi"/>
                <w:sz w:val="18"/>
                <w:szCs w:val="18"/>
                <w:lang w:val="es-ES_tradnl" w:eastAsia="en-NZ"/>
              </w:rPr>
              <w:t>El IDAAN promueve el uso eficiente del agua en los hogares de poblaciones urbanas</w:t>
            </w:r>
            <w:r w:rsidR="000D0662">
              <w:rPr>
                <w:rFonts w:eastAsiaTheme="minorHAnsi"/>
                <w:sz w:val="18"/>
                <w:szCs w:val="18"/>
                <w:lang w:val="es-ES_tradnl" w:eastAsia="en-NZ"/>
              </w:rPr>
              <w:t xml:space="preserve"> a</w:t>
            </w:r>
            <w:r>
              <w:rPr>
                <w:rFonts w:eastAsiaTheme="minorHAnsi"/>
                <w:sz w:val="18"/>
                <w:szCs w:val="18"/>
                <w:lang w:val="es-ES_tradnl" w:eastAsia="en-NZ"/>
              </w:rPr>
              <w:t xml:space="preserve"> través de sus programas. </w:t>
            </w:r>
            <w:r w:rsidR="008B0300" w:rsidRPr="00392656">
              <w:rPr>
                <w:rFonts w:eastAsiaTheme="minorHAnsi"/>
                <w:sz w:val="18"/>
                <w:szCs w:val="18"/>
                <w:lang w:val="es-ES_tradnl" w:eastAsia="en-NZ"/>
              </w:rPr>
              <w:t>La estructura tarifaria existente</w:t>
            </w:r>
            <w:r w:rsidR="003D1DBC" w:rsidRPr="00392656">
              <w:rPr>
                <w:rFonts w:eastAsiaTheme="minorHAnsi"/>
                <w:sz w:val="18"/>
                <w:szCs w:val="18"/>
                <w:lang w:val="es-ES_tradnl" w:eastAsia="en-NZ"/>
              </w:rPr>
              <w:t xml:space="preserve"> del IDAAN</w:t>
            </w:r>
            <w:r w:rsidR="008B0300" w:rsidRPr="00392656">
              <w:rPr>
                <w:rFonts w:eastAsiaTheme="minorHAnsi"/>
                <w:sz w:val="18"/>
                <w:szCs w:val="18"/>
                <w:lang w:val="es-ES_tradnl" w:eastAsia="en-NZ"/>
              </w:rPr>
              <w:t xml:space="preserve"> permite que la mayoría de los habitantes tengan acceso. Sin embargo, incentiva a consumir </w:t>
            </w:r>
            <w:r w:rsidR="00412214">
              <w:rPr>
                <w:rFonts w:eastAsiaTheme="minorHAnsi"/>
                <w:sz w:val="18"/>
                <w:szCs w:val="18"/>
                <w:lang w:val="es-ES_tradnl" w:eastAsia="en-NZ"/>
              </w:rPr>
              <w:t>30</w:t>
            </w:r>
            <w:r w:rsidR="00412214" w:rsidRPr="00392656">
              <w:rPr>
                <w:rFonts w:eastAsiaTheme="minorHAnsi"/>
                <w:sz w:val="18"/>
                <w:szCs w:val="18"/>
                <w:lang w:val="es-ES_tradnl" w:eastAsia="en-NZ"/>
              </w:rPr>
              <w:t xml:space="preserve"> </w:t>
            </w:r>
            <w:r w:rsidR="008B0300" w:rsidRPr="00392656">
              <w:rPr>
                <w:rFonts w:eastAsiaTheme="minorHAnsi"/>
                <w:sz w:val="18"/>
                <w:szCs w:val="18"/>
                <w:lang w:val="es-ES_tradnl" w:eastAsia="en-NZ"/>
              </w:rPr>
              <w:t>m</w:t>
            </w:r>
            <w:r w:rsidR="008B0300" w:rsidRPr="00507356">
              <w:rPr>
                <w:rFonts w:eastAsiaTheme="minorHAnsi"/>
                <w:sz w:val="18"/>
                <w:szCs w:val="18"/>
                <w:vertAlign w:val="superscript"/>
                <w:lang w:val="es-ES_tradnl" w:eastAsia="en-NZ"/>
              </w:rPr>
              <w:t>3</w:t>
            </w:r>
            <w:r w:rsidR="008B0300" w:rsidRPr="00392656">
              <w:rPr>
                <w:rFonts w:eastAsiaTheme="minorHAnsi"/>
                <w:sz w:val="18"/>
                <w:szCs w:val="18"/>
                <w:lang w:val="es-ES_tradnl" w:eastAsia="en-NZ"/>
              </w:rPr>
              <w:t xml:space="preserve"> mes por familia ya que este es el valor mínimo cobrado a cada usuario</w:t>
            </w:r>
            <w:r w:rsidR="006C7A2C">
              <w:rPr>
                <w:rFonts w:eastAsiaTheme="minorHAnsi"/>
                <w:sz w:val="18"/>
                <w:szCs w:val="18"/>
                <w:lang w:val="es-ES_tradnl" w:eastAsia="en-NZ"/>
              </w:rPr>
              <w:t xml:space="preserve">, </w:t>
            </w:r>
            <w:r w:rsidR="008B0300" w:rsidRPr="00392656">
              <w:rPr>
                <w:rFonts w:eastAsiaTheme="minorHAnsi"/>
                <w:sz w:val="18"/>
                <w:szCs w:val="18"/>
                <w:lang w:val="es-ES_tradnl" w:eastAsia="en-NZ"/>
              </w:rPr>
              <w:t xml:space="preserve">mientras </w:t>
            </w:r>
            <w:r w:rsidR="006C7A2C">
              <w:rPr>
                <w:rFonts w:eastAsiaTheme="minorHAnsi"/>
                <w:sz w:val="18"/>
                <w:szCs w:val="18"/>
                <w:lang w:val="es-ES_tradnl" w:eastAsia="en-NZ"/>
              </w:rPr>
              <w:t xml:space="preserve">la media de la región </w:t>
            </w:r>
            <w:r>
              <w:rPr>
                <w:rFonts w:eastAsiaTheme="minorHAnsi"/>
                <w:sz w:val="18"/>
                <w:szCs w:val="18"/>
                <w:lang w:val="es-ES_tradnl" w:eastAsia="en-NZ"/>
              </w:rPr>
              <w:t>este volumen</w:t>
            </w:r>
            <w:r w:rsidR="00921972">
              <w:rPr>
                <w:rFonts w:eastAsiaTheme="minorHAnsi"/>
                <w:sz w:val="18"/>
                <w:szCs w:val="18"/>
                <w:lang w:val="es-ES_tradnl" w:eastAsia="en-NZ"/>
              </w:rPr>
              <w:t xml:space="preserve"> mínimo</w:t>
            </w:r>
            <w:r w:rsidR="006C7A2C">
              <w:rPr>
                <w:rFonts w:eastAsiaTheme="minorHAnsi"/>
                <w:sz w:val="18"/>
                <w:szCs w:val="18"/>
                <w:lang w:val="es-ES_tradnl" w:eastAsia="en-NZ"/>
              </w:rPr>
              <w:t xml:space="preserve"> es inferior.</w:t>
            </w:r>
            <w:r w:rsidR="00A0596A">
              <w:rPr>
                <w:rFonts w:eastAsiaTheme="minorHAnsi"/>
                <w:sz w:val="18"/>
                <w:szCs w:val="18"/>
                <w:lang w:val="es-ES_tradnl" w:eastAsia="en-NZ"/>
              </w:rPr>
              <w:t xml:space="preserve"> </w:t>
            </w:r>
            <w:r w:rsidR="00A0596A" w:rsidRPr="00A0596A">
              <w:rPr>
                <w:rFonts w:eastAsiaTheme="minorHAnsi"/>
                <w:sz w:val="18"/>
                <w:szCs w:val="18"/>
                <w:lang w:val="es-ES_tradnl" w:eastAsia="en-NZ"/>
              </w:rPr>
              <w:t xml:space="preserve">Varios aspectos incluidos en los proyectos a financiar en el marco del PNSH incluyen incentivos al uso de los servicios de agua y saneamiento; i) en el caso del agua, la mejora esperada en la continuidad del suministro y en la calidad del agua asociada a dicha continuidad (de acuerdo con los resultados de </w:t>
            </w:r>
            <w:r w:rsidR="00446EED">
              <w:rPr>
                <w:rFonts w:eastAsiaTheme="minorHAnsi"/>
                <w:sz w:val="18"/>
                <w:szCs w:val="18"/>
                <w:lang w:val="es-ES_tradnl" w:eastAsia="en-NZ"/>
              </w:rPr>
              <w:t>una</w:t>
            </w:r>
            <w:r w:rsidR="00A0596A" w:rsidRPr="00A0596A">
              <w:rPr>
                <w:rFonts w:eastAsiaTheme="minorHAnsi"/>
                <w:sz w:val="18"/>
                <w:szCs w:val="18"/>
                <w:lang w:val="es-ES_tradnl" w:eastAsia="en-NZ"/>
              </w:rPr>
              <w:t xml:space="preserve"> nota técnica en estudios realizados en Arraiján y </w:t>
            </w:r>
            <w:r w:rsidR="00412214">
              <w:rPr>
                <w:rFonts w:eastAsiaTheme="minorHAnsi"/>
                <w:sz w:val="18"/>
                <w:szCs w:val="18"/>
                <w:lang w:val="es-ES_tradnl" w:eastAsia="en-NZ"/>
              </w:rPr>
              <w:t>La</w:t>
            </w:r>
            <w:r w:rsidR="00A0596A" w:rsidRPr="00A0596A">
              <w:rPr>
                <w:rFonts w:eastAsiaTheme="minorHAnsi"/>
                <w:sz w:val="18"/>
                <w:szCs w:val="18"/>
                <w:lang w:val="es-ES_tradnl" w:eastAsia="en-NZ"/>
              </w:rPr>
              <w:t xml:space="preserve"> Chorrera se identificaron problemas bacteriológicos en el agua distribuida durante los primeros minutos de  retorno del flujo luego de interrupciones del servicio) permitirá aumentar la confianza de la población en la calidad del recurso y ii) en el</w:t>
            </w:r>
            <w:r w:rsidR="00446EED">
              <w:rPr>
                <w:rFonts w:eastAsiaTheme="minorHAnsi"/>
                <w:sz w:val="18"/>
                <w:szCs w:val="18"/>
                <w:lang w:val="es-ES_tradnl" w:eastAsia="en-NZ"/>
              </w:rPr>
              <w:t xml:space="preserve"> caso del alcantarillado, el Gobierno de Panamá</w:t>
            </w:r>
            <w:r w:rsidR="00A0596A" w:rsidRPr="00A0596A">
              <w:rPr>
                <w:rFonts w:eastAsiaTheme="minorHAnsi"/>
                <w:sz w:val="18"/>
                <w:szCs w:val="18"/>
                <w:lang w:val="es-ES_tradnl" w:eastAsia="en-NZ"/>
              </w:rPr>
              <w:t xml:space="preserve"> incluye la adecuación de la sanitaria interna de viviendas para facilitar la conexión a las redes de saneamiento.</w:t>
            </w:r>
          </w:p>
        </w:tc>
      </w:tr>
      <w:tr w:rsidR="009834A9" w:rsidRPr="006834C6" w14:paraId="7B20801C" w14:textId="77777777" w:rsidTr="00F97646">
        <w:trPr>
          <w:jc w:val="center"/>
        </w:trPr>
        <w:tc>
          <w:tcPr>
            <w:tcW w:w="2129" w:type="dxa"/>
            <w:tcBorders>
              <w:bottom w:val="single" w:sz="4" w:space="0" w:color="auto"/>
            </w:tcBorders>
            <w:shd w:val="clear" w:color="auto" w:fill="auto"/>
          </w:tcPr>
          <w:p w14:paraId="54B9F39D" w14:textId="77777777" w:rsidR="000F1306" w:rsidRPr="009834A9" w:rsidRDefault="000F1306" w:rsidP="002E3C4E">
            <w:pPr>
              <w:rPr>
                <w:bCs/>
                <w:sz w:val="18"/>
                <w:szCs w:val="18"/>
                <w:lang w:val="es-ES_tradnl"/>
              </w:rPr>
            </w:pPr>
            <w:r w:rsidRPr="009834A9">
              <w:rPr>
                <w:bCs/>
                <w:sz w:val="18"/>
                <w:szCs w:val="18"/>
                <w:lang w:val="es-ES_tradnl"/>
              </w:rPr>
              <w:t>5. Promover la sostenibilidad de los servicios públicos domiciliarios</w:t>
            </w:r>
          </w:p>
        </w:tc>
        <w:tc>
          <w:tcPr>
            <w:tcW w:w="3799" w:type="dxa"/>
            <w:tcBorders>
              <w:bottom w:val="single" w:sz="4" w:space="0" w:color="auto"/>
            </w:tcBorders>
            <w:shd w:val="clear" w:color="auto" w:fill="auto"/>
          </w:tcPr>
          <w:p w14:paraId="7CC3A972" w14:textId="77777777" w:rsidR="000F1306" w:rsidRPr="009834A9" w:rsidRDefault="000F1306" w:rsidP="000F1306">
            <w:pPr>
              <w:rPr>
                <w:sz w:val="18"/>
                <w:szCs w:val="18"/>
                <w:lang w:val="es-ES_tradnl"/>
              </w:rPr>
            </w:pPr>
            <w:r w:rsidRPr="009834A9">
              <w:rPr>
                <w:sz w:val="18"/>
                <w:szCs w:val="18"/>
                <w:lang w:val="es-ES_tradnl"/>
              </w:rPr>
              <w:t>El alcance de la sostenibilidad de los servicios públicos domiciliarios se promoverá en función de tres pilares:</w:t>
            </w:r>
          </w:p>
          <w:p w14:paraId="79486B54" w14:textId="77777777" w:rsidR="000F1306" w:rsidRPr="009834A9" w:rsidRDefault="000F1306" w:rsidP="000F1306">
            <w:pPr>
              <w:rPr>
                <w:sz w:val="18"/>
                <w:szCs w:val="18"/>
                <w:lang w:val="es-ES_tradnl"/>
              </w:rPr>
            </w:pPr>
          </w:p>
          <w:p w14:paraId="6A4A6B87" w14:textId="77777777" w:rsidR="000F1306" w:rsidRPr="009834A9" w:rsidRDefault="000F1306" w:rsidP="000F1306">
            <w:pPr>
              <w:rPr>
                <w:sz w:val="18"/>
                <w:szCs w:val="18"/>
                <w:lang w:val="es-ES_tradnl"/>
              </w:rPr>
            </w:pPr>
            <w:r w:rsidRPr="009834A9">
              <w:rPr>
                <w:sz w:val="18"/>
                <w:szCs w:val="18"/>
                <w:lang w:val="es-ES_tradnl"/>
              </w:rPr>
              <w:t>a. Sostenibilidad financiera: procurando contar con suficientes ingresos por la prestación del servicio al usuario, con los aportes de la comunidad y con los aportes directos del gobierno que permitan cubrir los costos eficientes de prestación del servicio.</w:t>
            </w:r>
          </w:p>
          <w:p w14:paraId="440BF72E" w14:textId="77777777" w:rsidR="000F1306" w:rsidRPr="009834A9" w:rsidRDefault="000F1306" w:rsidP="000F1306">
            <w:pPr>
              <w:rPr>
                <w:sz w:val="18"/>
                <w:szCs w:val="18"/>
                <w:lang w:val="es-ES_tradnl"/>
              </w:rPr>
            </w:pPr>
          </w:p>
          <w:p w14:paraId="1A167116" w14:textId="77777777" w:rsidR="000F1306" w:rsidRPr="009834A9" w:rsidRDefault="000F1306" w:rsidP="000F1306">
            <w:pPr>
              <w:rPr>
                <w:sz w:val="18"/>
                <w:szCs w:val="18"/>
                <w:lang w:val="es-ES_tradnl"/>
              </w:rPr>
            </w:pPr>
            <w:r w:rsidRPr="009834A9">
              <w:rPr>
                <w:sz w:val="18"/>
                <w:szCs w:val="18"/>
                <w:lang w:val="es-ES_tradnl"/>
              </w:rPr>
              <w:t>b. Sostenibilidad ambiental: apoyando que la selección, ejecución, operación y mantenimiento de los proyectos para prestar el servicio cumplan con las salvaguardias ambientales del Banco y contribuyan al desarrollo de una infraestructura con mayor resiliencia, considerando alternativas viables para mitigar el cambio climático.</w:t>
            </w:r>
          </w:p>
          <w:p w14:paraId="69FD1682" w14:textId="77777777" w:rsidR="000F1306" w:rsidRPr="009834A9" w:rsidRDefault="000F1306" w:rsidP="000F1306">
            <w:pPr>
              <w:rPr>
                <w:sz w:val="18"/>
                <w:szCs w:val="18"/>
                <w:lang w:val="es-ES_tradnl"/>
              </w:rPr>
            </w:pPr>
          </w:p>
          <w:p w14:paraId="2D5557F0" w14:textId="77777777" w:rsidR="000F1306" w:rsidRPr="009834A9" w:rsidRDefault="000F1306" w:rsidP="000F1306">
            <w:pPr>
              <w:rPr>
                <w:sz w:val="18"/>
                <w:szCs w:val="18"/>
                <w:lang w:val="es-ES_tradnl"/>
              </w:rPr>
            </w:pPr>
            <w:r w:rsidRPr="009834A9">
              <w:rPr>
                <w:sz w:val="18"/>
                <w:szCs w:val="18"/>
                <w:lang w:val="es-ES_tradnl"/>
              </w:rPr>
              <w:t>c. Sostenibilidad social: contribuyendo a incrementar el acceso al servicio y previendo mecanismos de consulta con la comunidad sobre los aspectos relevantes de la provisión del servicio.</w:t>
            </w:r>
          </w:p>
        </w:tc>
        <w:tc>
          <w:tcPr>
            <w:tcW w:w="4307" w:type="dxa"/>
            <w:tcBorders>
              <w:bottom w:val="single" w:sz="4" w:space="0" w:color="auto"/>
            </w:tcBorders>
            <w:shd w:val="clear" w:color="auto" w:fill="auto"/>
          </w:tcPr>
          <w:p w14:paraId="4FC680E6" w14:textId="21318616" w:rsidR="00A43762" w:rsidRDefault="000F1306" w:rsidP="00A05AB1">
            <w:pPr>
              <w:pStyle w:val="Paragraph"/>
              <w:numPr>
                <w:ilvl w:val="0"/>
                <w:numId w:val="0"/>
              </w:numPr>
              <w:ind w:left="1"/>
              <w:rPr>
                <w:rFonts w:eastAsiaTheme="minorHAnsi"/>
                <w:color w:val="000000"/>
                <w:sz w:val="18"/>
                <w:szCs w:val="18"/>
                <w:lang w:val="es-ES_tradnl"/>
              </w:rPr>
            </w:pPr>
            <w:r w:rsidRPr="001E688D">
              <w:rPr>
                <w:rFonts w:eastAsiaTheme="minorHAnsi"/>
                <w:i/>
                <w:color w:val="000000"/>
                <w:sz w:val="18"/>
                <w:szCs w:val="18"/>
                <w:lang w:val="es-ES_tradnl"/>
              </w:rPr>
              <w:t>Sostenibilidad Financiera</w:t>
            </w:r>
            <w:r w:rsidR="002121D6" w:rsidRPr="001E688D">
              <w:rPr>
                <w:rFonts w:eastAsiaTheme="minorHAnsi"/>
                <w:color w:val="000000"/>
                <w:sz w:val="18"/>
                <w:szCs w:val="18"/>
                <w:lang w:val="es-ES_tradnl"/>
              </w:rPr>
              <w:t xml:space="preserve">. </w:t>
            </w:r>
            <w:r w:rsidR="00A43762" w:rsidRPr="00A43762">
              <w:rPr>
                <w:rFonts w:eastAsiaTheme="minorHAnsi"/>
                <w:color w:val="000000"/>
                <w:sz w:val="18"/>
                <w:szCs w:val="18"/>
                <w:lang w:val="es-ES_tradnl"/>
              </w:rPr>
              <w:t>El análisis financiero del IDAAN incluyó un análisis histórico basado en los estados financieros e información operativa de la entidad, y el desarrollo de un modelo financiero que proyecte la situación financiera para los próximos ejercicios. En este sentido, el IDAAN muestra actualmente desafíos en sus principales indicadores operativos y financieros. En el marco de la reforma del sector y del IDAAN para transformarlo en una empresa eficiente y sostenible, se ha definido un Plan de Acción 2016-2019 para el IDAAN, que será continuado por un plan negocios a ser realizado con la asistencia técnica al IDAAN, que incluye mejorar su desempeño financiero gradualmente en los próximos ejercicios. Se prevén en dicho plan acciones técnicas, operacionales, administrativas, comerciales y financieras orientadas a mejorar los ingresos (instalación y lectura de micro medidores, actualización de catastros de usuarios, entre otras) así como a reducir los gastos (reducción de los niveles de ANC, optimización de las operaciones de los sistemas, plan de eficiencia energética, entre otras) de manera tal que mejoren progresivamente los principales indicadores de desempeño operativo y financiero del IDAAN, los cuales serán monitoreados anualmente. Las obras de optimización del sistema de producción y distribución de agua potable de este programa están orientadas a mejorar la calidad del servicio y hacerlo más eficiente, optimizando sus costos de O&amp;M; igualmente el contrato de asistencia técnica al IDAAN mejorará, entre otros aspectos, la recaudación de la entidad y disminuirá el costo operativo medio por galón facturado en el AMP, contribuyendo así a la sostenibilidad del servicio. Será una condición contractual de sostenibilidad financiera el compromiso del prestatario de transferir oportunamente al IDAAN recursos del presupuesto nacional en caso de que los ingresos por tarifas no cubran los gastos de administración y O&amp;M. Igualmente será obligación contractual la presentación, por parte del IDAAN, de los estados financieros auditados de la entidad, dentro de los 180 días siguientes al cierre de cada ejercicio económico</w:t>
            </w:r>
            <w:r w:rsidR="00A43762">
              <w:rPr>
                <w:rFonts w:eastAsiaTheme="minorHAnsi"/>
                <w:color w:val="000000"/>
                <w:sz w:val="18"/>
                <w:szCs w:val="18"/>
                <w:lang w:val="es-ES_tradnl"/>
              </w:rPr>
              <w:t>.</w:t>
            </w:r>
          </w:p>
          <w:p w14:paraId="3AB6351E" w14:textId="03851D14" w:rsidR="00F013D5" w:rsidRPr="00412214" w:rsidRDefault="00412214" w:rsidP="007915F7">
            <w:pPr>
              <w:pStyle w:val="Paragraph"/>
              <w:numPr>
                <w:ilvl w:val="0"/>
                <w:numId w:val="0"/>
              </w:numPr>
              <w:ind w:left="50"/>
              <w:rPr>
                <w:rFonts w:eastAsiaTheme="minorHAnsi"/>
                <w:color w:val="000000"/>
                <w:sz w:val="18"/>
                <w:szCs w:val="18"/>
                <w:lang w:val="es-ES_tradnl"/>
              </w:rPr>
            </w:pPr>
            <w:r w:rsidRPr="00507356">
              <w:rPr>
                <w:i/>
                <w:sz w:val="18"/>
                <w:szCs w:val="22"/>
                <w:lang w:val="es-ES_tradnl"/>
              </w:rPr>
              <w:t>Sostenibilidad ambiental</w:t>
            </w:r>
            <w:r>
              <w:rPr>
                <w:i/>
                <w:sz w:val="18"/>
                <w:szCs w:val="22"/>
                <w:lang w:val="es-ES_tradnl"/>
              </w:rPr>
              <w:t xml:space="preserve"> y social</w:t>
            </w:r>
            <w:r w:rsidRPr="00507356">
              <w:rPr>
                <w:i/>
                <w:sz w:val="18"/>
                <w:szCs w:val="22"/>
                <w:lang w:val="es-ES_tradnl"/>
              </w:rPr>
              <w:t>.</w:t>
            </w:r>
            <w:r>
              <w:rPr>
                <w:sz w:val="18"/>
                <w:szCs w:val="22"/>
                <w:lang w:val="es-ES_tradnl"/>
              </w:rPr>
              <w:t xml:space="preserve"> </w:t>
            </w:r>
            <w:r w:rsidR="007915F7" w:rsidRPr="007915F7">
              <w:rPr>
                <w:sz w:val="18"/>
                <w:szCs w:val="22"/>
                <w:lang w:val="es-ES_tradnl"/>
              </w:rPr>
              <w:t xml:space="preserve">En cumplimiento con OP-703, </w:t>
            </w:r>
            <w:r w:rsidR="00D24E95">
              <w:rPr>
                <w:sz w:val="18"/>
                <w:szCs w:val="22"/>
                <w:lang w:val="es-ES_tradnl"/>
              </w:rPr>
              <w:t>el programa</w:t>
            </w:r>
            <w:r w:rsidR="007915F7" w:rsidRPr="007915F7">
              <w:rPr>
                <w:sz w:val="18"/>
                <w:szCs w:val="22"/>
                <w:lang w:val="es-ES_tradnl"/>
              </w:rPr>
              <w:t xml:space="preserve"> fue clasificado como B y el Prestatario elaboró una Análisis Ambiental y Social (AAS), con Planes de Gestión Ambiental y Social (PGAS) asociado, para el proyecto. El AAS incluye la descripción de las características del medio físico y la descripción del entorno social de del área de influencia. En general, no se espera que el proyecto puedas generar impactos ambientales y sociales relevantes. Los principales impactos de las operaciones serán principalmente los asociados a las actividades de construcción (temporales y limitados) en ambiente urbano, especialmente en relación con el tráfico, excavación y remoción de tuberías (que en parte pueden contener amianto), y los posibles impactos sobre la población asociados con la instalación de micro medidores. El PGAS proporciona una estructura preliminar para todos los planes y medidas de mitigación que deben ser desarrolladas antes de las fases de construcción u operación. Sobre el tema de micro medidores, aunque el ASS es completo y analiza todos los impactos sociales y ambientales, el Prestatario, antes de la instalación, deberá desarrollar un estudio socioeconómico de los posibles usuarios. Enfoque del estudio será definir el estado de los usuarios (especialmente los usuarios ilegales) y como la instalación de micro medidores podría afectarlos. Si necesario, basado en los resultados del estudio, el Prestatario deberá implementar planes de comunicaciones y capacitaciones específicos para asegurar continuo apoyo a la parte de usuarios mayormente afectadas. El riesgo de desastres definido por esta Operación es moderado, tipo 1, particularmente asociado a lluvias intensas y posibles inundaciones.</w:t>
            </w:r>
            <w:r w:rsidR="007915F7">
              <w:rPr>
                <w:sz w:val="18"/>
                <w:szCs w:val="22"/>
                <w:lang w:val="es-ES_tradnl"/>
              </w:rPr>
              <w:t xml:space="preserve"> </w:t>
            </w:r>
            <w:r w:rsidR="007915F7" w:rsidRPr="007915F7">
              <w:rPr>
                <w:sz w:val="18"/>
                <w:szCs w:val="22"/>
                <w:lang w:val="es-ES_tradnl"/>
              </w:rPr>
              <w:t>El Prestatario incluyó en el ASS un Plan de Consulta y también entregó un resumen de las actividades de consulta que se hicieron entre el día 8 y el día 15 de septiembre de 2017. La AMP fue dividida en 5 sectores en base a criterios de área geográfica, población, nivel de afectación y tipo de intervención, y se hicieron 5 actividades de consultas para asegurar que todas las partes afectadas (de ambos géneros) fueron involucradas en las actividades.</w:t>
            </w:r>
          </w:p>
        </w:tc>
      </w:tr>
    </w:tbl>
    <w:p w14:paraId="28DFA590" w14:textId="77777777" w:rsidR="000F1306" w:rsidRPr="009876DD" w:rsidRDefault="000F1306" w:rsidP="000F1306">
      <w:pPr>
        <w:rPr>
          <w:lang w:val="es-ES_tradnl"/>
        </w:rPr>
      </w:pPr>
      <w:r w:rsidRPr="009876DD">
        <w:rPr>
          <w:lang w:val="es-ES_tradn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3519"/>
        <w:gridCol w:w="3230"/>
      </w:tblGrid>
      <w:tr w:rsidR="000F1306" w:rsidRPr="00A36229" w14:paraId="0E49B2FA" w14:textId="77777777" w:rsidTr="00A22BAE">
        <w:trPr>
          <w:trHeight w:val="701"/>
          <w:tblHeader/>
          <w:jc w:val="center"/>
        </w:trPr>
        <w:tc>
          <w:tcPr>
            <w:tcW w:w="1968" w:type="dxa"/>
            <w:shd w:val="clear" w:color="auto" w:fill="C0C0C0"/>
          </w:tcPr>
          <w:p w14:paraId="26DF54AA" w14:textId="77777777" w:rsidR="000F1306" w:rsidRPr="009876DD" w:rsidRDefault="000F1306" w:rsidP="000F1306">
            <w:pPr>
              <w:rPr>
                <w:b/>
                <w:sz w:val="18"/>
                <w:szCs w:val="18"/>
                <w:lang w:val="es-ES_tradnl"/>
              </w:rPr>
            </w:pPr>
            <w:r w:rsidRPr="009876DD">
              <w:rPr>
                <w:b/>
                <w:sz w:val="18"/>
                <w:szCs w:val="18"/>
                <w:lang w:val="es-ES_tradnl"/>
              </w:rPr>
              <w:t>Principios de la Política que orientan el diseño de las operaciones del Banco</w:t>
            </w:r>
          </w:p>
        </w:tc>
        <w:tc>
          <w:tcPr>
            <w:tcW w:w="4301" w:type="dxa"/>
            <w:shd w:val="clear" w:color="auto" w:fill="C0C0C0"/>
            <w:vAlign w:val="center"/>
          </w:tcPr>
          <w:p w14:paraId="60BFBEF2" w14:textId="77777777" w:rsidR="000F1306" w:rsidRPr="009876DD" w:rsidRDefault="000F1306" w:rsidP="000F1306">
            <w:pPr>
              <w:jc w:val="center"/>
              <w:rPr>
                <w:b/>
                <w:sz w:val="18"/>
                <w:szCs w:val="18"/>
                <w:lang w:val="es-ES_tradnl"/>
              </w:rPr>
            </w:pPr>
            <w:r w:rsidRPr="009876DD">
              <w:rPr>
                <w:b/>
                <w:sz w:val="18"/>
                <w:szCs w:val="18"/>
                <w:lang w:val="es-ES_tradnl"/>
              </w:rPr>
              <w:t>Descripción</w:t>
            </w:r>
          </w:p>
        </w:tc>
        <w:tc>
          <w:tcPr>
            <w:tcW w:w="3966" w:type="dxa"/>
            <w:shd w:val="clear" w:color="auto" w:fill="C0C0C0"/>
            <w:vAlign w:val="center"/>
          </w:tcPr>
          <w:p w14:paraId="370D24CE" w14:textId="77777777" w:rsidR="000F1306" w:rsidRPr="009876DD" w:rsidRDefault="000F1306" w:rsidP="000F1306">
            <w:pPr>
              <w:jc w:val="center"/>
              <w:rPr>
                <w:b/>
                <w:sz w:val="18"/>
                <w:szCs w:val="18"/>
                <w:lang w:val="es-ES_tradnl"/>
              </w:rPr>
            </w:pPr>
            <w:r w:rsidRPr="009876DD">
              <w:rPr>
                <w:b/>
                <w:sz w:val="18"/>
                <w:szCs w:val="18"/>
                <w:lang w:val="es-ES_tradnl"/>
              </w:rPr>
              <w:t>Comentarios</w:t>
            </w:r>
          </w:p>
        </w:tc>
      </w:tr>
      <w:tr w:rsidR="009834A9" w:rsidRPr="006834C6" w14:paraId="538FD841" w14:textId="77777777" w:rsidTr="00120449">
        <w:trPr>
          <w:jc w:val="center"/>
        </w:trPr>
        <w:tc>
          <w:tcPr>
            <w:tcW w:w="1968" w:type="dxa"/>
            <w:shd w:val="clear" w:color="auto" w:fill="auto"/>
          </w:tcPr>
          <w:p w14:paraId="3C63E6E1" w14:textId="77777777" w:rsidR="000F1306" w:rsidRPr="009834A9" w:rsidRDefault="000F1306" w:rsidP="000F1306">
            <w:pPr>
              <w:rPr>
                <w:b/>
                <w:bCs/>
                <w:sz w:val="18"/>
                <w:szCs w:val="18"/>
                <w:lang w:val="es-ES_tradnl"/>
              </w:rPr>
            </w:pPr>
            <w:r w:rsidRPr="009834A9">
              <w:rPr>
                <w:b/>
                <w:bCs/>
                <w:sz w:val="18"/>
                <w:szCs w:val="18"/>
                <w:lang w:val="es-ES_tradnl"/>
              </w:rPr>
              <w:t xml:space="preserve">1. Apoyar a los países para atender las necesidades básicas </w:t>
            </w:r>
          </w:p>
        </w:tc>
        <w:tc>
          <w:tcPr>
            <w:tcW w:w="4301" w:type="dxa"/>
            <w:shd w:val="clear" w:color="auto" w:fill="auto"/>
          </w:tcPr>
          <w:p w14:paraId="5F9D1935" w14:textId="77777777" w:rsidR="000F1306" w:rsidRPr="009834A9" w:rsidRDefault="000F1306" w:rsidP="000F1306">
            <w:pPr>
              <w:rPr>
                <w:sz w:val="18"/>
                <w:szCs w:val="18"/>
                <w:lang w:val="es-ES_tradnl"/>
              </w:rPr>
            </w:pPr>
            <w:r w:rsidRPr="009834A9">
              <w:rPr>
                <w:sz w:val="18"/>
                <w:szCs w:val="18"/>
                <w:lang w:val="es-ES_tradnl"/>
              </w:rPr>
              <w:t>Se apoyará el desarrollo de esquemas sostenibles que utilicen la combinación costo-eficiencia y las soluciones tecnológicas más apropiadas en función de las características de la demanda y el servicio público para atender las necesidades de acceso de la población, tanto rural como urbana</w:t>
            </w:r>
          </w:p>
        </w:tc>
        <w:tc>
          <w:tcPr>
            <w:tcW w:w="3966" w:type="dxa"/>
            <w:shd w:val="clear" w:color="auto" w:fill="auto"/>
          </w:tcPr>
          <w:p w14:paraId="28DCED6F" w14:textId="67C94A6C" w:rsidR="00EA2BD2" w:rsidRDefault="00412214" w:rsidP="00EA2BD2">
            <w:pPr>
              <w:pStyle w:val="Paragraph"/>
              <w:numPr>
                <w:ilvl w:val="0"/>
                <w:numId w:val="0"/>
              </w:numPr>
              <w:rPr>
                <w:sz w:val="18"/>
                <w:szCs w:val="18"/>
                <w:lang w:val="es-ES_tradnl"/>
              </w:rPr>
            </w:pPr>
            <w:r>
              <w:rPr>
                <w:sz w:val="18"/>
                <w:szCs w:val="18"/>
                <w:lang w:val="es-ES_tradnl"/>
              </w:rPr>
              <w:t>D</w:t>
            </w:r>
            <w:r w:rsidR="00A05B39">
              <w:rPr>
                <w:sz w:val="18"/>
                <w:szCs w:val="18"/>
                <w:lang w:val="es-ES_tradnl"/>
              </w:rPr>
              <w:t xml:space="preserve">entro de </w:t>
            </w:r>
            <w:r w:rsidR="003C789A">
              <w:rPr>
                <w:sz w:val="18"/>
                <w:szCs w:val="18"/>
                <w:lang w:val="es-ES_tradnl"/>
              </w:rPr>
              <w:t xml:space="preserve">las 5 metas del PNSH 2015 -2050 </w:t>
            </w:r>
            <w:r w:rsidR="00A05B39">
              <w:rPr>
                <w:sz w:val="18"/>
                <w:szCs w:val="18"/>
                <w:lang w:val="es-ES_tradnl"/>
              </w:rPr>
              <w:t xml:space="preserve">se </w:t>
            </w:r>
            <w:r w:rsidR="003C789A">
              <w:rPr>
                <w:sz w:val="18"/>
                <w:szCs w:val="18"/>
                <w:lang w:val="es-ES_tradnl"/>
              </w:rPr>
              <w:t xml:space="preserve">incluye: Acceso universal al agua de calidad y servicios de </w:t>
            </w:r>
            <w:r w:rsidR="003C789A" w:rsidRPr="00412214">
              <w:rPr>
                <w:sz w:val="18"/>
                <w:szCs w:val="18"/>
                <w:lang w:val="es-ES_tradnl"/>
              </w:rPr>
              <w:t>saneamiento (</w:t>
            </w:r>
            <w:r w:rsidR="003C789A" w:rsidRPr="00507356">
              <w:rPr>
                <w:sz w:val="18"/>
                <w:szCs w:val="18"/>
                <w:lang w:val="es-ES_tradnl"/>
              </w:rPr>
              <w:t xml:space="preserve">en el año 2020 se prevé cubrir el suministro de agua potable </w:t>
            </w:r>
            <w:r w:rsidR="005D67A3" w:rsidRPr="00507356">
              <w:rPr>
                <w:sz w:val="18"/>
                <w:szCs w:val="18"/>
                <w:lang w:val="es-ES_tradnl"/>
              </w:rPr>
              <w:t>al 96% de los hogares y el 60% de cobertura urbana con alcantarillado sanitario</w:t>
            </w:r>
            <w:r w:rsidR="003C789A" w:rsidRPr="00507356">
              <w:rPr>
                <w:sz w:val="18"/>
                <w:szCs w:val="18"/>
                <w:lang w:val="es-ES_tradnl"/>
              </w:rPr>
              <w:t>),</w:t>
            </w:r>
            <w:r w:rsidR="003C789A" w:rsidRPr="00412214">
              <w:rPr>
                <w:sz w:val="18"/>
                <w:szCs w:val="18"/>
                <w:lang w:val="es-ES_tradnl"/>
              </w:rPr>
              <w:t xml:space="preserve"> agua para el crecimiento socio económico inclusivo, gestión preventiva</w:t>
            </w:r>
            <w:r w:rsidR="003C789A">
              <w:rPr>
                <w:sz w:val="18"/>
                <w:szCs w:val="18"/>
                <w:lang w:val="es-ES_tradnl"/>
              </w:rPr>
              <w:t xml:space="preserve"> de riesgos relacionados con el agua, cuencas hidrográficas saludables y sostenibilidad hídrica.</w:t>
            </w:r>
            <w:r w:rsidR="00E10175">
              <w:rPr>
                <w:sz w:val="18"/>
                <w:szCs w:val="18"/>
                <w:lang w:val="es-ES_tradnl"/>
              </w:rPr>
              <w:t xml:space="preserve"> Igualmente, en los </w:t>
            </w:r>
            <w:r w:rsidR="002314DB">
              <w:rPr>
                <w:sz w:val="18"/>
                <w:szCs w:val="18"/>
                <w:lang w:val="es-ES_tradnl"/>
              </w:rPr>
              <w:t xml:space="preserve">lineamientos de la </w:t>
            </w:r>
            <w:r w:rsidR="00DD1549">
              <w:rPr>
                <w:sz w:val="18"/>
                <w:szCs w:val="18"/>
                <w:lang w:val="es-ES_tradnl"/>
              </w:rPr>
              <w:t>Política Nacional de Agua Potable y Saneamiento (</w:t>
            </w:r>
            <w:r w:rsidR="00E10175">
              <w:rPr>
                <w:sz w:val="18"/>
                <w:szCs w:val="18"/>
                <w:lang w:val="es-ES_tradnl"/>
              </w:rPr>
              <w:t>PNAPS</w:t>
            </w:r>
            <w:r w:rsidR="00DD1549">
              <w:rPr>
                <w:sz w:val="18"/>
                <w:szCs w:val="18"/>
                <w:lang w:val="es-ES_tradnl"/>
              </w:rPr>
              <w:t xml:space="preserve">) </w:t>
            </w:r>
            <w:r w:rsidR="00790BE6">
              <w:rPr>
                <w:sz w:val="18"/>
                <w:szCs w:val="18"/>
                <w:lang w:val="es-ES_tradnl"/>
              </w:rPr>
              <w:t>2017-2030</w:t>
            </w:r>
            <w:r w:rsidR="00DD1549">
              <w:rPr>
                <w:sz w:val="18"/>
                <w:szCs w:val="18"/>
                <w:lang w:val="es-ES_tradnl"/>
              </w:rPr>
              <w:t xml:space="preserve"> </w:t>
            </w:r>
            <w:r w:rsidR="00790BE6">
              <w:rPr>
                <w:sz w:val="18"/>
                <w:szCs w:val="18"/>
                <w:lang w:val="es-ES_tradnl"/>
              </w:rPr>
              <w:t>se incluye</w:t>
            </w:r>
            <w:r w:rsidR="00CF6D80">
              <w:rPr>
                <w:sz w:val="18"/>
                <w:szCs w:val="18"/>
                <w:lang w:val="es-ES_tradnl"/>
              </w:rPr>
              <w:t>, entre otros,</w:t>
            </w:r>
            <w:r w:rsidR="00790BE6">
              <w:rPr>
                <w:sz w:val="18"/>
                <w:szCs w:val="18"/>
                <w:lang w:val="es-ES_tradnl"/>
              </w:rPr>
              <w:t xml:space="preserve"> el objetivo general de lograr </w:t>
            </w:r>
            <w:r w:rsidR="005D67A3">
              <w:rPr>
                <w:sz w:val="18"/>
                <w:szCs w:val="18"/>
                <w:lang w:val="es-ES_tradnl"/>
              </w:rPr>
              <w:t xml:space="preserve">al 2030 </w:t>
            </w:r>
            <w:r w:rsidR="00790BE6">
              <w:rPr>
                <w:sz w:val="18"/>
                <w:szCs w:val="18"/>
                <w:lang w:val="es-ES_tradnl"/>
              </w:rPr>
              <w:t xml:space="preserve">que el 100% de la población cuente con servicios de calidad en </w:t>
            </w:r>
            <w:r w:rsidR="00CF6D80">
              <w:rPr>
                <w:sz w:val="18"/>
                <w:szCs w:val="18"/>
                <w:lang w:val="es-ES_tradnl"/>
              </w:rPr>
              <w:t>a</w:t>
            </w:r>
            <w:r w:rsidR="00790BE6">
              <w:rPr>
                <w:sz w:val="18"/>
                <w:szCs w:val="18"/>
                <w:lang w:val="es-ES_tradnl"/>
              </w:rPr>
              <w:t>gua potable y saneamiento</w:t>
            </w:r>
            <w:r w:rsidR="00CF6D80">
              <w:rPr>
                <w:sz w:val="18"/>
                <w:szCs w:val="18"/>
                <w:lang w:val="es-ES_tradnl"/>
              </w:rPr>
              <w:t>, así como identificar</w:t>
            </w:r>
            <w:r w:rsidR="00426A8C">
              <w:rPr>
                <w:sz w:val="18"/>
                <w:szCs w:val="18"/>
                <w:lang w:val="es-ES_tradnl"/>
              </w:rPr>
              <w:t xml:space="preserve"> las tecnologías de recolección, tratamiento y disposición de aguas residuales mediante la aplicación de actividades distribuidas en dos subprogramas, que permitan minimizar </w:t>
            </w:r>
            <w:r w:rsidR="00D97950">
              <w:rPr>
                <w:sz w:val="18"/>
                <w:szCs w:val="18"/>
                <w:lang w:val="es-ES_tradnl"/>
              </w:rPr>
              <w:t>o evitar la contaminación de los recursos hídricos en Panamá.</w:t>
            </w:r>
            <w:r w:rsidR="00ED1C91">
              <w:rPr>
                <w:sz w:val="18"/>
                <w:szCs w:val="18"/>
                <w:lang w:val="es-ES_tradnl"/>
              </w:rPr>
              <w:t xml:space="preserve"> </w:t>
            </w:r>
            <w:r w:rsidR="00F438DD">
              <w:rPr>
                <w:sz w:val="18"/>
                <w:szCs w:val="18"/>
                <w:lang w:val="es-ES_tradnl"/>
              </w:rPr>
              <w:t xml:space="preserve">También dentro de la meta No. 2 del PNSH 2015-2050, la línea de acción de Gestión de la demanda de agua </w:t>
            </w:r>
            <w:r w:rsidR="000D0662">
              <w:rPr>
                <w:sz w:val="18"/>
                <w:szCs w:val="18"/>
                <w:lang w:val="es-ES_tradnl"/>
              </w:rPr>
              <w:t>dulce</w:t>
            </w:r>
            <w:r w:rsidR="00F438DD">
              <w:rPr>
                <w:sz w:val="18"/>
                <w:szCs w:val="18"/>
                <w:lang w:val="es-ES_tradnl"/>
              </w:rPr>
              <w:t xml:space="preserve"> </w:t>
            </w:r>
            <w:r w:rsidR="00F438DD" w:rsidRPr="00F438DD">
              <w:rPr>
                <w:sz w:val="18"/>
                <w:szCs w:val="18"/>
                <w:lang w:val="es-ES_tradnl"/>
              </w:rPr>
              <w:t>está dirigida a ordenar el uso y consumo de agua, incorporar las herramientas tecnológicas que hagan más eficiente la demanda y monitorear su cumplimiento.</w:t>
            </w:r>
            <w:r w:rsidR="00F438DD">
              <w:rPr>
                <w:sz w:val="18"/>
                <w:szCs w:val="18"/>
                <w:lang w:val="es-ES_tradnl"/>
              </w:rPr>
              <w:t xml:space="preserve"> </w:t>
            </w:r>
            <w:r w:rsidR="00EA2BD2">
              <w:rPr>
                <w:rFonts w:eastAsiaTheme="minorHAnsi"/>
                <w:sz w:val="18"/>
                <w:szCs w:val="18"/>
                <w:lang w:val="es-ES_tradnl" w:eastAsia="en-NZ"/>
              </w:rPr>
              <w:t xml:space="preserve">En el PNSH se incluyen acciones tendientes a incrementar la eficiencia de los sistemas de provisión de agua potable, a través de la inversión en actualización y mejora de las instalaciones de provisión del servicio, control y monitoreo, programas de reducción de agua no contabilizada y de implementación de la cultura de consumo responsable. El PNSH también incluye propuestas de modernización del marco normativo e institucional, a través de propuestas de ordenamiento de la gobernanza integral del agua, y mejoras de los sistemas de información climática, planificación y monitoreo. </w:t>
            </w:r>
            <w:r w:rsidR="003B307F">
              <w:rPr>
                <w:rFonts w:eastAsiaTheme="minorHAnsi"/>
                <w:sz w:val="18"/>
                <w:szCs w:val="18"/>
                <w:lang w:val="es-ES_tradnl" w:eastAsia="en-NZ"/>
              </w:rPr>
              <w:t>El presente programa por su parte, plantea la realización de</w:t>
            </w:r>
            <w:r w:rsidR="00EA2BD2">
              <w:rPr>
                <w:rFonts w:eastAsiaTheme="minorHAnsi"/>
                <w:sz w:val="18"/>
                <w:szCs w:val="18"/>
                <w:lang w:val="es-ES_tradnl" w:eastAsia="en-NZ"/>
              </w:rPr>
              <w:t xml:space="preserve"> acciones </w:t>
            </w:r>
            <w:r w:rsidR="003B307F">
              <w:rPr>
                <w:rFonts w:eastAsiaTheme="minorHAnsi"/>
                <w:sz w:val="18"/>
                <w:szCs w:val="18"/>
                <w:lang w:val="es-ES_tradnl" w:eastAsia="en-NZ"/>
              </w:rPr>
              <w:t xml:space="preserve">que </w:t>
            </w:r>
            <w:r w:rsidR="00EA2BD2">
              <w:rPr>
                <w:rFonts w:eastAsiaTheme="minorHAnsi"/>
                <w:sz w:val="18"/>
                <w:szCs w:val="18"/>
                <w:lang w:val="es-ES_tradnl" w:eastAsia="en-NZ"/>
              </w:rPr>
              <w:t xml:space="preserve">permitirán optimizar </w:t>
            </w:r>
            <w:r w:rsidR="003B307F">
              <w:rPr>
                <w:rFonts w:eastAsiaTheme="minorHAnsi"/>
                <w:sz w:val="18"/>
                <w:szCs w:val="18"/>
                <w:lang w:val="es-ES_tradnl" w:eastAsia="en-NZ"/>
              </w:rPr>
              <w:t>que actualmente se presentan y con ello</w:t>
            </w:r>
            <w:r w:rsidR="00EA2BD2">
              <w:rPr>
                <w:rFonts w:eastAsiaTheme="minorHAnsi"/>
                <w:sz w:val="18"/>
                <w:szCs w:val="18"/>
                <w:lang w:val="es-ES_tradnl" w:eastAsia="en-NZ"/>
              </w:rPr>
              <w:t xml:space="preserve"> reducir costos de operación y mantenimiento</w:t>
            </w:r>
            <w:r w:rsidR="00C34AA2">
              <w:rPr>
                <w:rFonts w:eastAsiaTheme="minorHAnsi"/>
                <w:sz w:val="18"/>
                <w:szCs w:val="18"/>
                <w:lang w:val="es-ES_tradnl" w:eastAsia="en-NZ"/>
              </w:rPr>
              <w:t>.</w:t>
            </w:r>
          </w:p>
          <w:p w14:paraId="3E8D735F" w14:textId="77777777" w:rsidR="003D3837" w:rsidRPr="00EC6C70" w:rsidRDefault="003D3837" w:rsidP="001B6FC0">
            <w:pPr>
              <w:jc w:val="both"/>
              <w:rPr>
                <w:sz w:val="18"/>
                <w:szCs w:val="18"/>
                <w:lang w:val="es-ES_tradnl"/>
              </w:rPr>
            </w:pPr>
          </w:p>
        </w:tc>
      </w:tr>
      <w:tr w:rsidR="000F1306" w:rsidRPr="006834C6" w14:paraId="405E0615" w14:textId="77777777" w:rsidTr="00120449">
        <w:trPr>
          <w:jc w:val="center"/>
        </w:trPr>
        <w:tc>
          <w:tcPr>
            <w:tcW w:w="1968" w:type="dxa"/>
            <w:shd w:val="clear" w:color="auto" w:fill="auto"/>
          </w:tcPr>
          <w:p w14:paraId="50682029" w14:textId="77777777" w:rsidR="000F1306" w:rsidRPr="009876DD" w:rsidRDefault="000F1306" w:rsidP="000F1306">
            <w:pPr>
              <w:rPr>
                <w:b/>
                <w:bCs/>
                <w:sz w:val="18"/>
                <w:szCs w:val="18"/>
                <w:lang w:val="es-ES_tradnl"/>
              </w:rPr>
            </w:pPr>
            <w:r w:rsidRPr="009876DD">
              <w:rPr>
                <w:b/>
                <w:bCs/>
                <w:sz w:val="18"/>
                <w:szCs w:val="18"/>
                <w:lang w:val="es-ES_tradnl"/>
              </w:rPr>
              <w:t>2. Las mejoras continuas en la gobernanza de los servicios públicos domiciliarios serán clave para incrementar la eficiencia en su provisión y proteger satisfactoriamente los intereses de los usuarios</w:t>
            </w:r>
          </w:p>
        </w:tc>
        <w:tc>
          <w:tcPr>
            <w:tcW w:w="4301" w:type="dxa"/>
            <w:shd w:val="clear" w:color="auto" w:fill="auto"/>
          </w:tcPr>
          <w:p w14:paraId="45A6A9F9" w14:textId="77777777" w:rsidR="000F1306" w:rsidRPr="009876DD" w:rsidRDefault="000F1306" w:rsidP="000F1306">
            <w:pPr>
              <w:rPr>
                <w:sz w:val="18"/>
                <w:szCs w:val="18"/>
                <w:lang w:val="es-ES_tradnl"/>
              </w:rPr>
            </w:pPr>
            <w:r w:rsidRPr="009876DD">
              <w:rPr>
                <w:sz w:val="18"/>
                <w:szCs w:val="18"/>
                <w:lang w:val="es-ES_tradnl"/>
              </w:rPr>
              <w:t>La Política sostiene que la gobernanza para la toma de decisiones en la gestión de los servicios públicos domiciliarios, así como el marco normativo y/o regulatorio que los reglamenta y supervisa, son los principales factores determinantes de su desempeño, calidad y sostenibilidad</w:t>
            </w:r>
          </w:p>
        </w:tc>
        <w:tc>
          <w:tcPr>
            <w:tcW w:w="3966" w:type="dxa"/>
            <w:shd w:val="clear" w:color="auto" w:fill="auto"/>
          </w:tcPr>
          <w:p w14:paraId="25D39092" w14:textId="77777777" w:rsidR="000F1306" w:rsidRPr="00563D9C" w:rsidRDefault="000F1306" w:rsidP="00D06EBC">
            <w:pPr>
              <w:spacing w:before="120" w:after="120"/>
              <w:jc w:val="both"/>
              <w:rPr>
                <w:sz w:val="18"/>
                <w:szCs w:val="18"/>
                <w:highlight w:val="cyan"/>
                <w:lang w:val="es-ES_tradnl"/>
              </w:rPr>
            </w:pPr>
            <w:r w:rsidRPr="007C01B6">
              <w:rPr>
                <w:sz w:val="18"/>
                <w:szCs w:val="18"/>
                <w:lang w:val="es-ES_tradnl"/>
              </w:rPr>
              <w:t xml:space="preserve"> Ver </w:t>
            </w:r>
            <w:r w:rsidR="007C01B6" w:rsidRPr="007C01B6">
              <w:rPr>
                <w:sz w:val="18"/>
                <w:szCs w:val="18"/>
                <w:lang w:val="es-ES_tradnl"/>
              </w:rPr>
              <w:t xml:space="preserve">comentarios sobre puntos </w:t>
            </w:r>
            <w:r w:rsidR="0008127B">
              <w:rPr>
                <w:sz w:val="18"/>
                <w:szCs w:val="18"/>
                <w:lang w:val="es-ES_tradnl"/>
              </w:rPr>
              <w:t>de</w:t>
            </w:r>
            <w:r w:rsidR="007C01B6" w:rsidRPr="007C01B6">
              <w:rPr>
                <w:sz w:val="18"/>
                <w:szCs w:val="18"/>
                <w:lang w:val="es-ES_tradnl"/>
              </w:rPr>
              <w:t xml:space="preserve"> abajo.</w:t>
            </w:r>
          </w:p>
        </w:tc>
      </w:tr>
      <w:tr w:rsidR="009834A9" w:rsidRPr="006834C6" w14:paraId="5F0CF32F" w14:textId="77777777" w:rsidTr="00120449">
        <w:trPr>
          <w:jc w:val="center"/>
        </w:trPr>
        <w:tc>
          <w:tcPr>
            <w:tcW w:w="1968" w:type="dxa"/>
            <w:shd w:val="clear" w:color="auto" w:fill="auto"/>
          </w:tcPr>
          <w:p w14:paraId="721C33AF" w14:textId="77777777" w:rsidR="000F1306" w:rsidRPr="009834A9" w:rsidRDefault="000F1306" w:rsidP="000F1306">
            <w:pPr>
              <w:ind w:left="330" w:hanging="150"/>
              <w:rPr>
                <w:b/>
                <w:bCs/>
                <w:i/>
                <w:sz w:val="18"/>
                <w:szCs w:val="18"/>
                <w:lang w:val="es-ES_tradnl"/>
              </w:rPr>
            </w:pPr>
            <w:r w:rsidRPr="009834A9">
              <w:rPr>
                <w:b/>
                <w:bCs/>
                <w:i/>
                <w:sz w:val="18"/>
                <w:szCs w:val="18"/>
                <w:lang w:val="es-ES_tradnl"/>
              </w:rPr>
              <w:t>A. Promover la integridad, la transparencia y la rendición de cuentas</w:t>
            </w:r>
          </w:p>
        </w:tc>
        <w:tc>
          <w:tcPr>
            <w:tcW w:w="4301" w:type="dxa"/>
            <w:shd w:val="clear" w:color="auto" w:fill="auto"/>
          </w:tcPr>
          <w:p w14:paraId="3EF7BB88" w14:textId="77777777" w:rsidR="000F1306" w:rsidRPr="009834A9" w:rsidRDefault="000F1306" w:rsidP="000F1306">
            <w:pPr>
              <w:rPr>
                <w:sz w:val="18"/>
                <w:szCs w:val="18"/>
                <w:lang w:val="es-ES_tradnl"/>
              </w:rPr>
            </w:pPr>
            <w:r w:rsidRPr="009834A9">
              <w:rPr>
                <w:sz w:val="18"/>
                <w:szCs w:val="18"/>
                <w:lang w:val="es-ES_tradnl"/>
              </w:rPr>
              <w:t>Se apoyará el desarrollo de esquemas sostenibles que utilicen la combinación costo-eficiencia y las soluciones tecnológicas más apropiadas en función de las características de la demanda y el servicio público para atender las necesidades de acceso de la población, tanto rural como urbana.</w:t>
            </w:r>
          </w:p>
        </w:tc>
        <w:tc>
          <w:tcPr>
            <w:tcW w:w="3966" w:type="dxa"/>
            <w:shd w:val="clear" w:color="auto" w:fill="auto"/>
          </w:tcPr>
          <w:p w14:paraId="40E22D18" w14:textId="7165DBC3" w:rsidR="006313DE" w:rsidRDefault="006313DE" w:rsidP="00777F74">
            <w:pPr>
              <w:spacing w:before="120" w:after="120"/>
              <w:jc w:val="both"/>
              <w:rPr>
                <w:rFonts w:eastAsiaTheme="minorHAnsi"/>
                <w:color w:val="000000"/>
                <w:sz w:val="18"/>
                <w:szCs w:val="18"/>
                <w:lang w:val="es-ES_tradnl"/>
              </w:rPr>
            </w:pPr>
            <w:r w:rsidRPr="00777F74">
              <w:rPr>
                <w:rFonts w:eastAsiaTheme="minorHAnsi"/>
                <w:color w:val="000000"/>
                <w:sz w:val="18"/>
                <w:szCs w:val="18"/>
                <w:lang w:val="es-ES_tradnl"/>
              </w:rPr>
              <w:t>Dentro</w:t>
            </w:r>
            <w:r w:rsidR="0040228D">
              <w:rPr>
                <w:rFonts w:eastAsiaTheme="minorHAnsi"/>
                <w:color w:val="000000"/>
                <w:sz w:val="18"/>
                <w:szCs w:val="18"/>
                <w:lang w:val="es-ES_tradnl"/>
              </w:rPr>
              <w:t xml:space="preserve"> </w:t>
            </w:r>
            <w:r w:rsidR="0040228D" w:rsidRPr="00777F74">
              <w:rPr>
                <w:rFonts w:eastAsiaTheme="minorHAnsi"/>
                <w:color w:val="000000"/>
                <w:sz w:val="18"/>
                <w:szCs w:val="18"/>
                <w:lang w:val="es-ES_tradnl"/>
              </w:rPr>
              <w:t>del PNSH</w:t>
            </w:r>
            <w:r w:rsidR="0040228D">
              <w:rPr>
                <w:rFonts w:eastAsiaTheme="minorHAnsi"/>
                <w:color w:val="000000"/>
                <w:sz w:val="18"/>
                <w:szCs w:val="18"/>
                <w:lang w:val="es-ES_tradnl"/>
              </w:rPr>
              <w:t xml:space="preserve"> 2015-2050 se incluye</w:t>
            </w:r>
            <w:r w:rsidR="00191A9C">
              <w:rPr>
                <w:rFonts w:eastAsiaTheme="minorHAnsi"/>
                <w:color w:val="000000"/>
                <w:sz w:val="18"/>
                <w:szCs w:val="18"/>
                <w:lang w:val="es-ES_tradnl"/>
              </w:rPr>
              <w:t>n</w:t>
            </w:r>
            <w:r w:rsidR="0040228D">
              <w:rPr>
                <w:rFonts w:eastAsiaTheme="minorHAnsi"/>
                <w:color w:val="000000"/>
                <w:sz w:val="18"/>
                <w:szCs w:val="18"/>
                <w:lang w:val="es-ES_tradnl"/>
              </w:rPr>
              <w:t xml:space="preserve"> un</w:t>
            </w:r>
            <w:r w:rsidR="00191A9C">
              <w:rPr>
                <w:rFonts w:eastAsiaTheme="minorHAnsi"/>
                <w:color w:val="000000"/>
                <w:sz w:val="18"/>
                <w:szCs w:val="18"/>
                <w:lang w:val="es-ES_tradnl"/>
              </w:rPr>
              <w:t>a</w:t>
            </w:r>
            <w:r w:rsidR="0040228D">
              <w:rPr>
                <w:rFonts w:eastAsiaTheme="minorHAnsi"/>
                <w:color w:val="000000"/>
                <w:sz w:val="18"/>
                <w:szCs w:val="18"/>
                <w:lang w:val="es-ES_tradnl"/>
              </w:rPr>
              <w:t xml:space="preserve"> serie de resultados </w:t>
            </w:r>
            <w:r w:rsidR="005E5815">
              <w:rPr>
                <w:rFonts w:eastAsiaTheme="minorHAnsi"/>
                <w:color w:val="000000"/>
                <w:sz w:val="18"/>
                <w:szCs w:val="18"/>
                <w:lang w:val="es-ES_tradnl"/>
              </w:rPr>
              <w:t xml:space="preserve">específicos </w:t>
            </w:r>
            <w:r w:rsidR="0040228D">
              <w:rPr>
                <w:rFonts w:eastAsiaTheme="minorHAnsi"/>
                <w:color w:val="000000"/>
                <w:sz w:val="18"/>
                <w:szCs w:val="18"/>
                <w:lang w:val="es-ES_tradnl"/>
              </w:rPr>
              <w:t>esperados a corto (2020), medio (2030) y largo plazo (2050) para las líneas de acción de dicho plan, que favorecen la integridad y rendición de cuentas en el sector.</w:t>
            </w:r>
            <w:r w:rsidR="00706085">
              <w:rPr>
                <w:rFonts w:eastAsiaTheme="minorHAnsi"/>
                <w:color w:val="000000"/>
                <w:sz w:val="18"/>
                <w:szCs w:val="18"/>
                <w:lang w:val="es-ES_tradnl"/>
              </w:rPr>
              <w:t xml:space="preserve"> Además, dentro de la meta No.5 del PNSH 2015-2050 se incluye la c</w:t>
            </w:r>
            <w:r w:rsidR="00706085" w:rsidRPr="00706085">
              <w:rPr>
                <w:rFonts w:eastAsiaTheme="minorHAnsi"/>
                <w:color w:val="000000"/>
                <w:sz w:val="18"/>
                <w:szCs w:val="18"/>
                <w:lang w:val="es-ES_tradnl"/>
              </w:rPr>
              <w:t>reación del Servicio de Información Hidrológica Atmosférica, Geofísica y Oceanográfica (SIHAGO</w:t>
            </w:r>
            <w:r w:rsidR="00706085">
              <w:rPr>
                <w:rFonts w:eastAsiaTheme="minorHAnsi"/>
                <w:color w:val="000000"/>
                <w:sz w:val="18"/>
                <w:szCs w:val="18"/>
                <w:lang w:val="es-ES_tradnl"/>
              </w:rPr>
              <w:t>).</w:t>
            </w:r>
            <w:r w:rsidR="0040228D">
              <w:rPr>
                <w:rFonts w:eastAsiaTheme="minorHAnsi"/>
                <w:color w:val="000000"/>
                <w:sz w:val="18"/>
                <w:szCs w:val="18"/>
                <w:lang w:val="es-ES_tradnl"/>
              </w:rPr>
              <w:t xml:space="preserve">  </w:t>
            </w:r>
            <w:r w:rsidR="005E5815">
              <w:rPr>
                <w:rFonts w:eastAsiaTheme="minorHAnsi"/>
                <w:color w:val="000000"/>
                <w:sz w:val="18"/>
                <w:szCs w:val="18"/>
                <w:lang w:val="es-ES_tradnl"/>
              </w:rPr>
              <w:t xml:space="preserve">Por otra parte, los presupuestos anuales del MINSA y la UCPSP son publicados anualmente en la Gaceta Oficial del país; por su parte, el IDAAN realiza anualmente una </w:t>
            </w:r>
            <w:r w:rsidR="00DD1549">
              <w:rPr>
                <w:rFonts w:eastAsiaTheme="minorHAnsi"/>
                <w:color w:val="000000"/>
                <w:sz w:val="18"/>
                <w:szCs w:val="18"/>
                <w:lang w:val="es-ES_tradnl"/>
              </w:rPr>
              <w:t>auditoría</w:t>
            </w:r>
            <w:r w:rsidR="005E5815">
              <w:rPr>
                <w:rFonts w:eastAsiaTheme="minorHAnsi"/>
                <w:color w:val="000000"/>
                <w:sz w:val="18"/>
                <w:szCs w:val="18"/>
                <w:lang w:val="es-ES_tradnl"/>
              </w:rPr>
              <w:t xml:space="preserve"> ext</w:t>
            </w:r>
            <w:r w:rsidR="008006EE">
              <w:rPr>
                <w:rFonts w:eastAsiaTheme="minorHAnsi"/>
                <w:color w:val="000000"/>
                <w:sz w:val="18"/>
                <w:szCs w:val="18"/>
                <w:lang w:val="es-ES_tradnl"/>
              </w:rPr>
              <w:t>erna de sus estados financieros, y publica diversa información operativa y financiera en su web.</w:t>
            </w:r>
          </w:p>
          <w:p w14:paraId="3FE8BFA5" w14:textId="77777777" w:rsidR="0040228D" w:rsidRPr="009834A9" w:rsidRDefault="0040228D" w:rsidP="001B6FC0">
            <w:pPr>
              <w:jc w:val="both"/>
              <w:rPr>
                <w:sz w:val="18"/>
                <w:szCs w:val="18"/>
                <w:highlight w:val="cyan"/>
                <w:lang w:val="es-ES_tradnl"/>
              </w:rPr>
            </w:pPr>
          </w:p>
        </w:tc>
      </w:tr>
      <w:tr w:rsidR="000F1306" w:rsidRPr="006834C6" w14:paraId="525AC0BA" w14:textId="77777777" w:rsidTr="00120449">
        <w:trPr>
          <w:jc w:val="center"/>
        </w:trPr>
        <w:tc>
          <w:tcPr>
            <w:tcW w:w="1968" w:type="dxa"/>
            <w:shd w:val="clear" w:color="auto" w:fill="auto"/>
          </w:tcPr>
          <w:p w14:paraId="0EDA2E8A" w14:textId="77777777" w:rsidR="000F1306" w:rsidRPr="009876DD" w:rsidRDefault="000F1306" w:rsidP="000F1306">
            <w:pPr>
              <w:ind w:left="330" w:hanging="150"/>
              <w:rPr>
                <w:b/>
                <w:bCs/>
                <w:i/>
                <w:sz w:val="18"/>
                <w:szCs w:val="18"/>
                <w:lang w:val="es-ES_tradnl"/>
              </w:rPr>
            </w:pPr>
            <w:r w:rsidRPr="009876DD">
              <w:rPr>
                <w:b/>
                <w:bCs/>
                <w:i/>
                <w:sz w:val="18"/>
                <w:szCs w:val="18"/>
                <w:lang w:val="es-ES_tradnl"/>
              </w:rPr>
              <w:t>B. Analizar las características e impactos de los subsidios</w:t>
            </w:r>
          </w:p>
        </w:tc>
        <w:tc>
          <w:tcPr>
            <w:tcW w:w="4301" w:type="dxa"/>
            <w:shd w:val="clear" w:color="auto" w:fill="auto"/>
          </w:tcPr>
          <w:p w14:paraId="63381D27" w14:textId="77777777" w:rsidR="000F1306" w:rsidRPr="009876DD" w:rsidRDefault="000F1306" w:rsidP="00923B34">
            <w:pPr>
              <w:jc w:val="both"/>
              <w:rPr>
                <w:sz w:val="18"/>
                <w:szCs w:val="18"/>
                <w:lang w:val="es-ES_tradnl"/>
              </w:rPr>
            </w:pPr>
            <w:r w:rsidRPr="009876DD">
              <w:rPr>
                <w:sz w:val="18"/>
                <w:szCs w:val="18"/>
                <w:lang w:val="es-ES_tradnl"/>
              </w:rPr>
              <w:t>La operación y financiamiento de los servicios debería lograr la recuperación de costos de prestación en condiciones de eficiencia mediante tarifas a los usuarios. Sin embargo, se reconoce que, ocasionalmente, la sostenibilidad financiera puede alcanzarse complementando los ingresos provenientes de las, con aportes de la comunidad y aportes directos del gobierno. En situaciones en las que se otorguen subsidios, se promoverá que tanto su asignación como utilización se realicen de modo transparente y sujeto a mecanismos frecuentes y eficaces de rendición de cuentas. En los casos en que se otorguen subsidios tarifarios, se impulsará su focalización en los grupos más vulnerables y de menores ingresos. Adicionalmente, y en la medida de lo posible, se apoyará a los países para sustituir los subsidios tarifarios a los servicios públicos por mecanismos de transferencias de ingresos más directos y focalizados en los segmentos de la población con menores ingresos.</w:t>
            </w:r>
          </w:p>
        </w:tc>
        <w:tc>
          <w:tcPr>
            <w:tcW w:w="3966" w:type="dxa"/>
            <w:shd w:val="clear" w:color="auto" w:fill="auto"/>
          </w:tcPr>
          <w:p w14:paraId="7AC343C5" w14:textId="45F0B9B9" w:rsidR="006C4BCA" w:rsidRDefault="00846362" w:rsidP="008F4AD0">
            <w:pPr>
              <w:spacing w:before="120" w:after="120"/>
              <w:jc w:val="both"/>
              <w:rPr>
                <w:rFonts w:eastAsiaTheme="minorHAnsi"/>
                <w:color w:val="000000"/>
                <w:sz w:val="18"/>
                <w:szCs w:val="18"/>
                <w:lang w:val="es-ES_tradnl"/>
              </w:rPr>
            </w:pPr>
            <w:r>
              <w:rPr>
                <w:rFonts w:eastAsiaTheme="minorHAnsi"/>
                <w:color w:val="000000"/>
                <w:sz w:val="18"/>
                <w:szCs w:val="18"/>
                <w:lang w:val="es-ES_tradnl"/>
              </w:rPr>
              <w:t>L</w:t>
            </w:r>
            <w:r w:rsidR="00923B34">
              <w:rPr>
                <w:rFonts w:eastAsiaTheme="minorHAnsi"/>
                <w:color w:val="000000"/>
                <w:sz w:val="18"/>
                <w:szCs w:val="18"/>
                <w:lang w:val="es-ES_tradnl"/>
              </w:rPr>
              <w:t xml:space="preserve">a </w:t>
            </w:r>
            <w:r w:rsidR="00923B34" w:rsidRPr="00923B34">
              <w:rPr>
                <w:rFonts w:eastAsiaTheme="minorHAnsi"/>
                <w:color w:val="000000"/>
                <w:sz w:val="18"/>
                <w:szCs w:val="18"/>
                <w:lang w:val="es-ES_tradnl"/>
              </w:rPr>
              <w:t>estructura tarifaria vigente</w:t>
            </w:r>
            <w:r w:rsidR="00923B34">
              <w:rPr>
                <w:rFonts w:eastAsiaTheme="minorHAnsi"/>
                <w:color w:val="000000"/>
                <w:sz w:val="18"/>
                <w:szCs w:val="18"/>
                <w:lang w:val="es-ES_tradnl"/>
              </w:rPr>
              <w:t xml:space="preserve"> del IDAAN</w:t>
            </w:r>
            <w:r w:rsidR="00923B34" w:rsidRPr="00923B34">
              <w:rPr>
                <w:rFonts w:eastAsiaTheme="minorHAnsi"/>
                <w:color w:val="000000"/>
                <w:sz w:val="18"/>
                <w:szCs w:val="18"/>
                <w:lang w:val="es-ES_tradnl"/>
              </w:rPr>
              <w:t xml:space="preserve">, en forma general, es una tarifa </w:t>
            </w:r>
            <w:r w:rsidR="001B6FC0" w:rsidRPr="00923B34">
              <w:rPr>
                <w:rFonts w:eastAsiaTheme="minorHAnsi"/>
                <w:color w:val="000000"/>
                <w:sz w:val="18"/>
                <w:szCs w:val="18"/>
                <w:lang w:val="es-ES_tradnl"/>
              </w:rPr>
              <w:t xml:space="preserve">en </w:t>
            </w:r>
            <w:r w:rsidR="001B6FC0">
              <w:rPr>
                <w:rFonts w:eastAsiaTheme="minorHAnsi"/>
                <w:color w:val="000000"/>
                <w:sz w:val="18"/>
                <w:szCs w:val="18"/>
                <w:lang w:val="es-ES_tradnl"/>
              </w:rPr>
              <w:t>múltiples</w:t>
            </w:r>
            <w:r w:rsidR="00923B34" w:rsidRPr="00923B34">
              <w:rPr>
                <w:rFonts w:eastAsiaTheme="minorHAnsi"/>
                <w:color w:val="000000"/>
                <w:sz w:val="18"/>
                <w:szCs w:val="18"/>
                <w:lang w:val="es-ES_tradnl"/>
              </w:rPr>
              <w:t xml:space="preserve"> partes de bloques crecientes, con discriminación entre clientes y con subsidios cruzados supuestos. Las tarifas se aplican sin distinción de época del año o estación. Es una tarifa en múltiples partes porque consta de un cargo fijo (relacionado a un consumo básico) y un cargo por consumo. Respecto al cargo por consumo la tarifa es diferencial por bloques, en donde la relación consumo-tarifa por unidad es positiva, es decir, los bloques de consumo más altos tienen las tarifas por unidad más altas.</w:t>
            </w:r>
            <w:r w:rsidR="00923B34">
              <w:rPr>
                <w:rFonts w:eastAsiaTheme="minorHAnsi"/>
                <w:color w:val="000000"/>
                <w:sz w:val="18"/>
                <w:szCs w:val="18"/>
                <w:lang w:val="es-ES_tradnl"/>
              </w:rPr>
              <w:t xml:space="preserve"> </w:t>
            </w:r>
            <w:r w:rsidR="00923B34" w:rsidRPr="00923B34">
              <w:rPr>
                <w:rFonts w:eastAsiaTheme="minorHAnsi"/>
                <w:color w:val="000000"/>
                <w:sz w:val="18"/>
                <w:szCs w:val="18"/>
                <w:lang w:val="es-ES_tradnl"/>
              </w:rPr>
              <w:t>Adicionalmente las tarifas diferencian categorías de clientes en las cuales se busca beneficiar algunos grupos de clientes especiales con menores tarifas y aplicar unas tarifas más altas a los grandes consumidores (Industriales y comerciales). En complemento, existe un esquema de subsidios directos, según el cual, por medio de una evaluación socioeconómica se identifica a los clientes cuyo ingreso familiar no exceda el valor de la canasta básica y se le aplica un descuento en la factura de agua potable del 20% hasta el 85%.</w:t>
            </w:r>
            <w:r w:rsidR="00923B34">
              <w:rPr>
                <w:rFonts w:eastAsiaTheme="minorHAnsi"/>
                <w:color w:val="000000"/>
                <w:sz w:val="18"/>
                <w:szCs w:val="18"/>
                <w:lang w:val="es-ES_tradnl"/>
              </w:rPr>
              <w:t xml:space="preserve"> </w:t>
            </w:r>
            <w:r w:rsidR="004C1E1E" w:rsidRPr="004C1E1E">
              <w:rPr>
                <w:rFonts w:eastAsiaTheme="minorHAnsi"/>
                <w:color w:val="000000"/>
                <w:sz w:val="18"/>
                <w:szCs w:val="18"/>
                <w:lang w:val="es-ES_tradnl"/>
              </w:rPr>
              <w:t xml:space="preserve">Las tarifas del servicio de alcantarillado tienen la misma estructura del servicio de agua potable donde la tarifa se divide en dos partes: un cargo fijo relacionado al mismo consumo básico de agua potable, y un cargo o tarifa por consumo por cada mil galones vertidos (determinados a partir del consumo de agua potable). Adicionalmente la categorización de los clientes es la misma que en la tarifa de agua potable. La tarifa de alcantarillado se diferencia de la tarifa de agua potable en que se establecieron menos bloques de consumo y que para </w:t>
            </w:r>
            <w:r w:rsidR="001B6FC0" w:rsidRPr="004C1E1E">
              <w:rPr>
                <w:rFonts w:eastAsiaTheme="minorHAnsi"/>
                <w:color w:val="000000"/>
                <w:sz w:val="18"/>
                <w:szCs w:val="18"/>
                <w:lang w:val="es-ES_tradnl"/>
              </w:rPr>
              <w:t>este</w:t>
            </w:r>
            <w:r w:rsidR="004C1E1E" w:rsidRPr="004C1E1E">
              <w:rPr>
                <w:rFonts w:eastAsiaTheme="minorHAnsi"/>
                <w:color w:val="000000"/>
                <w:sz w:val="18"/>
                <w:szCs w:val="18"/>
                <w:lang w:val="es-ES_tradnl"/>
              </w:rPr>
              <w:t xml:space="preserve"> servicio no se contempla la existencia de un esquema de subsidios directos.</w:t>
            </w:r>
            <w:r w:rsidR="00675504">
              <w:rPr>
                <w:rFonts w:eastAsiaTheme="minorHAnsi"/>
                <w:color w:val="000000"/>
                <w:sz w:val="18"/>
                <w:szCs w:val="18"/>
                <w:lang w:val="es-ES_tradnl"/>
              </w:rPr>
              <w:t xml:space="preserve"> </w:t>
            </w:r>
          </w:p>
          <w:p w14:paraId="300BDE45" w14:textId="77777777" w:rsidR="00D67072" w:rsidRPr="00D06EBC" w:rsidRDefault="00D67072" w:rsidP="00392656">
            <w:pPr>
              <w:jc w:val="both"/>
              <w:rPr>
                <w:rFonts w:eastAsiaTheme="minorHAnsi"/>
                <w:color w:val="000000"/>
                <w:sz w:val="18"/>
                <w:szCs w:val="18"/>
                <w:lang w:val="es-ES_tradnl"/>
              </w:rPr>
            </w:pPr>
          </w:p>
        </w:tc>
      </w:tr>
      <w:tr w:rsidR="000F1306" w:rsidRPr="006834C6" w14:paraId="36D41298" w14:textId="77777777" w:rsidTr="00120449">
        <w:trPr>
          <w:jc w:val="center"/>
        </w:trPr>
        <w:tc>
          <w:tcPr>
            <w:tcW w:w="1968" w:type="dxa"/>
            <w:shd w:val="clear" w:color="auto" w:fill="auto"/>
          </w:tcPr>
          <w:p w14:paraId="7EA07A3B" w14:textId="77777777" w:rsidR="000F1306" w:rsidRPr="009876DD" w:rsidRDefault="000F1306" w:rsidP="000F1306">
            <w:pPr>
              <w:ind w:left="330" w:hanging="150"/>
              <w:rPr>
                <w:i/>
                <w:sz w:val="18"/>
                <w:szCs w:val="18"/>
                <w:lang w:val="es-ES_tradnl"/>
              </w:rPr>
            </w:pPr>
            <w:r w:rsidRPr="009876DD">
              <w:rPr>
                <w:b/>
                <w:bCs/>
                <w:i/>
                <w:sz w:val="18"/>
                <w:szCs w:val="18"/>
                <w:lang w:val="es-ES_tradnl"/>
              </w:rPr>
              <w:t>C. Separación de Funciones para mejorar la gobernanza sectorial</w:t>
            </w:r>
          </w:p>
        </w:tc>
        <w:tc>
          <w:tcPr>
            <w:tcW w:w="4301" w:type="dxa"/>
            <w:shd w:val="clear" w:color="auto" w:fill="auto"/>
          </w:tcPr>
          <w:p w14:paraId="6D7E2164" w14:textId="77777777" w:rsidR="000F1306" w:rsidRPr="009876DD" w:rsidRDefault="000F1306" w:rsidP="000F1306">
            <w:pPr>
              <w:rPr>
                <w:sz w:val="18"/>
                <w:szCs w:val="18"/>
                <w:lang w:val="es-ES_tradnl"/>
              </w:rPr>
            </w:pPr>
            <w:r w:rsidRPr="009876DD">
              <w:rPr>
                <w:sz w:val="18"/>
                <w:szCs w:val="18"/>
                <w:lang w:val="es-ES_tradnl"/>
              </w:rPr>
              <w:t xml:space="preserve">Deben separarse las funciones de </w:t>
            </w:r>
            <w:r w:rsidRPr="009876DD">
              <w:rPr>
                <w:b/>
                <w:bCs/>
                <w:sz w:val="18"/>
                <w:szCs w:val="18"/>
                <w:lang w:val="es-ES_tradnl"/>
              </w:rPr>
              <w:t>formulador de políticas, regulador</w:t>
            </w:r>
            <w:r w:rsidRPr="009876DD">
              <w:rPr>
                <w:sz w:val="18"/>
                <w:szCs w:val="18"/>
                <w:lang w:val="es-ES_tradnl"/>
              </w:rPr>
              <w:t xml:space="preserve"> y </w:t>
            </w:r>
            <w:r w:rsidRPr="009876DD">
              <w:rPr>
                <w:b/>
                <w:bCs/>
                <w:sz w:val="18"/>
                <w:szCs w:val="18"/>
                <w:lang w:val="es-ES_tradnl"/>
              </w:rPr>
              <w:t>empresario</w:t>
            </w:r>
            <w:r w:rsidRPr="009876DD">
              <w:rPr>
                <w:sz w:val="18"/>
                <w:szCs w:val="18"/>
                <w:lang w:val="es-ES_tradnl"/>
              </w:rPr>
              <w:t xml:space="preserve"> y asignarse a instituciones distintas y apropiadas. De esta manera, las autoridades conservarán la responsabilidad de </w:t>
            </w:r>
            <w:r w:rsidRPr="009876DD">
              <w:rPr>
                <w:b/>
                <w:bCs/>
                <w:sz w:val="18"/>
                <w:szCs w:val="18"/>
                <w:lang w:val="es-ES_tradnl"/>
              </w:rPr>
              <w:t>formular la política</w:t>
            </w:r>
            <w:r w:rsidRPr="009876DD">
              <w:rPr>
                <w:sz w:val="18"/>
                <w:szCs w:val="18"/>
                <w:lang w:val="es-ES_tradnl"/>
              </w:rPr>
              <w:t xml:space="preserve">, un ente público separado dictará el </w:t>
            </w:r>
            <w:r w:rsidRPr="009876DD">
              <w:rPr>
                <w:b/>
                <w:bCs/>
                <w:sz w:val="18"/>
                <w:szCs w:val="18"/>
                <w:lang w:val="es-ES_tradnl"/>
              </w:rPr>
              <w:t>régimen reglamentario</w:t>
            </w:r>
            <w:r w:rsidRPr="009876DD">
              <w:rPr>
                <w:sz w:val="18"/>
                <w:szCs w:val="18"/>
                <w:lang w:val="es-ES_tradnl"/>
              </w:rPr>
              <w:t xml:space="preserve"> y se asignará al proveedor del servicio una función exclusivamente </w:t>
            </w:r>
            <w:r w:rsidRPr="009876DD">
              <w:rPr>
                <w:b/>
                <w:bCs/>
                <w:sz w:val="18"/>
                <w:szCs w:val="18"/>
                <w:lang w:val="es-ES_tradnl"/>
              </w:rPr>
              <w:t>empresarial</w:t>
            </w:r>
            <w:r w:rsidRPr="009876DD">
              <w:rPr>
                <w:sz w:val="18"/>
                <w:szCs w:val="18"/>
                <w:lang w:val="es-ES_tradnl"/>
              </w:rPr>
              <w:t>, sea ésta de propiedad estatal o privada. Esta Política reconoce, sin embargo, que la organización institucional no puede responder a un modelo único, debiendo adaptarse a las particularidades de cada sector y país. En varios países de la región, la responsabilidad de la formulación de políticas, la</w:t>
            </w:r>
            <w:r w:rsidRPr="009876DD">
              <w:rPr>
                <w:lang w:val="es-ES"/>
              </w:rPr>
              <w:t xml:space="preserve"> </w:t>
            </w:r>
            <w:r w:rsidRPr="009876DD">
              <w:rPr>
                <w:sz w:val="18"/>
                <w:szCs w:val="18"/>
                <w:lang w:val="es-ES_tradnl"/>
              </w:rPr>
              <w:t xml:space="preserve">regulación y la provisión de los servicios públicos domiciliarios reside en el ámbito local (provincial o municipal). En estos casos, en los cuales no necesariamente es óptimo separar los roles de formulación de políticas y de regulación, el Banco promoverá una regulación homogénea, con parámetros mínimos adecuados de calidad, principios para la fijación de tarifas, y mecanismos de supervisión y control. Además, contribuirá a desarrollar mecanismos institucionales que fortalezcan la debida gestión en el marco de la legislación local. </w:t>
            </w:r>
          </w:p>
        </w:tc>
        <w:tc>
          <w:tcPr>
            <w:tcW w:w="3966" w:type="dxa"/>
            <w:shd w:val="clear" w:color="auto" w:fill="auto"/>
          </w:tcPr>
          <w:p w14:paraId="50C52973" w14:textId="5215541F" w:rsidR="00882D30" w:rsidRPr="00304F3B" w:rsidRDefault="000E0C3F" w:rsidP="003B307F">
            <w:pPr>
              <w:spacing w:before="120" w:after="120"/>
              <w:jc w:val="both"/>
              <w:rPr>
                <w:sz w:val="18"/>
                <w:szCs w:val="23"/>
                <w:lang w:val="es-ES_tradnl"/>
              </w:rPr>
            </w:pPr>
            <w:r w:rsidRPr="000E0C3F">
              <w:rPr>
                <w:sz w:val="18"/>
                <w:szCs w:val="23"/>
                <w:lang w:val="es-ES_tradnl"/>
              </w:rPr>
              <w:t xml:space="preserve">El Decreto Ley No. 2 del 27 de enero de 1997 establece el marco institucional y regulatorio para la prestación de los servicios de Agua Potable y Saneamiento (APS), asignando las funciones y responsabilidades de rectoría y planificación sectorial al Ministerio de Salud (MINSA); la regulación y fiscalización a la Autoridad Nacional de los Servicios Públicos (ASEP), y la prestación de los servicios a nivel de poblaciones mayores de 1.500 habitantes al IDAAN. Las Juntas Administradoras de Acueductos Rurales (JAAR), con la asistencia técnica del MINSA, brindan el servicio a poblaciones menores de 1.500 habitantes. Por su parte, la </w:t>
            </w:r>
            <w:r w:rsidR="00A57489">
              <w:rPr>
                <w:sz w:val="18"/>
                <w:szCs w:val="23"/>
                <w:lang w:val="es-ES_tradnl"/>
              </w:rPr>
              <w:t>UCPSP</w:t>
            </w:r>
            <w:r w:rsidRPr="000E0C3F">
              <w:rPr>
                <w:sz w:val="18"/>
                <w:szCs w:val="23"/>
                <w:lang w:val="es-ES_tradnl"/>
              </w:rPr>
              <w:t xml:space="preserve"> del MINSA viene construyendo, operando y manteniendo la infraestructura del PSBCP desde hace más de una década</w:t>
            </w:r>
            <w:r w:rsidRPr="000E52E1">
              <w:rPr>
                <w:sz w:val="18"/>
                <w:szCs w:val="23"/>
                <w:lang w:val="es-ES_tradnl"/>
              </w:rPr>
              <w:t>.</w:t>
            </w:r>
            <w:r w:rsidR="000E52E1" w:rsidRPr="000E52E1">
              <w:rPr>
                <w:sz w:val="18"/>
                <w:szCs w:val="23"/>
                <w:lang w:val="es-ES_tradnl"/>
              </w:rPr>
              <w:t xml:space="preserve"> </w:t>
            </w:r>
            <w:r w:rsidR="00F70ADF">
              <w:rPr>
                <w:sz w:val="18"/>
                <w:szCs w:val="23"/>
                <w:lang w:val="es-ES_tradnl"/>
              </w:rPr>
              <w:t>En los</w:t>
            </w:r>
            <w:r w:rsidR="008D0858">
              <w:rPr>
                <w:sz w:val="18"/>
                <w:szCs w:val="23"/>
                <w:lang w:val="es-ES_tradnl"/>
              </w:rPr>
              <w:t xml:space="preserve"> componente</w:t>
            </w:r>
            <w:r w:rsidR="00F70ADF">
              <w:rPr>
                <w:sz w:val="18"/>
                <w:szCs w:val="23"/>
                <w:lang w:val="es-ES_tradnl"/>
              </w:rPr>
              <w:t xml:space="preserve">s </w:t>
            </w:r>
            <w:r w:rsidR="008D0858">
              <w:rPr>
                <w:sz w:val="18"/>
                <w:szCs w:val="23"/>
                <w:lang w:val="es-ES_tradnl"/>
              </w:rPr>
              <w:t>de Fortalecimiento Institucional</w:t>
            </w:r>
            <w:r w:rsidR="00F70ADF">
              <w:rPr>
                <w:sz w:val="18"/>
                <w:szCs w:val="23"/>
                <w:lang w:val="es-ES_tradnl"/>
              </w:rPr>
              <w:t xml:space="preserve"> del préstamo de inversión del Banco PN-L1121 aprobado en 2016</w:t>
            </w:r>
            <w:r w:rsidR="008D0858">
              <w:rPr>
                <w:sz w:val="18"/>
                <w:szCs w:val="23"/>
                <w:lang w:val="es-ES_tradnl"/>
              </w:rPr>
              <w:t xml:space="preserve">, </w:t>
            </w:r>
            <w:r w:rsidR="00F30970">
              <w:rPr>
                <w:sz w:val="18"/>
                <w:szCs w:val="23"/>
                <w:lang w:val="es-ES_tradnl"/>
              </w:rPr>
              <w:t>se incluyen actividades para fortalecer al ente rector</w:t>
            </w:r>
            <w:r w:rsidR="008D0858">
              <w:rPr>
                <w:sz w:val="18"/>
                <w:szCs w:val="23"/>
                <w:lang w:val="es-ES_tradnl"/>
              </w:rPr>
              <w:t>, para que realice de una forma más eficiente sus funciones</w:t>
            </w:r>
            <w:r w:rsidR="00F30970">
              <w:rPr>
                <w:sz w:val="18"/>
                <w:szCs w:val="23"/>
                <w:lang w:val="es-ES_tradnl"/>
              </w:rPr>
              <w:t>.</w:t>
            </w:r>
            <w:r w:rsidR="00C83AFD">
              <w:rPr>
                <w:sz w:val="18"/>
                <w:szCs w:val="23"/>
                <w:lang w:val="es-ES_tradnl"/>
              </w:rPr>
              <w:t xml:space="preserve"> </w:t>
            </w:r>
            <w:r w:rsidR="00882D30">
              <w:rPr>
                <w:sz w:val="18"/>
                <w:szCs w:val="23"/>
                <w:lang w:val="es-ES_tradnl"/>
              </w:rPr>
              <w:t xml:space="preserve"> También dentro de los lineamientos de la PNAPS</w:t>
            </w:r>
            <w:r w:rsidR="00FD1E9A">
              <w:rPr>
                <w:sz w:val="18"/>
                <w:szCs w:val="23"/>
                <w:lang w:val="es-ES_tradnl"/>
              </w:rPr>
              <w:t xml:space="preserve"> 2017 -2030</w:t>
            </w:r>
            <w:r w:rsidR="00ED783E">
              <w:rPr>
                <w:sz w:val="18"/>
                <w:szCs w:val="23"/>
                <w:lang w:val="es-ES_tradnl"/>
              </w:rPr>
              <w:t>,</w:t>
            </w:r>
            <w:r w:rsidR="00882D30">
              <w:rPr>
                <w:sz w:val="18"/>
                <w:szCs w:val="23"/>
                <w:lang w:val="es-ES_tradnl"/>
              </w:rPr>
              <w:t xml:space="preserve"> se incluye el eje transversal del fortalecimiento del subsector de agua potable y saneamiento, cuyo objetivo es eliminar la duplicidad de funciones e interferencias, fortaleciendo la rectoría de agua potable y saneamiento en Panamá.</w:t>
            </w:r>
            <w:r w:rsidR="004A45B0">
              <w:rPr>
                <w:sz w:val="18"/>
                <w:szCs w:val="23"/>
                <w:lang w:val="es-ES_tradnl"/>
              </w:rPr>
              <w:t xml:space="preserve"> Dentro de la Meta No.5 del PNSH 2015-2050, se incluye fortalecimiento institucional para implementar dicho Plan, que</w:t>
            </w:r>
            <w:r w:rsidR="004A45B0" w:rsidRPr="004A45B0">
              <w:rPr>
                <w:sz w:val="18"/>
                <w:szCs w:val="23"/>
                <w:lang w:val="es-ES_tradnl"/>
              </w:rPr>
              <w:t xml:space="preserve"> </w:t>
            </w:r>
            <w:r w:rsidR="004A45B0">
              <w:rPr>
                <w:sz w:val="18"/>
                <w:szCs w:val="23"/>
                <w:lang w:val="es-ES_tradnl"/>
              </w:rPr>
              <w:t>abarca</w:t>
            </w:r>
            <w:r w:rsidR="004A45B0" w:rsidRPr="004A45B0">
              <w:rPr>
                <w:sz w:val="18"/>
                <w:szCs w:val="23"/>
                <w:lang w:val="es-ES_tradnl"/>
              </w:rPr>
              <w:t xml:space="preserve"> capacitaciones del personal actual e incorporación de nuevo, con especialidades técnicas relacionadas con el manejo, administración, protección, supervisión, monitoreo, evaluación, del recurso agua. </w:t>
            </w:r>
          </w:p>
        </w:tc>
      </w:tr>
      <w:tr w:rsidR="000F1306" w:rsidRPr="006834C6" w14:paraId="42966F8D" w14:textId="77777777" w:rsidTr="00120449">
        <w:trPr>
          <w:jc w:val="center"/>
        </w:trPr>
        <w:tc>
          <w:tcPr>
            <w:tcW w:w="1968" w:type="dxa"/>
            <w:shd w:val="clear" w:color="auto" w:fill="auto"/>
          </w:tcPr>
          <w:p w14:paraId="00DA27B1" w14:textId="77777777" w:rsidR="000F1306" w:rsidRPr="009876DD" w:rsidRDefault="000F1306" w:rsidP="000F1306">
            <w:pPr>
              <w:ind w:left="330" w:hanging="150"/>
              <w:rPr>
                <w:i/>
                <w:sz w:val="18"/>
                <w:szCs w:val="18"/>
                <w:lang w:val="es-ES_tradnl"/>
              </w:rPr>
            </w:pPr>
            <w:r w:rsidRPr="009876DD">
              <w:rPr>
                <w:b/>
                <w:bCs/>
                <w:i/>
                <w:sz w:val="18"/>
                <w:szCs w:val="18"/>
                <w:lang w:val="es-ES_tradnl"/>
              </w:rPr>
              <w:t>D. Establecer la estructura sectorial más apropiada en el contexto de las características del servicio y los objetivos de la política</w:t>
            </w:r>
          </w:p>
        </w:tc>
        <w:tc>
          <w:tcPr>
            <w:tcW w:w="4301" w:type="dxa"/>
            <w:shd w:val="clear" w:color="auto" w:fill="auto"/>
          </w:tcPr>
          <w:p w14:paraId="4C3155F1" w14:textId="77777777" w:rsidR="000F1306" w:rsidRPr="009876DD" w:rsidRDefault="000F1306" w:rsidP="000F1306">
            <w:pPr>
              <w:rPr>
                <w:sz w:val="18"/>
                <w:szCs w:val="18"/>
                <w:lang w:val="es-ES_tradnl"/>
              </w:rPr>
            </w:pPr>
            <w:r w:rsidRPr="009876DD">
              <w:rPr>
                <w:sz w:val="18"/>
                <w:szCs w:val="18"/>
                <w:lang w:val="es-ES_tradnl"/>
              </w:rPr>
              <w:t>Considerando la heterogeneidad en los mercados y servicios de la región, esta Política no promueve una organización industrial sectorial única para la prestación de los servicios públicos domiciliarios, y destaca que independientemente del modelo de gestión utilizado, se debe contar con prácticas de buena gobernanza y con un marco regulador claro, predecible y estable que incentive la eficiencia y la inversión.</w:t>
            </w:r>
          </w:p>
        </w:tc>
        <w:tc>
          <w:tcPr>
            <w:tcW w:w="3966" w:type="dxa"/>
            <w:shd w:val="clear" w:color="auto" w:fill="auto"/>
          </w:tcPr>
          <w:p w14:paraId="1BBAD193" w14:textId="5ABFF44D" w:rsidR="000F1306" w:rsidRDefault="00F44400" w:rsidP="004E7157">
            <w:pPr>
              <w:pStyle w:val="CFIJAENB"/>
              <w:spacing w:before="120" w:after="120"/>
              <w:ind w:left="0"/>
              <w:rPr>
                <w:rFonts w:ascii="Times New Roman" w:hAnsi="Times New Roman"/>
                <w:sz w:val="18"/>
                <w:szCs w:val="23"/>
                <w:lang w:eastAsia="en-US"/>
              </w:rPr>
            </w:pPr>
            <w:r>
              <w:rPr>
                <w:rFonts w:ascii="Times New Roman" w:hAnsi="Times New Roman"/>
                <w:sz w:val="18"/>
                <w:szCs w:val="23"/>
                <w:lang w:eastAsia="en-US"/>
              </w:rPr>
              <w:t>En el marco de otros proyectos de inversión del Banco, se ha realizado</w:t>
            </w:r>
            <w:r w:rsidR="00304F3B" w:rsidRPr="00304F3B">
              <w:rPr>
                <w:rFonts w:ascii="Times New Roman" w:hAnsi="Times New Roman"/>
                <w:sz w:val="18"/>
                <w:szCs w:val="23"/>
                <w:lang w:eastAsia="en-US"/>
              </w:rPr>
              <w:t xml:space="preserve"> un análisis </w:t>
            </w:r>
            <w:r w:rsidR="00304F3B">
              <w:rPr>
                <w:rFonts w:ascii="Times New Roman" w:hAnsi="Times New Roman"/>
                <w:sz w:val="18"/>
                <w:szCs w:val="23"/>
                <w:lang w:eastAsia="en-US"/>
              </w:rPr>
              <w:t>de alternativas</w:t>
            </w:r>
            <w:r w:rsidR="00ED783E">
              <w:rPr>
                <w:rFonts w:ascii="Times New Roman" w:hAnsi="Times New Roman"/>
                <w:sz w:val="18"/>
                <w:szCs w:val="23"/>
                <w:lang w:eastAsia="en-US"/>
              </w:rPr>
              <w:t xml:space="preserve"> para la </w:t>
            </w:r>
            <w:r w:rsidR="00ED783E" w:rsidRPr="00304F3B">
              <w:rPr>
                <w:rFonts w:ascii="Times New Roman" w:hAnsi="Times New Roman"/>
                <w:sz w:val="18"/>
                <w:szCs w:val="23"/>
                <w:lang w:eastAsia="en-US"/>
              </w:rPr>
              <w:t>Operación</w:t>
            </w:r>
            <w:r w:rsidR="00304F3B" w:rsidRPr="00304F3B">
              <w:rPr>
                <w:rFonts w:ascii="Times New Roman" w:hAnsi="Times New Roman"/>
                <w:sz w:val="18"/>
                <w:szCs w:val="23"/>
                <w:lang w:eastAsia="en-US"/>
              </w:rPr>
              <w:t xml:space="preserve"> y Mantenimiento</w:t>
            </w:r>
            <w:r w:rsidR="004B3077">
              <w:rPr>
                <w:rFonts w:ascii="Times New Roman" w:hAnsi="Times New Roman"/>
                <w:sz w:val="18"/>
                <w:szCs w:val="23"/>
                <w:lang w:eastAsia="en-US"/>
              </w:rPr>
              <w:t xml:space="preserve"> (O</w:t>
            </w:r>
            <w:r w:rsidR="004B3077" w:rsidRPr="004B3077">
              <w:rPr>
                <w:rFonts w:ascii="Times New Roman" w:hAnsi="Times New Roman"/>
                <w:sz w:val="18"/>
                <w:szCs w:val="23"/>
                <w:lang w:eastAsia="en-US"/>
              </w:rPr>
              <w:t>&amp;</w:t>
            </w:r>
            <w:r w:rsidR="004B3077">
              <w:rPr>
                <w:rFonts w:ascii="Times New Roman" w:hAnsi="Times New Roman"/>
                <w:sz w:val="18"/>
                <w:szCs w:val="23"/>
                <w:lang w:eastAsia="en-US"/>
              </w:rPr>
              <w:t>M)</w:t>
            </w:r>
            <w:r w:rsidR="00ED783E">
              <w:rPr>
                <w:rFonts w:ascii="Times New Roman" w:hAnsi="Times New Roman"/>
                <w:sz w:val="18"/>
                <w:szCs w:val="23"/>
                <w:lang w:eastAsia="en-US"/>
              </w:rPr>
              <w:t xml:space="preserve"> de las obras de saneamiento ejecutadas por la UCPSP en el marco del PSBCP</w:t>
            </w:r>
            <w:r w:rsidR="00304F3B">
              <w:rPr>
                <w:rFonts w:ascii="Times New Roman" w:hAnsi="Times New Roman"/>
                <w:sz w:val="18"/>
                <w:szCs w:val="23"/>
                <w:lang w:eastAsia="en-US"/>
              </w:rPr>
              <w:t xml:space="preserve">, entre las que incluyeron: i) </w:t>
            </w:r>
            <w:bookmarkStart w:id="1" w:name="_Toc416102425"/>
            <w:r w:rsidR="00304F3B" w:rsidRPr="00304F3B">
              <w:rPr>
                <w:rFonts w:ascii="Times New Roman" w:hAnsi="Times New Roman"/>
                <w:sz w:val="18"/>
                <w:szCs w:val="23"/>
                <w:lang w:val="es-ES"/>
              </w:rPr>
              <w:t xml:space="preserve">Administración Directa </w:t>
            </w:r>
            <w:r w:rsidR="00A57489">
              <w:rPr>
                <w:rFonts w:ascii="Times New Roman" w:hAnsi="Times New Roman"/>
                <w:sz w:val="18"/>
                <w:szCs w:val="23"/>
                <w:lang w:val="es-ES"/>
              </w:rPr>
              <w:t>UCPSP</w:t>
            </w:r>
            <w:r w:rsidR="00304F3B" w:rsidRPr="00304F3B">
              <w:rPr>
                <w:rFonts w:ascii="Times New Roman" w:hAnsi="Times New Roman"/>
                <w:sz w:val="18"/>
                <w:szCs w:val="23"/>
                <w:lang w:val="es-ES"/>
              </w:rPr>
              <w:t>-IDAAN</w:t>
            </w:r>
            <w:bookmarkEnd w:id="1"/>
            <w:r w:rsidR="00304F3B">
              <w:rPr>
                <w:rFonts w:ascii="Times New Roman" w:hAnsi="Times New Roman"/>
                <w:sz w:val="18"/>
                <w:szCs w:val="23"/>
                <w:lang w:val="es-ES"/>
              </w:rPr>
              <w:t xml:space="preserve">; ii) </w:t>
            </w:r>
            <w:r w:rsidR="00304F3B" w:rsidRPr="00304F3B">
              <w:rPr>
                <w:rFonts w:ascii="Times New Roman" w:hAnsi="Times New Roman"/>
                <w:sz w:val="18"/>
                <w:szCs w:val="23"/>
                <w:lang w:val="es-ES"/>
              </w:rPr>
              <w:t>Contrato de Servicios de Operación y Mantenimiento</w:t>
            </w:r>
            <w:r w:rsidR="00304F3B">
              <w:rPr>
                <w:rFonts w:ascii="Times New Roman" w:hAnsi="Times New Roman"/>
                <w:sz w:val="18"/>
                <w:szCs w:val="23"/>
                <w:lang w:val="es-ES"/>
              </w:rPr>
              <w:t>; iii)</w:t>
            </w:r>
            <w:r w:rsidR="00AB1B2E">
              <w:rPr>
                <w:rFonts w:ascii="Times New Roman" w:hAnsi="Times New Roman"/>
                <w:sz w:val="18"/>
                <w:szCs w:val="23"/>
                <w:lang w:val="es-ES"/>
              </w:rPr>
              <w:t xml:space="preserve"> </w:t>
            </w:r>
            <w:r w:rsidR="00AB1B2E" w:rsidRPr="00AB1B2E">
              <w:rPr>
                <w:rFonts w:ascii="Times New Roman" w:hAnsi="Times New Roman"/>
                <w:sz w:val="18"/>
                <w:szCs w:val="23"/>
                <w:lang w:val="es-ES"/>
              </w:rPr>
              <w:t>Contrato de Concesión de Operación y Mantenimiento</w:t>
            </w:r>
            <w:r>
              <w:rPr>
                <w:rFonts w:ascii="Times New Roman" w:hAnsi="Times New Roman"/>
                <w:sz w:val="18"/>
                <w:szCs w:val="23"/>
                <w:lang w:val="es-ES"/>
              </w:rPr>
              <w:t>. Dicho análisis reflejó</w:t>
            </w:r>
            <w:r w:rsidR="00AB1B2E">
              <w:rPr>
                <w:rFonts w:ascii="Times New Roman" w:hAnsi="Times New Roman"/>
                <w:sz w:val="18"/>
                <w:szCs w:val="23"/>
                <w:lang w:val="es-ES"/>
              </w:rPr>
              <w:t xml:space="preserve"> que la mejor alternativa era con la opción ii), dado los b</w:t>
            </w:r>
            <w:r w:rsidR="00777B24">
              <w:rPr>
                <w:rFonts w:ascii="Times New Roman" w:hAnsi="Times New Roman"/>
                <w:sz w:val="18"/>
                <w:szCs w:val="23"/>
                <w:lang w:val="es-ES"/>
              </w:rPr>
              <w:t xml:space="preserve">uenos resultados conseguidos </w:t>
            </w:r>
            <w:r w:rsidR="00F30970">
              <w:rPr>
                <w:rFonts w:ascii="Times New Roman" w:hAnsi="Times New Roman"/>
                <w:sz w:val="18"/>
                <w:szCs w:val="23"/>
                <w:lang w:val="es-ES"/>
              </w:rPr>
              <w:t xml:space="preserve">por la </w:t>
            </w:r>
            <w:r w:rsidR="00A57489">
              <w:rPr>
                <w:rFonts w:ascii="Times New Roman" w:hAnsi="Times New Roman"/>
                <w:sz w:val="18"/>
                <w:szCs w:val="23"/>
                <w:lang w:val="es-ES"/>
              </w:rPr>
              <w:t>UCPSP</w:t>
            </w:r>
            <w:r w:rsidR="00F30970">
              <w:rPr>
                <w:rFonts w:ascii="Times New Roman" w:hAnsi="Times New Roman"/>
                <w:sz w:val="18"/>
                <w:szCs w:val="23"/>
                <w:lang w:val="es-ES"/>
              </w:rPr>
              <w:t xml:space="preserve"> en la O&amp;M del PSBCP (</w:t>
            </w:r>
            <w:r w:rsidR="00AB1B2E">
              <w:rPr>
                <w:rFonts w:ascii="Times New Roman" w:hAnsi="Times New Roman"/>
                <w:sz w:val="18"/>
                <w:szCs w:val="23"/>
                <w:lang w:val="es-ES"/>
              </w:rPr>
              <w:t>la Fase I de la PTAR</w:t>
            </w:r>
            <w:r w:rsidR="00253272">
              <w:rPr>
                <w:rFonts w:ascii="Times New Roman" w:hAnsi="Times New Roman"/>
                <w:sz w:val="18"/>
                <w:szCs w:val="23"/>
                <w:lang w:val="es-ES"/>
              </w:rPr>
              <w:t xml:space="preserve"> Juan Diaz y en la operación de </w:t>
            </w:r>
            <w:r w:rsidR="00F30970">
              <w:rPr>
                <w:rFonts w:ascii="Times New Roman" w:hAnsi="Times New Roman"/>
                <w:sz w:val="18"/>
                <w:szCs w:val="23"/>
                <w:lang w:val="es-ES"/>
              </w:rPr>
              <w:t>los sistemas de alcantarillado-</w:t>
            </w:r>
            <w:r w:rsidR="00253272">
              <w:rPr>
                <w:rFonts w:ascii="Times New Roman" w:hAnsi="Times New Roman"/>
                <w:sz w:val="18"/>
                <w:szCs w:val="23"/>
                <w:lang w:val="es-ES"/>
              </w:rPr>
              <w:t xml:space="preserve"> Redes, colectoras, e interceptores</w:t>
            </w:r>
            <w:r w:rsidR="00F30970">
              <w:rPr>
                <w:rFonts w:ascii="Times New Roman" w:hAnsi="Times New Roman"/>
                <w:sz w:val="18"/>
                <w:szCs w:val="23"/>
                <w:lang w:val="es-ES"/>
              </w:rPr>
              <w:t>-)</w:t>
            </w:r>
            <w:r w:rsidR="00ED783E">
              <w:rPr>
                <w:rFonts w:ascii="Times New Roman" w:hAnsi="Times New Roman"/>
                <w:sz w:val="18"/>
                <w:szCs w:val="23"/>
                <w:lang w:val="es-ES"/>
              </w:rPr>
              <w:t>. Con la creación de la Empresa pública de saneamiento en el área metropolitana de Ciudad de Panamá, se le dotará a la UCPSP la institucionalidad y marco legal adecuado</w:t>
            </w:r>
            <w:r>
              <w:rPr>
                <w:rFonts w:ascii="Times New Roman" w:hAnsi="Times New Roman"/>
                <w:sz w:val="18"/>
                <w:szCs w:val="23"/>
                <w:lang w:val="es-ES"/>
              </w:rPr>
              <w:t>s</w:t>
            </w:r>
            <w:r w:rsidR="00ED783E">
              <w:rPr>
                <w:rFonts w:ascii="Times New Roman" w:hAnsi="Times New Roman"/>
                <w:sz w:val="18"/>
                <w:szCs w:val="23"/>
                <w:lang w:val="es-ES"/>
              </w:rPr>
              <w:t xml:space="preserve"> para continuar realizando sus actividades de inversión </w:t>
            </w:r>
            <w:r>
              <w:rPr>
                <w:rFonts w:ascii="Times New Roman" w:hAnsi="Times New Roman"/>
                <w:sz w:val="18"/>
                <w:szCs w:val="23"/>
                <w:lang w:val="es-ES"/>
              </w:rPr>
              <w:t>y O&amp;M de las obras</w:t>
            </w:r>
            <w:r w:rsidR="00ED783E">
              <w:rPr>
                <w:rFonts w:ascii="Times New Roman" w:hAnsi="Times New Roman"/>
                <w:sz w:val="18"/>
                <w:szCs w:val="23"/>
                <w:lang w:val="es-ES"/>
              </w:rPr>
              <w:t xml:space="preserve"> de saneamiento en el marco del </w:t>
            </w:r>
            <w:r w:rsidR="00ED783E">
              <w:rPr>
                <w:rFonts w:ascii="Times New Roman" w:hAnsi="Times New Roman"/>
                <w:sz w:val="18"/>
                <w:szCs w:val="23"/>
                <w:lang w:eastAsia="en-US"/>
              </w:rPr>
              <w:t>PSBCP.</w:t>
            </w:r>
            <w:r w:rsidR="007C69DC">
              <w:rPr>
                <w:rFonts w:ascii="Times New Roman" w:hAnsi="Times New Roman"/>
                <w:sz w:val="18"/>
                <w:szCs w:val="23"/>
                <w:lang w:eastAsia="en-US"/>
              </w:rPr>
              <w:t xml:space="preserve"> Por otro lado, con el programa actual, se apoya el desarrollo de una asistencia técnica operacional para el IDAAN para el Área Metropolitana de Panamá.</w:t>
            </w:r>
          </w:p>
          <w:p w14:paraId="6906BD3B" w14:textId="77777777" w:rsidR="00F44400" w:rsidRPr="00C34AA2" w:rsidRDefault="00F44400" w:rsidP="001B6FC0">
            <w:pPr>
              <w:jc w:val="both"/>
              <w:rPr>
                <w:b/>
                <w:sz w:val="18"/>
                <w:szCs w:val="23"/>
                <w:lang w:val="es-ES_tradnl"/>
              </w:rPr>
            </w:pPr>
          </w:p>
        </w:tc>
      </w:tr>
      <w:tr w:rsidR="000F1306" w:rsidRPr="006834C6" w14:paraId="711BA73D" w14:textId="77777777" w:rsidTr="00120449">
        <w:trPr>
          <w:jc w:val="center"/>
        </w:trPr>
        <w:tc>
          <w:tcPr>
            <w:tcW w:w="1968" w:type="dxa"/>
            <w:shd w:val="clear" w:color="auto" w:fill="auto"/>
          </w:tcPr>
          <w:p w14:paraId="20425C60" w14:textId="77777777" w:rsidR="000F1306" w:rsidRPr="009876DD" w:rsidRDefault="000F1306" w:rsidP="000F1306">
            <w:pPr>
              <w:ind w:left="330" w:hanging="150"/>
              <w:rPr>
                <w:i/>
                <w:sz w:val="18"/>
                <w:szCs w:val="18"/>
                <w:lang w:val="es-ES_tradnl"/>
              </w:rPr>
            </w:pPr>
            <w:r w:rsidRPr="009876DD">
              <w:rPr>
                <w:b/>
                <w:bCs/>
                <w:i/>
                <w:sz w:val="18"/>
                <w:szCs w:val="18"/>
                <w:lang w:val="es-ES_tradnl"/>
              </w:rPr>
              <w:t>E.</w:t>
            </w:r>
            <w:r w:rsidRPr="009876DD">
              <w:rPr>
                <w:i/>
                <w:lang w:val="es-ES"/>
              </w:rPr>
              <w:t xml:space="preserve"> </w:t>
            </w:r>
            <w:r w:rsidRPr="009876DD">
              <w:rPr>
                <w:b/>
                <w:bCs/>
                <w:i/>
                <w:sz w:val="18"/>
                <w:szCs w:val="18"/>
                <w:lang w:val="es-ES_tradnl"/>
              </w:rPr>
              <w:t>El rol de la regulación económica para incentivar la eficiencia, la inversión y proteger los derechos de los usuarios</w:t>
            </w:r>
          </w:p>
        </w:tc>
        <w:tc>
          <w:tcPr>
            <w:tcW w:w="4301" w:type="dxa"/>
            <w:shd w:val="clear" w:color="auto" w:fill="auto"/>
          </w:tcPr>
          <w:p w14:paraId="2CDE94C9" w14:textId="77777777" w:rsidR="000F1306" w:rsidRPr="009876DD" w:rsidRDefault="000F1306" w:rsidP="000F1306">
            <w:pPr>
              <w:rPr>
                <w:sz w:val="18"/>
                <w:szCs w:val="18"/>
                <w:lang w:val="es-ES_tradnl"/>
              </w:rPr>
            </w:pPr>
            <w:r w:rsidRPr="009876DD">
              <w:rPr>
                <w:bCs/>
                <w:sz w:val="18"/>
                <w:szCs w:val="18"/>
                <w:lang w:val="es-ES_tradnl"/>
              </w:rPr>
              <w:t>La adopción de un régimen regulatorio eficaz y adaptado a las condiciones particulares de cada sector en cada país es un factor clave para el logro de los objetivos de la Política. Un régimen regulatorio debe contribuir a reducir el costo del capital de los proveedores del servicio, incentivar la inversión, fijar estándares de calidad de los servicios y permitir que los proveedores del servicio obtengan ingresos suficientes para alcanzar la sostenibilidad financiera. La promoción de los derechos de los usuarios debe ser un objetivo primordial del proceso de regulación de los servicios. Así, la regulación debe lograr que las ganancias de eficiencia, alcanzadas en el tiempo por los proveedores de los servicios, se trasladen a los usuarios vía reducciones tarifarias o mediante mejoras en la calidad del servicio. Independientemente de la estructura sectorial y el modelo institucional para la regulación elegida por cada país, se debe brindar asistencia en el desarrollo de sistemas de información que permitan a los formuladores de políticas y a los usuarios conocer la estructura y nivel de costos y tarifas en las todas las etapas de producción de los servicios.</w:t>
            </w:r>
          </w:p>
        </w:tc>
        <w:tc>
          <w:tcPr>
            <w:tcW w:w="3966" w:type="dxa"/>
            <w:shd w:val="clear" w:color="auto" w:fill="auto"/>
          </w:tcPr>
          <w:p w14:paraId="42CB6F33" w14:textId="63C84E28" w:rsidR="004771D5" w:rsidRDefault="00B762C9" w:rsidP="007D36EC">
            <w:pPr>
              <w:pStyle w:val="BodyText"/>
              <w:spacing w:before="120"/>
              <w:rPr>
                <w:rFonts w:ascii="Times New Roman" w:eastAsiaTheme="minorHAnsi" w:hAnsi="Times New Roman"/>
                <w:sz w:val="18"/>
                <w:szCs w:val="18"/>
                <w:lang w:val="es-ES_tradnl"/>
              </w:rPr>
            </w:pPr>
            <w:r>
              <w:rPr>
                <w:rFonts w:ascii="Times New Roman" w:eastAsiaTheme="minorHAnsi" w:hAnsi="Times New Roman"/>
                <w:color w:val="000000"/>
                <w:sz w:val="18"/>
                <w:szCs w:val="18"/>
                <w:lang w:val="es-ES"/>
              </w:rPr>
              <w:t xml:space="preserve">La </w:t>
            </w:r>
            <w:r w:rsidRPr="007A25B9">
              <w:rPr>
                <w:rFonts w:ascii="Times New Roman" w:eastAsiaTheme="minorHAnsi" w:hAnsi="Times New Roman"/>
                <w:color w:val="000000"/>
                <w:sz w:val="18"/>
                <w:szCs w:val="18"/>
                <w:lang w:val="es-ES"/>
              </w:rPr>
              <w:t>Autoridad Nacional de los Servicios Públicos (ASEP) es el regulador económico del sector de agua potable y saneamiento</w:t>
            </w:r>
            <w:r w:rsidRPr="00B762C9">
              <w:rPr>
                <w:rFonts w:eastAsiaTheme="minorHAnsi"/>
                <w:color w:val="000000"/>
                <w:sz w:val="18"/>
                <w:szCs w:val="18"/>
                <w:lang w:val="es-ES_tradnl"/>
              </w:rPr>
              <w:t>.</w:t>
            </w:r>
            <w:r w:rsidRPr="007A25B9">
              <w:rPr>
                <w:rFonts w:eastAsiaTheme="minorHAnsi"/>
                <w:color w:val="000000"/>
                <w:sz w:val="18"/>
                <w:szCs w:val="18"/>
                <w:lang w:val="es-ES"/>
              </w:rPr>
              <w:t xml:space="preserve"> </w:t>
            </w:r>
            <w:r w:rsidRPr="007A25B9">
              <w:rPr>
                <w:rFonts w:ascii="Times New Roman" w:hAnsi="Times New Roman"/>
                <w:sz w:val="18"/>
                <w:lang w:val="es-PA"/>
              </w:rPr>
              <w:t xml:space="preserve">La Ley No. 10 de 2006 </w:t>
            </w:r>
            <w:r w:rsidRPr="007A25B9">
              <w:rPr>
                <w:rFonts w:ascii="Times New Roman" w:hAnsi="Times New Roman"/>
                <w:i/>
                <w:sz w:val="18"/>
                <w:lang w:val="es-PA"/>
              </w:rPr>
              <w:t>reorganiza la estructura y las atribuciones del Ente Regulador de los Servicios Públicos y dicta otras disposiciones</w:t>
            </w:r>
            <w:r w:rsidRPr="007A25B9">
              <w:rPr>
                <w:rFonts w:ascii="Times New Roman" w:hAnsi="Times New Roman"/>
                <w:sz w:val="18"/>
                <w:lang w:val="es-PA"/>
              </w:rPr>
              <w:t>. Renombra el ente regulador con el nombre de Autoridad Nacional de los Servicios Públicos (ASEP)</w:t>
            </w:r>
            <w:r w:rsidRPr="007A25B9">
              <w:rPr>
                <w:sz w:val="18"/>
                <w:lang w:val="es-PA"/>
              </w:rPr>
              <w:t>.</w:t>
            </w:r>
            <w:r w:rsidRPr="007A25B9">
              <w:rPr>
                <w:rFonts w:eastAsiaTheme="minorEastAsia"/>
                <w:lang w:val="es-PA"/>
              </w:rPr>
              <w:t xml:space="preserve"> </w:t>
            </w:r>
            <w:r w:rsidRPr="007A25B9">
              <w:rPr>
                <w:rFonts w:ascii="Times New Roman" w:eastAsiaTheme="minorHAnsi" w:hAnsi="Times New Roman"/>
                <w:sz w:val="18"/>
                <w:szCs w:val="18"/>
                <w:lang w:val="es-ES_tradnl"/>
              </w:rPr>
              <w:t>La Autoridad Nacional de los Servicios Públicos (ASEP) tiene una capacidad limitada para el ejercicio de sus funciones en el sector de agua y saneamiento</w:t>
            </w:r>
            <w:r w:rsidRPr="00534BE3">
              <w:rPr>
                <w:rFonts w:ascii="Times New Roman" w:eastAsiaTheme="minorHAnsi" w:hAnsi="Times New Roman"/>
                <w:sz w:val="18"/>
                <w:szCs w:val="18"/>
                <w:lang w:val="es-ES_tradnl"/>
              </w:rPr>
              <w:t xml:space="preserve">. </w:t>
            </w:r>
            <w:r w:rsidR="00824DD2" w:rsidRPr="00824DD2">
              <w:rPr>
                <w:rFonts w:ascii="Times New Roman" w:eastAsiaTheme="minorHAnsi" w:hAnsi="Times New Roman"/>
                <w:sz w:val="18"/>
                <w:szCs w:val="18"/>
                <w:lang w:val="es-ES_tradnl"/>
              </w:rPr>
              <w:t xml:space="preserve">Asimismo, la Dirección del Subsector de Agua Potable y Saneamiento (DISAPAS), es responsable de la definición de disposiciones legales de calidad del agua potable y agua residual y el monitoreo de la calidad del agua de los sistemas de agua potable rurales. </w:t>
            </w:r>
            <w:r w:rsidR="00824DD2">
              <w:rPr>
                <w:rFonts w:ascii="Times New Roman" w:eastAsiaTheme="minorHAnsi" w:hAnsi="Times New Roman"/>
                <w:sz w:val="18"/>
                <w:szCs w:val="18"/>
                <w:lang w:val="es-ES_tradnl"/>
              </w:rPr>
              <w:t>En este sentido</w:t>
            </w:r>
            <w:r w:rsidR="004771D5">
              <w:rPr>
                <w:rFonts w:ascii="Times New Roman" w:eastAsiaTheme="minorHAnsi" w:hAnsi="Times New Roman"/>
                <w:sz w:val="18"/>
                <w:szCs w:val="18"/>
                <w:lang w:val="es-ES_tradnl"/>
              </w:rPr>
              <w:t xml:space="preserve">, en la normativa técnica del sector existen reglamentos técnicos relativos a la calidad del agua potable y a aguas residuales, como son, entre otros: </w:t>
            </w:r>
            <w:r w:rsidR="004771D5" w:rsidRPr="00132320">
              <w:rPr>
                <w:rFonts w:ascii="Times New Roman" w:eastAsiaTheme="minorHAnsi" w:hAnsi="Times New Roman"/>
                <w:sz w:val="18"/>
                <w:szCs w:val="18"/>
                <w:lang w:val="es-ES_tradnl"/>
              </w:rPr>
              <w:t>Reglamento Técnico DGNTI-COPANIT 21-393-99</w:t>
            </w:r>
            <w:r w:rsidR="004771D5">
              <w:rPr>
                <w:rFonts w:ascii="Times New Roman" w:eastAsiaTheme="minorHAnsi" w:hAnsi="Times New Roman"/>
                <w:sz w:val="18"/>
                <w:szCs w:val="18"/>
                <w:lang w:val="es-ES_tradnl"/>
              </w:rPr>
              <w:t xml:space="preserve"> (t</w:t>
            </w:r>
            <w:r w:rsidR="004771D5" w:rsidRPr="00132320">
              <w:rPr>
                <w:rFonts w:ascii="Times New Roman" w:eastAsiaTheme="minorHAnsi" w:hAnsi="Times New Roman"/>
                <w:sz w:val="18"/>
                <w:szCs w:val="18"/>
                <w:lang w:val="es-ES_tradnl"/>
              </w:rPr>
              <w:t>oma de muestra para análisis Fisicoquímico</w:t>
            </w:r>
            <w:r w:rsidR="004771D5">
              <w:rPr>
                <w:rFonts w:ascii="Times New Roman" w:eastAsiaTheme="minorHAnsi" w:hAnsi="Times New Roman"/>
                <w:sz w:val="18"/>
                <w:szCs w:val="18"/>
                <w:lang w:val="es-ES_tradnl"/>
              </w:rPr>
              <w:t xml:space="preserve">), </w:t>
            </w:r>
            <w:r w:rsidR="004771D5" w:rsidRPr="00132320">
              <w:rPr>
                <w:rFonts w:ascii="Times New Roman" w:eastAsiaTheme="minorHAnsi" w:hAnsi="Times New Roman"/>
                <w:sz w:val="18"/>
                <w:szCs w:val="18"/>
                <w:lang w:val="es-ES_tradnl"/>
              </w:rPr>
              <w:t>Reglamento Técnico DGNTI-COPANIT 22-394-99</w:t>
            </w:r>
            <w:r w:rsidR="004771D5">
              <w:rPr>
                <w:rFonts w:ascii="Times New Roman" w:eastAsiaTheme="minorHAnsi" w:hAnsi="Times New Roman"/>
                <w:sz w:val="18"/>
                <w:szCs w:val="18"/>
                <w:lang w:val="es-ES_tradnl"/>
              </w:rPr>
              <w:t xml:space="preserve"> (</w:t>
            </w:r>
            <w:r w:rsidR="004771D5" w:rsidRPr="00132320">
              <w:rPr>
                <w:rFonts w:ascii="Times New Roman" w:eastAsiaTheme="minorHAnsi" w:hAnsi="Times New Roman"/>
                <w:sz w:val="18"/>
                <w:szCs w:val="18"/>
                <w:lang w:val="es-ES_tradnl"/>
              </w:rPr>
              <w:t>Toma de Muestra para análisis Biológico</w:t>
            </w:r>
            <w:r w:rsidR="004771D5">
              <w:rPr>
                <w:rFonts w:ascii="Times New Roman" w:eastAsiaTheme="minorHAnsi" w:hAnsi="Times New Roman"/>
                <w:sz w:val="18"/>
                <w:szCs w:val="18"/>
                <w:lang w:val="es-ES_tradnl"/>
              </w:rPr>
              <w:t xml:space="preserve">), </w:t>
            </w:r>
            <w:r w:rsidR="004771D5" w:rsidRPr="00132320">
              <w:rPr>
                <w:rFonts w:ascii="Times New Roman" w:eastAsiaTheme="minorHAnsi" w:hAnsi="Times New Roman"/>
                <w:sz w:val="18"/>
                <w:szCs w:val="18"/>
                <w:lang w:val="es-ES_tradnl"/>
              </w:rPr>
              <w:t>Reglamento Técnico DGNTI-COPANIT 23-395-99</w:t>
            </w:r>
            <w:r w:rsidR="004771D5">
              <w:rPr>
                <w:rFonts w:ascii="Times New Roman" w:eastAsiaTheme="minorHAnsi" w:hAnsi="Times New Roman"/>
                <w:sz w:val="18"/>
                <w:szCs w:val="18"/>
                <w:lang w:val="es-ES_tradnl"/>
              </w:rPr>
              <w:t xml:space="preserve"> (</w:t>
            </w:r>
            <w:r w:rsidR="004771D5" w:rsidRPr="00132320">
              <w:rPr>
                <w:rFonts w:ascii="Times New Roman" w:eastAsiaTheme="minorHAnsi" w:hAnsi="Times New Roman"/>
                <w:sz w:val="18"/>
                <w:szCs w:val="18"/>
                <w:lang w:val="es-ES_tradnl"/>
              </w:rPr>
              <w:t>Definiciones y Requisitos Generales</w:t>
            </w:r>
            <w:r w:rsidR="004771D5">
              <w:rPr>
                <w:rFonts w:ascii="Times New Roman" w:eastAsiaTheme="minorHAnsi" w:hAnsi="Times New Roman"/>
                <w:sz w:val="18"/>
                <w:szCs w:val="18"/>
                <w:lang w:val="es-ES_tradnl"/>
              </w:rPr>
              <w:t xml:space="preserve">), </w:t>
            </w:r>
            <w:r w:rsidR="004771D5" w:rsidRPr="00A6657A">
              <w:rPr>
                <w:rFonts w:ascii="Times New Roman" w:eastAsiaTheme="minorHAnsi" w:hAnsi="Times New Roman"/>
                <w:sz w:val="18"/>
                <w:szCs w:val="18"/>
                <w:lang w:val="es-ES_tradnl"/>
              </w:rPr>
              <w:t>Reglamento Técnico DGNTI-COPANIT 35-2000</w:t>
            </w:r>
            <w:r w:rsidR="004771D5">
              <w:rPr>
                <w:rFonts w:ascii="Times New Roman" w:eastAsiaTheme="minorHAnsi" w:hAnsi="Times New Roman"/>
                <w:sz w:val="18"/>
                <w:szCs w:val="18"/>
                <w:lang w:val="es-ES_tradnl"/>
              </w:rPr>
              <w:t xml:space="preserve"> (</w:t>
            </w:r>
            <w:r w:rsidR="004771D5" w:rsidRPr="00A6657A">
              <w:rPr>
                <w:rFonts w:ascii="Times New Roman" w:eastAsiaTheme="minorHAnsi" w:hAnsi="Times New Roman"/>
                <w:sz w:val="18"/>
                <w:szCs w:val="18"/>
                <w:lang w:val="es-ES_tradnl"/>
              </w:rPr>
              <w:t xml:space="preserve">  descarga de efluentes líquidos directamente a cuerpos de agua y masas de agua superficiales y subterráneas</w:t>
            </w:r>
            <w:r w:rsidR="004771D5">
              <w:rPr>
                <w:rFonts w:ascii="Times New Roman" w:eastAsiaTheme="minorHAnsi" w:hAnsi="Times New Roman"/>
                <w:sz w:val="18"/>
                <w:szCs w:val="18"/>
                <w:lang w:val="es-ES_tradnl"/>
              </w:rPr>
              <w:t>)</w:t>
            </w:r>
            <w:r w:rsidR="00DD1549">
              <w:rPr>
                <w:rFonts w:ascii="Times New Roman" w:eastAsiaTheme="minorHAnsi" w:hAnsi="Times New Roman"/>
                <w:sz w:val="18"/>
                <w:szCs w:val="18"/>
                <w:lang w:val="es-ES_tradnl"/>
              </w:rPr>
              <w:t xml:space="preserve"> y Reglamento Técnico DGNTI-COPANIT 39-2000 (descarga de efluentes líquidos directamente a sistemas de recolección de aguas residuales).</w:t>
            </w:r>
          </w:p>
          <w:p w14:paraId="1175D93D" w14:textId="77777777" w:rsidR="004B72AA" w:rsidRPr="004B72AA" w:rsidRDefault="004B72AA" w:rsidP="001B6FC0">
            <w:pPr>
              <w:jc w:val="both"/>
              <w:rPr>
                <w:rFonts w:eastAsiaTheme="minorHAnsi"/>
                <w:sz w:val="18"/>
                <w:szCs w:val="18"/>
                <w:lang w:val="es-ES_tradnl"/>
              </w:rPr>
            </w:pPr>
          </w:p>
        </w:tc>
      </w:tr>
      <w:tr w:rsidR="000F1306" w:rsidRPr="006834C6" w14:paraId="479215FC" w14:textId="77777777" w:rsidTr="00E7121B">
        <w:trPr>
          <w:trHeight w:val="350"/>
          <w:jc w:val="center"/>
        </w:trPr>
        <w:tc>
          <w:tcPr>
            <w:tcW w:w="1968" w:type="dxa"/>
            <w:shd w:val="clear" w:color="auto" w:fill="auto"/>
          </w:tcPr>
          <w:p w14:paraId="4CEBC433" w14:textId="77777777" w:rsidR="000F1306" w:rsidRPr="009876DD" w:rsidRDefault="000F1306" w:rsidP="000F1306">
            <w:pPr>
              <w:ind w:left="330" w:hanging="150"/>
              <w:rPr>
                <w:b/>
                <w:i/>
                <w:sz w:val="18"/>
                <w:szCs w:val="18"/>
                <w:lang w:val="es-ES_tradnl"/>
              </w:rPr>
            </w:pPr>
            <w:r w:rsidRPr="009876DD">
              <w:rPr>
                <w:b/>
                <w:i/>
                <w:sz w:val="18"/>
                <w:szCs w:val="18"/>
                <w:lang w:val="es-ES_tradnl"/>
              </w:rPr>
              <w:t xml:space="preserve">F. Generar condiciones adecuadas para que la participación privada sea una opción viable para la provisión de servicios públicos </w:t>
            </w:r>
            <w:r w:rsidRPr="009876DD">
              <w:rPr>
                <w:b/>
                <w:bCs/>
                <w:i/>
                <w:sz w:val="18"/>
                <w:szCs w:val="18"/>
                <w:lang w:val="es-ES_tradnl"/>
              </w:rPr>
              <w:t>domiciliarios</w:t>
            </w:r>
          </w:p>
        </w:tc>
        <w:tc>
          <w:tcPr>
            <w:tcW w:w="4301" w:type="dxa"/>
            <w:shd w:val="clear" w:color="auto" w:fill="auto"/>
          </w:tcPr>
          <w:p w14:paraId="0BD2A7E1" w14:textId="77777777" w:rsidR="000F1306" w:rsidRPr="009876DD" w:rsidRDefault="000F1306" w:rsidP="000F1306">
            <w:pPr>
              <w:rPr>
                <w:sz w:val="18"/>
                <w:szCs w:val="18"/>
                <w:lang w:val="es-ES_tradnl"/>
              </w:rPr>
            </w:pPr>
            <w:r w:rsidRPr="009876DD">
              <w:rPr>
                <w:sz w:val="18"/>
                <w:szCs w:val="18"/>
                <w:lang w:val="es-ES_tradnl"/>
              </w:rPr>
              <w:t xml:space="preserve">Esta Política reconoce que la competencia tiene el potencial de aumentar la eficiencia productiva y la calidad del servicio. En los mercados cuya tecnología de producción no exhibe las características propias de los monopolios naturales, es posible generar competencia en el mercado, permitiendo que varias empresas ofrezcan servicios simultáneamente. Cuando los mercados son monopolios naturales la competencia por el mercado puede producir los mismos resultados que la competencia en el mercado, siempre que el proceso de selección y regulación de la empresa proveedora del servicio sea abierto y efectivo. La Política reconoce, a su vez, que la participación privada (cualquiera sea su modalidad: contratos de gestión, concesiones o empresas de propiedad mixta, entre otras) es un instrumento clave para cerrar las brechas en la cantidad y calidad de los servicios domiciliarios en la región. </w:t>
            </w:r>
          </w:p>
        </w:tc>
        <w:tc>
          <w:tcPr>
            <w:tcW w:w="3966" w:type="dxa"/>
            <w:shd w:val="clear" w:color="auto" w:fill="auto"/>
          </w:tcPr>
          <w:p w14:paraId="2B7F23ED" w14:textId="41E1A6DC" w:rsidR="000F1306" w:rsidRPr="0067230D" w:rsidRDefault="00BD529B" w:rsidP="00C34AA2">
            <w:pPr>
              <w:spacing w:before="120" w:after="120"/>
              <w:jc w:val="both"/>
              <w:rPr>
                <w:sz w:val="18"/>
                <w:szCs w:val="18"/>
                <w:highlight w:val="yellow"/>
                <w:lang w:val="es-ES_tradnl"/>
              </w:rPr>
            </w:pPr>
            <w:r>
              <w:rPr>
                <w:sz w:val="18"/>
                <w:szCs w:val="18"/>
                <w:lang w:val="es-ES_tradnl"/>
              </w:rPr>
              <w:t>En el sector, l</w:t>
            </w:r>
            <w:r w:rsidR="00A75193">
              <w:rPr>
                <w:sz w:val="18"/>
                <w:szCs w:val="18"/>
                <w:lang w:val="es-ES_tradnl"/>
              </w:rPr>
              <w:t>a UCP</w:t>
            </w:r>
            <w:r w:rsidR="00974C13">
              <w:rPr>
                <w:sz w:val="18"/>
                <w:szCs w:val="18"/>
                <w:lang w:val="es-ES_tradnl"/>
              </w:rPr>
              <w:t>SP</w:t>
            </w:r>
            <w:r w:rsidR="00A75193">
              <w:rPr>
                <w:sz w:val="18"/>
                <w:szCs w:val="18"/>
                <w:lang w:val="es-ES_tradnl"/>
              </w:rPr>
              <w:t xml:space="preserve"> viene utilizando</w:t>
            </w:r>
            <w:r w:rsidR="0008127B" w:rsidRPr="00EC6C70">
              <w:rPr>
                <w:sz w:val="18"/>
                <w:szCs w:val="18"/>
                <w:lang w:val="es-ES_tradnl"/>
              </w:rPr>
              <w:t xml:space="preserve"> el esquema de gestión seguido en el primer módulo de la PTAR</w:t>
            </w:r>
            <w:r w:rsidR="00EC6C70" w:rsidRPr="00EC6C70">
              <w:rPr>
                <w:sz w:val="18"/>
                <w:szCs w:val="18"/>
                <w:lang w:val="es-ES_tradnl"/>
              </w:rPr>
              <w:t xml:space="preserve"> Juan </w:t>
            </w:r>
            <w:r w:rsidR="00DD1549">
              <w:rPr>
                <w:sz w:val="18"/>
                <w:szCs w:val="18"/>
                <w:lang w:val="es-ES_tradnl"/>
              </w:rPr>
              <w:t xml:space="preserve">Díaz </w:t>
            </w:r>
            <w:r w:rsidR="00CF7C50">
              <w:rPr>
                <w:sz w:val="18"/>
                <w:szCs w:val="18"/>
                <w:lang w:val="es-ES_tradnl"/>
              </w:rPr>
              <w:t>en el marco del PSCBP</w:t>
            </w:r>
            <w:r w:rsidR="0008127B" w:rsidRPr="00EC6C70">
              <w:rPr>
                <w:sz w:val="18"/>
                <w:szCs w:val="18"/>
                <w:lang w:val="es-ES_tradnl"/>
              </w:rPr>
              <w:t xml:space="preserve">, donde la </w:t>
            </w:r>
            <w:r w:rsidR="00A57489">
              <w:rPr>
                <w:sz w:val="18"/>
                <w:szCs w:val="18"/>
                <w:lang w:val="es-ES_tradnl"/>
              </w:rPr>
              <w:t>UCPSP</w:t>
            </w:r>
            <w:r w:rsidR="00CF7C50">
              <w:rPr>
                <w:sz w:val="18"/>
                <w:szCs w:val="18"/>
                <w:lang w:val="es-ES_tradnl"/>
              </w:rPr>
              <w:t xml:space="preserve"> construye y opera </w:t>
            </w:r>
            <w:r w:rsidR="0008127B" w:rsidRPr="00EC6C70">
              <w:rPr>
                <w:sz w:val="18"/>
                <w:szCs w:val="18"/>
                <w:lang w:val="es-ES_tradnl"/>
              </w:rPr>
              <w:t>en el corto y medio plazo la infraestructura, a través de la supervisión y administración de contratos de servicios de diseño, construcción y operación con los contratistas adjudicatarios</w:t>
            </w:r>
            <w:r w:rsidR="00AB1B2E" w:rsidRPr="00EC6C70">
              <w:rPr>
                <w:sz w:val="18"/>
                <w:szCs w:val="18"/>
                <w:lang w:val="es-ES_tradnl"/>
              </w:rPr>
              <w:t xml:space="preserve"> (</w:t>
            </w:r>
            <w:r w:rsidR="00AB1B2E" w:rsidRPr="00EC6C70">
              <w:rPr>
                <w:sz w:val="18"/>
                <w:szCs w:val="23"/>
                <w:lang w:val="es-ES"/>
              </w:rPr>
              <w:t>Contrato de Servicios de Operación y Mantenimiento)</w:t>
            </w:r>
            <w:r w:rsidR="0008127B" w:rsidRPr="00EC6C70">
              <w:rPr>
                <w:sz w:val="18"/>
                <w:szCs w:val="18"/>
                <w:lang w:val="es-ES_tradnl"/>
              </w:rPr>
              <w:t xml:space="preserve">. Dicho esquema de colaboración público &amp; privada ha venido funcionado de forma satisfactoria en el primer módulo de </w:t>
            </w:r>
            <w:r w:rsidR="00EC6C70" w:rsidRPr="00EC6C70">
              <w:rPr>
                <w:sz w:val="18"/>
                <w:szCs w:val="18"/>
                <w:lang w:val="es-ES_tradnl"/>
              </w:rPr>
              <w:t>dicha</w:t>
            </w:r>
            <w:r w:rsidR="0008127B" w:rsidRPr="00EC6C70">
              <w:rPr>
                <w:sz w:val="18"/>
                <w:szCs w:val="18"/>
                <w:lang w:val="es-ES_tradnl"/>
              </w:rPr>
              <w:t xml:space="preserve"> PTAR, en donde ya se observan, por ejemplo, planes de O&amp;M de la PTAR modernos y eficaces implementados por contratistas con gran capacidad técnica, así como la transferencia de conocimiento al personal de la </w:t>
            </w:r>
            <w:r w:rsidR="00A57489">
              <w:rPr>
                <w:sz w:val="18"/>
                <w:szCs w:val="18"/>
                <w:lang w:val="es-ES_tradnl"/>
              </w:rPr>
              <w:t>UCPSP</w:t>
            </w:r>
            <w:r w:rsidR="0008127B" w:rsidRPr="00EC6C70">
              <w:rPr>
                <w:sz w:val="18"/>
                <w:szCs w:val="18"/>
                <w:lang w:val="es-ES_tradnl"/>
              </w:rPr>
              <w:t xml:space="preserve"> en actividades de O&amp;M.</w:t>
            </w:r>
            <w:r w:rsidR="00974C13">
              <w:rPr>
                <w:sz w:val="18"/>
                <w:szCs w:val="18"/>
                <w:lang w:val="es-ES_tradnl"/>
              </w:rPr>
              <w:t xml:space="preserve"> Por otra parte, se </w:t>
            </w:r>
            <w:r w:rsidR="00EA3F52">
              <w:rPr>
                <w:sz w:val="18"/>
                <w:szCs w:val="18"/>
                <w:lang w:val="es-ES_tradnl"/>
              </w:rPr>
              <w:t>ha licitado</w:t>
            </w:r>
            <w:r w:rsidR="00974C13">
              <w:rPr>
                <w:sz w:val="18"/>
                <w:szCs w:val="18"/>
                <w:lang w:val="es-ES_tradnl"/>
              </w:rPr>
              <w:t xml:space="preserve"> por parte del Gobierno de Panamá un contrato de gerenciamiento para el IDAAN en el Área Metropolitana de Panamá (AMP) para que </w:t>
            </w:r>
            <w:r w:rsidR="00745130" w:rsidRPr="00745130">
              <w:rPr>
                <w:sz w:val="18"/>
                <w:szCs w:val="18"/>
                <w:lang w:val="es-ES_tradnl"/>
              </w:rPr>
              <w:t>con el apoyo de una empresa especializada en optimización en la prestación de servicio</w:t>
            </w:r>
            <w:r w:rsidR="00745130">
              <w:rPr>
                <w:sz w:val="18"/>
                <w:szCs w:val="18"/>
                <w:lang w:val="es-ES_tradnl"/>
              </w:rPr>
              <w:t xml:space="preserve">s de agua potable y saneamiento se </w:t>
            </w:r>
            <w:r w:rsidR="00745130" w:rsidRPr="00745130">
              <w:rPr>
                <w:sz w:val="18"/>
                <w:szCs w:val="18"/>
                <w:lang w:val="es-ES_tradnl"/>
              </w:rPr>
              <w:t xml:space="preserve">le brinde al IDAAN la asistencia y asesoría técnica requerida para apoyar su gestión de las operaciones técnicas y comerciales </w:t>
            </w:r>
            <w:r w:rsidR="00745130">
              <w:rPr>
                <w:sz w:val="18"/>
                <w:szCs w:val="18"/>
                <w:lang w:val="es-ES_tradnl"/>
              </w:rPr>
              <w:t xml:space="preserve">en el AMP </w:t>
            </w:r>
            <w:r w:rsidR="00745130" w:rsidRPr="00745130">
              <w:rPr>
                <w:sz w:val="18"/>
                <w:szCs w:val="18"/>
                <w:lang w:val="es-ES_tradnl"/>
              </w:rPr>
              <w:t>durante el proceso de transformación de la Institución para lograr los objetiv</w:t>
            </w:r>
            <w:r w:rsidR="00745130">
              <w:rPr>
                <w:sz w:val="18"/>
                <w:szCs w:val="18"/>
                <w:lang w:val="es-ES_tradnl"/>
              </w:rPr>
              <w:t>os del Pla</w:t>
            </w:r>
            <w:r w:rsidR="000272CD">
              <w:rPr>
                <w:sz w:val="18"/>
                <w:szCs w:val="18"/>
                <w:lang w:val="es-ES_tradnl"/>
              </w:rPr>
              <w:t>n de Acción 2016-2019 del IDAAN; en este sentido, el programa apoyará con recursos para el desarrollo de dicha asistencia técnica operacional para el IDAAN.</w:t>
            </w:r>
          </w:p>
        </w:tc>
      </w:tr>
      <w:tr w:rsidR="000F1306" w:rsidRPr="006834C6" w14:paraId="5F190088" w14:textId="77777777" w:rsidTr="00120449">
        <w:trPr>
          <w:jc w:val="center"/>
        </w:trPr>
        <w:tc>
          <w:tcPr>
            <w:tcW w:w="1968" w:type="dxa"/>
            <w:shd w:val="clear" w:color="auto" w:fill="auto"/>
          </w:tcPr>
          <w:p w14:paraId="4A624B0C" w14:textId="77777777" w:rsidR="000F1306" w:rsidRPr="009876DD" w:rsidRDefault="000F1306" w:rsidP="000F1306">
            <w:pPr>
              <w:ind w:left="330" w:hanging="150"/>
              <w:rPr>
                <w:b/>
                <w:i/>
                <w:sz w:val="18"/>
                <w:szCs w:val="18"/>
                <w:lang w:val="es-ES"/>
              </w:rPr>
            </w:pPr>
            <w:r w:rsidRPr="009876DD">
              <w:rPr>
                <w:b/>
                <w:i/>
                <w:sz w:val="18"/>
                <w:szCs w:val="18"/>
                <w:lang w:val="es-ES"/>
              </w:rPr>
              <w:t xml:space="preserve">G. </w:t>
            </w:r>
            <w:r w:rsidRPr="009876DD">
              <w:rPr>
                <w:b/>
                <w:bCs/>
                <w:i/>
                <w:sz w:val="18"/>
                <w:szCs w:val="18"/>
                <w:lang w:val="es-ES_tradnl"/>
              </w:rPr>
              <w:t>Fortalecer</w:t>
            </w:r>
            <w:r w:rsidRPr="009876DD">
              <w:rPr>
                <w:b/>
                <w:i/>
                <w:sz w:val="18"/>
                <w:szCs w:val="18"/>
                <w:lang w:val="es-ES"/>
              </w:rPr>
              <w:t xml:space="preserve"> la gestión de la infraestructura utilizada para la prestación de los servicios públicos domiciliarios.</w:t>
            </w:r>
          </w:p>
        </w:tc>
        <w:tc>
          <w:tcPr>
            <w:tcW w:w="4301" w:type="dxa"/>
            <w:shd w:val="clear" w:color="auto" w:fill="auto"/>
          </w:tcPr>
          <w:p w14:paraId="37E5F7C8" w14:textId="77777777" w:rsidR="000F1306" w:rsidRPr="009876DD" w:rsidRDefault="000F1306" w:rsidP="000F1306">
            <w:pPr>
              <w:rPr>
                <w:sz w:val="18"/>
                <w:szCs w:val="18"/>
                <w:lang w:val="es-ES"/>
              </w:rPr>
            </w:pPr>
            <w:r w:rsidRPr="009876DD">
              <w:rPr>
                <w:sz w:val="18"/>
                <w:szCs w:val="18"/>
                <w:lang w:val="es-ES"/>
              </w:rPr>
              <w:t xml:space="preserve">Los ámbitos de acción más relevantes para optimizar la gestión de la infraestructura son: i) incentivar la eficiencia en la gestión de las empresas; ii) desarrollar e implementar políticas adecuadas y estables de mantenimiento de activos; y iii) optimizar el uso de la infraestructura a través de incentivos a la demanda. </w:t>
            </w:r>
          </w:p>
        </w:tc>
        <w:tc>
          <w:tcPr>
            <w:tcW w:w="3966" w:type="dxa"/>
            <w:shd w:val="clear" w:color="auto" w:fill="auto"/>
          </w:tcPr>
          <w:p w14:paraId="0C5F8721" w14:textId="743AA2E4" w:rsidR="00816AA2" w:rsidRDefault="000272CD" w:rsidP="00CA61A4">
            <w:pPr>
              <w:pStyle w:val="CFIJAENB"/>
              <w:spacing w:before="120" w:after="120"/>
              <w:ind w:left="0"/>
              <w:rPr>
                <w:rFonts w:ascii="Times New Roman" w:hAnsi="Times New Roman"/>
                <w:sz w:val="18"/>
                <w:szCs w:val="18"/>
                <w:lang w:eastAsia="en-US"/>
              </w:rPr>
            </w:pPr>
            <w:r>
              <w:rPr>
                <w:rFonts w:ascii="Times New Roman" w:hAnsi="Times New Roman"/>
                <w:sz w:val="18"/>
                <w:szCs w:val="18"/>
                <w:lang w:eastAsia="en-US"/>
              </w:rPr>
              <w:t>En el sector, l</w:t>
            </w:r>
            <w:r w:rsidR="00816AA2">
              <w:rPr>
                <w:rFonts w:ascii="Times New Roman" w:hAnsi="Times New Roman"/>
                <w:sz w:val="18"/>
                <w:szCs w:val="18"/>
                <w:lang w:eastAsia="en-US"/>
              </w:rPr>
              <w:t>os objetivos generales de la PNAPS 2017-2030 incluyen:</w:t>
            </w:r>
          </w:p>
          <w:p w14:paraId="47CFBDCD" w14:textId="77777777" w:rsidR="00816AA2" w:rsidRPr="00816AA2" w:rsidRDefault="00816AA2" w:rsidP="00816AA2">
            <w:pPr>
              <w:pStyle w:val="CFIJAENB"/>
              <w:spacing w:before="120" w:after="120"/>
              <w:ind w:left="0"/>
              <w:rPr>
                <w:rFonts w:ascii="Times New Roman" w:hAnsi="Times New Roman"/>
                <w:sz w:val="18"/>
                <w:szCs w:val="18"/>
                <w:lang w:eastAsia="en-US"/>
              </w:rPr>
            </w:pPr>
            <w:r>
              <w:rPr>
                <w:rFonts w:ascii="Times New Roman" w:hAnsi="Times New Roman"/>
                <w:sz w:val="18"/>
                <w:szCs w:val="18"/>
                <w:lang w:eastAsia="en-US"/>
              </w:rPr>
              <w:t xml:space="preserve">i) </w:t>
            </w:r>
            <w:r w:rsidRPr="00816AA2">
              <w:rPr>
                <w:rFonts w:ascii="Times New Roman" w:hAnsi="Times New Roman"/>
                <w:sz w:val="18"/>
                <w:szCs w:val="18"/>
                <w:lang w:eastAsia="en-US"/>
              </w:rPr>
              <w:t>Crear una nueva cultura del agua que involucre a toda la sociedad, desde los altos niveles políticos hasta los más humildes ciudadanos, para promover la protección, el ahorro y la sostenibilidad del recurso hídrico; esto se puede lograr a través de la incorporación de los temas del agua potable, saneamiento e higiene en los programas educativos; además, se debe fomentar la conciencia del pago adecuado y oportuno de las tarifas por ambos servicios.</w:t>
            </w:r>
          </w:p>
          <w:p w14:paraId="07B13FE3" w14:textId="77777777" w:rsidR="00816AA2" w:rsidRPr="00816AA2" w:rsidRDefault="00816AA2" w:rsidP="00816AA2">
            <w:pPr>
              <w:pStyle w:val="CFIJAENB"/>
              <w:spacing w:before="120" w:after="120"/>
              <w:ind w:left="0"/>
              <w:rPr>
                <w:rFonts w:ascii="Times New Roman" w:hAnsi="Times New Roman"/>
                <w:sz w:val="18"/>
                <w:szCs w:val="18"/>
                <w:lang w:eastAsia="en-US"/>
              </w:rPr>
            </w:pPr>
            <w:r>
              <w:rPr>
                <w:rFonts w:ascii="Times New Roman" w:hAnsi="Times New Roman"/>
                <w:sz w:val="18"/>
                <w:szCs w:val="18"/>
                <w:lang w:eastAsia="en-US"/>
              </w:rPr>
              <w:t>ii)</w:t>
            </w:r>
            <w:r w:rsidRPr="00816AA2">
              <w:rPr>
                <w:rFonts w:ascii="Times New Roman" w:hAnsi="Times New Roman"/>
                <w:sz w:val="18"/>
                <w:szCs w:val="18"/>
                <w:lang w:eastAsia="en-US"/>
              </w:rPr>
              <w:t xml:space="preserve"> Fortalecer la rectoría del MINSA y de los prestadores de los servicios (principalmente al IDAAN), para rescatar su autonomía y el derecho a cobrar las tarifas justas y necesarias para la administración y operación de los sistemas, y mantener un rédito para su auto</w:t>
            </w:r>
            <w:r>
              <w:rPr>
                <w:rFonts w:ascii="Times New Roman" w:hAnsi="Times New Roman"/>
                <w:sz w:val="18"/>
                <w:szCs w:val="18"/>
                <w:lang w:eastAsia="en-US"/>
              </w:rPr>
              <w:t xml:space="preserve"> </w:t>
            </w:r>
            <w:r w:rsidRPr="00816AA2">
              <w:rPr>
                <w:rFonts w:ascii="Times New Roman" w:hAnsi="Times New Roman"/>
                <w:sz w:val="18"/>
                <w:szCs w:val="18"/>
                <w:lang w:eastAsia="en-US"/>
              </w:rPr>
              <w:t>sostenibilidad.</w:t>
            </w:r>
          </w:p>
          <w:p w14:paraId="35EC95D9" w14:textId="77777777" w:rsidR="00816AA2" w:rsidRPr="00816AA2" w:rsidRDefault="00816AA2" w:rsidP="00816AA2">
            <w:pPr>
              <w:pStyle w:val="CFIJAENB"/>
              <w:spacing w:before="120" w:after="120"/>
              <w:ind w:left="0"/>
              <w:rPr>
                <w:rFonts w:ascii="Times New Roman" w:hAnsi="Times New Roman"/>
                <w:sz w:val="18"/>
                <w:szCs w:val="18"/>
                <w:lang w:eastAsia="en-US"/>
              </w:rPr>
            </w:pPr>
            <w:r>
              <w:rPr>
                <w:rFonts w:ascii="Times New Roman" w:hAnsi="Times New Roman"/>
                <w:sz w:val="18"/>
                <w:szCs w:val="18"/>
                <w:lang w:eastAsia="en-US"/>
              </w:rPr>
              <w:t xml:space="preserve">iii) </w:t>
            </w:r>
            <w:r w:rsidRPr="00816AA2">
              <w:rPr>
                <w:rFonts w:ascii="Times New Roman" w:hAnsi="Times New Roman"/>
                <w:sz w:val="18"/>
                <w:szCs w:val="18"/>
                <w:lang w:eastAsia="en-US"/>
              </w:rPr>
              <w:t>Alcanzar una cobertura universal y asegurar la calidad de la prestación de los servicios, con el fin de mejorar la salud y la calidad de vida de las personas, lograr el aprovechamiento nacional y sostenible de los recursos naturales, contribuir a la reducción de la pobreza y aumentar la dignidad de la población indígena, rural y marginal urbana, asegurar una adecuada consideración de género y lograr la sostenibilidad de los servicios de agua potable y saneamiento, para las presentes y futuras generaciones.</w:t>
            </w:r>
          </w:p>
          <w:p w14:paraId="688B49DA" w14:textId="77777777" w:rsidR="000F1306" w:rsidRDefault="00816AA2" w:rsidP="00C34AA2">
            <w:pPr>
              <w:pStyle w:val="CFIJAENB"/>
              <w:spacing w:before="120" w:after="120"/>
              <w:ind w:left="0"/>
              <w:rPr>
                <w:rFonts w:ascii="Times New Roman" w:hAnsi="Times New Roman"/>
                <w:sz w:val="18"/>
                <w:szCs w:val="18"/>
                <w:lang w:eastAsia="en-US"/>
              </w:rPr>
            </w:pPr>
            <w:r>
              <w:rPr>
                <w:rFonts w:ascii="Times New Roman" w:hAnsi="Times New Roman"/>
                <w:sz w:val="18"/>
                <w:szCs w:val="18"/>
                <w:lang w:eastAsia="en-US"/>
              </w:rPr>
              <w:t>iv</w:t>
            </w:r>
            <w:r w:rsidRPr="00816AA2">
              <w:rPr>
                <w:rFonts w:ascii="Times New Roman" w:hAnsi="Times New Roman"/>
                <w:sz w:val="18"/>
                <w:szCs w:val="18"/>
                <w:lang w:eastAsia="en-US"/>
              </w:rPr>
              <w:t>) Alcanzar estos objetivos básicos en el menor plazo posible, mediante la aplicación de acciones coherentes con el establecimiento a corto, mediano y largo plazo del “Programa Nacional para el Mejoramiento y Sostenibilidad de la Calidad de los Servicios de Agua Potable” y el “Programa Nacional del Manejo Adecuado de Aguas Residuales</w:t>
            </w:r>
            <w:r>
              <w:rPr>
                <w:rFonts w:ascii="Times New Roman" w:hAnsi="Times New Roman"/>
                <w:sz w:val="18"/>
                <w:szCs w:val="18"/>
                <w:lang w:eastAsia="en-US"/>
              </w:rPr>
              <w:t>.</w:t>
            </w:r>
          </w:p>
          <w:p w14:paraId="503D6A04" w14:textId="344CBF7B" w:rsidR="003B307F" w:rsidRPr="00D06EBC" w:rsidRDefault="003B307F" w:rsidP="00C34AA2">
            <w:pPr>
              <w:pStyle w:val="CFIJAENB"/>
              <w:spacing w:before="120" w:after="120"/>
              <w:ind w:left="0"/>
              <w:rPr>
                <w:rFonts w:ascii="Times New Roman" w:hAnsi="Times New Roman"/>
                <w:sz w:val="18"/>
                <w:szCs w:val="18"/>
                <w:lang w:eastAsia="en-US"/>
              </w:rPr>
            </w:pPr>
            <w:r>
              <w:rPr>
                <w:rFonts w:ascii="Times New Roman" w:hAnsi="Times New Roman"/>
                <w:sz w:val="18"/>
                <w:szCs w:val="18"/>
                <w:lang w:eastAsia="en-US"/>
              </w:rPr>
              <w:t>El presente programa, busca a través del contrato de asistencia técnica, la revisión de procesos que permitan mejorar la gestión del IDAAN, generando programas adecuados para la operación y mantenimiento preventivo de la infraestructura de agua potable.</w:t>
            </w:r>
          </w:p>
        </w:tc>
      </w:tr>
      <w:tr w:rsidR="009834A9" w:rsidRPr="006834C6" w14:paraId="0783EF48" w14:textId="77777777" w:rsidTr="00120449">
        <w:trPr>
          <w:jc w:val="center"/>
        </w:trPr>
        <w:tc>
          <w:tcPr>
            <w:tcW w:w="1968" w:type="dxa"/>
            <w:shd w:val="clear" w:color="auto" w:fill="auto"/>
          </w:tcPr>
          <w:p w14:paraId="5D363C85" w14:textId="77777777" w:rsidR="000F1306" w:rsidRPr="009834A9" w:rsidRDefault="000F1306" w:rsidP="000F1306">
            <w:pPr>
              <w:rPr>
                <w:sz w:val="18"/>
                <w:szCs w:val="18"/>
                <w:lang w:val="es-ES"/>
              </w:rPr>
            </w:pPr>
            <w:r w:rsidRPr="009834A9">
              <w:rPr>
                <w:b/>
                <w:sz w:val="18"/>
                <w:szCs w:val="18"/>
                <w:lang w:val="es-ES"/>
              </w:rPr>
              <w:t>3. Promover la innovación para fomentar la eficiencia, el acceso y la sostenibilidad ambiental</w:t>
            </w:r>
          </w:p>
        </w:tc>
        <w:tc>
          <w:tcPr>
            <w:tcW w:w="4301" w:type="dxa"/>
            <w:shd w:val="clear" w:color="auto" w:fill="auto"/>
          </w:tcPr>
          <w:p w14:paraId="04BC8F5D" w14:textId="77777777" w:rsidR="000F1306" w:rsidRPr="009834A9" w:rsidRDefault="000F1306" w:rsidP="000F1306">
            <w:pPr>
              <w:rPr>
                <w:sz w:val="18"/>
                <w:szCs w:val="18"/>
                <w:lang w:val="es-ES"/>
              </w:rPr>
            </w:pPr>
            <w:r w:rsidRPr="009834A9">
              <w:rPr>
                <w:sz w:val="18"/>
                <w:szCs w:val="18"/>
                <w:lang w:val="es-ES"/>
              </w:rPr>
              <w:t>Esta Política resalta el rol de la tecnología para incrementar el acceso con soluciones costo-efectivas, reducir los costos de mantenimiento y administrar el consumo, evitando inversiones innecesarias en mayor capacidad. La Política reconoce que se deberá contribuir a diseminar información sobre la adopción, financiamiento y esquemas de gestión de las soluciones tecnológicas más apropiadas para cada combinación particular de servicio público y características de la demanda.</w:t>
            </w:r>
          </w:p>
        </w:tc>
        <w:tc>
          <w:tcPr>
            <w:tcW w:w="3966" w:type="dxa"/>
            <w:shd w:val="clear" w:color="auto" w:fill="auto"/>
          </w:tcPr>
          <w:p w14:paraId="50D49C7B" w14:textId="3F8F9140" w:rsidR="00B30E53" w:rsidRPr="005547E9" w:rsidRDefault="00D24E95" w:rsidP="0015796A">
            <w:pPr>
              <w:pStyle w:val="Paragraph"/>
              <w:numPr>
                <w:ilvl w:val="0"/>
                <w:numId w:val="0"/>
              </w:numPr>
              <w:rPr>
                <w:sz w:val="18"/>
                <w:szCs w:val="18"/>
                <w:lang w:val="es-ES_tradnl"/>
              </w:rPr>
            </w:pPr>
            <w:r>
              <w:rPr>
                <w:rFonts w:eastAsiaTheme="minorHAnsi"/>
                <w:sz w:val="18"/>
                <w:szCs w:val="18"/>
                <w:lang w:val="es-ES_tradnl" w:eastAsia="en-NZ"/>
              </w:rPr>
              <w:t>En el sector, e</w:t>
            </w:r>
            <w:r w:rsidR="00C0245E">
              <w:rPr>
                <w:rFonts w:eastAsiaTheme="minorHAnsi"/>
                <w:sz w:val="18"/>
                <w:szCs w:val="18"/>
                <w:lang w:val="es-ES_tradnl" w:eastAsia="en-NZ"/>
              </w:rPr>
              <w:t xml:space="preserve">n el PNSH se incluyen acciones tendientes a incrementar la eficiencia de los sistemas de provisión de agua potable, a través de la inversión en actualización y mejora de las instalaciones de provisión del servicio, control y monitoreo, programas de reducción de agua no contabilizada y de implementación de la cultura de consumo responsable. El PNSH también incluye propuestas de modernización del marco normativo e institucional, a través de propuestas de ordenamiento de la gobernanza integral del agua, y mejoras de los sistemas de información climática, planificación y monitoreo. Estas acciones permitirán optimizar las inversiones requeridas para expandir los servicios y aumentar la cobertura, y reducir costos de operación y mantenimiento. </w:t>
            </w:r>
            <w:r w:rsidR="00144B20">
              <w:rPr>
                <w:rFonts w:eastAsiaTheme="minorHAnsi"/>
                <w:sz w:val="18"/>
                <w:szCs w:val="18"/>
                <w:lang w:val="es-ES_tradnl" w:eastAsia="en-NZ"/>
              </w:rPr>
              <w:t>Para el presente programa, se plantea el uso de nuevas tecnologías que permitan optimizar el uso de la infraestructura</w:t>
            </w:r>
            <w:r w:rsidR="003B307F">
              <w:rPr>
                <w:rFonts w:eastAsiaTheme="minorHAnsi"/>
                <w:sz w:val="18"/>
                <w:szCs w:val="18"/>
                <w:lang w:val="es-ES_tradnl" w:eastAsia="en-NZ"/>
              </w:rPr>
              <w:t xml:space="preserve"> de producción, conducción y distribución de agua potable</w:t>
            </w:r>
            <w:r w:rsidR="00144B20">
              <w:rPr>
                <w:rFonts w:eastAsiaTheme="minorHAnsi"/>
                <w:sz w:val="18"/>
                <w:szCs w:val="18"/>
                <w:lang w:val="es-ES_tradnl" w:eastAsia="en-NZ"/>
              </w:rPr>
              <w:t>, recuperar caudales, administrar</w:t>
            </w:r>
            <w:r w:rsidR="003B307F">
              <w:rPr>
                <w:rFonts w:eastAsiaTheme="minorHAnsi"/>
                <w:sz w:val="18"/>
                <w:szCs w:val="18"/>
                <w:lang w:val="es-ES_tradnl" w:eastAsia="en-NZ"/>
              </w:rPr>
              <w:t>los adecuadamente, lo que impactará en la reducción de costos operativos y de mantenimiento de la infraestructura.</w:t>
            </w:r>
          </w:p>
        </w:tc>
      </w:tr>
    </w:tbl>
    <w:p w14:paraId="6B7F5367" w14:textId="77777777" w:rsidR="003B02C4" w:rsidRPr="000F1306" w:rsidRDefault="003B02C4" w:rsidP="00120449">
      <w:pPr>
        <w:rPr>
          <w:lang w:val="es-ES"/>
        </w:rPr>
      </w:pPr>
    </w:p>
    <w:sectPr w:rsidR="003B02C4" w:rsidRPr="000F1306" w:rsidSect="009B38CC">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DD6C6" w14:textId="77777777" w:rsidR="00395318" w:rsidRDefault="00395318" w:rsidP="00B72604">
      <w:r>
        <w:separator/>
      </w:r>
    </w:p>
  </w:endnote>
  <w:endnote w:type="continuationSeparator" w:id="0">
    <w:p w14:paraId="7E09720F" w14:textId="77777777" w:rsidR="00395318" w:rsidRDefault="00395318" w:rsidP="00B7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1851C" w14:textId="77777777" w:rsidR="00395318" w:rsidRDefault="00395318" w:rsidP="00B72604">
      <w:r>
        <w:separator/>
      </w:r>
    </w:p>
  </w:footnote>
  <w:footnote w:type="continuationSeparator" w:id="0">
    <w:p w14:paraId="6A0E8B5C" w14:textId="77777777" w:rsidR="00395318" w:rsidRDefault="00395318" w:rsidP="00B72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68209085"/>
      <w:docPartObj>
        <w:docPartGallery w:val="Page Numbers (Top of Page)"/>
        <w:docPartUnique/>
      </w:docPartObj>
    </w:sdtPr>
    <w:sdtEndPr/>
    <w:sdtContent>
      <w:p w14:paraId="46D336A7" w14:textId="0D4049D7" w:rsidR="00120449" w:rsidRDefault="00270A79" w:rsidP="00F97646">
        <w:pPr>
          <w:pStyle w:val="Header"/>
          <w:tabs>
            <w:tab w:val="clear" w:pos="4680"/>
            <w:tab w:val="clear" w:pos="9360"/>
            <w:tab w:val="right" w:pos="8640"/>
          </w:tabs>
          <w:jc w:val="right"/>
          <w:rPr>
            <w:sz w:val="20"/>
            <w:szCs w:val="20"/>
          </w:rPr>
        </w:pPr>
        <w:r>
          <w:rPr>
            <w:sz w:val="20"/>
            <w:szCs w:val="20"/>
          </w:rPr>
          <w:t>PN</w:t>
        </w:r>
        <w:r w:rsidR="00120449" w:rsidRPr="00812BF8">
          <w:rPr>
            <w:sz w:val="20"/>
            <w:szCs w:val="20"/>
          </w:rPr>
          <w:t>-</w:t>
        </w:r>
        <w:r>
          <w:rPr>
            <w:sz w:val="20"/>
            <w:szCs w:val="20"/>
          </w:rPr>
          <w:t>L11</w:t>
        </w:r>
        <w:r w:rsidR="00C1357D">
          <w:rPr>
            <w:sz w:val="20"/>
            <w:szCs w:val="20"/>
          </w:rPr>
          <w:t>4</w:t>
        </w:r>
        <w:r w:rsidR="00D459B5">
          <w:rPr>
            <w:sz w:val="20"/>
            <w:szCs w:val="20"/>
          </w:rPr>
          <w:t>8</w:t>
        </w:r>
      </w:p>
      <w:p w14:paraId="2FE4748B" w14:textId="77777777" w:rsidR="00C05472" w:rsidRPr="00812BF8" w:rsidRDefault="00C05472" w:rsidP="00F97646">
        <w:pPr>
          <w:pStyle w:val="Header"/>
          <w:tabs>
            <w:tab w:val="clear" w:pos="4680"/>
            <w:tab w:val="clear" w:pos="9360"/>
            <w:tab w:val="right" w:pos="8640"/>
          </w:tabs>
          <w:jc w:val="right"/>
          <w:rPr>
            <w:sz w:val="20"/>
            <w:szCs w:val="20"/>
          </w:rPr>
        </w:pPr>
      </w:p>
      <w:p w14:paraId="6A57C419" w14:textId="5E605B68" w:rsidR="00120449" w:rsidRPr="00F97646" w:rsidRDefault="00120449" w:rsidP="00F97646">
        <w:pPr>
          <w:pStyle w:val="Header"/>
          <w:tabs>
            <w:tab w:val="clear" w:pos="4680"/>
            <w:tab w:val="clear" w:pos="9360"/>
          </w:tabs>
          <w:ind w:left="7200"/>
          <w:jc w:val="right"/>
          <w:rPr>
            <w:sz w:val="20"/>
            <w:szCs w:val="20"/>
          </w:rPr>
        </w:pPr>
        <w:r w:rsidRPr="00C303C1">
          <w:rPr>
            <w:sz w:val="20"/>
            <w:szCs w:val="20"/>
            <w:lang w:val="es-ES"/>
          </w:rPr>
          <w:t>Página</w:t>
        </w:r>
        <w:r w:rsidRPr="00812BF8">
          <w:rPr>
            <w:sz w:val="20"/>
            <w:szCs w:val="20"/>
          </w:rPr>
          <w:t xml:space="preserve"> </w:t>
        </w:r>
        <w:r w:rsidRPr="00812BF8">
          <w:rPr>
            <w:bCs/>
            <w:sz w:val="20"/>
            <w:szCs w:val="20"/>
          </w:rPr>
          <w:fldChar w:fldCharType="begin"/>
        </w:r>
        <w:r w:rsidRPr="00812BF8">
          <w:rPr>
            <w:bCs/>
            <w:sz w:val="20"/>
            <w:szCs w:val="20"/>
          </w:rPr>
          <w:instrText xml:space="preserve"> PAGE </w:instrText>
        </w:r>
        <w:r w:rsidRPr="00812BF8">
          <w:rPr>
            <w:bCs/>
            <w:sz w:val="20"/>
            <w:szCs w:val="20"/>
          </w:rPr>
          <w:fldChar w:fldCharType="separate"/>
        </w:r>
        <w:r w:rsidR="00661EFA">
          <w:rPr>
            <w:bCs/>
            <w:noProof/>
            <w:sz w:val="20"/>
            <w:szCs w:val="20"/>
          </w:rPr>
          <w:t>1</w:t>
        </w:r>
        <w:r w:rsidRPr="00812BF8">
          <w:rPr>
            <w:bCs/>
            <w:sz w:val="20"/>
            <w:szCs w:val="20"/>
          </w:rPr>
          <w:fldChar w:fldCharType="end"/>
        </w:r>
        <w:r w:rsidRPr="00812BF8">
          <w:rPr>
            <w:bCs/>
            <w:sz w:val="20"/>
            <w:szCs w:val="20"/>
          </w:rPr>
          <w:t xml:space="preserve"> </w:t>
        </w:r>
        <w:r w:rsidRPr="00812BF8">
          <w:rPr>
            <w:sz w:val="20"/>
            <w:szCs w:val="20"/>
          </w:rPr>
          <w:t xml:space="preserve">de </w:t>
        </w:r>
        <w:r w:rsidRPr="00812BF8">
          <w:rPr>
            <w:bCs/>
            <w:sz w:val="20"/>
            <w:szCs w:val="20"/>
          </w:rPr>
          <w:fldChar w:fldCharType="begin"/>
        </w:r>
        <w:r w:rsidRPr="00812BF8">
          <w:rPr>
            <w:bCs/>
            <w:sz w:val="20"/>
            <w:szCs w:val="20"/>
          </w:rPr>
          <w:instrText xml:space="preserve"> NUMPAGES  </w:instrText>
        </w:r>
        <w:r w:rsidRPr="00812BF8">
          <w:rPr>
            <w:bCs/>
            <w:sz w:val="20"/>
            <w:szCs w:val="20"/>
          </w:rPr>
          <w:fldChar w:fldCharType="separate"/>
        </w:r>
        <w:r w:rsidR="00661EFA">
          <w:rPr>
            <w:bCs/>
            <w:noProof/>
            <w:sz w:val="20"/>
            <w:szCs w:val="20"/>
          </w:rPr>
          <w:t>13</w:t>
        </w:r>
        <w:r w:rsidRPr="00812BF8">
          <w:rPr>
            <w:bCs/>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1306"/>
    <w:multiLevelType w:val="hybridMultilevel"/>
    <w:tmpl w:val="0434AFC2"/>
    <w:lvl w:ilvl="0" w:tplc="A4888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E311C"/>
    <w:multiLevelType w:val="multilevel"/>
    <w:tmpl w:val="3926D21C"/>
    <w:lvl w:ilvl="0">
      <w:start w:val="1"/>
      <w:numFmt w:val="bullet"/>
      <w:pStyle w:val="ListBullet"/>
      <w:lvlText w:val=""/>
      <w:lvlJc w:val="left"/>
      <w:pPr>
        <w:tabs>
          <w:tab w:val="num" w:pos="1004"/>
        </w:tabs>
        <w:ind w:left="1004" w:hanging="284"/>
      </w:pPr>
      <w:rPr>
        <w:rFonts w:ascii="Wingdings" w:hAnsi="Wingdings" w:hint="default"/>
      </w:rPr>
    </w:lvl>
    <w:lvl w:ilvl="1">
      <w:start w:val="1"/>
      <w:numFmt w:val="bullet"/>
      <w:pStyle w:val="ListBullet2"/>
      <w:lvlText w:val="–"/>
      <w:lvlJc w:val="left"/>
      <w:pPr>
        <w:tabs>
          <w:tab w:val="num" w:pos="1273"/>
        </w:tabs>
        <w:ind w:left="1273" w:hanging="283"/>
      </w:pPr>
      <w:rPr>
        <w:rFonts w:ascii="Times New Roman" w:hAnsi="Times New Roman" w:cs="Times New Roman" w:hint="default"/>
      </w:rPr>
    </w:lvl>
    <w:lvl w:ilvl="2">
      <w:start w:val="1"/>
      <w:numFmt w:val="bullet"/>
      <w:pStyle w:val="ListBullet3"/>
      <w:lvlText w:val=""/>
      <w:lvlJc w:val="left"/>
      <w:pPr>
        <w:tabs>
          <w:tab w:val="num" w:pos="1571"/>
        </w:tabs>
        <w:ind w:left="1571" w:hanging="284"/>
      </w:pPr>
      <w:rPr>
        <w:rFonts w:ascii="Wingdings 2" w:hAnsi="Wingdings 2" w:hint="default"/>
      </w:rPr>
    </w:lvl>
    <w:lvl w:ilvl="3">
      <w:start w:val="1"/>
      <w:numFmt w:val="none"/>
      <w:pStyle w:val="ListBullet4"/>
      <w:suff w:val="nothing"/>
      <w:lvlText w:val=""/>
      <w:lvlJc w:val="left"/>
      <w:pPr>
        <w:ind w:left="1571" w:firstLine="0"/>
      </w:pPr>
      <w:rPr>
        <w:rFonts w:hint="default"/>
      </w:rPr>
    </w:lvl>
    <w:lvl w:ilvl="4">
      <w:start w:val="1"/>
      <w:numFmt w:val="none"/>
      <w:suff w:val="nothing"/>
      <w:lvlText w:val=""/>
      <w:lvlJc w:val="left"/>
      <w:pPr>
        <w:ind w:left="1571" w:firstLine="0"/>
      </w:pPr>
      <w:rPr>
        <w:rFonts w:hint="default"/>
      </w:rPr>
    </w:lvl>
    <w:lvl w:ilvl="5">
      <w:start w:val="1"/>
      <w:numFmt w:val="none"/>
      <w:suff w:val="nothing"/>
      <w:lvlText w:val=""/>
      <w:lvlJc w:val="left"/>
      <w:pPr>
        <w:ind w:left="1571" w:firstLine="0"/>
      </w:pPr>
      <w:rPr>
        <w:rFonts w:hint="default"/>
      </w:rPr>
    </w:lvl>
    <w:lvl w:ilvl="6">
      <w:start w:val="1"/>
      <w:numFmt w:val="none"/>
      <w:suff w:val="nothing"/>
      <w:lvlText w:val=""/>
      <w:lvlJc w:val="left"/>
      <w:pPr>
        <w:ind w:left="1571" w:firstLine="0"/>
      </w:pPr>
      <w:rPr>
        <w:rFonts w:hint="default"/>
      </w:rPr>
    </w:lvl>
    <w:lvl w:ilvl="7">
      <w:start w:val="1"/>
      <w:numFmt w:val="none"/>
      <w:suff w:val="nothing"/>
      <w:lvlText w:val=""/>
      <w:lvlJc w:val="left"/>
      <w:pPr>
        <w:ind w:left="1571" w:firstLine="0"/>
      </w:pPr>
      <w:rPr>
        <w:rFonts w:hint="default"/>
      </w:rPr>
    </w:lvl>
    <w:lvl w:ilvl="8">
      <w:start w:val="1"/>
      <w:numFmt w:val="none"/>
      <w:suff w:val="nothing"/>
      <w:lvlText w:val=""/>
      <w:lvlJc w:val="left"/>
      <w:pPr>
        <w:ind w:left="1571" w:firstLine="0"/>
      </w:pPr>
      <w:rPr>
        <w:rFonts w:hint="default"/>
      </w:rPr>
    </w:lvl>
  </w:abstractNum>
  <w:abstractNum w:abstractNumId="2" w15:restartNumberingAfterBreak="0">
    <w:nsid w:val="09AF2B98"/>
    <w:multiLevelType w:val="multilevel"/>
    <w:tmpl w:val="4C2CC41C"/>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1296"/>
        </w:tabs>
        <w:ind w:left="1296" w:hanging="1296"/>
      </w:p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3" w15:restartNumberingAfterBreak="0">
    <w:nsid w:val="0DAB7FC9"/>
    <w:multiLevelType w:val="multilevel"/>
    <w:tmpl w:val="7AFC8574"/>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rPr>
        <w:lang w:val="es-ES"/>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4" w15:restartNumberingAfterBreak="0">
    <w:nsid w:val="10D159F9"/>
    <w:multiLevelType w:val="hybridMultilevel"/>
    <w:tmpl w:val="591CF180"/>
    <w:lvl w:ilvl="0" w:tplc="D0ECA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34DC"/>
    <w:multiLevelType w:val="multilevel"/>
    <w:tmpl w:val="6B6A1E22"/>
    <w:lvl w:ilvl="0">
      <w:start w:val="1"/>
      <w:numFmt w:val="decimal"/>
      <w:pStyle w:val="BoxNumberedText"/>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160320B5"/>
    <w:multiLevelType w:val="multilevel"/>
    <w:tmpl w:val="7C5448D2"/>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2736"/>
        </w:tabs>
        <w:ind w:left="2736" w:hanging="1296"/>
      </w:pPr>
    </w:lvl>
    <w:lvl w:ilvl="2">
      <w:start w:val="1"/>
      <w:numFmt w:val="lowerLetter"/>
      <w:lvlText w:val="%3."/>
      <w:lvlJc w:val="left"/>
      <w:pPr>
        <w:tabs>
          <w:tab w:val="num" w:pos="2592"/>
        </w:tabs>
        <w:ind w:left="2592" w:hanging="432"/>
      </w:pPr>
    </w:lvl>
    <w:lvl w:ilvl="3">
      <w:start w:val="1"/>
      <w:numFmt w:val="decimal"/>
      <w:lvlText w:val="%1.%2.%3.%4"/>
      <w:lvlJc w:val="left"/>
      <w:pPr>
        <w:ind w:left="2304" w:hanging="864"/>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7" w15:restartNumberingAfterBreak="0">
    <w:nsid w:val="172E7663"/>
    <w:multiLevelType w:val="hybridMultilevel"/>
    <w:tmpl w:val="A3D81D94"/>
    <w:lvl w:ilvl="0" w:tplc="3DCE8444">
      <w:start w:val="1"/>
      <w:numFmt w:val="bullet"/>
      <w:lvlText w:val=""/>
      <w:lvlJc w:val="left"/>
      <w:pPr>
        <w:ind w:left="720"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810CB"/>
    <w:multiLevelType w:val="hybridMultilevel"/>
    <w:tmpl w:val="38E4DCCE"/>
    <w:lvl w:ilvl="0" w:tplc="CA86ED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9533A"/>
    <w:multiLevelType w:val="multilevel"/>
    <w:tmpl w:val="BA3076C2"/>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lvl>
    <w:lvl w:ilvl="2">
      <w:start w:val="1"/>
      <w:numFmt w:val="lowerLetter"/>
      <w:pStyle w:val="SubHeading1"/>
      <w:lvlText w:val="%3)"/>
      <w:lvlJc w:val="left"/>
      <w:pPr>
        <w:tabs>
          <w:tab w:val="num" w:pos="5976"/>
        </w:tabs>
        <w:ind w:left="5976" w:hanging="576"/>
      </w:pPr>
    </w:lvl>
    <w:lvl w:ilvl="3">
      <w:start w:val="1"/>
      <w:numFmt w:val="lowerRoman"/>
      <w:pStyle w:val="Subheading2"/>
      <w:lvlText w:val="(%4)"/>
      <w:lvlJc w:val="right"/>
      <w:pPr>
        <w:tabs>
          <w:tab w:val="num" w:pos="6480"/>
        </w:tabs>
        <w:ind w:left="6480" w:hanging="288"/>
      </w:pPr>
    </w:lvl>
    <w:lvl w:ilvl="4">
      <w:start w:val="1"/>
      <w:numFmt w:val="none"/>
      <w:lvlText w:val=""/>
      <w:lvlJc w:val="left"/>
      <w:pPr>
        <w:tabs>
          <w:tab w:val="num" w:pos="5112"/>
        </w:tabs>
        <w:ind w:left="5112" w:hanging="1008"/>
      </w:pPr>
    </w:lvl>
    <w:lvl w:ilvl="5">
      <w:start w:val="1"/>
      <w:numFmt w:val="none"/>
      <w:lvlText w:val=""/>
      <w:lvlJc w:val="left"/>
      <w:pPr>
        <w:tabs>
          <w:tab w:val="num" w:pos="5256"/>
        </w:tabs>
        <w:ind w:left="5256" w:hanging="1152"/>
      </w:pPr>
    </w:lvl>
    <w:lvl w:ilvl="6">
      <w:start w:val="1"/>
      <w:numFmt w:val="none"/>
      <w:lvlText w:val=""/>
      <w:lvlJc w:val="left"/>
      <w:pPr>
        <w:tabs>
          <w:tab w:val="num" w:pos="5400"/>
        </w:tabs>
        <w:ind w:left="5400" w:hanging="1296"/>
      </w:pPr>
    </w:lvl>
    <w:lvl w:ilvl="7">
      <w:start w:val="1"/>
      <w:numFmt w:val="none"/>
      <w:lvlText w:val=""/>
      <w:lvlJc w:val="left"/>
      <w:pPr>
        <w:tabs>
          <w:tab w:val="num" w:pos="5544"/>
        </w:tabs>
        <w:ind w:left="5544" w:hanging="1440"/>
      </w:pPr>
    </w:lvl>
    <w:lvl w:ilvl="8">
      <w:start w:val="1"/>
      <w:numFmt w:val="none"/>
      <w:lvlText w:val=""/>
      <w:lvlJc w:val="left"/>
      <w:pPr>
        <w:tabs>
          <w:tab w:val="num" w:pos="5688"/>
        </w:tabs>
        <w:ind w:left="5688" w:hanging="1584"/>
      </w:pPr>
    </w:lvl>
  </w:abstractNum>
  <w:abstractNum w:abstractNumId="10" w15:restartNumberingAfterBreak="0">
    <w:nsid w:val="24981CFB"/>
    <w:multiLevelType w:val="hybridMultilevel"/>
    <w:tmpl w:val="B7E427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05FC8"/>
    <w:multiLevelType w:val="hybridMultilevel"/>
    <w:tmpl w:val="93CA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F7B21"/>
    <w:multiLevelType w:val="hybridMultilevel"/>
    <w:tmpl w:val="F364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C125A"/>
    <w:multiLevelType w:val="hybridMultilevel"/>
    <w:tmpl w:val="6412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E556A"/>
    <w:multiLevelType w:val="multilevel"/>
    <w:tmpl w:val="2C7ABA90"/>
    <w:lvl w:ilvl="0">
      <w:start w:val="1"/>
      <w:numFmt w:val="bullet"/>
      <w:pStyle w:val="BoxBullet1"/>
      <w:lvlText w:val=""/>
      <w:lvlJc w:val="left"/>
      <w:pPr>
        <w:tabs>
          <w:tab w:val="num" w:pos="284"/>
        </w:tabs>
        <w:ind w:left="284" w:hanging="284"/>
      </w:pPr>
      <w:rPr>
        <w:rFonts w:ascii="Wingdings" w:hAnsi="Wingdings" w:hint="default"/>
      </w:rPr>
    </w:lvl>
    <w:lvl w:ilvl="1">
      <w:start w:val="1"/>
      <w:numFmt w:val="bullet"/>
      <w:pStyle w:val="Box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lvlRestart w:val="2"/>
      <w:suff w:val="nothing"/>
      <w:lvlText w:val=""/>
      <w:lvlJc w:val="left"/>
      <w:pPr>
        <w:ind w:left="567" w:firstLine="0"/>
      </w:pPr>
      <w:rPr>
        <w:rFonts w:hint="default"/>
      </w:rPr>
    </w:lvl>
  </w:abstractNum>
  <w:num w:numId="1">
    <w:abstractNumId w:val="4"/>
  </w:num>
  <w:num w:numId="2">
    <w:abstractNumId w:val="0"/>
  </w:num>
  <w:num w:numId="3">
    <w:abstractNumId w:val="3"/>
  </w:num>
  <w:num w:numId="4">
    <w:abstractNumId w:val="6"/>
  </w:num>
  <w:num w:numId="5">
    <w:abstractNumId w:val="2"/>
  </w:num>
  <w:num w:numId="6">
    <w:abstractNumId w:val="9"/>
  </w:num>
  <w:num w:numId="7">
    <w:abstractNumId w:val="3"/>
    <w:lvlOverride w:ilvl="0">
      <w:startOverride w:val="544"/>
    </w:lvlOverride>
    <w:lvlOverride w:ilvl="1">
      <w:startOverride w:val="89"/>
    </w:lvlOverride>
  </w:num>
  <w:num w:numId="8">
    <w:abstractNumId w:val="14"/>
  </w:num>
  <w:num w:numId="9">
    <w:abstractNumId w:val="1"/>
  </w:num>
  <w:num w:numId="10">
    <w:abstractNumId w:val="11"/>
  </w:num>
  <w:num w:numId="11">
    <w:abstractNumId w:val="12"/>
  </w:num>
  <w:num w:numId="12">
    <w:abstractNumId w:val="5"/>
  </w:num>
  <w:num w:numId="13">
    <w:abstractNumId w:val="7"/>
  </w:num>
  <w:num w:numId="14">
    <w:abstractNumId w:val="1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F1"/>
    <w:rsid w:val="0000306C"/>
    <w:rsid w:val="000105E2"/>
    <w:rsid w:val="000109BD"/>
    <w:rsid w:val="00010A1E"/>
    <w:rsid w:val="00014BD1"/>
    <w:rsid w:val="00015D4F"/>
    <w:rsid w:val="000166EC"/>
    <w:rsid w:val="000172A5"/>
    <w:rsid w:val="00022DE4"/>
    <w:rsid w:val="00024AB9"/>
    <w:rsid w:val="000272CD"/>
    <w:rsid w:val="00060E7F"/>
    <w:rsid w:val="00064F88"/>
    <w:rsid w:val="00066B5B"/>
    <w:rsid w:val="00071A12"/>
    <w:rsid w:val="0008127B"/>
    <w:rsid w:val="0008572D"/>
    <w:rsid w:val="000A6CFE"/>
    <w:rsid w:val="000B3484"/>
    <w:rsid w:val="000B7D06"/>
    <w:rsid w:val="000C6EE2"/>
    <w:rsid w:val="000D0662"/>
    <w:rsid w:val="000D29DC"/>
    <w:rsid w:val="000E0C3F"/>
    <w:rsid w:val="000E52E1"/>
    <w:rsid w:val="000E6487"/>
    <w:rsid w:val="000E765E"/>
    <w:rsid w:val="000F1306"/>
    <w:rsid w:val="00101141"/>
    <w:rsid w:val="00112E2A"/>
    <w:rsid w:val="00120449"/>
    <w:rsid w:val="00122913"/>
    <w:rsid w:val="00132320"/>
    <w:rsid w:val="00137DC3"/>
    <w:rsid w:val="00144B20"/>
    <w:rsid w:val="00154CC9"/>
    <w:rsid w:val="0015796A"/>
    <w:rsid w:val="00165D3D"/>
    <w:rsid w:val="001666EA"/>
    <w:rsid w:val="00184C1A"/>
    <w:rsid w:val="00186926"/>
    <w:rsid w:val="00190233"/>
    <w:rsid w:val="00191A9C"/>
    <w:rsid w:val="00191CD4"/>
    <w:rsid w:val="00194F8B"/>
    <w:rsid w:val="00197176"/>
    <w:rsid w:val="001B6FC0"/>
    <w:rsid w:val="001C0702"/>
    <w:rsid w:val="001D2F9A"/>
    <w:rsid w:val="001D3E28"/>
    <w:rsid w:val="001D70AF"/>
    <w:rsid w:val="001E688D"/>
    <w:rsid w:val="00200198"/>
    <w:rsid w:val="002004C3"/>
    <w:rsid w:val="00206462"/>
    <w:rsid w:val="002121D6"/>
    <w:rsid w:val="0022142A"/>
    <w:rsid w:val="002234FE"/>
    <w:rsid w:val="002314DB"/>
    <w:rsid w:val="00253272"/>
    <w:rsid w:val="00262F31"/>
    <w:rsid w:val="00270A79"/>
    <w:rsid w:val="0029596C"/>
    <w:rsid w:val="002A7664"/>
    <w:rsid w:val="002B229F"/>
    <w:rsid w:val="002B29C2"/>
    <w:rsid w:val="002B5737"/>
    <w:rsid w:val="002B6E68"/>
    <w:rsid w:val="002C2CCB"/>
    <w:rsid w:val="002C5A2F"/>
    <w:rsid w:val="002D4037"/>
    <w:rsid w:val="002D5CE0"/>
    <w:rsid w:val="002D7AB7"/>
    <w:rsid w:val="002E236F"/>
    <w:rsid w:val="002E3C4E"/>
    <w:rsid w:val="002E53CF"/>
    <w:rsid w:val="002E6D11"/>
    <w:rsid w:val="00304F3B"/>
    <w:rsid w:val="00323893"/>
    <w:rsid w:val="00327F29"/>
    <w:rsid w:val="0033068E"/>
    <w:rsid w:val="00332836"/>
    <w:rsid w:val="003377E6"/>
    <w:rsid w:val="003378F7"/>
    <w:rsid w:val="00344F3E"/>
    <w:rsid w:val="00357537"/>
    <w:rsid w:val="003665B1"/>
    <w:rsid w:val="00367261"/>
    <w:rsid w:val="00380059"/>
    <w:rsid w:val="00391F23"/>
    <w:rsid w:val="00392656"/>
    <w:rsid w:val="0039287D"/>
    <w:rsid w:val="00395318"/>
    <w:rsid w:val="003A14B3"/>
    <w:rsid w:val="003B02C4"/>
    <w:rsid w:val="003B307F"/>
    <w:rsid w:val="003B5AB2"/>
    <w:rsid w:val="003C24B2"/>
    <w:rsid w:val="003C789A"/>
    <w:rsid w:val="003D1DBC"/>
    <w:rsid w:val="003D3837"/>
    <w:rsid w:val="003D5B41"/>
    <w:rsid w:val="003D6315"/>
    <w:rsid w:val="003E7E68"/>
    <w:rsid w:val="003F4487"/>
    <w:rsid w:val="003F48CF"/>
    <w:rsid w:val="003F78EE"/>
    <w:rsid w:val="0040228D"/>
    <w:rsid w:val="004113A8"/>
    <w:rsid w:val="00412214"/>
    <w:rsid w:val="004138F9"/>
    <w:rsid w:val="00420CA5"/>
    <w:rsid w:val="00420DA6"/>
    <w:rsid w:val="00426A8C"/>
    <w:rsid w:val="004359CD"/>
    <w:rsid w:val="00444A98"/>
    <w:rsid w:val="00446EED"/>
    <w:rsid w:val="004479AD"/>
    <w:rsid w:val="00456597"/>
    <w:rsid w:val="004704F2"/>
    <w:rsid w:val="00473544"/>
    <w:rsid w:val="004738B1"/>
    <w:rsid w:val="004771D5"/>
    <w:rsid w:val="0048033F"/>
    <w:rsid w:val="004873B6"/>
    <w:rsid w:val="00490A19"/>
    <w:rsid w:val="004A45B0"/>
    <w:rsid w:val="004A6675"/>
    <w:rsid w:val="004B3077"/>
    <w:rsid w:val="004B72AA"/>
    <w:rsid w:val="004C1E1E"/>
    <w:rsid w:val="004C2D78"/>
    <w:rsid w:val="004D2661"/>
    <w:rsid w:val="004D49B1"/>
    <w:rsid w:val="004D7636"/>
    <w:rsid w:val="004D78F0"/>
    <w:rsid w:val="004E2BFE"/>
    <w:rsid w:val="004E7157"/>
    <w:rsid w:val="004F58A1"/>
    <w:rsid w:val="005057ED"/>
    <w:rsid w:val="00507356"/>
    <w:rsid w:val="005135D7"/>
    <w:rsid w:val="005153E9"/>
    <w:rsid w:val="00533433"/>
    <w:rsid w:val="00534BE3"/>
    <w:rsid w:val="005418DF"/>
    <w:rsid w:val="00542B73"/>
    <w:rsid w:val="0055292C"/>
    <w:rsid w:val="00553263"/>
    <w:rsid w:val="005547E9"/>
    <w:rsid w:val="0056359E"/>
    <w:rsid w:val="00563D9C"/>
    <w:rsid w:val="00567085"/>
    <w:rsid w:val="005676D8"/>
    <w:rsid w:val="00575D50"/>
    <w:rsid w:val="0057785A"/>
    <w:rsid w:val="005821B3"/>
    <w:rsid w:val="00590F44"/>
    <w:rsid w:val="0059144C"/>
    <w:rsid w:val="005A019F"/>
    <w:rsid w:val="005A5AA2"/>
    <w:rsid w:val="005A71C5"/>
    <w:rsid w:val="005C2DF9"/>
    <w:rsid w:val="005D2F29"/>
    <w:rsid w:val="005D67A3"/>
    <w:rsid w:val="005E5815"/>
    <w:rsid w:val="005F04E3"/>
    <w:rsid w:val="005F1FE2"/>
    <w:rsid w:val="0060170C"/>
    <w:rsid w:val="00605D11"/>
    <w:rsid w:val="00614E30"/>
    <w:rsid w:val="00621968"/>
    <w:rsid w:val="006256DC"/>
    <w:rsid w:val="006313DE"/>
    <w:rsid w:val="006315B4"/>
    <w:rsid w:val="0063252F"/>
    <w:rsid w:val="00640137"/>
    <w:rsid w:val="00654D44"/>
    <w:rsid w:val="0066155C"/>
    <w:rsid w:val="00661EFA"/>
    <w:rsid w:val="0067230D"/>
    <w:rsid w:val="00675504"/>
    <w:rsid w:val="0067714B"/>
    <w:rsid w:val="0068015B"/>
    <w:rsid w:val="006834C6"/>
    <w:rsid w:val="00690D98"/>
    <w:rsid w:val="00691441"/>
    <w:rsid w:val="0069471F"/>
    <w:rsid w:val="006C23EB"/>
    <w:rsid w:val="006C2B99"/>
    <w:rsid w:val="006C4863"/>
    <w:rsid w:val="006C4BCA"/>
    <w:rsid w:val="006C69F4"/>
    <w:rsid w:val="006C7A2C"/>
    <w:rsid w:val="006D22E2"/>
    <w:rsid w:val="006D2AE1"/>
    <w:rsid w:val="006D4A79"/>
    <w:rsid w:val="006E1CE9"/>
    <w:rsid w:val="006E3B5A"/>
    <w:rsid w:val="006E42A2"/>
    <w:rsid w:val="006E5F14"/>
    <w:rsid w:val="006E6CC4"/>
    <w:rsid w:val="006F518B"/>
    <w:rsid w:val="00701F4C"/>
    <w:rsid w:val="00703D79"/>
    <w:rsid w:val="00706085"/>
    <w:rsid w:val="00713FB6"/>
    <w:rsid w:val="007146AD"/>
    <w:rsid w:val="00715E94"/>
    <w:rsid w:val="00717D8E"/>
    <w:rsid w:val="00720A31"/>
    <w:rsid w:val="00735EDF"/>
    <w:rsid w:val="00742118"/>
    <w:rsid w:val="00742756"/>
    <w:rsid w:val="00745130"/>
    <w:rsid w:val="00755CF8"/>
    <w:rsid w:val="00776571"/>
    <w:rsid w:val="00777B24"/>
    <w:rsid w:val="00777F74"/>
    <w:rsid w:val="007818AD"/>
    <w:rsid w:val="00790BE6"/>
    <w:rsid w:val="007915F7"/>
    <w:rsid w:val="0079376B"/>
    <w:rsid w:val="00795FBB"/>
    <w:rsid w:val="007A25B9"/>
    <w:rsid w:val="007A2DCC"/>
    <w:rsid w:val="007A464B"/>
    <w:rsid w:val="007A5503"/>
    <w:rsid w:val="007B2412"/>
    <w:rsid w:val="007B6A67"/>
    <w:rsid w:val="007C01B6"/>
    <w:rsid w:val="007C31ED"/>
    <w:rsid w:val="007C69DC"/>
    <w:rsid w:val="007C72C6"/>
    <w:rsid w:val="007D0E58"/>
    <w:rsid w:val="007D36EC"/>
    <w:rsid w:val="007E2508"/>
    <w:rsid w:val="007E3287"/>
    <w:rsid w:val="007F5B40"/>
    <w:rsid w:val="008006EE"/>
    <w:rsid w:val="00802700"/>
    <w:rsid w:val="0080685E"/>
    <w:rsid w:val="008127B3"/>
    <w:rsid w:val="00812BF8"/>
    <w:rsid w:val="00813650"/>
    <w:rsid w:val="0081490C"/>
    <w:rsid w:val="00816AA2"/>
    <w:rsid w:val="008206E8"/>
    <w:rsid w:val="00824DD2"/>
    <w:rsid w:val="00830CBE"/>
    <w:rsid w:val="00830D4A"/>
    <w:rsid w:val="0083233B"/>
    <w:rsid w:val="00846362"/>
    <w:rsid w:val="00847A10"/>
    <w:rsid w:val="0085262B"/>
    <w:rsid w:val="00852DFD"/>
    <w:rsid w:val="00865F1B"/>
    <w:rsid w:val="00870DB0"/>
    <w:rsid w:val="0087294C"/>
    <w:rsid w:val="008751CA"/>
    <w:rsid w:val="00882D30"/>
    <w:rsid w:val="008858B1"/>
    <w:rsid w:val="00894BEB"/>
    <w:rsid w:val="00894CCD"/>
    <w:rsid w:val="008957EA"/>
    <w:rsid w:val="0089733E"/>
    <w:rsid w:val="008B0300"/>
    <w:rsid w:val="008B0C6D"/>
    <w:rsid w:val="008B4B01"/>
    <w:rsid w:val="008C0E36"/>
    <w:rsid w:val="008D0858"/>
    <w:rsid w:val="008E3A32"/>
    <w:rsid w:val="008E5F65"/>
    <w:rsid w:val="008F1774"/>
    <w:rsid w:val="008F3683"/>
    <w:rsid w:val="008F4AD0"/>
    <w:rsid w:val="0090402F"/>
    <w:rsid w:val="00905C23"/>
    <w:rsid w:val="009076BD"/>
    <w:rsid w:val="009078A5"/>
    <w:rsid w:val="009120FE"/>
    <w:rsid w:val="00912AE0"/>
    <w:rsid w:val="00921972"/>
    <w:rsid w:val="00923B34"/>
    <w:rsid w:val="00932BD3"/>
    <w:rsid w:val="009344BC"/>
    <w:rsid w:val="009368DF"/>
    <w:rsid w:val="00954462"/>
    <w:rsid w:val="00960729"/>
    <w:rsid w:val="00974C13"/>
    <w:rsid w:val="009834A9"/>
    <w:rsid w:val="0098758F"/>
    <w:rsid w:val="009876DD"/>
    <w:rsid w:val="00991651"/>
    <w:rsid w:val="009934CD"/>
    <w:rsid w:val="009A016C"/>
    <w:rsid w:val="009A463C"/>
    <w:rsid w:val="009A5C2E"/>
    <w:rsid w:val="009B38CC"/>
    <w:rsid w:val="009B6098"/>
    <w:rsid w:val="009C5D53"/>
    <w:rsid w:val="009D0850"/>
    <w:rsid w:val="009D1F89"/>
    <w:rsid w:val="009D361C"/>
    <w:rsid w:val="009D741F"/>
    <w:rsid w:val="009E274E"/>
    <w:rsid w:val="009E6E3E"/>
    <w:rsid w:val="009F0B6A"/>
    <w:rsid w:val="009F7BD4"/>
    <w:rsid w:val="00A0596A"/>
    <w:rsid w:val="00A05AB1"/>
    <w:rsid w:val="00A05B39"/>
    <w:rsid w:val="00A13E77"/>
    <w:rsid w:val="00A22BAE"/>
    <w:rsid w:val="00A2749F"/>
    <w:rsid w:val="00A3529B"/>
    <w:rsid w:val="00A36229"/>
    <w:rsid w:val="00A40CD4"/>
    <w:rsid w:val="00A43762"/>
    <w:rsid w:val="00A44FC9"/>
    <w:rsid w:val="00A541BB"/>
    <w:rsid w:val="00A57489"/>
    <w:rsid w:val="00A6657A"/>
    <w:rsid w:val="00A67558"/>
    <w:rsid w:val="00A70D71"/>
    <w:rsid w:val="00A75193"/>
    <w:rsid w:val="00A7723F"/>
    <w:rsid w:val="00A80F24"/>
    <w:rsid w:val="00A87653"/>
    <w:rsid w:val="00A90601"/>
    <w:rsid w:val="00A90835"/>
    <w:rsid w:val="00A93118"/>
    <w:rsid w:val="00A95930"/>
    <w:rsid w:val="00AA1821"/>
    <w:rsid w:val="00AA6446"/>
    <w:rsid w:val="00AB1B2E"/>
    <w:rsid w:val="00AB41B9"/>
    <w:rsid w:val="00AB4A91"/>
    <w:rsid w:val="00AB5324"/>
    <w:rsid w:val="00AB7080"/>
    <w:rsid w:val="00AC0682"/>
    <w:rsid w:val="00AC34BE"/>
    <w:rsid w:val="00AC4E0D"/>
    <w:rsid w:val="00AC4F13"/>
    <w:rsid w:val="00AD0AAC"/>
    <w:rsid w:val="00AD0F07"/>
    <w:rsid w:val="00AD4670"/>
    <w:rsid w:val="00AF45AF"/>
    <w:rsid w:val="00AF5E02"/>
    <w:rsid w:val="00B01479"/>
    <w:rsid w:val="00B01E92"/>
    <w:rsid w:val="00B170E9"/>
    <w:rsid w:val="00B30E53"/>
    <w:rsid w:val="00B32105"/>
    <w:rsid w:val="00B32464"/>
    <w:rsid w:val="00B32AD2"/>
    <w:rsid w:val="00B34857"/>
    <w:rsid w:val="00B36780"/>
    <w:rsid w:val="00B36D02"/>
    <w:rsid w:val="00B45D92"/>
    <w:rsid w:val="00B47D24"/>
    <w:rsid w:val="00B53554"/>
    <w:rsid w:val="00B66F47"/>
    <w:rsid w:val="00B706F2"/>
    <w:rsid w:val="00B72604"/>
    <w:rsid w:val="00B75B1E"/>
    <w:rsid w:val="00B762C9"/>
    <w:rsid w:val="00B94B45"/>
    <w:rsid w:val="00B94CEF"/>
    <w:rsid w:val="00BB478A"/>
    <w:rsid w:val="00BB5E3B"/>
    <w:rsid w:val="00BD0461"/>
    <w:rsid w:val="00BD09E6"/>
    <w:rsid w:val="00BD529B"/>
    <w:rsid w:val="00BD68A5"/>
    <w:rsid w:val="00BE1B62"/>
    <w:rsid w:val="00BE6737"/>
    <w:rsid w:val="00BF646D"/>
    <w:rsid w:val="00C0245E"/>
    <w:rsid w:val="00C05472"/>
    <w:rsid w:val="00C11B5B"/>
    <w:rsid w:val="00C1357D"/>
    <w:rsid w:val="00C303C1"/>
    <w:rsid w:val="00C33A4A"/>
    <w:rsid w:val="00C34AA2"/>
    <w:rsid w:val="00C46B65"/>
    <w:rsid w:val="00C507CE"/>
    <w:rsid w:val="00C54D22"/>
    <w:rsid w:val="00C571F5"/>
    <w:rsid w:val="00C66FC4"/>
    <w:rsid w:val="00C827F1"/>
    <w:rsid w:val="00C83AFD"/>
    <w:rsid w:val="00C87FE0"/>
    <w:rsid w:val="00CA5000"/>
    <w:rsid w:val="00CA60A9"/>
    <w:rsid w:val="00CA61A4"/>
    <w:rsid w:val="00CA6E9C"/>
    <w:rsid w:val="00CB77BC"/>
    <w:rsid w:val="00CC32E0"/>
    <w:rsid w:val="00CC368B"/>
    <w:rsid w:val="00CD1F52"/>
    <w:rsid w:val="00CD359B"/>
    <w:rsid w:val="00CD6F7B"/>
    <w:rsid w:val="00CE33C6"/>
    <w:rsid w:val="00CE4C6C"/>
    <w:rsid w:val="00CE5546"/>
    <w:rsid w:val="00CE72A7"/>
    <w:rsid w:val="00CF5FCD"/>
    <w:rsid w:val="00CF6940"/>
    <w:rsid w:val="00CF6D80"/>
    <w:rsid w:val="00CF7C50"/>
    <w:rsid w:val="00D06EBC"/>
    <w:rsid w:val="00D12643"/>
    <w:rsid w:val="00D129F5"/>
    <w:rsid w:val="00D15C94"/>
    <w:rsid w:val="00D24E95"/>
    <w:rsid w:val="00D30E34"/>
    <w:rsid w:val="00D427FE"/>
    <w:rsid w:val="00D439A9"/>
    <w:rsid w:val="00D459B5"/>
    <w:rsid w:val="00D4736E"/>
    <w:rsid w:val="00D5534D"/>
    <w:rsid w:val="00D630FF"/>
    <w:rsid w:val="00D669F5"/>
    <w:rsid w:val="00D66FE8"/>
    <w:rsid w:val="00D67072"/>
    <w:rsid w:val="00D70422"/>
    <w:rsid w:val="00D70D53"/>
    <w:rsid w:val="00D756A5"/>
    <w:rsid w:val="00D77B05"/>
    <w:rsid w:val="00D802A5"/>
    <w:rsid w:val="00D8138A"/>
    <w:rsid w:val="00D9070D"/>
    <w:rsid w:val="00D914BD"/>
    <w:rsid w:val="00D974A1"/>
    <w:rsid w:val="00D97950"/>
    <w:rsid w:val="00DA08C1"/>
    <w:rsid w:val="00DA7E1A"/>
    <w:rsid w:val="00DB17B7"/>
    <w:rsid w:val="00DB5CA2"/>
    <w:rsid w:val="00DC2FAD"/>
    <w:rsid w:val="00DC472F"/>
    <w:rsid w:val="00DC50E9"/>
    <w:rsid w:val="00DD04A6"/>
    <w:rsid w:val="00DD1549"/>
    <w:rsid w:val="00DD76D2"/>
    <w:rsid w:val="00DE177A"/>
    <w:rsid w:val="00DF688D"/>
    <w:rsid w:val="00E078BC"/>
    <w:rsid w:val="00E10175"/>
    <w:rsid w:val="00E130DA"/>
    <w:rsid w:val="00E130F6"/>
    <w:rsid w:val="00E3141F"/>
    <w:rsid w:val="00E328D6"/>
    <w:rsid w:val="00E36E78"/>
    <w:rsid w:val="00E37652"/>
    <w:rsid w:val="00E43A4B"/>
    <w:rsid w:val="00E53E1B"/>
    <w:rsid w:val="00E6100E"/>
    <w:rsid w:val="00E6177B"/>
    <w:rsid w:val="00E62B2B"/>
    <w:rsid w:val="00E7121B"/>
    <w:rsid w:val="00E86EB7"/>
    <w:rsid w:val="00E97211"/>
    <w:rsid w:val="00EA2BD2"/>
    <w:rsid w:val="00EA3F52"/>
    <w:rsid w:val="00EA54E3"/>
    <w:rsid w:val="00EB2CE9"/>
    <w:rsid w:val="00EB4D24"/>
    <w:rsid w:val="00EB73C6"/>
    <w:rsid w:val="00EC6C70"/>
    <w:rsid w:val="00EC725D"/>
    <w:rsid w:val="00ED0DF1"/>
    <w:rsid w:val="00ED1C91"/>
    <w:rsid w:val="00ED783E"/>
    <w:rsid w:val="00EF4CB1"/>
    <w:rsid w:val="00F013C9"/>
    <w:rsid w:val="00F013D5"/>
    <w:rsid w:val="00F05839"/>
    <w:rsid w:val="00F06490"/>
    <w:rsid w:val="00F1124F"/>
    <w:rsid w:val="00F12B01"/>
    <w:rsid w:val="00F146C4"/>
    <w:rsid w:val="00F156A8"/>
    <w:rsid w:val="00F175B1"/>
    <w:rsid w:val="00F17736"/>
    <w:rsid w:val="00F246AF"/>
    <w:rsid w:val="00F258A0"/>
    <w:rsid w:val="00F27EFC"/>
    <w:rsid w:val="00F30970"/>
    <w:rsid w:val="00F438DD"/>
    <w:rsid w:val="00F44400"/>
    <w:rsid w:val="00F46760"/>
    <w:rsid w:val="00F512FD"/>
    <w:rsid w:val="00F529C0"/>
    <w:rsid w:val="00F63951"/>
    <w:rsid w:val="00F70ADF"/>
    <w:rsid w:val="00F812AA"/>
    <w:rsid w:val="00F86432"/>
    <w:rsid w:val="00F87463"/>
    <w:rsid w:val="00F9446E"/>
    <w:rsid w:val="00F95C7E"/>
    <w:rsid w:val="00F97646"/>
    <w:rsid w:val="00FA7917"/>
    <w:rsid w:val="00FC0D74"/>
    <w:rsid w:val="00FC7A36"/>
    <w:rsid w:val="00FD0E5A"/>
    <w:rsid w:val="00FD1E9A"/>
    <w:rsid w:val="00FE2B92"/>
    <w:rsid w:val="00FE48A2"/>
    <w:rsid w:val="00FF16A0"/>
    <w:rsid w:val="00FF1A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07C8F3"/>
  <w15:docId w15:val="{369A8DFA-D775-4EBC-B003-EF3C27A6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D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DB0"/>
    <w:rPr>
      <w:color w:val="0000FF" w:themeColor="hyperlink"/>
      <w:u w:val="single"/>
    </w:rPr>
  </w:style>
  <w:style w:type="character" w:styleId="FollowedHyperlink">
    <w:name w:val="FollowedHyperlink"/>
    <w:basedOn w:val="DefaultParagraphFont"/>
    <w:uiPriority w:val="99"/>
    <w:semiHidden/>
    <w:unhideWhenUsed/>
    <w:rsid w:val="00870DB0"/>
    <w:rPr>
      <w:color w:val="800080" w:themeColor="followedHyperlink"/>
      <w:u w:val="single"/>
    </w:rPr>
  </w:style>
  <w:style w:type="paragraph" w:styleId="ListParagraph">
    <w:name w:val="List Paragraph"/>
    <w:basedOn w:val="Normal"/>
    <w:uiPriority w:val="34"/>
    <w:qFormat/>
    <w:rsid w:val="00F06490"/>
    <w:pPr>
      <w:ind w:left="720"/>
      <w:contextualSpacing/>
    </w:pPr>
  </w:style>
  <w:style w:type="paragraph" w:customStyle="1" w:styleId="Default">
    <w:name w:val="Default"/>
    <w:rsid w:val="003306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9070D"/>
    <w:rPr>
      <w:sz w:val="16"/>
      <w:szCs w:val="16"/>
    </w:rPr>
  </w:style>
  <w:style w:type="paragraph" w:styleId="CommentText">
    <w:name w:val="annotation text"/>
    <w:basedOn w:val="Normal"/>
    <w:link w:val="CommentTextChar"/>
    <w:uiPriority w:val="99"/>
    <w:semiHidden/>
    <w:unhideWhenUsed/>
    <w:rsid w:val="00D9070D"/>
    <w:rPr>
      <w:sz w:val="20"/>
      <w:szCs w:val="20"/>
    </w:rPr>
  </w:style>
  <w:style w:type="character" w:customStyle="1" w:styleId="CommentTextChar">
    <w:name w:val="Comment Text Char"/>
    <w:basedOn w:val="DefaultParagraphFont"/>
    <w:link w:val="CommentText"/>
    <w:uiPriority w:val="99"/>
    <w:semiHidden/>
    <w:rsid w:val="00D907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070D"/>
    <w:rPr>
      <w:b/>
      <w:bCs/>
    </w:rPr>
  </w:style>
  <w:style w:type="character" w:customStyle="1" w:styleId="CommentSubjectChar">
    <w:name w:val="Comment Subject Char"/>
    <w:basedOn w:val="CommentTextChar"/>
    <w:link w:val="CommentSubject"/>
    <w:uiPriority w:val="99"/>
    <w:semiHidden/>
    <w:rsid w:val="00D9070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9070D"/>
    <w:rPr>
      <w:rFonts w:ascii="Tahoma" w:hAnsi="Tahoma" w:cs="Tahoma"/>
      <w:sz w:val="16"/>
      <w:szCs w:val="16"/>
    </w:rPr>
  </w:style>
  <w:style w:type="character" w:customStyle="1" w:styleId="BalloonTextChar">
    <w:name w:val="Balloon Text Char"/>
    <w:basedOn w:val="DefaultParagraphFont"/>
    <w:link w:val="BalloonText"/>
    <w:uiPriority w:val="99"/>
    <w:semiHidden/>
    <w:rsid w:val="00D9070D"/>
    <w:rPr>
      <w:rFonts w:ascii="Tahoma" w:eastAsia="Times New Roman" w:hAnsi="Tahoma" w:cs="Tahoma"/>
      <w:sz w:val="16"/>
      <w:szCs w:val="16"/>
    </w:rPr>
  </w:style>
  <w:style w:type="paragraph" w:customStyle="1" w:styleId="Chapter">
    <w:name w:val="Chapter"/>
    <w:basedOn w:val="Normal"/>
    <w:next w:val="Normal"/>
    <w:rsid w:val="00B72604"/>
    <w:pPr>
      <w:numPr>
        <w:numId w:val="3"/>
      </w:numPr>
      <w:tabs>
        <w:tab w:val="left" w:pos="1440"/>
      </w:tabs>
      <w:spacing w:after="240"/>
      <w:jc w:val="center"/>
    </w:pPr>
    <w:rPr>
      <w:b/>
      <w:smallCaps/>
      <w:szCs w:val="20"/>
      <w:lang w:val="es-ES"/>
    </w:rPr>
  </w:style>
  <w:style w:type="paragraph" w:customStyle="1" w:styleId="Paragraph">
    <w:name w:val="Paragraph"/>
    <w:aliases w:val="p,PARAGRAPH,PG,pa,at,paragraph"/>
    <w:basedOn w:val="BodyTextIndent"/>
    <w:link w:val="ParagraphChar"/>
    <w:qFormat/>
    <w:rsid w:val="00B72604"/>
    <w:pPr>
      <w:numPr>
        <w:ilvl w:val="1"/>
        <w:numId w:val="3"/>
      </w:numPr>
      <w:tabs>
        <w:tab w:val="clear" w:pos="720"/>
      </w:tabs>
      <w:spacing w:before="120"/>
      <w:ind w:left="1440" w:hanging="360"/>
      <w:jc w:val="both"/>
      <w:outlineLvl w:val="1"/>
    </w:pPr>
    <w:rPr>
      <w:szCs w:val="20"/>
      <w:lang w:val="es-ES"/>
    </w:rPr>
  </w:style>
  <w:style w:type="paragraph" w:customStyle="1" w:styleId="subpar">
    <w:name w:val="subpar"/>
    <w:basedOn w:val="BodyTextIndent3"/>
    <w:rsid w:val="00B72604"/>
    <w:pPr>
      <w:numPr>
        <w:ilvl w:val="2"/>
        <w:numId w:val="3"/>
      </w:numPr>
      <w:tabs>
        <w:tab w:val="clear" w:pos="1152"/>
      </w:tabs>
      <w:spacing w:before="120"/>
      <w:ind w:left="2160" w:hanging="180"/>
      <w:jc w:val="both"/>
      <w:outlineLvl w:val="2"/>
    </w:pPr>
    <w:rPr>
      <w:sz w:val="24"/>
      <w:szCs w:val="20"/>
      <w:lang w:val="es-ES_tradnl"/>
    </w:rPr>
  </w:style>
  <w:style w:type="paragraph" w:customStyle="1" w:styleId="SubSubPar">
    <w:name w:val="SubSubPar"/>
    <w:basedOn w:val="subpar"/>
    <w:rsid w:val="00B72604"/>
    <w:pPr>
      <w:numPr>
        <w:ilvl w:val="3"/>
      </w:numPr>
      <w:tabs>
        <w:tab w:val="clear" w:pos="1584"/>
        <w:tab w:val="left" w:pos="0"/>
      </w:tabs>
      <w:ind w:left="2880" w:hanging="360"/>
    </w:pPr>
  </w:style>
  <w:style w:type="paragraph" w:styleId="FootnoteText">
    <w:name w:val="footnote text"/>
    <w:aliases w:val="fn,texto de nota al pie,Nota a pie/Bibliog,footnote,foottextfra,F,single space,footnote text,Texto de rodapé,nota_rodapé,nota de rodapé,Texto nota pie IIRSA,Texto nota pie Car Car,ft,Footnote Text Char Char,Char,Char Char Char Char"/>
    <w:basedOn w:val="Normal"/>
    <w:link w:val="FootnoteTextChar"/>
    <w:unhideWhenUsed/>
    <w:rsid w:val="00B72604"/>
    <w:rPr>
      <w:rFonts w:asciiTheme="minorHAnsi" w:eastAsiaTheme="minorEastAsia" w:hAnsiTheme="minorHAnsi" w:cstheme="minorBidi"/>
      <w:sz w:val="20"/>
      <w:szCs w:val="20"/>
    </w:rPr>
  </w:style>
  <w:style w:type="character" w:customStyle="1" w:styleId="FootnoteTextChar">
    <w:name w:val="Footnote Text Char"/>
    <w:aliases w:val="fn Char,texto de nota al pie Char,Nota a pie/Bibliog Char,footnote Char,foottextfra Char,F Char,single space Char,footnote text Char,Texto de rodapé Char,nota_rodapé Char,nota de rodapé Char,Texto nota pie IIRSA Char,ft Char,Char Char"/>
    <w:basedOn w:val="DefaultParagraphFont"/>
    <w:link w:val="FootnoteText"/>
    <w:rsid w:val="00B72604"/>
    <w:rPr>
      <w:rFonts w:eastAsiaTheme="minorEastAsia"/>
      <w:sz w:val="20"/>
      <w:szCs w:val="20"/>
    </w:rPr>
  </w:style>
  <w:style w:type="character" w:styleId="FootnoteReference">
    <w:name w:val="footnote reference"/>
    <w:aliases w:val="FC,referencia nota al pie,Ref. de nota al pie.,BVI fnr Char Char Char Char Char Char Char Char,BVI fnr Car Car Char Char Char Char Char Char Char Char,BVI fnr Car Char Char Char Char Char Char Char Char Char,BVI fnr,titulo 2,16 Point"/>
    <w:basedOn w:val="DefaultParagraphFont"/>
    <w:link w:val="BVIfnrCharCharCharCharCharCharChar"/>
    <w:unhideWhenUsed/>
    <w:rsid w:val="00B72604"/>
    <w:rPr>
      <w:vertAlign w:val="superscript"/>
    </w:rPr>
  </w:style>
  <w:style w:type="paragraph" w:styleId="BodyTextIndent">
    <w:name w:val="Body Text Indent"/>
    <w:basedOn w:val="Normal"/>
    <w:link w:val="BodyTextIndentChar"/>
    <w:uiPriority w:val="99"/>
    <w:semiHidden/>
    <w:unhideWhenUsed/>
    <w:rsid w:val="00B72604"/>
    <w:pPr>
      <w:spacing w:after="120"/>
      <w:ind w:left="360"/>
    </w:pPr>
  </w:style>
  <w:style w:type="character" w:customStyle="1" w:styleId="BodyTextIndentChar">
    <w:name w:val="Body Text Indent Char"/>
    <w:basedOn w:val="DefaultParagraphFont"/>
    <w:link w:val="BodyTextIndent"/>
    <w:uiPriority w:val="99"/>
    <w:semiHidden/>
    <w:rsid w:val="00B7260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7260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72604"/>
    <w:rPr>
      <w:rFonts w:ascii="Times New Roman" w:eastAsia="Times New Roman" w:hAnsi="Times New Roman" w:cs="Times New Roman"/>
      <w:sz w:val="16"/>
      <w:szCs w:val="16"/>
    </w:rPr>
  </w:style>
  <w:style w:type="character" w:customStyle="1" w:styleId="Heading7Char">
    <w:name w:val="Heading 7 Char"/>
    <w:rsid w:val="006D4A79"/>
    <w:rPr>
      <w:rFonts w:ascii="Arial" w:eastAsia="Times New Roman" w:hAnsi="Arial" w:cs="Times New Roman"/>
      <w:sz w:val="24"/>
      <w:szCs w:val="20"/>
    </w:rPr>
  </w:style>
  <w:style w:type="paragraph" w:customStyle="1" w:styleId="FirstHeading">
    <w:name w:val="FirstHeading"/>
    <w:basedOn w:val="Normal"/>
    <w:rsid w:val="002B6E68"/>
    <w:pPr>
      <w:keepNext/>
      <w:numPr>
        <w:numId w:val="6"/>
      </w:numPr>
      <w:tabs>
        <w:tab w:val="left" w:pos="0"/>
        <w:tab w:val="left" w:pos="86"/>
      </w:tabs>
      <w:spacing w:before="120" w:after="120"/>
    </w:pPr>
    <w:rPr>
      <w:b/>
      <w:lang w:val="es-ES_tradnl"/>
    </w:rPr>
  </w:style>
  <w:style w:type="paragraph" w:customStyle="1" w:styleId="SecHeading">
    <w:name w:val="SecHeading"/>
    <w:basedOn w:val="Normal"/>
    <w:next w:val="Normal"/>
    <w:rsid w:val="002B6E68"/>
    <w:pPr>
      <w:keepNext/>
      <w:numPr>
        <w:ilvl w:val="1"/>
        <w:numId w:val="6"/>
      </w:numPr>
      <w:tabs>
        <w:tab w:val="clear" w:pos="5400"/>
        <w:tab w:val="num" w:pos="1296"/>
      </w:tabs>
      <w:spacing w:before="120" w:after="120"/>
      <w:ind w:left="1296"/>
    </w:pPr>
    <w:rPr>
      <w:b/>
      <w:lang w:val="es-ES_tradnl"/>
    </w:rPr>
  </w:style>
  <w:style w:type="paragraph" w:customStyle="1" w:styleId="SubHeading1">
    <w:name w:val="SubHeading1"/>
    <w:basedOn w:val="SecHeading"/>
    <w:rsid w:val="002B6E68"/>
    <w:pPr>
      <w:numPr>
        <w:ilvl w:val="2"/>
      </w:numPr>
      <w:tabs>
        <w:tab w:val="clear" w:pos="5976"/>
        <w:tab w:val="num" w:pos="1872"/>
      </w:tabs>
      <w:ind w:left="1872"/>
    </w:pPr>
  </w:style>
  <w:style w:type="paragraph" w:customStyle="1" w:styleId="Subheading2">
    <w:name w:val="Subheading2"/>
    <w:basedOn w:val="SecHeading"/>
    <w:rsid w:val="002B6E68"/>
    <w:pPr>
      <w:numPr>
        <w:ilvl w:val="3"/>
      </w:numPr>
      <w:tabs>
        <w:tab w:val="clear" w:pos="6480"/>
        <w:tab w:val="num" w:pos="2376"/>
      </w:tabs>
      <w:ind w:left="2376"/>
    </w:pPr>
  </w:style>
  <w:style w:type="paragraph" w:customStyle="1" w:styleId="BVIfnrCharCharCharCharCharCharChar">
    <w:name w:val="BVI fnr Char Char Char Char Char Char Char"/>
    <w:aliases w:val="BVI fnr Car Car Char Char Char Char Char Char Char,BVI fnr Car Char Char Char Char Char Char Char"/>
    <w:basedOn w:val="Normal"/>
    <w:link w:val="FootnoteReference"/>
    <w:rsid w:val="002B6E68"/>
    <w:pPr>
      <w:spacing w:after="160" w:line="240" w:lineRule="exact"/>
    </w:pPr>
    <w:rPr>
      <w:rFonts w:asciiTheme="minorHAnsi" w:eastAsiaTheme="minorHAnsi" w:hAnsiTheme="minorHAnsi" w:cstheme="minorBidi"/>
      <w:sz w:val="22"/>
      <w:szCs w:val="22"/>
      <w:vertAlign w:val="superscript"/>
    </w:rPr>
  </w:style>
  <w:style w:type="character" w:customStyle="1" w:styleId="ParagraphChar">
    <w:name w:val="Paragraph Char"/>
    <w:link w:val="Paragraph"/>
    <w:locked/>
    <w:rsid w:val="00B47D24"/>
    <w:rPr>
      <w:rFonts w:ascii="Times New Roman" w:eastAsia="Times New Roman" w:hAnsi="Times New Roman" w:cs="Times New Roman"/>
      <w:sz w:val="24"/>
      <w:szCs w:val="20"/>
      <w:lang w:val="es-ES"/>
    </w:rPr>
  </w:style>
  <w:style w:type="paragraph" w:styleId="Header">
    <w:name w:val="header"/>
    <w:basedOn w:val="Normal"/>
    <w:link w:val="HeaderChar"/>
    <w:uiPriority w:val="99"/>
    <w:unhideWhenUsed/>
    <w:rsid w:val="00120449"/>
    <w:pPr>
      <w:tabs>
        <w:tab w:val="center" w:pos="4680"/>
        <w:tab w:val="right" w:pos="9360"/>
      </w:tabs>
    </w:pPr>
  </w:style>
  <w:style w:type="character" w:customStyle="1" w:styleId="HeaderChar">
    <w:name w:val="Header Char"/>
    <w:basedOn w:val="DefaultParagraphFont"/>
    <w:link w:val="Header"/>
    <w:uiPriority w:val="99"/>
    <w:rsid w:val="001204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0449"/>
    <w:pPr>
      <w:tabs>
        <w:tab w:val="center" w:pos="4680"/>
        <w:tab w:val="right" w:pos="9360"/>
      </w:tabs>
    </w:pPr>
  </w:style>
  <w:style w:type="character" w:customStyle="1" w:styleId="FooterChar">
    <w:name w:val="Footer Char"/>
    <w:basedOn w:val="DefaultParagraphFont"/>
    <w:link w:val="Footer"/>
    <w:uiPriority w:val="99"/>
    <w:rsid w:val="00120449"/>
    <w:rPr>
      <w:rFonts w:ascii="Times New Roman" w:eastAsia="Times New Roman" w:hAnsi="Times New Roman" w:cs="Times New Roman"/>
      <w:sz w:val="24"/>
      <w:szCs w:val="24"/>
    </w:rPr>
  </w:style>
  <w:style w:type="paragraph" w:styleId="BodyText">
    <w:name w:val="Body Text"/>
    <w:aliases w:val="Body Text Char Char Char Char Char,Body Text Char Char Char Char,Body Text Char Char Char,Body Text Char Char,1body,BodText,bt,body text,Body Txt,heading3,3 indent,heading31,body text1,3 indent1,heading32,body text2,3 indent2,b"/>
    <w:basedOn w:val="Normal"/>
    <w:link w:val="BodyTextChar1"/>
    <w:rsid w:val="00534BE3"/>
    <w:pPr>
      <w:spacing w:after="120"/>
      <w:jc w:val="both"/>
    </w:pPr>
    <w:rPr>
      <w:rFonts w:ascii="Garamond" w:hAnsi="Garamond"/>
      <w:lang w:eastAsia="en-NZ"/>
    </w:rPr>
  </w:style>
  <w:style w:type="character" w:customStyle="1" w:styleId="BodyTextChar">
    <w:name w:val="Body Text Char"/>
    <w:basedOn w:val="DefaultParagraphFont"/>
    <w:uiPriority w:val="99"/>
    <w:semiHidden/>
    <w:rsid w:val="00534BE3"/>
    <w:rPr>
      <w:rFonts w:ascii="Times New Roman" w:eastAsia="Times New Roman" w:hAnsi="Times New Roman" w:cs="Times New Roman"/>
      <w:sz w:val="24"/>
      <w:szCs w:val="24"/>
    </w:rPr>
  </w:style>
  <w:style w:type="paragraph" w:styleId="ListBullet">
    <w:name w:val="List Bullet"/>
    <w:basedOn w:val="BodyText"/>
    <w:rsid w:val="00534BE3"/>
    <w:pPr>
      <w:numPr>
        <w:numId w:val="9"/>
      </w:numPr>
      <w:tabs>
        <w:tab w:val="clear" w:pos="1004"/>
        <w:tab w:val="num" w:pos="2088"/>
      </w:tabs>
      <w:ind w:left="1440" w:firstLine="288"/>
    </w:pPr>
  </w:style>
  <w:style w:type="paragraph" w:styleId="ListBullet2">
    <w:name w:val="List Bullet 2"/>
    <w:basedOn w:val="BodyText"/>
    <w:rsid w:val="00534BE3"/>
    <w:pPr>
      <w:numPr>
        <w:ilvl w:val="1"/>
        <w:numId w:val="9"/>
      </w:numPr>
      <w:tabs>
        <w:tab w:val="clear" w:pos="1273"/>
        <w:tab w:val="num" w:pos="1287"/>
        <w:tab w:val="num" w:pos="2736"/>
      </w:tabs>
      <w:ind w:left="1287" w:hanging="1296"/>
    </w:pPr>
  </w:style>
  <w:style w:type="paragraph" w:styleId="ListBullet3">
    <w:name w:val="List Bullet 3"/>
    <w:basedOn w:val="BodyText"/>
    <w:rsid w:val="00534BE3"/>
    <w:pPr>
      <w:numPr>
        <w:ilvl w:val="2"/>
        <w:numId w:val="9"/>
      </w:numPr>
      <w:tabs>
        <w:tab w:val="clear" w:pos="1571"/>
        <w:tab w:val="num" w:pos="2592"/>
      </w:tabs>
      <w:ind w:left="2592" w:hanging="432"/>
    </w:pPr>
  </w:style>
  <w:style w:type="paragraph" w:styleId="ListBullet4">
    <w:name w:val="List Bullet 4"/>
    <w:basedOn w:val="BodyText"/>
    <w:rsid w:val="00534BE3"/>
    <w:pPr>
      <w:numPr>
        <w:ilvl w:val="3"/>
        <w:numId w:val="9"/>
      </w:numPr>
      <w:ind w:left="2304" w:hanging="864"/>
    </w:pPr>
  </w:style>
  <w:style w:type="paragraph" w:customStyle="1" w:styleId="BoxBullet1">
    <w:name w:val="Box Bullet 1"/>
    <w:basedOn w:val="Normal"/>
    <w:rsid w:val="00534BE3"/>
    <w:pPr>
      <w:numPr>
        <w:numId w:val="8"/>
      </w:numPr>
      <w:spacing w:before="30" w:after="30"/>
      <w:jc w:val="both"/>
    </w:pPr>
    <w:rPr>
      <w:rFonts w:ascii="Garamond" w:hAnsi="Garamond"/>
      <w:sz w:val="22"/>
      <w:lang w:eastAsia="en-NZ"/>
    </w:rPr>
  </w:style>
  <w:style w:type="paragraph" w:customStyle="1" w:styleId="BoxBullet2">
    <w:name w:val="Box Bullet 2"/>
    <w:basedOn w:val="Normal"/>
    <w:rsid w:val="00534BE3"/>
    <w:pPr>
      <w:numPr>
        <w:ilvl w:val="1"/>
        <w:numId w:val="8"/>
      </w:numPr>
      <w:spacing w:before="30" w:after="30"/>
      <w:jc w:val="both"/>
    </w:pPr>
    <w:rPr>
      <w:rFonts w:ascii="Garamond" w:hAnsi="Garamond"/>
      <w:sz w:val="22"/>
      <w:lang w:eastAsia="en-NZ"/>
    </w:rPr>
  </w:style>
  <w:style w:type="character" w:customStyle="1" w:styleId="BodyTextChar1">
    <w:name w:val="Body Text Char1"/>
    <w:aliases w:val="Body Text Char Char Char Char Char Char,Body Text Char Char Char Char Char1,Body Text Char Char Char Char1,Body Text Char Char Char1,1body Char,BodText Char,bt Char,body text Char,Body Txt Char,heading3 Char,3 indent Char,heading31 Char"/>
    <w:basedOn w:val="DefaultParagraphFont"/>
    <w:link w:val="BodyText"/>
    <w:rsid w:val="00534BE3"/>
    <w:rPr>
      <w:rFonts w:ascii="Garamond" w:eastAsia="Times New Roman" w:hAnsi="Garamond" w:cs="Times New Roman"/>
      <w:sz w:val="24"/>
      <w:szCs w:val="24"/>
      <w:lang w:eastAsia="en-NZ"/>
    </w:rPr>
  </w:style>
  <w:style w:type="paragraph" w:customStyle="1" w:styleId="CFIJAENB">
    <w:name w:val="( C )  FIJA EN &quot;B&quot;"/>
    <w:basedOn w:val="Normal"/>
    <w:rsid w:val="00262F31"/>
    <w:pPr>
      <w:ind w:left="703"/>
      <w:jc w:val="both"/>
    </w:pPr>
    <w:rPr>
      <w:rFonts w:ascii="Arial" w:hAnsi="Arial"/>
      <w:sz w:val="20"/>
      <w:szCs w:val="20"/>
      <w:lang w:val="es-ES_tradnl" w:eastAsia="es-ES"/>
    </w:rPr>
  </w:style>
  <w:style w:type="paragraph" w:customStyle="1" w:styleId="BoxNumberedText">
    <w:name w:val="Box Numbered Text"/>
    <w:basedOn w:val="Normal"/>
    <w:rsid w:val="005A019F"/>
    <w:pPr>
      <w:numPr>
        <w:numId w:val="12"/>
      </w:numPr>
      <w:spacing w:before="30" w:after="30"/>
      <w:jc w:val="both"/>
    </w:pPr>
    <w:rPr>
      <w:rFonts w:ascii="Garamond" w:hAnsi="Garamond"/>
      <w:sz w:val="22"/>
      <w:lang w:eastAsia="en-NZ"/>
    </w:rPr>
  </w:style>
  <w:style w:type="paragraph" w:styleId="Title">
    <w:name w:val="Title"/>
    <w:basedOn w:val="Normal"/>
    <w:next w:val="Normal"/>
    <w:link w:val="TitleChar"/>
    <w:uiPriority w:val="10"/>
    <w:qFormat/>
    <w:rsid w:val="00304F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4F3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5269">
      <w:bodyDiv w:val="1"/>
      <w:marLeft w:val="0"/>
      <w:marRight w:val="0"/>
      <w:marTop w:val="0"/>
      <w:marBottom w:val="0"/>
      <w:divBdr>
        <w:top w:val="none" w:sz="0" w:space="0" w:color="auto"/>
        <w:left w:val="none" w:sz="0" w:space="0" w:color="auto"/>
        <w:bottom w:val="none" w:sz="0" w:space="0" w:color="auto"/>
        <w:right w:val="none" w:sz="0" w:space="0" w:color="auto"/>
      </w:divBdr>
    </w:div>
    <w:div w:id="1085344569">
      <w:bodyDiv w:val="1"/>
      <w:marLeft w:val="0"/>
      <w:marRight w:val="0"/>
      <w:marTop w:val="0"/>
      <w:marBottom w:val="0"/>
      <w:divBdr>
        <w:top w:val="none" w:sz="0" w:space="0" w:color="auto"/>
        <w:left w:val="none" w:sz="0" w:space="0" w:color="auto"/>
        <w:bottom w:val="none" w:sz="0" w:space="0" w:color="auto"/>
        <w:right w:val="none" w:sz="0" w:space="0" w:color="auto"/>
      </w:divBdr>
    </w:div>
    <w:div w:id="117676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4C9F327C9A58EB428E0BEEC1DC985F3F" ma:contentTypeVersion="0" ma:contentTypeDescription="A content type to manage public (operations) IDB documents" ma:contentTypeScope="" ma:versionID="9fd7ce4cf2f1271780208dd000fed9f1">
  <xsd:schema xmlns:xsd="http://www.w3.org/2001/XMLSchema" xmlns:xs="http://www.w3.org/2001/XMLSchema" xmlns:p="http://schemas.microsoft.com/office/2006/metadata/properties" xmlns:ns2="9c571b2f-e523-4ab2-ba2e-09e151a03ef4" targetNamespace="http://schemas.microsoft.com/office/2006/metadata/properties" ma:root="true" ma:fieldsID="3f0d8583df1c1fb8cde534404a50e5d2"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df97a3c-941e-4e8f-9591-165d8427765c}" ma:internalName="TaxCatchAll" ma:showField="CatchAllData" ma:web="eac4eb1d-2b05-445b-bdbc-4e6c8418984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df97a3c-941e-4e8f-9591-165d8427765c}" ma:internalName="TaxCatchAllLabel" ma:readOnly="true" ma:showField="CatchAllDataLabel" ma:web="eac4eb1d-2b05-445b-bdbc-4e6c8418984d">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f0be0ad-272c-4e7f-a157-3f0abda6cde5" ContentTypeId="0x01010046CF21643EE8D14686A648AA6DAD0892" PreviousValue="false"/>
</file>

<file path=customXml/item4.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40647557</IDBDocs_x0020_Number>
    <TaxCatchAll xmlns="9c571b2f-e523-4ab2-ba2e-09e151a03ef4">
      <Value>8</Value>
      <Value>7</Value>
    </TaxCatchAll>
    <Phase xmlns="9c571b2f-e523-4ab2-ba2e-09e151a03ef4" xsi:nil="true"/>
    <SISCOR_x0020_Number xmlns="9c571b2f-e523-4ab2-ba2e-09e151a03ef4" xsi:nil="true"/>
    <Division_x0020_or_x0020_Unit xmlns="9c571b2f-e523-4ab2-ba2e-09e151a03ef4">INE/WSA</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Garcia Merino, Lucio Javier</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PN-L1121</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Proposal&lt;/USER_STAGE&gt;&lt;PD_OBJ_TYPE&gt;0&lt;/PD_OBJ_TYPE&gt;&lt;DTAPPROVAL&gt;Nov 16 2016 12:00AM&lt;/DTAPPROVAL&gt;&lt;MAKERECORD&gt;N&lt;/MAKERECORD&gt;&lt;/Data&gt;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ANNEX</Identifier>
    <Disclosure_x0020_Activity xmlns="9c571b2f-e523-4ab2-ba2e-09e151a03ef4">Loan Proposal</Disclosure_x0020_Activity>
    <Webtopic xmlns="9c571b2f-e523-4ab2-ba2e-09e151a03ef4">OS-ASA</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0C4F3-645B-4223-A46B-9B40070EB259}">
  <ds:schemaRefs>
    <ds:schemaRef ds:uri="http://schemas.microsoft.com/sharepoint/v3/contenttype/forms"/>
  </ds:schemaRefs>
</ds:datastoreItem>
</file>

<file path=customXml/itemProps2.xml><?xml version="1.0" encoding="utf-8"?>
<ds:datastoreItem xmlns:ds="http://schemas.openxmlformats.org/officeDocument/2006/customXml" ds:itemID="{702C9383-58D9-4BA4-9BFA-00A13E7AF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71b2f-e523-4ab2-ba2e-09e151a03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DACFA7-95B4-4FC3-8651-4CD485C1A916}">
  <ds:schemaRefs>
    <ds:schemaRef ds:uri="Microsoft.SharePoint.Taxonomy.ContentTypeSync"/>
  </ds:schemaRefs>
</ds:datastoreItem>
</file>

<file path=customXml/itemProps4.xml><?xml version="1.0" encoding="utf-8"?>
<ds:datastoreItem xmlns:ds="http://schemas.openxmlformats.org/officeDocument/2006/customXml" ds:itemID="{77D52461-6E38-4AD6-9792-C819D67FCC6D}">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dcmitype/"/>
    <ds:schemaRef ds:uri="9c571b2f-e523-4ab2-ba2e-09e151a03ef4"/>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AF99BC2F-95BA-4CCB-B42F-F93524712554}">
  <ds:schemaRefs>
    <ds:schemaRef ds:uri="http://schemas.microsoft.com/sharepoint/events"/>
  </ds:schemaRefs>
</ds:datastoreItem>
</file>

<file path=customXml/itemProps6.xml><?xml version="1.0" encoding="utf-8"?>
<ds:datastoreItem xmlns:ds="http://schemas.openxmlformats.org/officeDocument/2006/customXml" ds:itemID="{95635440-1365-42B3-B514-CD41AC802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5512</Words>
  <Characters>30321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EEO_5 - Análisis Cumplimiento Política Servicios Públicos</vt:lpstr>
    </vt:vector>
  </TitlesOfParts>
  <Company>Inter-American Development Bank</Company>
  <LinksUpToDate>false</LinksUpToDate>
  <CharactersWithSpaces>35762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EEO_5 - Análisis Cumplimiento Política Servicios Públicos</dc:title>
  <dc:creator>Inter-American Development Bank</dc:creator>
  <cp:lastModifiedBy>Cartin Barrios, Irene</cp:lastModifiedBy>
  <cp:revision>2</cp:revision>
  <cp:lastPrinted>2015-05-19T15:05:00Z</cp:lastPrinted>
  <dcterms:created xsi:type="dcterms:W3CDTF">2017-11-27T18:08:00Z</dcterms:created>
  <dcterms:modified xsi:type="dcterms:W3CDTF">2017-11-27T18:08:00Z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0x01010046CF21643EE8D14686A648AA6DAD0892004C9F327C9A58EB428E0BEEC1DC985F3F</vt:lpwstr>
  </property>
  <property fmtid="{D5CDD505-2E9C-101B-9397-08002B2CF9AE}" pid="3" name="TaxKeyword">
    <vt:lpwstr/>
  </property>
  <property fmtid="{D5CDD505-2E9C-101B-9397-08002B2CF9AE}" pid="4" name="Function Operations IDB">
    <vt:lpwstr>8;#IDBDocs|cca77002-e150-4b2d-ab1f-1d7a7cdcae16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7;#Unclassified|a6dff32e-d477-44cd-a56b-85efe9e0a56c</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7;#Unclassified|a6dff32e-d477-44cd-a56b-85efe9e0a56c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Sub-Sector">
    <vt:lpwstr/>
  </property>
</Properties>
</file>